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line="231" w:lineRule="auto"/>
        <w:rPr>
          <w:sz w:val="20"/>
          <w:szCs w:val="20"/>
          <w:color w:val="auto"/>
        </w:rPr>
      </w:pPr>
      <w:r>
        <w:rPr>
          <w:rFonts w:ascii="Arial" w:cs="Arial" w:eastAsia="Arial" w:hAnsi="Arial"/>
          <w:sz w:val="16"/>
          <w:szCs w:val="16"/>
          <w:b w:val="1"/>
          <w:bCs w:val="1"/>
          <w:color w:val="auto"/>
        </w:rPr>
        <w:t>Washington, D.C. 20549</w:t>
      </w:r>
    </w:p>
    <w:p>
      <w:pPr>
        <w:jc w:val="center"/>
        <w:spacing w:after="0"/>
        <w:rPr>
          <w:sz w:val="20"/>
          <w:szCs w:val="20"/>
          <w:color w:val="auto"/>
        </w:rPr>
      </w:pPr>
      <w:r>
        <w:rPr>
          <w:rFonts w:ascii="Arial" w:cs="Arial" w:eastAsia="Arial" w:hAnsi="Arial"/>
          <w:sz w:val="16"/>
          <w:szCs w:val="16"/>
          <w:color w:val="auto"/>
        </w:rPr>
        <w:t>FORM 10-K</w:t>
      </w:r>
    </w:p>
    <w:p>
      <w:pPr>
        <w:spacing w:after="0" w:line="15" w:lineRule="exact"/>
        <w:rPr>
          <w:sz w:val="24"/>
          <w:szCs w:val="24"/>
          <w:color w:val="auto"/>
        </w:rPr>
      </w:pPr>
    </w:p>
    <w:p>
      <w:pPr>
        <w:ind w:left="4040" w:right="3240" w:hanging="4034"/>
        <w:spacing w:after="0" w:line="277" w:lineRule="auto"/>
        <w:tabs>
          <w:tab w:leader="none" w:pos="2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88" w:lineRule="exact"/>
        <w:rPr>
          <w:sz w:val="24"/>
          <w:szCs w:val="24"/>
          <w:color w:val="auto"/>
        </w:rPr>
      </w:pPr>
    </w:p>
    <w:p>
      <w:pPr>
        <w:ind w:left="4580" w:right="2940" w:hanging="4574"/>
        <w:spacing w:after="0" w:line="273" w:lineRule="auto"/>
        <w:tabs>
          <w:tab w:leader="none" w:pos="28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Commission File No. 1-10686</w:t>
      </w:r>
    </w:p>
    <w:p>
      <w:pPr>
        <w:ind w:left="4680"/>
        <w:spacing w:after="0"/>
        <w:rPr>
          <w:rFonts w:ascii="MS PGothic" w:cs="MS PGothic" w:eastAsia="MS PGothic" w:hAnsi="MS PGothic"/>
          <w:sz w:val="16"/>
          <w:szCs w:val="16"/>
          <w:color w:val="auto"/>
        </w:rPr>
      </w:pPr>
      <w:r>
        <w:rPr>
          <w:rFonts w:ascii="Arial" w:cs="Arial" w:eastAsia="Arial" w:hAnsi="Arial"/>
          <w:sz w:val="16"/>
          <w:szCs w:val="16"/>
          <w:color w:val="5B89B4"/>
        </w:rPr>
        <w:t>MANPOWERGROUP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jc w:val="center"/>
              <w:ind w:left="702"/>
              <w:spacing w:after="0"/>
              <w:rPr>
                <w:sz w:val="20"/>
                <w:szCs w:val="20"/>
                <w:color w:val="auto"/>
              </w:rPr>
            </w:pPr>
            <w:r>
              <w:rPr>
                <w:rFonts w:ascii="Arial" w:cs="Arial" w:eastAsia="Arial" w:hAnsi="Arial"/>
                <w:sz w:val="16"/>
                <w:szCs w:val="16"/>
                <w:b w:val="1"/>
                <w:bCs w:val="1"/>
                <w:color w:val="auto"/>
                <w:w w:val="97"/>
              </w:rPr>
              <w:t>WISCONSIN</w:t>
            </w:r>
          </w:p>
        </w:tc>
        <w:tc>
          <w:tcPr>
            <w:tcW w:w="2920" w:type="dxa"/>
            <w:vAlign w:val="bottom"/>
          </w:tcPr>
          <w:p>
            <w:pPr>
              <w:spacing w:after="0"/>
              <w:rPr>
                <w:sz w:val="16"/>
                <w:szCs w:val="16"/>
                <w:color w:val="auto"/>
              </w:rPr>
            </w:pPr>
          </w:p>
        </w:tc>
        <w:tc>
          <w:tcPr>
            <w:tcW w:w="1180" w:type="dxa"/>
            <w:vAlign w:val="bottom"/>
            <w:gridSpan w:val="3"/>
          </w:tcPr>
          <w:p>
            <w:pPr>
              <w:jc w:val="right"/>
              <w:ind w:right="5"/>
              <w:spacing w:after="0"/>
              <w:rPr>
                <w:sz w:val="20"/>
                <w:szCs w:val="20"/>
                <w:color w:val="auto"/>
              </w:rPr>
            </w:pPr>
            <w:r>
              <w:rPr>
                <w:rFonts w:ascii="Arial" w:cs="Arial" w:eastAsia="Arial" w:hAnsi="Arial"/>
                <w:sz w:val="16"/>
                <w:szCs w:val="16"/>
                <w:b w:val="1"/>
                <w:bCs w:val="1"/>
                <w:color w:val="auto"/>
              </w:rPr>
              <w:t>39-1672779</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840" w:type="dxa"/>
            <w:vAlign w:val="bottom"/>
          </w:tcPr>
          <w:p>
            <w:pPr>
              <w:jc w:val="center"/>
              <w:ind w:left="702"/>
              <w:spacing w:after="0" w:line="178" w:lineRule="exact"/>
              <w:rPr>
                <w:sz w:val="20"/>
                <w:szCs w:val="20"/>
                <w:color w:val="auto"/>
              </w:rPr>
            </w:pPr>
            <w:r>
              <w:rPr>
                <w:rFonts w:ascii="Arial" w:cs="Arial" w:eastAsia="Arial" w:hAnsi="Arial"/>
                <w:sz w:val="16"/>
                <w:szCs w:val="16"/>
                <w:b w:val="1"/>
                <w:bCs w:val="1"/>
                <w:color w:val="auto"/>
                <w:w w:val="99"/>
              </w:rPr>
              <w:t>(State or other jurisdiction of</w:t>
            </w:r>
          </w:p>
        </w:tc>
        <w:tc>
          <w:tcPr>
            <w:tcW w:w="2920" w:type="dxa"/>
            <w:vAlign w:val="bottom"/>
          </w:tcPr>
          <w:p>
            <w:pPr>
              <w:spacing w:after="0"/>
              <w:rPr>
                <w:sz w:val="15"/>
                <w:szCs w:val="15"/>
                <w:color w:val="auto"/>
              </w:rPr>
            </w:pPr>
          </w:p>
        </w:tc>
        <w:tc>
          <w:tcPr>
            <w:tcW w:w="2980" w:type="dxa"/>
            <w:vAlign w:val="bottom"/>
            <w:gridSpan w:val="4"/>
          </w:tcPr>
          <w:p>
            <w:pPr>
              <w:jc w:val="center"/>
              <w:ind w:right="1545"/>
              <w:spacing w:after="0" w:line="178" w:lineRule="exact"/>
              <w:rPr>
                <w:sz w:val="20"/>
                <w:szCs w:val="20"/>
                <w:color w:val="auto"/>
              </w:rPr>
            </w:pPr>
            <w:r>
              <w:rPr>
                <w:rFonts w:ascii="Arial" w:cs="Arial" w:eastAsia="Arial" w:hAnsi="Arial"/>
                <w:sz w:val="16"/>
                <w:szCs w:val="16"/>
                <w:b w:val="1"/>
                <w:bCs w:val="1"/>
                <w:color w:val="auto"/>
                <w:w w:val="97"/>
              </w:rPr>
              <w:t>(I.R.S. Employer</w:t>
            </w:r>
          </w:p>
        </w:tc>
        <w:tc>
          <w:tcPr>
            <w:tcW w:w="0" w:type="dxa"/>
            <w:vAlign w:val="bottom"/>
          </w:tcPr>
          <w:p>
            <w:pPr>
              <w:spacing w:after="0"/>
              <w:rPr>
                <w:sz w:val="1"/>
                <w:szCs w:val="1"/>
                <w:color w:val="auto"/>
              </w:rPr>
            </w:pPr>
          </w:p>
        </w:tc>
      </w:tr>
      <w:tr>
        <w:trPr>
          <w:trHeight w:val="213"/>
        </w:trPr>
        <w:tc>
          <w:tcPr>
            <w:tcW w:w="4840" w:type="dxa"/>
            <w:vAlign w:val="bottom"/>
          </w:tcPr>
          <w:p>
            <w:pPr>
              <w:jc w:val="center"/>
              <w:ind w:left="702"/>
              <w:spacing w:after="0"/>
              <w:rPr>
                <w:sz w:val="20"/>
                <w:szCs w:val="20"/>
                <w:color w:val="auto"/>
              </w:rPr>
            </w:pPr>
            <w:r>
              <w:rPr>
                <w:rFonts w:ascii="Arial" w:cs="Arial" w:eastAsia="Arial" w:hAnsi="Arial"/>
                <w:sz w:val="16"/>
                <w:szCs w:val="16"/>
                <w:b w:val="1"/>
                <w:bCs w:val="1"/>
                <w:color w:val="auto"/>
                <w:w w:val="98"/>
              </w:rPr>
              <w:t>incorporation or organization)</w:t>
            </w:r>
          </w:p>
        </w:tc>
        <w:tc>
          <w:tcPr>
            <w:tcW w:w="2920" w:type="dxa"/>
            <w:vAlign w:val="bottom"/>
          </w:tcPr>
          <w:p>
            <w:pPr>
              <w:spacing w:after="0"/>
              <w:rPr>
                <w:sz w:val="18"/>
                <w:szCs w:val="18"/>
                <w:color w:val="auto"/>
              </w:rPr>
            </w:pPr>
          </w:p>
        </w:tc>
        <w:tc>
          <w:tcPr>
            <w:tcW w:w="2980" w:type="dxa"/>
            <w:vAlign w:val="bottom"/>
            <w:gridSpan w:val="4"/>
          </w:tcPr>
          <w:p>
            <w:pPr>
              <w:jc w:val="center"/>
              <w:ind w:right="1545"/>
              <w:spacing w:after="0"/>
              <w:rPr>
                <w:sz w:val="20"/>
                <w:szCs w:val="20"/>
                <w:color w:val="auto"/>
              </w:rPr>
            </w:pPr>
            <w:r>
              <w:rPr>
                <w:rFonts w:ascii="Arial" w:cs="Arial" w:eastAsia="Arial" w:hAnsi="Arial"/>
                <w:sz w:val="16"/>
                <w:szCs w:val="16"/>
                <w:b w:val="1"/>
                <w:bCs w:val="1"/>
                <w:color w:val="auto"/>
                <w:w w:val="97"/>
              </w:rPr>
              <w:t>Identification No.)</w:t>
            </w:r>
          </w:p>
        </w:tc>
        <w:tc>
          <w:tcPr>
            <w:tcW w:w="0" w:type="dxa"/>
            <w:vAlign w:val="bottom"/>
          </w:tcPr>
          <w:p>
            <w:pPr>
              <w:spacing w:after="0"/>
              <w:rPr>
                <w:sz w:val="1"/>
                <w:szCs w:val="1"/>
                <w:color w:val="auto"/>
              </w:rPr>
            </w:pPr>
          </w:p>
        </w:tc>
      </w:tr>
      <w:tr>
        <w:trPr>
          <w:trHeight w:val="177"/>
        </w:trPr>
        <w:tc>
          <w:tcPr>
            <w:tcW w:w="4840" w:type="dxa"/>
            <w:vAlign w:val="bottom"/>
          </w:tcPr>
          <w:p>
            <w:pPr>
              <w:jc w:val="center"/>
              <w:ind w:left="702"/>
              <w:spacing w:after="0" w:line="178" w:lineRule="exact"/>
              <w:rPr>
                <w:sz w:val="20"/>
                <w:szCs w:val="20"/>
                <w:color w:val="auto"/>
              </w:rPr>
            </w:pPr>
            <w:r>
              <w:rPr>
                <w:rFonts w:ascii="Arial" w:cs="Arial" w:eastAsia="Arial" w:hAnsi="Arial"/>
                <w:sz w:val="16"/>
                <w:szCs w:val="16"/>
                <w:b w:val="1"/>
                <w:bCs w:val="1"/>
                <w:color w:val="auto"/>
                <w:w w:val="98"/>
              </w:rPr>
              <w:t>100 MANPOWER PLACE, MILWAUKEE, WISCONSIN</w:t>
            </w:r>
          </w:p>
        </w:tc>
        <w:tc>
          <w:tcPr>
            <w:tcW w:w="2920" w:type="dxa"/>
            <w:vAlign w:val="bottom"/>
          </w:tcPr>
          <w:p>
            <w:pPr>
              <w:spacing w:after="0"/>
              <w:rPr>
                <w:sz w:val="15"/>
                <w:szCs w:val="15"/>
                <w:color w:val="auto"/>
              </w:rPr>
            </w:pPr>
          </w:p>
        </w:tc>
        <w:tc>
          <w:tcPr>
            <w:tcW w:w="1180" w:type="dxa"/>
            <w:vAlign w:val="bottom"/>
            <w:gridSpan w:val="3"/>
          </w:tcPr>
          <w:p>
            <w:pPr>
              <w:jc w:val="right"/>
              <w:ind w:right="205"/>
              <w:spacing w:after="0" w:line="178" w:lineRule="exact"/>
              <w:rPr>
                <w:sz w:val="20"/>
                <w:szCs w:val="20"/>
                <w:color w:val="auto"/>
              </w:rPr>
            </w:pPr>
            <w:r>
              <w:rPr>
                <w:rFonts w:ascii="Arial" w:cs="Arial" w:eastAsia="Arial" w:hAnsi="Arial"/>
                <w:sz w:val="16"/>
                <w:szCs w:val="16"/>
                <w:b w:val="1"/>
                <w:bCs w:val="1"/>
                <w:color w:val="auto"/>
              </w:rPr>
              <w:t>53212</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840" w:type="dxa"/>
            <w:vAlign w:val="bottom"/>
          </w:tcPr>
          <w:p>
            <w:pPr>
              <w:jc w:val="center"/>
              <w:ind w:left="702"/>
              <w:spacing w:after="0"/>
              <w:rPr>
                <w:sz w:val="20"/>
                <w:szCs w:val="20"/>
                <w:color w:val="auto"/>
              </w:rPr>
            </w:pPr>
            <w:r>
              <w:rPr>
                <w:rFonts w:ascii="Arial" w:cs="Arial" w:eastAsia="Arial" w:hAnsi="Arial"/>
                <w:sz w:val="16"/>
                <w:szCs w:val="16"/>
                <w:b w:val="1"/>
                <w:bCs w:val="1"/>
                <w:color w:val="auto"/>
                <w:w w:val="98"/>
              </w:rPr>
              <w:t>(Address of principal executive offices)</w:t>
            </w:r>
          </w:p>
        </w:tc>
        <w:tc>
          <w:tcPr>
            <w:tcW w:w="2920" w:type="dxa"/>
            <w:vAlign w:val="bottom"/>
          </w:tcPr>
          <w:p>
            <w:pPr>
              <w:spacing w:after="0"/>
              <w:rPr>
                <w:sz w:val="18"/>
                <w:szCs w:val="18"/>
                <w:color w:val="auto"/>
              </w:rPr>
            </w:pPr>
          </w:p>
        </w:tc>
        <w:tc>
          <w:tcPr>
            <w:tcW w:w="1180" w:type="dxa"/>
            <w:vAlign w:val="bottom"/>
            <w:gridSpan w:val="3"/>
          </w:tcPr>
          <w:p>
            <w:pPr>
              <w:jc w:val="center"/>
              <w:ind w:left="82"/>
              <w:spacing w:after="0"/>
              <w:rPr>
                <w:sz w:val="20"/>
                <w:szCs w:val="20"/>
                <w:color w:val="auto"/>
              </w:rPr>
            </w:pPr>
            <w:r>
              <w:rPr>
                <w:rFonts w:ascii="Arial" w:cs="Arial" w:eastAsia="Arial" w:hAnsi="Arial"/>
                <w:sz w:val="16"/>
                <w:szCs w:val="16"/>
                <w:b w:val="1"/>
                <w:bCs w:val="1"/>
                <w:color w:val="auto"/>
                <w:w w:val="98"/>
              </w:rPr>
              <w:t>(Zip Code)</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260" w:type="dxa"/>
            <w:vAlign w:val="bottom"/>
            <w:gridSpan w:val="3"/>
          </w:tcPr>
          <w:p>
            <w:pPr>
              <w:jc w:val="center"/>
              <w:ind w:left="2922"/>
              <w:spacing w:after="0" w:line="178" w:lineRule="exact"/>
              <w:rPr>
                <w:sz w:val="20"/>
                <w:szCs w:val="20"/>
                <w:color w:val="auto"/>
              </w:rPr>
            </w:pPr>
            <w:r>
              <w:rPr>
                <w:rFonts w:ascii="Arial" w:cs="Arial" w:eastAsia="Arial" w:hAnsi="Arial"/>
                <w:sz w:val="16"/>
                <w:szCs w:val="16"/>
                <w:b w:val="1"/>
                <w:bCs w:val="1"/>
                <w:color w:val="auto"/>
                <w:w w:val="98"/>
              </w:rPr>
              <w:t>Registrant’s telephone number, including area code: (414) 961-1000</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60" w:type="dxa"/>
            <w:vAlign w:val="bottom"/>
            <w:gridSpan w:val="3"/>
          </w:tcPr>
          <w:p>
            <w:pPr>
              <w:jc w:val="center"/>
              <w:ind w:left="2902"/>
              <w:spacing w:after="0"/>
              <w:rPr>
                <w:sz w:val="20"/>
                <w:szCs w:val="20"/>
                <w:color w:val="auto"/>
              </w:rPr>
            </w:pPr>
            <w:r>
              <w:rPr>
                <w:rFonts w:ascii="Arial" w:cs="Arial" w:eastAsia="Arial" w:hAnsi="Arial"/>
                <w:sz w:val="16"/>
                <w:szCs w:val="16"/>
                <w:b w:val="1"/>
                <w:bCs w:val="1"/>
                <w:color w:val="auto"/>
                <w:w w:val="98"/>
              </w:rPr>
              <w:t>Securities registered pursuant to Section 12(b) of the Act: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840" w:type="dxa"/>
            <w:vAlign w:val="bottom"/>
          </w:tcPr>
          <w:p>
            <w:pPr>
              <w:jc w:val="center"/>
              <w:ind w:right="842"/>
              <w:spacing w:after="0" w:line="178" w:lineRule="exact"/>
              <w:rPr>
                <w:sz w:val="20"/>
                <w:szCs w:val="20"/>
                <w:color w:val="auto"/>
              </w:rPr>
            </w:pPr>
            <w:r>
              <w:rPr>
                <w:rFonts w:ascii="Arial" w:cs="Arial" w:eastAsia="Arial" w:hAnsi="Arial"/>
                <w:sz w:val="16"/>
                <w:szCs w:val="16"/>
                <w:b w:val="1"/>
                <w:bCs w:val="1"/>
                <w:color w:val="auto"/>
                <w:w w:val="98"/>
              </w:rPr>
              <w:t>Title of each class</w:t>
            </w:r>
          </w:p>
        </w:tc>
        <w:tc>
          <w:tcPr>
            <w:tcW w:w="2920" w:type="dxa"/>
            <w:vAlign w:val="bottom"/>
          </w:tcPr>
          <w:p>
            <w:pPr>
              <w:jc w:val="center"/>
              <w:ind w:right="1281"/>
              <w:spacing w:after="0" w:line="178" w:lineRule="exact"/>
              <w:rPr>
                <w:sz w:val="20"/>
                <w:szCs w:val="20"/>
                <w:color w:val="auto"/>
              </w:rPr>
            </w:pPr>
            <w:r>
              <w:rPr>
                <w:rFonts w:ascii="Arial" w:cs="Arial" w:eastAsia="Arial" w:hAnsi="Arial"/>
                <w:sz w:val="16"/>
                <w:szCs w:val="16"/>
                <w:b w:val="1"/>
                <w:bCs w:val="1"/>
                <w:color w:val="auto"/>
                <w:w w:val="99"/>
              </w:rPr>
              <w:t>Trading Symbol(s)</w:t>
            </w:r>
          </w:p>
        </w:tc>
        <w:tc>
          <w:tcPr>
            <w:tcW w:w="2980" w:type="dxa"/>
            <w:vAlign w:val="bottom"/>
            <w:gridSpan w:val="4"/>
          </w:tcPr>
          <w:p>
            <w:pPr>
              <w:jc w:val="center"/>
              <w:spacing w:after="0" w:line="178" w:lineRule="exact"/>
              <w:rPr>
                <w:sz w:val="20"/>
                <w:szCs w:val="20"/>
                <w:color w:val="auto"/>
              </w:rPr>
            </w:pPr>
            <w:r>
              <w:rPr>
                <w:rFonts w:ascii="Arial" w:cs="Arial" w:eastAsia="Arial" w:hAnsi="Arial"/>
                <w:sz w:val="16"/>
                <w:szCs w:val="16"/>
                <w:b w:val="1"/>
                <w:bCs w:val="1"/>
                <w:color w:val="auto"/>
                <w:w w:val="98"/>
              </w:rPr>
              <w:t>Name of Exchange on which registered</w:t>
            </w:r>
          </w:p>
        </w:tc>
        <w:tc>
          <w:tcPr>
            <w:tcW w:w="0" w:type="dxa"/>
            <w:vAlign w:val="bottom"/>
          </w:tcPr>
          <w:p>
            <w:pPr>
              <w:spacing w:after="0"/>
              <w:rPr>
                <w:sz w:val="1"/>
                <w:szCs w:val="1"/>
                <w:color w:val="auto"/>
              </w:rPr>
            </w:pPr>
          </w:p>
        </w:tc>
      </w:tr>
      <w:tr>
        <w:trPr>
          <w:trHeight w:val="213"/>
        </w:trPr>
        <w:tc>
          <w:tcPr>
            <w:tcW w:w="4840" w:type="dxa"/>
            <w:vAlign w:val="bottom"/>
          </w:tcPr>
          <w:p>
            <w:pPr>
              <w:jc w:val="center"/>
              <w:ind w:right="842"/>
              <w:spacing w:after="0"/>
              <w:rPr>
                <w:sz w:val="20"/>
                <w:szCs w:val="20"/>
                <w:color w:val="auto"/>
              </w:rPr>
            </w:pPr>
            <w:r>
              <w:rPr>
                <w:rFonts w:ascii="Arial" w:cs="Arial" w:eastAsia="Arial" w:hAnsi="Arial"/>
                <w:sz w:val="16"/>
                <w:szCs w:val="16"/>
                <w:b w:val="1"/>
                <w:bCs w:val="1"/>
                <w:color w:val="auto"/>
                <w:w w:val="98"/>
              </w:rPr>
              <w:t>Common Stock, $.01 par value</w:t>
            </w:r>
          </w:p>
        </w:tc>
        <w:tc>
          <w:tcPr>
            <w:tcW w:w="2920" w:type="dxa"/>
            <w:vAlign w:val="bottom"/>
          </w:tcPr>
          <w:p>
            <w:pPr>
              <w:jc w:val="center"/>
              <w:ind w:right="1261"/>
              <w:spacing w:after="0"/>
              <w:rPr>
                <w:sz w:val="20"/>
                <w:szCs w:val="20"/>
                <w:color w:val="auto"/>
              </w:rPr>
            </w:pPr>
            <w:r>
              <w:rPr>
                <w:rFonts w:ascii="Arial" w:cs="Arial" w:eastAsia="Arial" w:hAnsi="Arial"/>
                <w:sz w:val="16"/>
                <w:szCs w:val="16"/>
                <w:b w:val="1"/>
                <w:bCs w:val="1"/>
                <w:color w:val="auto"/>
                <w:w w:val="93"/>
              </w:rPr>
              <w:t>MAN</w:t>
            </w:r>
          </w:p>
        </w:tc>
        <w:tc>
          <w:tcPr>
            <w:tcW w:w="500" w:type="dxa"/>
            <w:vAlign w:val="bottom"/>
          </w:tcPr>
          <w:p>
            <w:pPr>
              <w:spacing w:after="0"/>
              <w:rPr>
                <w:sz w:val="18"/>
                <w:szCs w:val="18"/>
                <w:color w:val="auto"/>
              </w:rPr>
            </w:pPr>
          </w:p>
        </w:tc>
        <w:tc>
          <w:tcPr>
            <w:tcW w:w="2480" w:type="dxa"/>
            <w:vAlign w:val="bottom"/>
            <w:gridSpan w:val="3"/>
          </w:tcPr>
          <w:p>
            <w:pPr>
              <w:jc w:val="center"/>
              <w:ind w:right="385"/>
              <w:spacing w:after="0"/>
              <w:rPr>
                <w:sz w:val="20"/>
                <w:szCs w:val="20"/>
                <w:color w:val="auto"/>
              </w:rPr>
            </w:pPr>
            <w:r>
              <w:rPr>
                <w:rFonts w:ascii="Arial" w:cs="Arial" w:eastAsia="Arial" w:hAnsi="Arial"/>
                <w:sz w:val="16"/>
                <w:szCs w:val="16"/>
                <w:b w:val="1"/>
                <w:bCs w:val="1"/>
                <w:color w:val="auto"/>
                <w:w w:val="98"/>
              </w:rPr>
              <w:t>New York Stock Exchange</w:t>
            </w:r>
          </w:p>
        </w:tc>
        <w:tc>
          <w:tcPr>
            <w:tcW w:w="0" w:type="dxa"/>
            <w:vAlign w:val="bottom"/>
          </w:tcPr>
          <w:p>
            <w:pPr>
              <w:spacing w:after="0"/>
              <w:rPr>
                <w:sz w:val="1"/>
                <w:szCs w:val="1"/>
                <w:color w:val="auto"/>
              </w:rPr>
            </w:pPr>
          </w:p>
        </w:tc>
      </w:tr>
      <w:tr>
        <w:trPr>
          <w:trHeight w:val="217"/>
        </w:trPr>
        <w:tc>
          <w:tcPr>
            <w:tcW w:w="8260" w:type="dxa"/>
            <w:vAlign w:val="bottom"/>
            <w:gridSpan w:val="3"/>
          </w:tcPr>
          <w:p>
            <w:pPr>
              <w:jc w:val="center"/>
              <w:ind w:left="2902"/>
              <w:spacing w:after="0"/>
              <w:rPr>
                <w:sz w:val="20"/>
                <w:szCs w:val="20"/>
                <w:color w:val="auto"/>
              </w:rPr>
            </w:pPr>
            <w:r>
              <w:rPr>
                <w:rFonts w:ascii="Arial" w:cs="Arial" w:eastAsia="Arial" w:hAnsi="Arial"/>
                <w:sz w:val="16"/>
                <w:szCs w:val="16"/>
                <w:b w:val="1"/>
                <w:bCs w:val="1"/>
                <w:color w:val="auto"/>
                <w:w w:val="98"/>
              </w:rPr>
              <w:t>Securities registered pursuant to Section 12(g) of the Act: None</w:t>
            </w:r>
          </w:p>
        </w:tc>
        <w:tc>
          <w:tcPr>
            <w:tcW w:w="320" w:type="dxa"/>
            <w:vAlign w:val="bottom"/>
            <w:vMerge w:val="restart"/>
          </w:tcPr>
          <w:p>
            <w:pPr>
              <w:ind w:left="60"/>
              <w:spacing w:after="0" w:line="151" w:lineRule="exact"/>
              <w:rPr>
                <w:sz w:val="20"/>
                <w:szCs w:val="20"/>
                <w:color w:val="auto"/>
              </w:rPr>
            </w:pPr>
            <w:r>
              <w:rPr>
                <w:rFonts w:ascii="MS PGothic" w:cs="MS PGothic" w:eastAsia="MS PGothic" w:hAnsi="MS PGothic"/>
                <w:sz w:val="15"/>
                <w:szCs w:val="15"/>
                <w:color w:val="auto"/>
              </w:rPr>
              <w:t>☒</w:t>
            </w:r>
          </w:p>
        </w:tc>
        <w:tc>
          <w:tcPr>
            <w:tcW w:w="360" w:type="dxa"/>
            <w:vAlign w:val="bottom"/>
          </w:tcPr>
          <w:p>
            <w:pPr>
              <w:spacing w:after="0"/>
              <w:rPr>
                <w:sz w:val="18"/>
                <w:szCs w:val="18"/>
                <w:color w:val="auto"/>
              </w:rPr>
            </w:pPr>
          </w:p>
        </w:tc>
        <w:tc>
          <w:tcPr>
            <w:tcW w:w="1800" w:type="dxa"/>
            <w:vAlign w:val="bottom"/>
            <w:vMerge w:val="restart"/>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73"/>
        </w:trPr>
        <w:tc>
          <w:tcPr>
            <w:tcW w:w="7760" w:type="dxa"/>
            <w:vAlign w:val="bottom"/>
            <w:gridSpan w:val="2"/>
          </w:tcPr>
          <w:p>
            <w:pPr>
              <w:spacing w:after="0"/>
              <w:rPr>
                <w:sz w:val="20"/>
                <w:szCs w:val="20"/>
                <w:color w:val="auto"/>
              </w:rPr>
            </w:pPr>
            <w:r>
              <w:rPr>
                <w:rFonts w:ascii="Arial" w:cs="Arial" w:eastAsia="Arial" w:hAnsi="Arial"/>
                <w:sz w:val="15"/>
                <w:szCs w:val="15"/>
                <w:color w:val="auto"/>
                <w:w w:val="99"/>
              </w:rPr>
              <w:t>Indicate by check mark if the registrant is a well-known seasoned issuer, as defined in Rule 405 of the Securities Act.</w:t>
            </w:r>
          </w:p>
        </w:tc>
        <w:tc>
          <w:tcPr>
            <w:tcW w:w="500" w:type="dxa"/>
            <w:vAlign w:val="bottom"/>
          </w:tcPr>
          <w:p>
            <w:pPr>
              <w:ind w:left="140"/>
              <w:spacing w:after="0"/>
              <w:rPr>
                <w:sz w:val="20"/>
                <w:szCs w:val="20"/>
                <w:color w:val="auto"/>
              </w:rPr>
            </w:pPr>
            <w:r>
              <w:rPr>
                <w:rFonts w:ascii="Arial" w:cs="Arial" w:eastAsia="Arial" w:hAnsi="Arial"/>
                <w:sz w:val="15"/>
                <w:szCs w:val="15"/>
                <w:color w:val="auto"/>
              </w:rPr>
              <w:t>Yes</w:t>
            </w:r>
          </w:p>
        </w:tc>
        <w:tc>
          <w:tcPr>
            <w:tcW w:w="320" w:type="dxa"/>
            <w:vAlign w:val="bottom"/>
            <w:vMerge w:val="continue"/>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5"/>
                <w:szCs w:val="15"/>
                <w:color w:val="auto"/>
              </w:rPr>
              <w:t>No</w:t>
            </w: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260" w:type="dxa"/>
            <w:vAlign w:val="bottom"/>
            <w:gridSpan w:val="3"/>
          </w:tcPr>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  Yes</w:t>
            </w:r>
          </w:p>
        </w:tc>
        <w:tc>
          <w:tcPr>
            <w:tcW w:w="32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360" w:type="dxa"/>
            <w:vAlign w:val="bottom"/>
          </w:tcPr>
          <w:p>
            <w:pPr>
              <w:ind w:left="140"/>
              <w:spacing w:after="0"/>
              <w:rPr>
                <w:sz w:val="20"/>
                <w:szCs w:val="20"/>
                <w:color w:val="auto"/>
              </w:rPr>
            </w:pPr>
            <w:r>
              <w:rPr>
                <w:rFonts w:ascii="Arial" w:cs="Arial" w:eastAsia="Arial" w:hAnsi="Arial"/>
                <w:sz w:val="15"/>
                <w:szCs w:val="15"/>
                <w:color w:val="auto"/>
              </w:rPr>
              <w:t>No</w:t>
            </w:r>
          </w:p>
        </w:tc>
        <w:tc>
          <w:tcPr>
            <w:tcW w:w="18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jc w:val="both"/>
        <w:spacing w:after="0" w:line="182"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jc w:val="both"/>
        <w:spacing w:after="0" w:line="18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jc w:val="both"/>
        <w:ind w:right="20"/>
        <w:spacing w:after="0" w:line="25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501" w:right="319" w:bottom="1440" w:gutter="0" w:footer="0" w:header="0"/>
        </w:sectPr>
      </w:pPr>
    </w:p>
    <w:p>
      <w:pPr>
        <w:spacing w:after="0" w:line="1" w:lineRule="exact"/>
        <w:rPr>
          <w:sz w:val="24"/>
          <w:szCs w:val="24"/>
          <w:color w:val="auto"/>
        </w:rPr>
      </w:pPr>
    </w:p>
    <w:p>
      <w:pPr>
        <w:ind w:right="40"/>
        <w:spacing w:after="0" w:line="222"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Non-accelerated filer 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323" w:lineRule="exact"/>
        <w:rPr>
          <w:sz w:val="24"/>
          <w:szCs w:val="24"/>
          <w:color w:val="auto"/>
        </w:rPr>
      </w:pPr>
    </w:p>
    <w:p>
      <w:pPr>
        <w:sectPr>
          <w:pgSz w:w="11900" w:h="16838" w:orient="portrait"/>
          <w:cols w:equalWidth="0" w:num="2">
            <w:col w:w="8080" w:space="720"/>
            <w:col w:w="2460"/>
          </w:cols>
          <w:pgMar w:left="320" w:top="501" w:right="319" w:bottom="1440" w:gutter="0" w:footer="0" w:header="0"/>
          <w:type w:val="continuous"/>
        </w:sectPr>
      </w:pPr>
    </w:p>
    <w:p>
      <w:pPr>
        <w:ind w:right="20"/>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jc w:val="both"/>
        <w:ind w:right="20"/>
        <w:spacing w:after="0" w:line="236"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51" w:lineRule="exact"/>
        <w:rPr>
          <w:sz w:val="20"/>
          <w:szCs w:val="20"/>
          <w:color w:val="auto"/>
        </w:rPr>
      </w:pPr>
      <w:r>
        <w:rPr>
          <w:rFonts w:ascii="MS PGothic" w:cs="MS PGothic" w:eastAsia="MS PGothic" w:hAnsi="MS PGothic"/>
          <w:sz w:val="15"/>
          <w:szCs w:val="15"/>
          <w:color w:val="auto"/>
        </w:rPr>
        <w:t>☒</w:t>
      </w:r>
    </w:p>
    <w:p>
      <w:pPr>
        <w:spacing w:after="0" w:line="54" w:lineRule="exact"/>
        <w:rPr>
          <w:sz w:val="24"/>
          <w:szCs w:val="24"/>
          <w:color w:val="auto"/>
        </w:rPr>
      </w:pPr>
    </w:p>
    <w:p>
      <w:pPr>
        <w:ind w:right="20"/>
        <w:spacing w:after="0" w:line="184"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90"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Arial" w:cs="Arial" w:eastAsia="Arial" w:hAnsi="Arial"/>
          <w:sz w:val="15"/>
          <w:szCs w:val="15"/>
          <w:color w:val="231F20"/>
        </w:rPr>
        <w:t>§240.10D-1(b).</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79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No</w:t>
      </w:r>
      <w:r>
        <w:rPr>
          <w:rFonts w:ascii="MS PGothic" w:cs="MS PGothic" w:eastAsia="MS PGothic" w:hAnsi="MS PGothic"/>
          <w:sz w:val="15"/>
          <w:szCs w:val="15"/>
          <w:color w:val="auto"/>
        </w:rPr>
        <w:t xml:space="preserve">  ☒</w:t>
      </w:r>
    </w:p>
    <w:p>
      <w:pPr>
        <w:spacing w:after="0" w:line="38" w:lineRule="exact"/>
        <w:rPr>
          <w:sz w:val="24"/>
          <w:szCs w:val="24"/>
          <w:color w:val="auto"/>
        </w:rPr>
      </w:pPr>
    </w:p>
    <w:p>
      <w:pPr>
        <w:ind w:right="20"/>
        <w:spacing w:after="0" w:line="245" w:lineRule="auto"/>
        <w:rPr>
          <w:sz w:val="20"/>
          <w:szCs w:val="20"/>
          <w:color w:val="auto"/>
        </w:rPr>
      </w:pPr>
      <w:r>
        <w:rPr>
          <w:rFonts w:ascii="Arial" w:cs="Arial" w:eastAsia="Arial" w:hAnsi="Arial"/>
          <w:sz w:val="15"/>
          <w:szCs w:val="15"/>
          <w:color w:val="auto"/>
        </w:rPr>
        <w:t>The aggregate market value of the voting stock held by nonaffiliates of the registrant was $3,329,979,382 as of June 30, 2024. As of February 17, 2025, there were 46,692,203 of the registrant’s shares of common stock outstanding.</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440" w:type="dxa"/>
            <w:vAlign w:val="bottom"/>
            <w:gridSpan w:val="2"/>
          </w:tcPr>
          <w:p>
            <w:pPr>
              <w:ind w:left="340"/>
              <w:spacing w:after="0"/>
              <w:rPr>
                <w:sz w:val="20"/>
                <w:szCs w:val="20"/>
                <w:color w:val="auto"/>
              </w:rPr>
            </w:pPr>
            <w:r>
              <w:rPr>
                <w:rFonts w:ascii="Arial" w:cs="Arial" w:eastAsia="Arial" w:hAnsi="Arial"/>
                <w:sz w:val="15"/>
                <w:szCs w:val="15"/>
                <w:color w:val="auto"/>
              </w:rPr>
              <w:t>DOCUMENTS INCORPORATED BY REFERENCE</w:t>
            </w:r>
          </w:p>
        </w:tc>
        <w:tc>
          <w:tcPr>
            <w:tcW w:w="2240" w:type="dxa"/>
            <w:vAlign w:val="bottom"/>
          </w:tcPr>
          <w:p>
            <w:pPr>
              <w:spacing w:after="0"/>
              <w:rPr>
                <w:sz w:val="17"/>
                <w:szCs w:val="17"/>
                <w:color w:val="auto"/>
              </w:rPr>
            </w:pPr>
          </w:p>
        </w:tc>
      </w:tr>
      <w:tr>
        <w:trPr>
          <w:trHeight w:val="201"/>
        </w:trPr>
        <w:tc>
          <w:tcPr>
            <w:tcW w:w="9020" w:type="dxa"/>
            <w:vAlign w:val="bottom"/>
            <w:gridSpan w:val="5"/>
          </w:tcPr>
          <w:p>
            <w:pPr>
              <w:spacing w:after="0"/>
              <w:rPr>
                <w:sz w:val="20"/>
                <w:szCs w:val="20"/>
                <w:color w:val="auto"/>
              </w:rPr>
            </w:pPr>
            <w:r>
              <w:rPr>
                <w:rFonts w:ascii="Arial" w:cs="Arial" w:eastAsia="Arial" w:hAnsi="Arial"/>
                <w:sz w:val="15"/>
                <w:szCs w:val="15"/>
                <w:color w:val="auto"/>
              </w:rPr>
              <w:t>Part III is incorporated by reference from the Proxy Statement for the Annual Meeting of Shareholders to be held on May 2, 2025.</w:t>
            </w:r>
          </w:p>
        </w:tc>
        <w:tc>
          <w:tcPr>
            <w:tcW w:w="2240" w:type="dxa"/>
            <w:vAlign w:val="bottom"/>
          </w:tcPr>
          <w:p>
            <w:pPr>
              <w:spacing w:after="0"/>
              <w:rPr>
                <w:sz w:val="17"/>
                <w:szCs w:val="17"/>
                <w:color w:val="auto"/>
              </w:rPr>
            </w:pPr>
          </w:p>
        </w:tc>
      </w:tr>
      <w:tr>
        <w:trPr>
          <w:trHeight w:val="201"/>
        </w:trPr>
        <w:tc>
          <w:tcPr>
            <w:tcW w:w="1200" w:type="dxa"/>
            <w:vAlign w:val="bottom"/>
          </w:tcPr>
          <w:p>
            <w:pPr>
              <w:spacing w:after="0"/>
              <w:rPr>
                <w:sz w:val="20"/>
                <w:szCs w:val="20"/>
                <w:color w:val="auto"/>
              </w:rPr>
            </w:pPr>
            <w:r>
              <w:rPr>
                <w:rFonts w:ascii="Arial" w:cs="Arial" w:eastAsia="Arial" w:hAnsi="Arial"/>
                <w:sz w:val="15"/>
                <w:szCs w:val="15"/>
                <w:color w:val="auto"/>
              </w:rPr>
              <w:t>Auditor Firm Id:</w:t>
            </w:r>
          </w:p>
        </w:tc>
        <w:tc>
          <w:tcPr>
            <w:tcW w:w="720" w:type="dxa"/>
            <w:vAlign w:val="bottom"/>
          </w:tcPr>
          <w:p>
            <w:pPr>
              <w:jc w:val="right"/>
              <w:ind w:right="285"/>
              <w:spacing w:after="0"/>
              <w:rPr>
                <w:sz w:val="20"/>
                <w:szCs w:val="20"/>
                <w:color w:val="auto"/>
              </w:rPr>
            </w:pPr>
            <w:r>
              <w:rPr>
                <w:rFonts w:ascii="Arial" w:cs="Arial" w:eastAsia="Arial" w:hAnsi="Arial"/>
                <w:sz w:val="15"/>
                <w:szCs w:val="15"/>
                <w:color w:val="auto"/>
              </w:rPr>
              <w:t>34</w:t>
            </w:r>
          </w:p>
        </w:tc>
        <w:tc>
          <w:tcPr>
            <w:tcW w:w="1660" w:type="dxa"/>
            <w:vAlign w:val="bottom"/>
          </w:tcPr>
          <w:p>
            <w:pPr>
              <w:ind w:left="380"/>
              <w:spacing w:after="0"/>
              <w:rPr>
                <w:sz w:val="20"/>
                <w:szCs w:val="20"/>
                <w:color w:val="auto"/>
              </w:rPr>
            </w:pPr>
            <w:r>
              <w:rPr>
                <w:rFonts w:ascii="Arial" w:cs="Arial" w:eastAsia="Arial" w:hAnsi="Arial"/>
                <w:sz w:val="15"/>
                <w:szCs w:val="15"/>
                <w:color w:val="auto"/>
              </w:rPr>
              <w:t>Auditor Name:</w:t>
            </w:r>
          </w:p>
        </w:tc>
        <w:tc>
          <w:tcPr>
            <w:tcW w:w="2960" w:type="dxa"/>
            <w:vAlign w:val="bottom"/>
          </w:tcPr>
          <w:p>
            <w:pPr>
              <w:ind w:left="760"/>
              <w:spacing w:after="0"/>
              <w:rPr>
                <w:sz w:val="20"/>
                <w:szCs w:val="20"/>
                <w:color w:val="auto"/>
              </w:rPr>
            </w:pPr>
            <w:r>
              <w:rPr>
                <w:rFonts w:ascii="Arial" w:cs="Arial" w:eastAsia="Arial" w:hAnsi="Arial"/>
                <w:sz w:val="15"/>
                <w:szCs w:val="15"/>
                <w:color w:val="auto"/>
              </w:rPr>
              <w:t>Deloitte &amp; Touche LLP</w:t>
            </w:r>
          </w:p>
        </w:tc>
        <w:tc>
          <w:tcPr>
            <w:tcW w:w="2480" w:type="dxa"/>
            <w:vAlign w:val="bottom"/>
          </w:tcPr>
          <w:p>
            <w:pPr>
              <w:ind w:left="720"/>
              <w:spacing w:after="0"/>
              <w:rPr>
                <w:sz w:val="20"/>
                <w:szCs w:val="20"/>
                <w:color w:val="auto"/>
              </w:rPr>
            </w:pPr>
            <w:r>
              <w:rPr>
                <w:rFonts w:ascii="Arial" w:cs="Arial" w:eastAsia="Arial" w:hAnsi="Arial"/>
                <w:sz w:val="15"/>
                <w:szCs w:val="15"/>
                <w:color w:val="auto"/>
              </w:rPr>
              <w:t>Auditor Location:</w:t>
            </w:r>
          </w:p>
        </w:tc>
        <w:tc>
          <w:tcPr>
            <w:tcW w:w="2240" w:type="dxa"/>
            <w:vAlign w:val="bottom"/>
          </w:tcPr>
          <w:p>
            <w:pPr>
              <w:ind w:left="480"/>
              <w:spacing w:after="0"/>
              <w:rPr>
                <w:sz w:val="20"/>
                <w:szCs w:val="20"/>
                <w:color w:val="auto"/>
              </w:rPr>
            </w:pPr>
            <w:r>
              <w:rPr>
                <w:rFonts w:ascii="Arial" w:cs="Arial" w:eastAsia="Arial" w:hAnsi="Arial"/>
                <w:sz w:val="15"/>
                <w:szCs w:val="15"/>
                <w:color w:val="auto"/>
              </w:rPr>
              <w:t>Milwaukee, WI</w:t>
            </w:r>
          </w:p>
        </w:tc>
      </w:tr>
      <w:tr>
        <w:trPr>
          <w:trHeight w:val="1032"/>
        </w:trPr>
        <w:tc>
          <w:tcPr>
            <w:tcW w:w="1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501" w:right="31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6"/>
          <w:szCs w:val="16"/>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ManpowerGroup Inc.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10-K</w:t>
      </w:r>
    </w:p>
    <w:p>
      <w:pPr>
        <w:spacing w:after="0"/>
        <w:rPr>
          <w:sz w:val="20"/>
          <w:szCs w:val="20"/>
          <w:color w:val="auto"/>
        </w:rPr>
      </w:pPr>
      <w:r>
        <w:rPr>
          <w:rFonts w:ascii="Arial" w:cs="Arial" w:eastAsia="Arial" w:hAnsi="Arial"/>
          <w:sz w:val="16"/>
          <w:szCs w:val="16"/>
          <w:b w:val="1"/>
          <w:bCs w:val="1"/>
          <w:color w:val="auto"/>
        </w:rPr>
        <w:t>For the Fiscal Year Ended December 31, 2024</w:t>
      </w:r>
    </w:p>
    <w:p>
      <w:pPr>
        <w:spacing w:after="0" w:line="198" w:lineRule="exact"/>
        <w:rPr>
          <w:sz w:val="20"/>
          <w:szCs w:val="20"/>
          <w:color w:val="auto"/>
        </w:rPr>
      </w:pPr>
    </w:p>
    <w:p>
      <w:pPr>
        <w:spacing w:after="0"/>
        <w:rPr>
          <w:sz w:val="20"/>
          <w:szCs w:val="20"/>
          <w:color w:val="auto"/>
        </w:rPr>
      </w:pPr>
      <w:r>
        <w:rPr>
          <w:rFonts w:ascii="Arial" w:cs="Arial" w:eastAsia="Arial" w:hAnsi="Arial"/>
          <w:sz w:val="36"/>
          <w:szCs w:val="36"/>
          <w:color w:val="5B89B4"/>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40" w:type="dxa"/>
            <w:vAlign w:val="bottom"/>
          </w:tcPr>
          <w:p>
            <w:pPr>
              <w:jc w:val="center"/>
              <w:ind w:left="982"/>
              <w:spacing w:after="0"/>
              <w:rPr>
                <w:sz w:val="20"/>
                <w:szCs w:val="20"/>
                <w:color w:val="auto"/>
              </w:rPr>
            </w:pPr>
            <w:r>
              <w:rPr>
                <w:rFonts w:ascii="Arial" w:cs="Arial" w:eastAsia="Arial" w:hAnsi="Arial"/>
                <w:sz w:val="13"/>
                <w:szCs w:val="13"/>
                <w:b w:val="1"/>
                <w:bCs w:val="1"/>
                <w:color w:val="auto"/>
                <w:w w:val="96"/>
              </w:rPr>
              <w:t>Page</w:t>
            </w:r>
          </w:p>
        </w:tc>
      </w:tr>
      <w:tr>
        <w:trPr>
          <w:trHeight w:val="172"/>
        </w:trPr>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40" w:type="dxa"/>
            <w:vAlign w:val="bottom"/>
          </w:tcPr>
          <w:p>
            <w:pPr>
              <w:jc w:val="center"/>
              <w:ind w:left="962"/>
              <w:spacing w:after="0"/>
              <w:rPr>
                <w:sz w:val="20"/>
                <w:szCs w:val="20"/>
                <w:color w:val="auto"/>
              </w:rPr>
            </w:pPr>
            <w:r>
              <w:rPr>
                <w:rFonts w:ascii="Arial" w:cs="Arial" w:eastAsia="Arial" w:hAnsi="Arial"/>
                <w:sz w:val="13"/>
                <w:szCs w:val="13"/>
                <w:b w:val="1"/>
                <w:bCs w:val="1"/>
                <w:color w:val="auto"/>
                <w:w w:val="97"/>
              </w:rPr>
              <w:t>Number</w:t>
            </w:r>
          </w:p>
        </w:tc>
      </w:tr>
      <w:tr>
        <w:trPr>
          <w:trHeight w:val="155"/>
        </w:trPr>
        <w:tc>
          <w:tcPr>
            <w:tcW w:w="60" w:type="dxa"/>
            <w:vAlign w:val="bottom"/>
            <w:tcBorders>
              <w:bottom w:val="single" w:sz="8" w:color="5B89B4"/>
            </w:tcBorders>
          </w:tcPr>
          <w:p>
            <w:pPr>
              <w:spacing w:after="0"/>
              <w:rPr>
                <w:sz w:val="13"/>
                <w:szCs w:val="13"/>
                <w:color w:val="auto"/>
              </w:rPr>
            </w:pPr>
          </w:p>
        </w:tc>
        <w:tc>
          <w:tcPr>
            <w:tcW w:w="440" w:type="dxa"/>
            <w:vAlign w:val="bottom"/>
            <w:tcBorders>
              <w:bottom w:val="single" w:sz="8" w:color="5B89B4"/>
            </w:tcBorders>
          </w:tcPr>
          <w:p>
            <w:pPr>
              <w:spacing w:after="0"/>
              <w:rPr>
                <w:sz w:val="13"/>
                <w:szCs w:val="13"/>
                <w:color w:val="auto"/>
              </w:rPr>
            </w:pPr>
          </w:p>
        </w:tc>
        <w:tc>
          <w:tcPr>
            <w:tcW w:w="80" w:type="dxa"/>
            <w:vAlign w:val="bottom"/>
            <w:tcBorders>
              <w:bottom w:val="single" w:sz="8" w:color="5B89B4"/>
            </w:tcBorders>
          </w:tcPr>
          <w:p>
            <w:pPr>
              <w:spacing w:after="0"/>
              <w:rPr>
                <w:sz w:val="13"/>
                <w:szCs w:val="13"/>
                <w:color w:val="auto"/>
              </w:rPr>
            </w:pPr>
          </w:p>
        </w:tc>
        <w:tc>
          <w:tcPr>
            <w:tcW w:w="40" w:type="dxa"/>
            <w:vAlign w:val="bottom"/>
            <w:tcBorders>
              <w:bottom w:val="single" w:sz="8" w:color="5B89B4"/>
            </w:tcBorders>
          </w:tcPr>
          <w:p>
            <w:pPr>
              <w:spacing w:after="0"/>
              <w:rPr>
                <w:sz w:val="13"/>
                <w:szCs w:val="13"/>
                <w:color w:val="auto"/>
              </w:rPr>
            </w:pPr>
          </w:p>
        </w:tc>
        <w:tc>
          <w:tcPr>
            <w:tcW w:w="0" w:type="dxa"/>
            <w:vAlign w:val="bottom"/>
            <w:tcBorders>
              <w:bottom w:val="single" w:sz="8" w:color="5B89B4"/>
            </w:tcBorders>
          </w:tcPr>
          <w:p>
            <w:pPr>
              <w:spacing w:after="0"/>
              <w:rPr>
                <w:sz w:val="13"/>
                <w:szCs w:val="13"/>
                <w:color w:val="auto"/>
              </w:rPr>
            </w:pPr>
          </w:p>
        </w:tc>
        <w:tc>
          <w:tcPr>
            <w:tcW w:w="40" w:type="dxa"/>
            <w:vAlign w:val="bottom"/>
            <w:tcBorders>
              <w:bottom w:val="single" w:sz="8" w:color="5B89B4"/>
            </w:tcBorders>
          </w:tcPr>
          <w:p>
            <w:pPr>
              <w:spacing w:after="0"/>
              <w:rPr>
                <w:sz w:val="13"/>
                <w:szCs w:val="13"/>
                <w:color w:val="auto"/>
              </w:rPr>
            </w:pPr>
          </w:p>
        </w:tc>
        <w:tc>
          <w:tcPr>
            <w:tcW w:w="20" w:type="dxa"/>
            <w:vAlign w:val="bottom"/>
            <w:tcBorders>
              <w:bottom w:val="single" w:sz="8" w:color="5B89B4"/>
            </w:tcBorders>
          </w:tcPr>
          <w:p>
            <w:pPr>
              <w:spacing w:after="0"/>
              <w:rPr>
                <w:sz w:val="13"/>
                <w:szCs w:val="13"/>
                <w:color w:val="auto"/>
              </w:rPr>
            </w:pPr>
          </w:p>
        </w:tc>
        <w:tc>
          <w:tcPr>
            <w:tcW w:w="400" w:type="dxa"/>
            <w:vAlign w:val="bottom"/>
            <w:tcBorders>
              <w:bottom w:val="single" w:sz="8" w:color="5B89B4"/>
            </w:tcBorders>
          </w:tcPr>
          <w:p>
            <w:pPr>
              <w:spacing w:after="0"/>
              <w:rPr>
                <w:sz w:val="13"/>
                <w:szCs w:val="13"/>
                <w:color w:val="auto"/>
              </w:rPr>
            </w:pPr>
          </w:p>
        </w:tc>
        <w:tc>
          <w:tcPr>
            <w:tcW w:w="400" w:type="dxa"/>
            <w:vAlign w:val="bottom"/>
            <w:tcBorders>
              <w:bottom w:val="single" w:sz="8" w:color="5B89B4"/>
            </w:tcBorders>
          </w:tcPr>
          <w:p>
            <w:pPr>
              <w:spacing w:after="0"/>
              <w:rPr>
                <w:sz w:val="13"/>
                <w:szCs w:val="13"/>
                <w:color w:val="auto"/>
              </w:rPr>
            </w:pPr>
          </w:p>
        </w:tc>
        <w:tc>
          <w:tcPr>
            <w:tcW w:w="640" w:type="dxa"/>
            <w:vAlign w:val="bottom"/>
            <w:tcBorders>
              <w:bottom w:val="single" w:sz="8" w:color="5B89B4"/>
            </w:tcBorders>
          </w:tcPr>
          <w:p>
            <w:pPr>
              <w:spacing w:after="0"/>
              <w:rPr>
                <w:sz w:val="13"/>
                <w:szCs w:val="13"/>
                <w:color w:val="auto"/>
              </w:rPr>
            </w:pPr>
          </w:p>
        </w:tc>
        <w:tc>
          <w:tcPr>
            <w:tcW w:w="80" w:type="dxa"/>
            <w:vAlign w:val="bottom"/>
            <w:tcBorders>
              <w:bottom w:val="single" w:sz="8" w:color="5B89B4"/>
            </w:tcBorders>
          </w:tcPr>
          <w:p>
            <w:pPr>
              <w:spacing w:after="0"/>
              <w:rPr>
                <w:sz w:val="13"/>
                <w:szCs w:val="13"/>
                <w:color w:val="auto"/>
              </w:rPr>
            </w:pPr>
          </w:p>
        </w:tc>
        <w:tc>
          <w:tcPr>
            <w:tcW w:w="40" w:type="dxa"/>
            <w:vAlign w:val="bottom"/>
            <w:tcBorders>
              <w:bottom w:val="single" w:sz="8" w:color="5B89B4"/>
            </w:tcBorders>
          </w:tcPr>
          <w:p>
            <w:pPr>
              <w:spacing w:after="0"/>
              <w:rPr>
                <w:sz w:val="13"/>
                <w:szCs w:val="13"/>
                <w:color w:val="auto"/>
              </w:rPr>
            </w:pPr>
          </w:p>
        </w:tc>
        <w:tc>
          <w:tcPr>
            <w:tcW w:w="100" w:type="dxa"/>
            <w:vAlign w:val="bottom"/>
            <w:tcBorders>
              <w:bottom w:val="single" w:sz="8" w:color="5B89B4"/>
            </w:tcBorders>
          </w:tcPr>
          <w:p>
            <w:pPr>
              <w:spacing w:after="0"/>
              <w:rPr>
                <w:sz w:val="13"/>
                <w:szCs w:val="13"/>
                <w:color w:val="auto"/>
              </w:rPr>
            </w:pPr>
          </w:p>
        </w:tc>
        <w:tc>
          <w:tcPr>
            <w:tcW w:w="100" w:type="dxa"/>
            <w:vAlign w:val="bottom"/>
            <w:tcBorders>
              <w:bottom w:val="single" w:sz="8" w:color="5B89B4"/>
            </w:tcBorders>
          </w:tcPr>
          <w:p>
            <w:pPr>
              <w:spacing w:after="0"/>
              <w:rPr>
                <w:sz w:val="13"/>
                <w:szCs w:val="13"/>
                <w:color w:val="auto"/>
              </w:rPr>
            </w:pPr>
          </w:p>
        </w:tc>
        <w:tc>
          <w:tcPr>
            <w:tcW w:w="260" w:type="dxa"/>
            <w:vAlign w:val="bottom"/>
            <w:tcBorders>
              <w:bottom w:val="single" w:sz="8" w:color="5B89B4"/>
            </w:tcBorders>
          </w:tcPr>
          <w:p>
            <w:pPr>
              <w:spacing w:after="0"/>
              <w:rPr>
                <w:sz w:val="13"/>
                <w:szCs w:val="13"/>
                <w:color w:val="auto"/>
              </w:rPr>
            </w:pPr>
          </w:p>
        </w:tc>
        <w:tc>
          <w:tcPr>
            <w:tcW w:w="80" w:type="dxa"/>
            <w:vAlign w:val="bottom"/>
            <w:tcBorders>
              <w:bottom w:val="single" w:sz="8" w:color="5B89B4"/>
            </w:tcBorders>
          </w:tcPr>
          <w:p>
            <w:pPr>
              <w:spacing w:after="0"/>
              <w:rPr>
                <w:sz w:val="13"/>
                <w:szCs w:val="13"/>
                <w:color w:val="auto"/>
              </w:rPr>
            </w:pPr>
          </w:p>
        </w:tc>
        <w:tc>
          <w:tcPr>
            <w:tcW w:w="160" w:type="dxa"/>
            <w:vAlign w:val="bottom"/>
            <w:tcBorders>
              <w:bottom w:val="single" w:sz="8" w:color="5B89B4"/>
            </w:tcBorders>
          </w:tcPr>
          <w:p>
            <w:pPr>
              <w:spacing w:after="0"/>
              <w:rPr>
                <w:sz w:val="13"/>
                <w:szCs w:val="13"/>
                <w:color w:val="auto"/>
              </w:rPr>
            </w:pPr>
          </w:p>
        </w:tc>
        <w:tc>
          <w:tcPr>
            <w:tcW w:w="220" w:type="dxa"/>
            <w:vAlign w:val="bottom"/>
            <w:tcBorders>
              <w:bottom w:val="single" w:sz="8" w:color="5B89B4"/>
            </w:tcBorders>
          </w:tcPr>
          <w:p>
            <w:pPr>
              <w:spacing w:after="0"/>
              <w:rPr>
                <w:sz w:val="13"/>
                <w:szCs w:val="13"/>
                <w:color w:val="auto"/>
              </w:rPr>
            </w:pPr>
          </w:p>
        </w:tc>
        <w:tc>
          <w:tcPr>
            <w:tcW w:w="60" w:type="dxa"/>
            <w:vAlign w:val="bottom"/>
            <w:tcBorders>
              <w:bottom w:val="single" w:sz="8" w:color="5B89B4"/>
            </w:tcBorders>
          </w:tcPr>
          <w:p>
            <w:pPr>
              <w:spacing w:after="0"/>
              <w:rPr>
                <w:sz w:val="13"/>
                <w:szCs w:val="13"/>
                <w:color w:val="auto"/>
              </w:rPr>
            </w:pPr>
          </w:p>
        </w:tc>
        <w:tc>
          <w:tcPr>
            <w:tcW w:w="220" w:type="dxa"/>
            <w:vAlign w:val="bottom"/>
            <w:tcBorders>
              <w:bottom w:val="single" w:sz="8" w:color="5B89B4"/>
            </w:tcBorders>
          </w:tcPr>
          <w:p>
            <w:pPr>
              <w:spacing w:after="0"/>
              <w:rPr>
                <w:sz w:val="13"/>
                <w:szCs w:val="13"/>
                <w:color w:val="auto"/>
              </w:rPr>
            </w:pPr>
          </w:p>
        </w:tc>
        <w:tc>
          <w:tcPr>
            <w:tcW w:w="820" w:type="dxa"/>
            <w:vAlign w:val="bottom"/>
            <w:tcBorders>
              <w:bottom w:val="single" w:sz="8" w:color="5B89B4"/>
            </w:tcBorders>
          </w:tcPr>
          <w:p>
            <w:pPr>
              <w:spacing w:after="0"/>
              <w:rPr>
                <w:sz w:val="13"/>
                <w:szCs w:val="13"/>
                <w:color w:val="auto"/>
              </w:rPr>
            </w:pPr>
          </w:p>
        </w:tc>
        <w:tc>
          <w:tcPr>
            <w:tcW w:w="280" w:type="dxa"/>
            <w:vAlign w:val="bottom"/>
            <w:tcBorders>
              <w:bottom w:val="single" w:sz="8" w:color="5B89B4"/>
            </w:tcBorders>
          </w:tcPr>
          <w:p>
            <w:pPr>
              <w:spacing w:after="0"/>
              <w:rPr>
                <w:sz w:val="13"/>
                <w:szCs w:val="13"/>
                <w:color w:val="auto"/>
              </w:rPr>
            </w:pPr>
          </w:p>
        </w:tc>
        <w:tc>
          <w:tcPr>
            <w:tcW w:w="200" w:type="dxa"/>
            <w:vAlign w:val="bottom"/>
            <w:tcBorders>
              <w:bottom w:val="single" w:sz="8" w:color="5B89B4"/>
            </w:tcBorders>
          </w:tcPr>
          <w:p>
            <w:pPr>
              <w:spacing w:after="0"/>
              <w:rPr>
                <w:sz w:val="13"/>
                <w:szCs w:val="13"/>
                <w:color w:val="auto"/>
              </w:rPr>
            </w:pPr>
          </w:p>
        </w:tc>
        <w:tc>
          <w:tcPr>
            <w:tcW w:w="680" w:type="dxa"/>
            <w:vAlign w:val="bottom"/>
            <w:tcBorders>
              <w:bottom w:val="single" w:sz="8" w:color="5B89B4"/>
            </w:tcBorders>
          </w:tcPr>
          <w:p>
            <w:pPr>
              <w:spacing w:after="0"/>
              <w:rPr>
                <w:sz w:val="13"/>
                <w:szCs w:val="13"/>
                <w:color w:val="auto"/>
              </w:rPr>
            </w:pPr>
          </w:p>
        </w:tc>
        <w:tc>
          <w:tcPr>
            <w:tcW w:w="180" w:type="dxa"/>
            <w:vAlign w:val="bottom"/>
            <w:tcBorders>
              <w:bottom w:val="single" w:sz="8" w:color="5B89B4"/>
            </w:tcBorders>
          </w:tcPr>
          <w:p>
            <w:pPr>
              <w:spacing w:after="0"/>
              <w:rPr>
                <w:sz w:val="13"/>
                <w:szCs w:val="13"/>
                <w:color w:val="auto"/>
              </w:rPr>
            </w:pPr>
          </w:p>
        </w:tc>
        <w:tc>
          <w:tcPr>
            <w:tcW w:w="680" w:type="dxa"/>
            <w:vAlign w:val="bottom"/>
            <w:tcBorders>
              <w:bottom w:val="single" w:sz="8" w:color="5B89B4"/>
            </w:tcBorders>
          </w:tcPr>
          <w:p>
            <w:pPr>
              <w:spacing w:after="0"/>
              <w:rPr>
                <w:sz w:val="13"/>
                <w:szCs w:val="13"/>
                <w:color w:val="auto"/>
              </w:rPr>
            </w:pPr>
          </w:p>
        </w:tc>
        <w:tc>
          <w:tcPr>
            <w:tcW w:w="520" w:type="dxa"/>
            <w:vAlign w:val="bottom"/>
            <w:tcBorders>
              <w:bottom w:val="single" w:sz="8" w:color="5B89B4"/>
            </w:tcBorders>
          </w:tcPr>
          <w:p>
            <w:pPr>
              <w:spacing w:after="0"/>
              <w:rPr>
                <w:sz w:val="13"/>
                <w:szCs w:val="13"/>
                <w:color w:val="auto"/>
              </w:rPr>
            </w:pPr>
          </w:p>
        </w:tc>
        <w:tc>
          <w:tcPr>
            <w:tcW w:w="880" w:type="dxa"/>
            <w:vAlign w:val="bottom"/>
            <w:tcBorders>
              <w:bottom w:val="single" w:sz="8" w:color="5B89B4"/>
            </w:tcBorders>
          </w:tcPr>
          <w:p>
            <w:pPr>
              <w:spacing w:after="0"/>
              <w:rPr>
                <w:sz w:val="13"/>
                <w:szCs w:val="13"/>
                <w:color w:val="auto"/>
              </w:rPr>
            </w:pPr>
          </w:p>
        </w:tc>
        <w:tc>
          <w:tcPr>
            <w:tcW w:w="40" w:type="dxa"/>
            <w:vAlign w:val="bottom"/>
            <w:tcBorders>
              <w:bottom w:val="single" w:sz="8" w:color="5B89B4"/>
            </w:tcBorders>
          </w:tcPr>
          <w:p>
            <w:pPr>
              <w:spacing w:after="0"/>
              <w:rPr>
                <w:sz w:val="13"/>
                <w:szCs w:val="13"/>
                <w:color w:val="auto"/>
              </w:rPr>
            </w:pPr>
          </w:p>
        </w:tc>
        <w:tc>
          <w:tcPr>
            <w:tcW w:w="780" w:type="dxa"/>
            <w:vAlign w:val="bottom"/>
            <w:tcBorders>
              <w:bottom w:val="single" w:sz="8" w:color="5B89B4"/>
            </w:tcBorders>
          </w:tcPr>
          <w:p>
            <w:pPr>
              <w:spacing w:after="0"/>
              <w:rPr>
                <w:sz w:val="13"/>
                <w:szCs w:val="13"/>
                <w:color w:val="auto"/>
              </w:rPr>
            </w:pPr>
          </w:p>
        </w:tc>
        <w:tc>
          <w:tcPr>
            <w:tcW w:w="920" w:type="dxa"/>
            <w:vAlign w:val="bottom"/>
            <w:tcBorders>
              <w:bottom w:val="single" w:sz="8" w:color="5B89B4"/>
            </w:tcBorders>
          </w:tcPr>
          <w:p>
            <w:pPr>
              <w:spacing w:after="0"/>
              <w:rPr>
                <w:sz w:val="13"/>
                <w:szCs w:val="13"/>
                <w:color w:val="auto"/>
              </w:rPr>
            </w:pPr>
          </w:p>
        </w:tc>
        <w:tc>
          <w:tcPr>
            <w:tcW w:w="1840" w:type="dxa"/>
            <w:vAlign w:val="bottom"/>
            <w:tcBorders>
              <w:bottom w:val="single" w:sz="8" w:color="5B89B4"/>
            </w:tcBorders>
          </w:tcPr>
          <w:p>
            <w:pPr>
              <w:spacing w:after="0"/>
              <w:rPr>
                <w:sz w:val="13"/>
                <w:szCs w:val="13"/>
                <w:color w:val="auto"/>
              </w:rPr>
            </w:pPr>
          </w:p>
        </w:tc>
      </w:tr>
      <w:tr>
        <w:trPr>
          <w:trHeight w:val="181"/>
        </w:trPr>
        <w:tc>
          <w:tcPr>
            <w:tcW w:w="60" w:type="dxa"/>
            <w:vAlign w:val="bottom"/>
          </w:tcPr>
          <w:p>
            <w:pPr>
              <w:spacing w:after="0"/>
              <w:rPr>
                <w:sz w:val="15"/>
                <w:szCs w:val="15"/>
                <w:color w:val="auto"/>
              </w:rPr>
            </w:pPr>
          </w:p>
        </w:tc>
        <w:tc>
          <w:tcPr>
            <w:tcW w:w="520" w:type="dxa"/>
            <w:vAlign w:val="bottom"/>
            <w:tcBorders>
              <w:bottom w:val="single" w:sz="8" w:color="0000EE"/>
            </w:tcBorders>
            <w:gridSpan w:val="2"/>
          </w:tcPr>
          <w:p>
            <w:pPr>
              <w:spacing w:after="0" w:line="181" w:lineRule="exact"/>
              <w:rPr>
                <w:sz w:val="20"/>
                <w:szCs w:val="20"/>
                <w:color w:val="auto"/>
              </w:rPr>
            </w:pPr>
            <w:r>
              <w:rPr>
                <w:rFonts w:ascii="Arial" w:cs="Arial" w:eastAsia="Arial" w:hAnsi="Arial"/>
                <w:sz w:val="16"/>
                <w:szCs w:val="16"/>
                <w:color w:val="5B89B4"/>
                <w:w w:val="96"/>
              </w:rPr>
              <w:t>PART I</w:t>
            </w:r>
          </w:p>
        </w:tc>
        <w:tc>
          <w:tcPr>
            <w:tcW w:w="90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1</w:t>
            </w:r>
          </w:p>
        </w:tc>
        <w:tc>
          <w:tcPr>
            <w:tcW w:w="7940" w:type="dxa"/>
            <w:vAlign w:val="bottom"/>
            <w:gridSpan w:val="22"/>
          </w:tcPr>
          <w:p>
            <w:pPr>
              <w:spacing w:after="0"/>
              <w:rPr>
                <w:sz w:val="20"/>
                <w:szCs w:val="20"/>
                <w:color w:val="auto"/>
              </w:rPr>
            </w:pPr>
            <w:r>
              <w:rPr>
                <w:rFonts w:ascii="Arial" w:cs="Arial" w:eastAsia="Arial" w:hAnsi="Arial"/>
                <w:sz w:val="16"/>
                <w:szCs w:val="16"/>
                <w:color w:val="231F20"/>
              </w:rPr>
              <w:t>Business</w:t>
            </w:r>
          </w:p>
        </w:tc>
        <w:tc>
          <w:tcPr>
            <w:tcW w:w="1840" w:type="dxa"/>
            <w:vAlign w:val="bottom"/>
          </w:tcPr>
          <w:p>
            <w:pPr>
              <w:jc w:val="center"/>
              <w:ind w:left="962"/>
              <w:spacing w:after="0"/>
              <w:rPr>
                <w:sz w:val="20"/>
                <w:szCs w:val="20"/>
                <w:color w:val="auto"/>
              </w:rPr>
            </w:pPr>
            <w:r>
              <w:rPr>
                <w:rFonts w:ascii="Arial" w:cs="Arial" w:eastAsia="Arial" w:hAnsi="Arial"/>
                <w:sz w:val="16"/>
                <w:szCs w:val="16"/>
                <w:color w:val="231F20"/>
                <w:w w:val="89"/>
              </w:rPr>
              <w:t>3</w:t>
            </w: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Arial" w:cs="Arial" w:eastAsia="Arial" w:hAnsi="Arial"/>
                <w:sz w:val="16"/>
                <w:szCs w:val="16"/>
                <w:color w:val="231F20"/>
                <w:w w:val="94"/>
              </w:rPr>
              <w:t>Item 1A</w:t>
            </w:r>
          </w:p>
        </w:tc>
        <w:tc>
          <w:tcPr>
            <w:tcW w:w="860" w:type="dxa"/>
            <w:vAlign w:val="bottom"/>
            <w:gridSpan w:val="5"/>
          </w:tcPr>
          <w:p>
            <w:pPr>
              <w:spacing w:after="0"/>
              <w:rPr>
                <w:sz w:val="16"/>
                <w:szCs w:val="16"/>
                <w:color w:val="auto"/>
              </w:rPr>
            </w:pPr>
          </w:p>
        </w:tc>
        <w:tc>
          <w:tcPr>
            <w:tcW w:w="7940" w:type="dxa"/>
            <w:vAlign w:val="bottom"/>
            <w:gridSpan w:val="22"/>
          </w:tcPr>
          <w:p>
            <w:pPr>
              <w:spacing w:after="0"/>
              <w:rPr>
                <w:sz w:val="20"/>
                <w:szCs w:val="20"/>
                <w:color w:val="auto"/>
              </w:rPr>
            </w:pPr>
            <w:r>
              <w:rPr>
                <w:rFonts w:ascii="Arial" w:cs="Arial" w:eastAsia="Arial" w:hAnsi="Arial"/>
                <w:sz w:val="16"/>
                <w:szCs w:val="16"/>
                <w:color w:val="231F20"/>
              </w:rPr>
              <w:t>Risk Factors</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11</w:t>
            </w: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Arial" w:cs="Arial" w:eastAsia="Arial" w:hAnsi="Arial"/>
                <w:sz w:val="16"/>
                <w:szCs w:val="16"/>
                <w:color w:val="231F20"/>
                <w:w w:val="94"/>
              </w:rPr>
              <w:t>Item 1B</w:t>
            </w:r>
          </w:p>
        </w:tc>
        <w:tc>
          <w:tcPr>
            <w:tcW w:w="860" w:type="dxa"/>
            <w:vAlign w:val="bottom"/>
            <w:gridSpan w:val="5"/>
          </w:tcPr>
          <w:p>
            <w:pPr>
              <w:spacing w:after="0"/>
              <w:rPr>
                <w:sz w:val="16"/>
                <w:szCs w:val="16"/>
                <w:color w:val="auto"/>
              </w:rPr>
            </w:pPr>
          </w:p>
        </w:tc>
        <w:tc>
          <w:tcPr>
            <w:tcW w:w="7940" w:type="dxa"/>
            <w:vAlign w:val="bottom"/>
            <w:gridSpan w:val="22"/>
          </w:tcPr>
          <w:p>
            <w:pPr>
              <w:spacing w:after="0"/>
              <w:rPr>
                <w:sz w:val="20"/>
                <w:szCs w:val="20"/>
                <w:color w:val="auto"/>
              </w:rPr>
            </w:pPr>
            <w:r>
              <w:rPr>
                <w:rFonts w:ascii="Arial" w:cs="Arial" w:eastAsia="Arial" w:hAnsi="Arial"/>
                <w:sz w:val="16"/>
                <w:szCs w:val="16"/>
                <w:color w:val="231F20"/>
              </w:rPr>
              <w:t>Unresolved Staff Comments</w:t>
            </w:r>
          </w:p>
        </w:tc>
        <w:tc>
          <w:tcPr>
            <w:tcW w:w="1840" w:type="dxa"/>
            <w:vAlign w:val="bottom"/>
          </w:tcPr>
          <w:p>
            <w:pPr>
              <w:jc w:val="center"/>
              <w:ind w:left="982"/>
              <w:spacing w:after="0"/>
              <w:rPr>
                <w:sz w:val="20"/>
                <w:szCs w:val="20"/>
                <w:color w:val="auto"/>
              </w:rPr>
            </w:pPr>
            <w:r>
              <w:rPr>
                <w:rFonts w:ascii="Arial" w:cs="Arial" w:eastAsia="Arial" w:hAnsi="Arial"/>
                <w:sz w:val="16"/>
                <w:szCs w:val="16"/>
                <w:color w:val="auto"/>
              </w:rPr>
              <w:t>25</w:t>
            </w:r>
          </w:p>
        </w:tc>
      </w:tr>
      <w:tr>
        <w:trPr>
          <w:trHeight w:val="193"/>
        </w:trPr>
        <w:tc>
          <w:tcPr>
            <w:tcW w:w="60" w:type="dxa"/>
            <w:vAlign w:val="bottom"/>
          </w:tcPr>
          <w:p>
            <w:pPr>
              <w:spacing w:after="0"/>
              <w:rPr>
                <w:sz w:val="16"/>
                <w:szCs w:val="16"/>
                <w:color w:val="auto"/>
              </w:rPr>
            </w:pPr>
          </w:p>
        </w:tc>
        <w:tc>
          <w:tcPr>
            <w:tcW w:w="5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color w:val="231F20"/>
                <w:w w:val="92"/>
              </w:rPr>
              <w:t>Item 1C</w:t>
            </w:r>
          </w:p>
        </w:tc>
        <w:tc>
          <w:tcPr>
            <w:tcW w:w="0" w:type="dxa"/>
            <w:vAlign w:val="bottom"/>
            <w:tcBorders>
              <w:bottom w:val="single" w:sz="8" w:color="0000EE"/>
            </w:tcBorders>
          </w:tcPr>
          <w:p>
            <w:pPr>
              <w:spacing w:after="0"/>
              <w:rPr>
                <w:sz w:val="16"/>
                <w:szCs w:val="16"/>
                <w:color w:val="auto"/>
              </w:rPr>
            </w:pPr>
          </w:p>
        </w:tc>
        <w:tc>
          <w:tcPr>
            <w:tcW w:w="860" w:type="dxa"/>
            <w:vAlign w:val="bottom"/>
            <w:gridSpan w:val="4"/>
          </w:tcPr>
          <w:p>
            <w:pPr>
              <w:spacing w:after="0"/>
              <w:rPr>
                <w:sz w:val="16"/>
                <w:szCs w:val="16"/>
                <w:color w:val="auto"/>
              </w:rPr>
            </w:pPr>
          </w:p>
        </w:tc>
        <w:tc>
          <w:tcPr>
            <w:tcW w:w="9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6"/>
                <w:szCs w:val="16"/>
                <w:color w:val="231F20"/>
                <w:w w:val="96"/>
              </w:rPr>
              <w:t>Cybersecurity</w:t>
            </w:r>
          </w:p>
        </w:tc>
        <w:tc>
          <w:tcPr>
            <w:tcW w:w="1000" w:type="dxa"/>
            <w:vAlign w:val="bottom"/>
            <w:tcBorders>
              <w:top w:val="single" w:sz="8" w:color="0000EE"/>
            </w:tcBorders>
            <w:gridSpan w:val="6"/>
          </w:tcPr>
          <w:p>
            <w:pPr>
              <w:spacing w:after="0"/>
              <w:rPr>
                <w:sz w:val="16"/>
                <w:szCs w:val="16"/>
                <w:color w:val="auto"/>
              </w:rPr>
            </w:pPr>
          </w:p>
        </w:tc>
        <w:tc>
          <w:tcPr>
            <w:tcW w:w="5980" w:type="dxa"/>
            <w:vAlign w:val="bottom"/>
            <w:gridSpan w:val="11"/>
          </w:tcPr>
          <w:p>
            <w:pPr>
              <w:spacing w:after="0"/>
              <w:rPr>
                <w:sz w:val="16"/>
                <w:szCs w:val="16"/>
                <w:color w:val="auto"/>
              </w:rPr>
            </w:pPr>
          </w:p>
        </w:tc>
        <w:tc>
          <w:tcPr>
            <w:tcW w:w="1840" w:type="dxa"/>
            <w:vAlign w:val="bottom"/>
          </w:tcPr>
          <w:p>
            <w:pPr>
              <w:jc w:val="center"/>
              <w:ind w:left="982"/>
              <w:spacing w:after="0"/>
              <w:rPr>
                <w:sz w:val="20"/>
                <w:szCs w:val="20"/>
                <w:color w:val="auto"/>
              </w:rPr>
            </w:pPr>
            <w:r>
              <w:rPr>
                <w:rFonts w:ascii="Arial" w:cs="Arial" w:eastAsia="Arial" w:hAnsi="Arial"/>
                <w:sz w:val="16"/>
                <w:szCs w:val="16"/>
                <w:color w:val="auto"/>
              </w:rPr>
              <w:t>26</w:t>
            </w: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2</w:t>
            </w:r>
          </w:p>
        </w:tc>
        <w:tc>
          <w:tcPr>
            <w:tcW w:w="7940" w:type="dxa"/>
            <w:vAlign w:val="bottom"/>
            <w:gridSpan w:val="22"/>
          </w:tcPr>
          <w:p>
            <w:pPr>
              <w:spacing w:after="0"/>
              <w:rPr>
                <w:sz w:val="20"/>
                <w:szCs w:val="20"/>
                <w:color w:val="auto"/>
              </w:rPr>
            </w:pPr>
            <w:r>
              <w:rPr>
                <w:rFonts w:ascii="Arial" w:cs="Arial" w:eastAsia="Arial" w:hAnsi="Arial"/>
                <w:sz w:val="16"/>
                <w:szCs w:val="16"/>
                <w:color w:val="231F20"/>
              </w:rPr>
              <w:t>Properties</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26</w:t>
            </w: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3</w:t>
            </w:r>
          </w:p>
        </w:tc>
        <w:tc>
          <w:tcPr>
            <w:tcW w:w="7940" w:type="dxa"/>
            <w:vAlign w:val="bottom"/>
            <w:gridSpan w:val="22"/>
          </w:tcPr>
          <w:p>
            <w:pPr>
              <w:spacing w:after="0"/>
              <w:rPr>
                <w:sz w:val="20"/>
                <w:szCs w:val="20"/>
                <w:color w:val="auto"/>
              </w:rPr>
            </w:pPr>
            <w:r>
              <w:rPr>
                <w:rFonts w:ascii="Arial" w:cs="Arial" w:eastAsia="Arial" w:hAnsi="Arial"/>
                <w:sz w:val="16"/>
                <w:szCs w:val="16"/>
                <w:color w:val="231F20"/>
              </w:rPr>
              <w:t>Legal Proceedings</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26</w:t>
            </w: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4</w:t>
            </w:r>
          </w:p>
        </w:tc>
        <w:tc>
          <w:tcPr>
            <w:tcW w:w="7940" w:type="dxa"/>
            <w:vAlign w:val="bottom"/>
            <w:gridSpan w:val="22"/>
          </w:tcPr>
          <w:p>
            <w:pPr>
              <w:spacing w:after="0"/>
              <w:rPr>
                <w:sz w:val="20"/>
                <w:szCs w:val="20"/>
                <w:color w:val="auto"/>
              </w:rPr>
            </w:pPr>
            <w:r>
              <w:rPr>
                <w:rFonts w:ascii="Arial" w:cs="Arial" w:eastAsia="Arial" w:hAnsi="Arial"/>
                <w:sz w:val="16"/>
                <w:szCs w:val="16"/>
                <w:color w:val="231F20"/>
              </w:rPr>
              <w:t>Mine Safety Disclosures</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26</w:t>
            </w: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40" w:type="dxa"/>
            <w:vAlign w:val="bottom"/>
            <w:gridSpan w:val="22"/>
          </w:tcPr>
          <w:p>
            <w:pPr>
              <w:spacing w:after="0"/>
              <w:rPr>
                <w:sz w:val="20"/>
                <w:szCs w:val="20"/>
                <w:color w:val="auto"/>
              </w:rPr>
            </w:pPr>
            <w:r>
              <w:rPr>
                <w:rFonts w:ascii="Arial" w:cs="Arial" w:eastAsia="Arial" w:hAnsi="Arial"/>
                <w:sz w:val="16"/>
                <w:szCs w:val="16"/>
                <w:color w:val="231F20"/>
              </w:rPr>
              <w:t>Information About Our Executive Officers</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27</w:t>
            </w:r>
          </w:p>
        </w:tc>
      </w:tr>
      <w:tr>
        <w:trPr>
          <w:trHeight w:val="175"/>
        </w:trPr>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940" w:type="dxa"/>
            <w:vAlign w:val="bottom"/>
            <w:gridSpan w:val="22"/>
          </w:tcPr>
          <w:p>
            <w:pPr>
              <w:spacing w:after="0" w:line="175" w:lineRule="exact"/>
              <w:rPr>
                <w:sz w:val="20"/>
                <w:szCs w:val="20"/>
                <w:color w:val="auto"/>
              </w:rPr>
            </w:pPr>
            <w:r>
              <w:rPr>
                <w:rFonts w:ascii="Arial" w:cs="Arial" w:eastAsia="Arial" w:hAnsi="Arial"/>
                <w:sz w:val="16"/>
                <w:szCs w:val="16"/>
                <w:color w:val="231F20"/>
              </w:rPr>
              <w:t>Other Information</w:t>
            </w:r>
          </w:p>
        </w:tc>
        <w:tc>
          <w:tcPr>
            <w:tcW w:w="1840" w:type="dxa"/>
            <w:vAlign w:val="bottom"/>
          </w:tcPr>
          <w:p>
            <w:pPr>
              <w:jc w:val="center"/>
              <w:ind w:left="982"/>
              <w:spacing w:after="0" w:line="175" w:lineRule="exact"/>
              <w:rPr>
                <w:sz w:val="20"/>
                <w:szCs w:val="20"/>
                <w:color w:val="auto"/>
              </w:rPr>
            </w:pPr>
            <w:r>
              <w:rPr>
                <w:rFonts w:ascii="Arial" w:cs="Arial" w:eastAsia="Arial" w:hAnsi="Arial"/>
                <w:sz w:val="16"/>
                <w:szCs w:val="16"/>
                <w:color w:val="231F20"/>
              </w:rPr>
              <w:t>28</w:t>
            </w:r>
          </w:p>
        </w:tc>
      </w:tr>
      <w:tr>
        <w:trPr>
          <w:trHeight w:val="181"/>
        </w:trPr>
        <w:tc>
          <w:tcPr>
            <w:tcW w:w="60" w:type="dxa"/>
            <w:vAlign w:val="bottom"/>
            <w:tcBorders>
              <w:bottom w:val="single" w:sz="8" w:color="5B89B4"/>
            </w:tcBorders>
          </w:tcPr>
          <w:p>
            <w:pPr>
              <w:spacing w:after="0"/>
              <w:rPr>
                <w:sz w:val="15"/>
                <w:szCs w:val="15"/>
                <w:color w:val="auto"/>
              </w:rPr>
            </w:pPr>
          </w:p>
        </w:tc>
        <w:tc>
          <w:tcPr>
            <w:tcW w:w="440" w:type="dxa"/>
            <w:vAlign w:val="bottom"/>
            <w:tcBorders>
              <w:bottom w:val="single" w:sz="8" w:color="5B89B4"/>
            </w:tcBorders>
          </w:tcPr>
          <w:p>
            <w:pPr>
              <w:spacing w:after="0"/>
              <w:rPr>
                <w:sz w:val="15"/>
                <w:szCs w:val="15"/>
                <w:color w:val="auto"/>
              </w:rPr>
            </w:pPr>
          </w:p>
        </w:tc>
        <w:tc>
          <w:tcPr>
            <w:tcW w:w="80" w:type="dxa"/>
            <w:vAlign w:val="bottom"/>
            <w:tcBorders>
              <w:bottom w:val="single" w:sz="8" w:color="5B89B4"/>
            </w:tcBorders>
          </w:tcPr>
          <w:p>
            <w:pPr>
              <w:spacing w:after="0"/>
              <w:rPr>
                <w:sz w:val="15"/>
                <w:szCs w:val="15"/>
                <w:color w:val="auto"/>
              </w:rPr>
            </w:pPr>
          </w:p>
        </w:tc>
        <w:tc>
          <w:tcPr>
            <w:tcW w:w="40" w:type="dxa"/>
            <w:vAlign w:val="bottom"/>
            <w:tcBorders>
              <w:bottom w:val="single" w:sz="8" w:color="5B89B4"/>
            </w:tcBorders>
          </w:tcPr>
          <w:p>
            <w:pPr>
              <w:spacing w:after="0"/>
              <w:rPr>
                <w:sz w:val="15"/>
                <w:szCs w:val="15"/>
                <w:color w:val="auto"/>
              </w:rPr>
            </w:pPr>
          </w:p>
        </w:tc>
        <w:tc>
          <w:tcPr>
            <w:tcW w:w="0" w:type="dxa"/>
            <w:vAlign w:val="bottom"/>
            <w:tcBorders>
              <w:bottom w:val="single" w:sz="8" w:color="5B89B4"/>
            </w:tcBorders>
          </w:tcPr>
          <w:p>
            <w:pPr>
              <w:spacing w:after="0"/>
              <w:rPr>
                <w:sz w:val="15"/>
                <w:szCs w:val="15"/>
                <w:color w:val="auto"/>
              </w:rPr>
            </w:pPr>
          </w:p>
        </w:tc>
        <w:tc>
          <w:tcPr>
            <w:tcW w:w="40" w:type="dxa"/>
            <w:vAlign w:val="bottom"/>
            <w:tcBorders>
              <w:bottom w:val="single" w:sz="8" w:color="5B89B4"/>
            </w:tcBorders>
          </w:tcPr>
          <w:p>
            <w:pPr>
              <w:spacing w:after="0"/>
              <w:rPr>
                <w:sz w:val="15"/>
                <w:szCs w:val="15"/>
                <w:color w:val="auto"/>
              </w:rPr>
            </w:pPr>
          </w:p>
        </w:tc>
        <w:tc>
          <w:tcPr>
            <w:tcW w:w="20" w:type="dxa"/>
            <w:vAlign w:val="bottom"/>
            <w:tcBorders>
              <w:bottom w:val="single" w:sz="8" w:color="5B89B4"/>
            </w:tcBorders>
          </w:tcPr>
          <w:p>
            <w:pPr>
              <w:spacing w:after="0"/>
              <w:rPr>
                <w:sz w:val="15"/>
                <w:szCs w:val="15"/>
                <w:color w:val="auto"/>
              </w:rPr>
            </w:pPr>
          </w:p>
        </w:tc>
        <w:tc>
          <w:tcPr>
            <w:tcW w:w="400" w:type="dxa"/>
            <w:vAlign w:val="bottom"/>
            <w:tcBorders>
              <w:bottom w:val="single" w:sz="8" w:color="5B89B4"/>
            </w:tcBorders>
          </w:tcPr>
          <w:p>
            <w:pPr>
              <w:spacing w:after="0"/>
              <w:rPr>
                <w:sz w:val="15"/>
                <w:szCs w:val="15"/>
                <w:color w:val="auto"/>
              </w:rPr>
            </w:pPr>
          </w:p>
        </w:tc>
        <w:tc>
          <w:tcPr>
            <w:tcW w:w="400" w:type="dxa"/>
            <w:vAlign w:val="bottom"/>
            <w:tcBorders>
              <w:bottom w:val="single" w:sz="8" w:color="5B89B4"/>
            </w:tcBorders>
          </w:tcPr>
          <w:p>
            <w:pPr>
              <w:spacing w:after="0"/>
              <w:rPr>
                <w:sz w:val="15"/>
                <w:szCs w:val="15"/>
                <w:color w:val="auto"/>
              </w:rPr>
            </w:pPr>
          </w:p>
        </w:tc>
        <w:tc>
          <w:tcPr>
            <w:tcW w:w="640" w:type="dxa"/>
            <w:vAlign w:val="bottom"/>
            <w:tcBorders>
              <w:top w:val="single" w:sz="8" w:color="0000EE"/>
              <w:bottom w:val="single" w:sz="8" w:color="5B89B4"/>
            </w:tcBorders>
          </w:tcPr>
          <w:p>
            <w:pPr>
              <w:spacing w:after="0"/>
              <w:rPr>
                <w:sz w:val="15"/>
                <w:szCs w:val="15"/>
                <w:color w:val="auto"/>
              </w:rPr>
            </w:pPr>
          </w:p>
        </w:tc>
        <w:tc>
          <w:tcPr>
            <w:tcW w:w="80" w:type="dxa"/>
            <w:vAlign w:val="bottom"/>
            <w:tcBorders>
              <w:top w:val="single" w:sz="8" w:color="0000EE"/>
              <w:bottom w:val="single" w:sz="8" w:color="5B89B4"/>
            </w:tcBorders>
          </w:tcPr>
          <w:p>
            <w:pPr>
              <w:spacing w:after="0"/>
              <w:rPr>
                <w:sz w:val="15"/>
                <w:szCs w:val="15"/>
                <w:color w:val="auto"/>
              </w:rPr>
            </w:pPr>
          </w:p>
        </w:tc>
        <w:tc>
          <w:tcPr>
            <w:tcW w:w="40" w:type="dxa"/>
            <w:vAlign w:val="bottom"/>
            <w:tcBorders>
              <w:top w:val="single" w:sz="8" w:color="0000EE"/>
              <w:bottom w:val="single" w:sz="8" w:color="5B89B4"/>
            </w:tcBorders>
          </w:tcPr>
          <w:p>
            <w:pPr>
              <w:spacing w:after="0"/>
              <w:rPr>
                <w:sz w:val="15"/>
                <w:szCs w:val="15"/>
                <w:color w:val="auto"/>
              </w:rPr>
            </w:pPr>
          </w:p>
        </w:tc>
        <w:tc>
          <w:tcPr>
            <w:tcW w:w="100" w:type="dxa"/>
            <w:vAlign w:val="bottom"/>
            <w:tcBorders>
              <w:top w:val="single" w:sz="8" w:color="0000EE"/>
              <w:bottom w:val="single" w:sz="8" w:color="5B89B4"/>
            </w:tcBorders>
          </w:tcPr>
          <w:p>
            <w:pPr>
              <w:spacing w:after="0"/>
              <w:rPr>
                <w:sz w:val="15"/>
                <w:szCs w:val="15"/>
                <w:color w:val="auto"/>
              </w:rPr>
            </w:pPr>
          </w:p>
        </w:tc>
        <w:tc>
          <w:tcPr>
            <w:tcW w:w="100" w:type="dxa"/>
            <w:vAlign w:val="bottom"/>
            <w:tcBorders>
              <w:top w:val="single" w:sz="8" w:color="0000EE"/>
              <w:bottom w:val="single" w:sz="8" w:color="5B89B4"/>
            </w:tcBorders>
          </w:tcPr>
          <w:p>
            <w:pPr>
              <w:spacing w:after="0"/>
              <w:rPr>
                <w:sz w:val="15"/>
                <w:szCs w:val="15"/>
                <w:color w:val="auto"/>
              </w:rPr>
            </w:pPr>
          </w:p>
        </w:tc>
        <w:tc>
          <w:tcPr>
            <w:tcW w:w="260" w:type="dxa"/>
            <w:vAlign w:val="bottom"/>
            <w:tcBorders>
              <w:top w:val="single" w:sz="8" w:color="0000EE"/>
              <w:bottom w:val="single" w:sz="8" w:color="5B89B4"/>
            </w:tcBorders>
          </w:tcPr>
          <w:p>
            <w:pPr>
              <w:spacing w:after="0"/>
              <w:rPr>
                <w:sz w:val="15"/>
                <w:szCs w:val="15"/>
                <w:color w:val="auto"/>
              </w:rPr>
            </w:pPr>
          </w:p>
        </w:tc>
        <w:tc>
          <w:tcPr>
            <w:tcW w:w="80" w:type="dxa"/>
            <w:vAlign w:val="bottom"/>
            <w:tcBorders>
              <w:bottom w:val="single" w:sz="8" w:color="5B89B4"/>
            </w:tcBorders>
          </w:tcPr>
          <w:p>
            <w:pPr>
              <w:spacing w:after="0"/>
              <w:rPr>
                <w:sz w:val="15"/>
                <w:szCs w:val="15"/>
                <w:color w:val="auto"/>
              </w:rPr>
            </w:pPr>
          </w:p>
        </w:tc>
        <w:tc>
          <w:tcPr>
            <w:tcW w:w="160" w:type="dxa"/>
            <w:vAlign w:val="bottom"/>
            <w:tcBorders>
              <w:bottom w:val="single" w:sz="8" w:color="5B89B4"/>
            </w:tcBorders>
          </w:tcPr>
          <w:p>
            <w:pPr>
              <w:spacing w:after="0"/>
              <w:rPr>
                <w:sz w:val="15"/>
                <w:szCs w:val="15"/>
                <w:color w:val="auto"/>
              </w:rPr>
            </w:pPr>
          </w:p>
        </w:tc>
        <w:tc>
          <w:tcPr>
            <w:tcW w:w="220" w:type="dxa"/>
            <w:vAlign w:val="bottom"/>
            <w:tcBorders>
              <w:bottom w:val="single" w:sz="8" w:color="5B89B4"/>
            </w:tcBorders>
          </w:tcPr>
          <w:p>
            <w:pPr>
              <w:spacing w:after="0"/>
              <w:rPr>
                <w:sz w:val="15"/>
                <w:szCs w:val="15"/>
                <w:color w:val="auto"/>
              </w:rPr>
            </w:pPr>
          </w:p>
        </w:tc>
        <w:tc>
          <w:tcPr>
            <w:tcW w:w="60" w:type="dxa"/>
            <w:vAlign w:val="bottom"/>
            <w:tcBorders>
              <w:bottom w:val="single" w:sz="8" w:color="5B89B4"/>
            </w:tcBorders>
          </w:tcPr>
          <w:p>
            <w:pPr>
              <w:spacing w:after="0"/>
              <w:rPr>
                <w:sz w:val="15"/>
                <w:szCs w:val="15"/>
                <w:color w:val="auto"/>
              </w:rPr>
            </w:pPr>
          </w:p>
        </w:tc>
        <w:tc>
          <w:tcPr>
            <w:tcW w:w="220" w:type="dxa"/>
            <w:vAlign w:val="bottom"/>
            <w:tcBorders>
              <w:bottom w:val="single" w:sz="8" w:color="5B89B4"/>
            </w:tcBorders>
          </w:tcPr>
          <w:p>
            <w:pPr>
              <w:spacing w:after="0"/>
              <w:rPr>
                <w:sz w:val="15"/>
                <w:szCs w:val="15"/>
                <w:color w:val="auto"/>
              </w:rPr>
            </w:pPr>
          </w:p>
        </w:tc>
        <w:tc>
          <w:tcPr>
            <w:tcW w:w="820" w:type="dxa"/>
            <w:vAlign w:val="bottom"/>
            <w:tcBorders>
              <w:bottom w:val="single" w:sz="8" w:color="5B89B4"/>
            </w:tcBorders>
          </w:tcPr>
          <w:p>
            <w:pPr>
              <w:spacing w:after="0"/>
              <w:rPr>
                <w:sz w:val="15"/>
                <w:szCs w:val="15"/>
                <w:color w:val="auto"/>
              </w:rPr>
            </w:pPr>
          </w:p>
        </w:tc>
        <w:tc>
          <w:tcPr>
            <w:tcW w:w="280" w:type="dxa"/>
            <w:vAlign w:val="bottom"/>
            <w:tcBorders>
              <w:bottom w:val="single" w:sz="8" w:color="5B89B4"/>
            </w:tcBorders>
          </w:tcPr>
          <w:p>
            <w:pPr>
              <w:spacing w:after="0"/>
              <w:rPr>
                <w:sz w:val="15"/>
                <w:szCs w:val="15"/>
                <w:color w:val="auto"/>
              </w:rPr>
            </w:pPr>
          </w:p>
        </w:tc>
        <w:tc>
          <w:tcPr>
            <w:tcW w:w="200" w:type="dxa"/>
            <w:vAlign w:val="bottom"/>
            <w:tcBorders>
              <w:bottom w:val="single" w:sz="8" w:color="5B89B4"/>
            </w:tcBorders>
          </w:tcPr>
          <w:p>
            <w:pPr>
              <w:spacing w:after="0"/>
              <w:rPr>
                <w:sz w:val="15"/>
                <w:szCs w:val="15"/>
                <w:color w:val="auto"/>
              </w:rPr>
            </w:pPr>
          </w:p>
        </w:tc>
        <w:tc>
          <w:tcPr>
            <w:tcW w:w="680" w:type="dxa"/>
            <w:vAlign w:val="bottom"/>
            <w:tcBorders>
              <w:bottom w:val="single" w:sz="8" w:color="5B89B4"/>
            </w:tcBorders>
          </w:tcPr>
          <w:p>
            <w:pPr>
              <w:spacing w:after="0"/>
              <w:rPr>
                <w:sz w:val="15"/>
                <w:szCs w:val="15"/>
                <w:color w:val="auto"/>
              </w:rPr>
            </w:pPr>
          </w:p>
        </w:tc>
        <w:tc>
          <w:tcPr>
            <w:tcW w:w="180" w:type="dxa"/>
            <w:vAlign w:val="bottom"/>
            <w:tcBorders>
              <w:bottom w:val="single" w:sz="8" w:color="5B89B4"/>
            </w:tcBorders>
          </w:tcPr>
          <w:p>
            <w:pPr>
              <w:spacing w:after="0"/>
              <w:rPr>
                <w:sz w:val="15"/>
                <w:szCs w:val="15"/>
                <w:color w:val="auto"/>
              </w:rPr>
            </w:pPr>
          </w:p>
        </w:tc>
        <w:tc>
          <w:tcPr>
            <w:tcW w:w="680" w:type="dxa"/>
            <w:vAlign w:val="bottom"/>
            <w:tcBorders>
              <w:bottom w:val="single" w:sz="8" w:color="5B89B4"/>
            </w:tcBorders>
          </w:tcPr>
          <w:p>
            <w:pPr>
              <w:spacing w:after="0"/>
              <w:rPr>
                <w:sz w:val="15"/>
                <w:szCs w:val="15"/>
                <w:color w:val="auto"/>
              </w:rPr>
            </w:pPr>
          </w:p>
        </w:tc>
        <w:tc>
          <w:tcPr>
            <w:tcW w:w="520" w:type="dxa"/>
            <w:vAlign w:val="bottom"/>
            <w:tcBorders>
              <w:bottom w:val="single" w:sz="8" w:color="5B89B4"/>
            </w:tcBorders>
          </w:tcPr>
          <w:p>
            <w:pPr>
              <w:spacing w:after="0"/>
              <w:rPr>
                <w:sz w:val="15"/>
                <w:szCs w:val="15"/>
                <w:color w:val="auto"/>
              </w:rPr>
            </w:pPr>
          </w:p>
        </w:tc>
        <w:tc>
          <w:tcPr>
            <w:tcW w:w="880" w:type="dxa"/>
            <w:vAlign w:val="bottom"/>
            <w:tcBorders>
              <w:bottom w:val="single" w:sz="8" w:color="5B89B4"/>
            </w:tcBorders>
          </w:tcPr>
          <w:p>
            <w:pPr>
              <w:spacing w:after="0"/>
              <w:rPr>
                <w:sz w:val="15"/>
                <w:szCs w:val="15"/>
                <w:color w:val="auto"/>
              </w:rPr>
            </w:pPr>
          </w:p>
        </w:tc>
        <w:tc>
          <w:tcPr>
            <w:tcW w:w="40" w:type="dxa"/>
            <w:vAlign w:val="bottom"/>
            <w:tcBorders>
              <w:bottom w:val="single" w:sz="8" w:color="5B89B4"/>
            </w:tcBorders>
          </w:tcPr>
          <w:p>
            <w:pPr>
              <w:spacing w:after="0"/>
              <w:rPr>
                <w:sz w:val="15"/>
                <w:szCs w:val="15"/>
                <w:color w:val="auto"/>
              </w:rPr>
            </w:pPr>
          </w:p>
        </w:tc>
        <w:tc>
          <w:tcPr>
            <w:tcW w:w="780" w:type="dxa"/>
            <w:vAlign w:val="bottom"/>
            <w:tcBorders>
              <w:bottom w:val="single" w:sz="8" w:color="5B89B4"/>
            </w:tcBorders>
          </w:tcPr>
          <w:p>
            <w:pPr>
              <w:spacing w:after="0"/>
              <w:rPr>
                <w:sz w:val="15"/>
                <w:szCs w:val="15"/>
                <w:color w:val="auto"/>
              </w:rPr>
            </w:pPr>
          </w:p>
        </w:tc>
        <w:tc>
          <w:tcPr>
            <w:tcW w:w="920" w:type="dxa"/>
            <w:vAlign w:val="bottom"/>
            <w:tcBorders>
              <w:bottom w:val="single" w:sz="8" w:color="5B89B4"/>
            </w:tcBorders>
          </w:tcPr>
          <w:p>
            <w:pPr>
              <w:spacing w:after="0"/>
              <w:rPr>
                <w:sz w:val="15"/>
                <w:szCs w:val="15"/>
                <w:color w:val="auto"/>
              </w:rPr>
            </w:pPr>
          </w:p>
        </w:tc>
        <w:tc>
          <w:tcPr>
            <w:tcW w:w="1840" w:type="dxa"/>
            <w:vAlign w:val="bottom"/>
            <w:tcBorders>
              <w:bottom w:val="single" w:sz="8" w:color="5B89B4"/>
            </w:tcBorders>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560" w:type="dxa"/>
            <w:vAlign w:val="bottom"/>
            <w:tcBorders>
              <w:bottom w:val="single" w:sz="8" w:color="0000EE"/>
            </w:tcBorders>
            <w:gridSpan w:val="4"/>
          </w:tcPr>
          <w:p>
            <w:pPr>
              <w:spacing w:after="0" w:line="181" w:lineRule="exact"/>
              <w:rPr>
                <w:sz w:val="20"/>
                <w:szCs w:val="20"/>
                <w:color w:val="auto"/>
              </w:rPr>
            </w:pPr>
            <w:r>
              <w:rPr>
                <w:rFonts w:ascii="Arial" w:cs="Arial" w:eastAsia="Arial" w:hAnsi="Arial"/>
                <w:sz w:val="16"/>
                <w:szCs w:val="16"/>
                <w:color w:val="5B89B4"/>
                <w:w w:val="96"/>
              </w:rPr>
              <w:t>PART II</w:t>
            </w:r>
          </w:p>
        </w:tc>
        <w:tc>
          <w:tcPr>
            <w:tcW w:w="860" w:type="dxa"/>
            <w:vAlign w:val="bottom"/>
            <w:gridSpan w:val="4"/>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5</w:t>
            </w:r>
          </w:p>
        </w:tc>
        <w:tc>
          <w:tcPr>
            <w:tcW w:w="7940" w:type="dxa"/>
            <w:vAlign w:val="bottom"/>
            <w:gridSpan w:val="22"/>
          </w:tcPr>
          <w:p>
            <w:pPr>
              <w:spacing w:after="0"/>
              <w:rPr>
                <w:sz w:val="20"/>
                <w:szCs w:val="20"/>
                <w:color w:val="auto"/>
              </w:rPr>
            </w:pPr>
            <w:r>
              <w:rPr>
                <w:rFonts w:ascii="Arial" w:cs="Arial" w:eastAsia="Arial" w:hAnsi="Arial"/>
                <w:sz w:val="16"/>
                <w:szCs w:val="16"/>
                <w:color w:val="231F20"/>
                <w:w w:val="99"/>
              </w:rPr>
              <w:t>Market for Registrant's Common Equity, Related Shareholder Matters and Issuer Purchases of  Equity Securities</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29</w:t>
            </w: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6</w:t>
            </w:r>
          </w:p>
        </w:tc>
        <w:tc>
          <w:tcPr>
            <w:tcW w:w="7940" w:type="dxa"/>
            <w:vAlign w:val="bottom"/>
            <w:gridSpan w:val="22"/>
          </w:tcPr>
          <w:p>
            <w:pPr>
              <w:spacing w:after="0"/>
              <w:rPr>
                <w:sz w:val="20"/>
                <w:szCs w:val="20"/>
                <w:color w:val="auto"/>
              </w:rPr>
            </w:pPr>
            <w:r>
              <w:rPr>
                <w:rFonts w:ascii="Arial" w:cs="Arial" w:eastAsia="Arial" w:hAnsi="Arial"/>
                <w:sz w:val="16"/>
                <w:szCs w:val="16"/>
                <w:color w:val="231F20"/>
              </w:rPr>
              <w:t>[Reserved]</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30</w:t>
            </w: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7</w:t>
            </w:r>
          </w:p>
        </w:tc>
        <w:tc>
          <w:tcPr>
            <w:tcW w:w="7940" w:type="dxa"/>
            <w:vAlign w:val="bottom"/>
            <w:gridSpan w:val="22"/>
          </w:tcPr>
          <w:p>
            <w:pPr>
              <w:spacing w:after="0"/>
              <w:rPr>
                <w:sz w:val="20"/>
                <w:szCs w:val="20"/>
                <w:color w:val="auto"/>
              </w:rPr>
            </w:pPr>
            <w:r>
              <w:rPr>
                <w:rFonts w:ascii="Arial" w:cs="Arial" w:eastAsia="Arial" w:hAnsi="Arial"/>
                <w:sz w:val="16"/>
                <w:szCs w:val="16"/>
                <w:color w:val="231F20"/>
              </w:rPr>
              <w:t>Management's Discussion and Analysis of Financial Condition and Results of Operations</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31</w:t>
            </w: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7A</w:t>
            </w:r>
          </w:p>
        </w:tc>
        <w:tc>
          <w:tcPr>
            <w:tcW w:w="7940" w:type="dxa"/>
            <w:vAlign w:val="bottom"/>
            <w:gridSpan w:val="22"/>
          </w:tcPr>
          <w:p>
            <w:pPr>
              <w:spacing w:after="0"/>
              <w:rPr>
                <w:sz w:val="20"/>
                <w:szCs w:val="20"/>
                <w:color w:val="auto"/>
              </w:rPr>
            </w:pPr>
            <w:r>
              <w:rPr>
                <w:rFonts w:ascii="Arial" w:cs="Arial" w:eastAsia="Arial" w:hAnsi="Arial"/>
                <w:sz w:val="16"/>
                <w:szCs w:val="16"/>
                <w:color w:val="231F20"/>
              </w:rPr>
              <w:t>Quantitative and Qualitative Disclosures About Market Risk</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42</w:t>
            </w:r>
          </w:p>
        </w:tc>
      </w:tr>
      <w:tr>
        <w:trPr>
          <w:trHeight w:val="193"/>
        </w:trPr>
        <w:tc>
          <w:tcPr>
            <w:tcW w:w="60" w:type="dxa"/>
            <w:vAlign w:val="bottom"/>
          </w:tcPr>
          <w:p>
            <w:pPr>
              <w:spacing w:after="0"/>
              <w:rPr>
                <w:sz w:val="16"/>
                <w:szCs w:val="16"/>
                <w:color w:val="auto"/>
              </w:rPr>
            </w:pPr>
          </w:p>
        </w:tc>
        <w:tc>
          <w:tcPr>
            <w:tcW w:w="56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231F20"/>
              </w:rPr>
              <w:t>Item 8</w:t>
            </w:r>
          </w:p>
        </w:tc>
        <w:tc>
          <w:tcPr>
            <w:tcW w:w="860" w:type="dxa"/>
            <w:vAlign w:val="bottom"/>
            <w:gridSpan w:val="5"/>
          </w:tcPr>
          <w:p>
            <w:pPr>
              <w:spacing w:after="0"/>
              <w:rPr>
                <w:sz w:val="16"/>
                <w:szCs w:val="16"/>
                <w:color w:val="auto"/>
              </w:rPr>
            </w:pPr>
          </w:p>
        </w:tc>
        <w:tc>
          <w:tcPr>
            <w:tcW w:w="4120" w:type="dxa"/>
            <w:vAlign w:val="bottom"/>
            <w:tcBorders>
              <w:top w:val="single" w:sz="8" w:color="0000EE"/>
            </w:tcBorders>
            <w:gridSpan w:val="16"/>
          </w:tcPr>
          <w:p>
            <w:pPr>
              <w:spacing w:after="0"/>
              <w:rPr>
                <w:sz w:val="20"/>
                <w:szCs w:val="20"/>
                <w:color w:val="auto"/>
              </w:rPr>
            </w:pPr>
            <w:r>
              <w:rPr>
                <w:rFonts w:ascii="Arial" w:cs="Arial" w:eastAsia="Arial" w:hAnsi="Arial"/>
                <w:sz w:val="16"/>
                <w:szCs w:val="16"/>
                <w:color w:val="231F20"/>
              </w:rPr>
              <w:t>Financial Statements and Supplementary Data</w:t>
            </w:r>
          </w:p>
        </w:tc>
        <w:tc>
          <w:tcPr>
            <w:tcW w:w="3820" w:type="dxa"/>
            <w:vAlign w:val="bottom"/>
            <w:gridSpan w:val="6"/>
          </w:tcPr>
          <w:p>
            <w:pPr>
              <w:spacing w:after="0"/>
              <w:rPr>
                <w:sz w:val="16"/>
                <w:szCs w:val="16"/>
                <w:color w:val="auto"/>
              </w:rPr>
            </w:pP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45</w:t>
            </w: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9</w:t>
            </w:r>
          </w:p>
        </w:tc>
        <w:tc>
          <w:tcPr>
            <w:tcW w:w="7940" w:type="dxa"/>
            <w:vAlign w:val="bottom"/>
            <w:gridSpan w:val="22"/>
          </w:tcPr>
          <w:p>
            <w:pPr>
              <w:spacing w:after="0"/>
              <w:rPr>
                <w:sz w:val="20"/>
                <w:szCs w:val="20"/>
                <w:color w:val="auto"/>
              </w:rPr>
            </w:pPr>
            <w:r>
              <w:rPr>
                <w:rFonts w:ascii="Arial" w:cs="Arial" w:eastAsia="Arial" w:hAnsi="Arial"/>
                <w:sz w:val="16"/>
                <w:szCs w:val="16"/>
                <w:color w:val="231F20"/>
              </w:rPr>
              <w:t>Changes in and Disagreements with Accountants on Accounting and Financial Disclosure</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88</w:t>
            </w: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231F20"/>
                <w:w w:val="94"/>
              </w:rPr>
              <w:t>Item 9A</w:t>
            </w:r>
          </w:p>
        </w:tc>
        <w:tc>
          <w:tcPr>
            <w:tcW w:w="860" w:type="dxa"/>
            <w:vAlign w:val="bottom"/>
            <w:gridSpan w:val="5"/>
          </w:tcPr>
          <w:p>
            <w:pPr>
              <w:spacing w:after="0"/>
              <w:rPr>
                <w:sz w:val="16"/>
                <w:szCs w:val="16"/>
                <w:color w:val="auto"/>
              </w:rPr>
            </w:pPr>
          </w:p>
        </w:tc>
        <w:tc>
          <w:tcPr>
            <w:tcW w:w="174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231F20"/>
                <w:w w:val="97"/>
              </w:rPr>
              <w:t>Controls and Procedures</w:t>
            </w:r>
          </w:p>
        </w:tc>
        <w:tc>
          <w:tcPr>
            <w:tcW w:w="6200" w:type="dxa"/>
            <w:vAlign w:val="bottom"/>
            <w:gridSpan w:val="12"/>
          </w:tcPr>
          <w:p>
            <w:pPr>
              <w:spacing w:after="0"/>
              <w:rPr>
                <w:sz w:val="16"/>
                <w:szCs w:val="16"/>
                <w:color w:val="auto"/>
              </w:rPr>
            </w:pP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88</w:t>
            </w:r>
          </w:p>
        </w:tc>
      </w:tr>
      <w:tr>
        <w:trPr>
          <w:trHeight w:val="193"/>
        </w:trPr>
        <w:tc>
          <w:tcPr>
            <w:tcW w:w="60" w:type="dxa"/>
            <w:vAlign w:val="bottom"/>
          </w:tcPr>
          <w:p>
            <w:pPr>
              <w:spacing w:after="0"/>
              <w:rPr>
                <w:sz w:val="16"/>
                <w:szCs w:val="16"/>
                <w:color w:val="auto"/>
              </w:rPr>
            </w:pPr>
          </w:p>
        </w:tc>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231F20"/>
                <w:w w:val="94"/>
              </w:rPr>
              <w:t>Item 9B</w:t>
            </w:r>
          </w:p>
        </w:tc>
        <w:tc>
          <w:tcPr>
            <w:tcW w:w="860" w:type="dxa"/>
            <w:vAlign w:val="bottom"/>
            <w:gridSpan w:val="5"/>
          </w:tcPr>
          <w:p>
            <w:pPr>
              <w:spacing w:after="0"/>
              <w:rPr>
                <w:sz w:val="16"/>
                <w:szCs w:val="16"/>
                <w:color w:val="auto"/>
              </w:rPr>
            </w:pPr>
          </w:p>
        </w:tc>
        <w:tc>
          <w:tcPr>
            <w:tcW w:w="122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231F20"/>
                <w:w w:val="96"/>
              </w:rPr>
              <w:t>Other Information</w:t>
            </w:r>
          </w:p>
        </w:tc>
        <w:tc>
          <w:tcPr>
            <w:tcW w:w="6720" w:type="dxa"/>
            <w:vAlign w:val="bottom"/>
            <w:gridSpan w:val="16"/>
          </w:tcPr>
          <w:p>
            <w:pPr>
              <w:spacing w:after="0"/>
              <w:rPr>
                <w:sz w:val="16"/>
                <w:szCs w:val="16"/>
                <w:color w:val="auto"/>
              </w:rPr>
            </w:pP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88</w:t>
            </w: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9C</w:t>
            </w:r>
          </w:p>
        </w:tc>
        <w:tc>
          <w:tcPr>
            <w:tcW w:w="7940" w:type="dxa"/>
            <w:vAlign w:val="bottom"/>
            <w:gridSpan w:val="22"/>
          </w:tcPr>
          <w:p>
            <w:pPr>
              <w:spacing w:after="0"/>
              <w:rPr>
                <w:sz w:val="20"/>
                <w:szCs w:val="20"/>
                <w:color w:val="auto"/>
              </w:rPr>
            </w:pPr>
            <w:r>
              <w:rPr>
                <w:rFonts w:ascii="Arial" w:cs="Arial" w:eastAsia="Arial" w:hAnsi="Arial"/>
                <w:sz w:val="16"/>
                <w:szCs w:val="16"/>
                <w:color w:val="231F20"/>
              </w:rPr>
              <w:t>Disclosures Regarding Foreign Jurisdictions that Prevent Inspections</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88</w:t>
            </w:r>
          </w:p>
        </w:tc>
      </w:tr>
      <w:tr>
        <w:trPr>
          <w:trHeight w:val="181"/>
        </w:trPr>
        <w:tc>
          <w:tcPr>
            <w:tcW w:w="60" w:type="dxa"/>
            <w:vAlign w:val="bottom"/>
            <w:tcBorders>
              <w:bottom w:val="single" w:sz="8" w:color="5B89B4"/>
            </w:tcBorders>
          </w:tcPr>
          <w:p>
            <w:pPr>
              <w:spacing w:after="0"/>
              <w:rPr>
                <w:sz w:val="15"/>
                <w:szCs w:val="15"/>
                <w:color w:val="auto"/>
              </w:rPr>
            </w:pPr>
          </w:p>
        </w:tc>
        <w:tc>
          <w:tcPr>
            <w:tcW w:w="440" w:type="dxa"/>
            <w:vAlign w:val="bottom"/>
            <w:tcBorders>
              <w:top w:val="single" w:sz="8" w:color="0000EE"/>
              <w:bottom w:val="single" w:sz="8" w:color="5B89B4"/>
            </w:tcBorders>
          </w:tcPr>
          <w:p>
            <w:pPr>
              <w:spacing w:after="0"/>
              <w:rPr>
                <w:sz w:val="15"/>
                <w:szCs w:val="15"/>
                <w:color w:val="auto"/>
              </w:rPr>
            </w:pPr>
          </w:p>
        </w:tc>
        <w:tc>
          <w:tcPr>
            <w:tcW w:w="80" w:type="dxa"/>
            <w:vAlign w:val="bottom"/>
            <w:tcBorders>
              <w:top w:val="single" w:sz="8" w:color="0000EE"/>
              <w:bottom w:val="single" w:sz="8" w:color="5B89B4"/>
            </w:tcBorders>
          </w:tcPr>
          <w:p>
            <w:pPr>
              <w:spacing w:after="0"/>
              <w:rPr>
                <w:sz w:val="15"/>
                <w:szCs w:val="15"/>
                <w:color w:val="auto"/>
              </w:rPr>
            </w:pPr>
          </w:p>
        </w:tc>
        <w:tc>
          <w:tcPr>
            <w:tcW w:w="40" w:type="dxa"/>
            <w:vAlign w:val="bottom"/>
            <w:tcBorders>
              <w:top w:val="single" w:sz="8" w:color="0000EE"/>
              <w:bottom w:val="single" w:sz="8" w:color="5B89B4"/>
            </w:tcBorders>
          </w:tcPr>
          <w:p>
            <w:pPr>
              <w:spacing w:after="0"/>
              <w:rPr>
                <w:sz w:val="15"/>
                <w:szCs w:val="15"/>
                <w:color w:val="auto"/>
              </w:rPr>
            </w:pPr>
          </w:p>
        </w:tc>
        <w:tc>
          <w:tcPr>
            <w:tcW w:w="0" w:type="dxa"/>
            <w:vAlign w:val="bottom"/>
            <w:tcBorders>
              <w:top w:val="single" w:sz="8" w:color="0000EE"/>
              <w:bottom w:val="single" w:sz="8" w:color="5B89B4"/>
            </w:tcBorders>
          </w:tcPr>
          <w:p>
            <w:pPr>
              <w:spacing w:after="0"/>
              <w:rPr>
                <w:sz w:val="15"/>
                <w:szCs w:val="15"/>
                <w:color w:val="auto"/>
              </w:rPr>
            </w:pPr>
          </w:p>
        </w:tc>
        <w:tc>
          <w:tcPr>
            <w:tcW w:w="40" w:type="dxa"/>
            <w:vAlign w:val="bottom"/>
            <w:tcBorders>
              <w:bottom w:val="single" w:sz="8" w:color="5B89B4"/>
            </w:tcBorders>
          </w:tcPr>
          <w:p>
            <w:pPr>
              <w:spacing w:after="0"/>
              <w:rPr>
                <w:sz w:val="15"/>
                <w:szCs w:val="15"/>
                <w:color w:val="auto"/>
              </w:rPr>
            </w:pPr>
          </w:p>
        </w:tc>
        <w:tc>
          <w:tcPr>
            <w:tcW w:w="20" w:type="dxa"/>
            <w:vAlign w:val="bottom"/>
            <w:tcBorders>
              <w:bottom w:val="single" w:sz="8" w:color="5B89B4"/>
            </w:tcBorders>
          </w:tcPr>
          <w:p>
            <w:pPr>
              <w:spacing w:after="0"/>
              <w:rPr>
                <w:sz w:val="15"/>
                <w:szCs w:val="15"/>
                <w:color w:val="auto"/>
              </w:rPr>
            </w:pPr>
          </w:p>
        </w:tc>
        <w:tc>
          <w:tcPr>
            <w:tcW w:w="400" w:type="dxa"/>
            <w:vAlign w:val="bottom"/>
            <w:tcBorders>
              <w:bottom w:val="single" w:sz="8" w:color="5B89B4"/>
            </w:tcBorders>
          </w:tcPr>
          <w:p>
            <w:pPr>
              <w:spacing w:after="0"/>
              <w:rPr>
                <w:sz w:val="15"/>
                <w:szCs w:val="15"/>
                <w:color w:val="auto"/>
              </w:rPr>
            </w:pPr>
          </w:p>
        </w:tc>
        <w:tc>
          <w:tcPr>
            <w:tcW w:w="400" w:type="dxa"/>
            <w:vAlign w:val="bottom"/>
            <w:tcBorders>
              <w:bottom w:val="single" w:sz="8" w:color="5B89B4"/>
            </w:tcBorders>
          </w:tcPr>
          <w:p>
            <w:pPr>
              <w:spacing w:after="0"/>
              <w:rPr>
                <w:sz w:val="15"/>
                <w:szCs w:val="15"/>
                <w:color w:val="auto"/>
              </w:rPr>
            </w:pPr>
          </w:p>
        </w:tc>
        <w:tc>
          <w:tcPr>
            <w:tcW w:w="640" w:type="dxa"/>
            <w:vAlign w:val="bottom"/>
            <w:tcBorders>
              <w:top w:val="single" w:sz="8" w:color="0000EE"/>
              <w:bottom w:val="single" w:sz="8" w:color="5B89B4"/>
            </w:tcBorders>
          </w:tcPr>
          <w:p>
            <w:pPr>
              <w:spacing w:after="0"/>
              <w:rPr>
                <w:sz w:val="15"/>
                <w:szCs w:val="15"/>
                <w:color w:val="auto"/>
              </w:rPr>
            </w:pPr>
          </w:p>
        </w:tc>
        <w:tc>
          <w:tcPr>
            <w:tcW w:w="80" w:type="dxa"/>
            <w:vAlign w:val="bottom"/>
            <w:tcBorders>
              <w:top w:val="single" w:sz="8" w:color="0000EE"/>
              <w:bottom w:val="single" w:sz="8" w:color="5B89B4"/>
            </w:tcBorders>
          </w:tcPr>
          <w:p>
            <w:pPr>
              <w:spacing w:after="0"/>
              <w:rPr>
                <w:sz w:val="15"/>
                <w:szCs w:val="15"/>
                <w:color w:val="auto"/>
              </w:rPr>
            </w:pPr>
          </w:p>
        </w:tc>
        <w:tc>
          <w:tcPr>
            <w:tcW w:w="40" w:type="dxa"/>
            <w:vAlign w:val="bottom"/>
            <w:tcBorders>
              <w:top w:val="single" w:sz="8" w:color="0000EE"/>
              <w:bottom w:val="single" w:sz="8" w:color="5B89B4"/>
            </w:tcBorders>
          </w:tcPr>
          <w:p>
            <w:pPr>
              <w:spacing w:after="0"/>
              <w:rPr>
                <w:sz w:val="15"/>
                <w:szCs w:val="15"/>
                <w:color w:val="auto"/>
              </w:rPr>
            </w:pPr>
          </w:p>
        </w:tc>
        <w:tc>
          <w:tcPr>
            <w:tcW w:w="100" w:type="dxa"/>
            <w:vAlign w:val="bottom"/>
            <w:tcBorders>
              <w:top w:val="single" w:sz="8" w:color="0000EE"/>
              <w:bottom w:val="single" w:sz="8" w:color="5B89B4"/>
            </w:tcBorders>
          </w:tcPr>
          <w:p>
            <w:pPr>
              <w:spacing w:after="0"/>
              <w:rPr>
                <w:sz w:val="15"/>
                <w:szCs w:val="15"/>
                <w:color w:val="auto"/>
              </w:rPr>
            </w:pPr>
          </w:p>
        </w:tc>
        <w:tc>
          <w:tcPr>
            <w:tcW w:w="100" w:type="dxa"/>
            <w:vAlign w:val="bottom"/>
            <w:tcBorders>
              <w:top w:val="single" w:sz="8" w:color="0000EE"/>
              <w:bottom w:val="single" w:sz="8" w:color="5B89B4"/>
            </w:tcBorders>
          </w:tcPr>
          <w:p>
            <w:pPr>
              <w:spacing w:after="0"/>
              <w:rPr>
                <w:sz w:val="15"/>
                <w:szCs w:val="15"/>
                <w:color w:val="auto"/>
              </w:rPr>
            </w:pPr>
          </w:p>
        </w:tc>
        <w:tc>
          <w:tcPr>
            <w:tcW w:w="260" w:type="dxa"/>
            <w:vAlign w:val="bottom"/>
            <w:tcBorders>
              <w:top w:val="single" w:sz="8" w:color="0000EE"/>
              <w:bottom w:val="single" w:sz="8" w:color="5B89B4"/>
            </w:tcBorders>
          </w:tcPr>
          <w:p>
            <w:pPr>
              <w:spacing w:after="0"/>
              <w:rPr>
                <w:sz w:val="15"/>
                <w:szCs w:val="15"/>
                <w:color w:val="auto"/>
              </w:rPr>
            </w:pPr>
          </w:p>
        </w:tc>
        <w:tc>
          <w:tcPr>
            <w:tcW w:w="80" w:type="dxa"/>
            <w:vAlign w:val="bottom"/>
            <w:tcBorders>
              <w:top w:val="single" w:sz="8" w:color="0000EE"/>
              <w:bottom w:val="single" w:sz="8" w:color="5B89B4"/>
            </w:tcBorders>
          </w:tcPr>
          <w:p>
            <w:pPr>
              <w:spacing w:after="0"/>
              <w:rPr>
                <w:sz w:val="15"/>
                <w:szCs w:val="15"/>
                <w:color w:val="auto"/>
              </w:rPr>
            </w:pPr>
          </w:p>
        </w:tc>
        <w:tc>
          <w:tcPr>
            <w:tcW w:w="160" w:type="dxa"/>
            <w:vAlign w:val="bottom"/>
            <w:tcBorders>
              <w:top w:val="single" w:sz="8" w:color="0000EE"/>
              <w:bottom w:val="single" w:sz="8" w:color="5B89B4"/>
            </w:tcBorders>
          </w:tcPr>
          <w:p>
            <w:pPr>
              <w:spacing w:after="0"/>
              <w:rPr>
                <w:sz w:val="15"/>
                <w:szCs w:val="15"/>
                <w:color w:val="auto"/>
              </w:rPr>
            </w:pPr>
          </w:p>
        </w:tc>
        <w:tc>
          <w:tcPr>
            <w:tcW w:w="220" w:type="dxa"/>
            <w:vAlign w:val="bottom"/>
            <w:tcBorders>
              <w:top w:val="single" w:sz="8" w:color="0000EE"/>
              <w:bottom w:val="single" w:sz="8" w:color="5B89B4"/>
            </w:tcBorders>
          </w:tcPr>
          <w:p>
            <w:pPr>
              <w:spacing w:after="0"/>
              <w:rPr>
                <w:sz w:val="15"/>
                <w:szCs w:val="15"/>
                <w:color w:val="auto"/>
              </w:rPr>
            </w:pPr>
          </w:p>
        </w:tc>
        <w:tc>
          <w:tcPr>
            <w:tcW w:w="60" w:type="dxa"/>
            <w:vAlign w:val="bottom"/>
            <w:tcBorders>
              <w:top w:val="single" w:sz="8" w:color="0000EE"/>
              <w:bottom w:val="single" w:sz="8" w:color="5B89B4"/>
            </w:tcBorders>
          </w:tcPr>
          <w:p>
            <w:pPr>
              <w:spacing w:after="0"/>
              <w:rPr>
                <w:sz w:val="15"/>
                <w:szCs w:val="15"/>
                <w:color w:val="auto"/>
              </w:rPr>
            </w:pPr>
          </w:p>
        </w:tc>
        <w:tc>
          <w:tcPr>
            <w:tcW w:w="220" w:type="dxa"/>
            <w:vAlign w:val="bottom"/>
            <w:tcBorders>
              <w:top w:val="single" w:sz="8" w:color="0000EE"/>
              <w:bottom w:val="single" w:sz="8" w:color="5B89B4"/>
            </w:tcBorders>
          </w:tcPr>
          <w:p>
            <w:pPr>
              <w:spacing w:after="0"/>
              <w:rPr>
                <w:sz w:val="15"/>
                <w:szCs w:val="15"/>
                <w:color w:val="auto"/>
              </w:rPr>
            </w:pPr>
          </w:p>
        </w:tc>
        <w:tc>
          <w:tcPr>
            <w:tcW w:w="820" w:type="dxa"/>
            <w:vAlign w:val="bottom"/>
            <w:tcBorders>
              <w:top w:val="single" w:sz="8" w:color="0000EE"/>
              <w:bottom w:val="single" w:sz="8" w:color="5B89B4"/>
            </w:tcBorders>
          </w:tcPr>
          <w:p>
            <w:pPr>
              <w:spacing w:after="0"/>
              <w:rPr>
                <w:sz w:val="15"/>
                <w:szCs w:val="15"/>
                <w:color w:val="auto"/>
              </w:rPr>
            </w:pPr>
          </w:p>
        </w:tc>
        <w:tc>
          <w:tcPr>
            <w:tcW w:w="280" w:type="dxa"/>
            <w:vAlign w:val="bottom"/>
            <w:tcBorders>
              <w:top w:val="single" w:sz="8" w:color="0000EE"/>
              <w:bottom w:val="single" w:sz="8" w:color="5B89B4"/>
            </w:tcBorders>
          </w:tcPr>
          <w:p>
            <w:pPr>
              <w:spacing w:after="0"/>
              <w:rPr>
                <w:sz w:val="15"/>
                <w:szCs w:val="15"/>
                <w:color w:val="auto"/>
              </w:rPr>
            </w:pPr>
          </w:p>
        </w:tc>
        <w:tc>
          <w:tcPr>
            <w:tcW w:w="200" w:type="dxa"/>
            <w:vAlign w:val="bottom"/>
            <w:tcBorders>
              <w:top w:val="single" w:sz="8" w:color="0000EE"/>
              <w:bottom w:val="single" w:sz="8" w:color="5B89B4"/>
            </w:tcBorders>
          </w:tcPr>
          <w:p>
            <w:pPr>
              <w:spacing w:after="0"/>
              <w:rPr>
                <w:sz w:val="15"/>
                <w:szCs w:val="15"/>
                <w:color w:val="auto"/>
              </w:rPr>
            </w:pPr>
          </w:p>
        </w:tc>
        <w:tc>
          <w:tcPr>
            <w:tcW w:w="680" w:type="dxa"/>
            <w:vAlign w:val="bottom"/>
            <w:tcBorders>
              <w:top w:val="single" w:sz="8" w:color="0000EE"/>
              <w:bottom w:val="single" w:sz="8" w:color="5B89B4"/>
            </w:tcBorders>
          </w:tcPr>
          <w:p>
            <w:pPr>
              <w:spacing w:after="0"/>
              <w:rPr>
                <w:sz w:val="15"/>
                <w:szCs w:val="15"/>
                <w:color w:val="auto"/>
              </w:rPr>
            </w:pPr>
          </w:p>
        </w:tc>
        <w:tc>
          <w:tcPr>
            <w:tcW w:w="180" w:type="dxa"/>
            <w:vAlign w:val="bottom"/>
            <w:tcBorders>
              <w:top w:val="single" w:sz="8" w:color="0000EE"/>
              <w:bottom w:val="single" w:sz="8" w:color="5B89B4"/>
            </w:tcBorders>
          </w:tcPr>
          <w:p>
            <w:pPr>
              <w:spacing w:after="0"/>
              <w:rPr>
                <w:sz w:val="15"/>
                <w:szCs w:val="15"/>
                <w:color w:val="auto"/>
              </w:rPr>
            </w:pPr>
          </w:p>
        </w:tc>
        <w:tc>
          <w:tcPr>
            <w:tcW w:w="680" w:type="dxa"/>
            <w:vAlign w:val="bottom"/>
            <w:tcBorders>
              <w:top w:val="single" w:sz="8" w:color="0000EE"/>
              <w:bottom w:val="single" w:sz="8" w:color="5B89B4"/>
            </w:tcBorders>
          </w:tcPr>
          <w:p>
            <w:pPr>
              <w:spacing w:after="0"/>
              <w:rPr>
                <w:sz w:val="15"/>
                <w:szCs w:val="15"/>
                <w:color w:val="auto"/>
              </w:rPr>
            </w:pPr>
          </w:p>
        </w:tc>
        <w:tc>
          <w:tcPr>
            <w:tcW w:w="520" w:type="dxa"/>
            <w:vAlign w:val="bottom"/>
            <w:tcBorders>
              <w:bottom w:val="single" w:sz="8" w:color="5B89B4"/>
            </w:tcBorders>
          </w:tcPr>
          <w:p>
            <w:pPr>
              <w:spacing w:after="0"/>
              <w:rPr>
                <w:sz w:val="15"/>
                <w:szCs w:val="15"/>
                <w:color w:val="auto"/>
              </w:rPr>
            </w:pPr>
          </w:p>
        </w:tc>
        <w:tc>
          <w:tcPr>
            <w:tcW w:w="880" w:type="dxa"/>
            <w:vAlign w:val="bottom"/>
            <w:tcBorders>
              <w:bottom w:val="single" w:sz="8" w:color="5B89B4"/>
            </w:tcBorders>
          </w:tcPr>
          <w:p>
            <w:pPr>
              <w:spacing w:after="0"/>
              <w:rPr>
                <w:sz w:val="15"/>
                <w:szCs w:val="15"/>
                <w:color w:val="auto"/>
              </w:rPr>
            </w:pPr>
          </w:p>
        </w:tc>
        <w:tc>
          <w:tcPr>
            <w:tcW w:w="40" w:type="dxa"/>
            <w:vAlign w:val="bottom"/>
            <w:tcBorders>
              <w:bottom w:val="single" w:sz="8" w:color="5B89B4"/>
            </w:tcBorders>
          </w:tcPr>
          <w:p>
            <w:pPr>
              <w:spacing w:after="0"/>
              <w:rPr>
                <w:sz w:val="15"/>
                <w:szCs w:val="15"/>
                <w:color w:val="auto"/>
              </w:rPr>
            </w:pPr>
          </w:p>
        </w:tc>
        <w:tc>
          <w:tcPr>
            <w:tcW w:w="780" w:type="dxa"/>
            <w:vAlign w:val="bottom"/>
            <w:tcBorders>
              <w:bottom w:val="single" w:sz="8" w:color="5B89B4"/>
            </w:tcBorders>
          </w:tcPr>
          <w:p>
            <w:pPr>
              <w:spacing w:after="0"/>
              <w:rPr>
                <w:sz w:val="15"/>
                <w:szCs w:val="15"/>
                <w:color w:val="auto"/>
              </w:rPr>
            </w:pPr>
          </w:p>
        </w:tc>
        <w:tc>
          <w:tcPr>
            <w:tcW w:w="920" w:type="dxa"/>
            <w:vAlign w:val="bottom"/>
            <w:tcBorders>
              <w:bottom w:val="single" w:sz="8" w:color="5B89B4"/>
            </w:tcBorders>
          </w:tcPr>
          <w:p>
            <w:pPr>
              <w:spacing w:after="0"/>
              <w:rPr>
                <w:sz w:val="15"/>
                <w:szCs w:val="15"/>
                <w:color w:val="auto"/>
              </w:rPr>
            </w:pPr>
          </w:p>
        </w:tc>
        <w:tc>
          <w:tcPr>
            <w:tcW w:w="1840" w:type="dxa"/>
            <w:vAlign w:val="bottom"/>
            <w:tcBorders>
              <w:bottom w:val="single" w:sz="8" w:color="5B89B4"/>
            </w:tcBorders>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600" w:type="dxa"/>
            <w:vAlign w:val="bottom"/>
            <w:tcBorders>
              <w:bottom w:val="single" w:sz="8" w:color="0000EE"/>
            </w:tcBorders>
            <w:gridSpan w:val="5"/>
          </w:tcPr>
          <w:p>
            <w:pPr>
              <w:spacing w:after="0" w:line="181" w:lineRule="exact"/>
              <w:rPr>
                <w:sz w:val="20"/>
                <w:szCs w:val="20"/>
                <w:color w:val="auto"/>
              </w:rPr>
            </w:pPr>
            <w:r>
              <w:rPr>
                <w:rFonts w:ascii="Arial" w:cs="Arial" w:eastAsia="Arial" w:hAnsi="Arial"/>
                <w:sz w:val="16"/>
                <w:szCs w:val="16"/>
                <w:color w:val="5B89B4"/>
                <w:w w:val="95"/>
              </w:rPr>
              <w:t>PART III</w:t>
            </w:r>
          </w:p>
        </w:tc>
        <w:tc>
          <w:tcPr>
            <w:tcW w:w="82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10</w:t>
            </w:r>
          </w:p>
        </w:tc>
        <w:tc>
          <w:tcPr>
            <w:tcW w:w="7940" w:type="dxa"/>
            <w:vAlign w:val="bottom"/>
            <w:gridSpan w:val="22"/>
          </w:tcPr>
          <w:p>
            <w:pPr>
              <w:spacing w:after="0"/>
              <w:rPr>
                <w:sz w:val="20"/>
                <w:szCs w:val="20"/>
                <w:color w:val="auto"/>
              </w:rPr>
            </w:pPr>
            <w:r>
              <w:rPr>
                <w:rFonts w:ascii="Arial" w:cs="Arial" w:eastAsia="Arial" w:hAnsi="Arial"/>
                <w:sz w:val="16"/>
                <w:szCs w:val="16"/>
                <w:color w:val="231F20"/>
              </w:rPr>
              <w:t>Directors, Executive Officers and Corporate Governance</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89</w:t>
            </w:r>
          </w:p>
        </w:tc>
      </w:tr>
      <w:tr>
        <w:trPr>
          <w:trHeight w:val="20"/>
        </w:trPr>
        <w:tc>
          <w:tcPr>
            <w:tcW w:w="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11</w:t>
            </w:r>
          </w:p>
        </w:tc>
        <w:tc>
          <w:tcPr>
            <w:tcW w:w="7940" w:type="dxa"/>
            <w:vAlign w:val="bottom"/>
            <w:gridSpan w:val="22"/>
          </w:tcPr>
          <w:p>
            <w:pPr>
              <w:spacing w:after="0"/>
              <w:rPr>
                <w:sz w:val="20"/>
                <w:szCs w:val="20"/>
                <w:color w:val="auto"/>
              </w:rPr>
            </w:pPr>
            <w:r>
              <w:rPr>
                <w:rFonts w:ascii="Arial" w:cs="Arial" w:eastAsia="Arial" w:hAnsi="Arial"/>
                <w:sz w:val="16"/>
                <w:szCs w:val="16"/>
                <w:color w:val="231F20"/>
              </w:rPr>
              <w:t>Executive Compensation</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89</w:t>
            </w:r>
          </w:p>
        </w:tc>
      </w:tr>
      <w:tr>
        <w:trPr>
          <w:trHeight w:val="20"/>
        </w:trPr>
        <w:tc>
          <w:tcPr>
            <w:tcW w:w="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12</w:t>
            </w:r>
          </w:p>
        </w:tc>
        <w:tc>
          <w:tcPr>
            <w:tcW w:w="7940" w:type="dxa"/>
            <w:vAlign w:val="bottom"/>
            <w:gridSpan w:val="22"/>
          </w:tcPr>
          <w:p>
            <w:pPr>
              <w:spacing w:after="0"/>
              <w:rPr>
                <w:sz w:val="20"/>
                <w:szCs w:val="20"/>
                <w:color w:val="auto"/>
              </w:rPr>
            </w:pPr>
            <w:r>
              <w:rPr>
                <w:rFonts w:ascii="Arial" w:cs="Arial" w:eastAsia="Arial" w:hAnsi="Arial"/>
                <w:sz w:val="16"/>
                <w:szCs w:val="16"/>
                <w:color w:val="231F20"/>
              </w:rPr>
              <w:t>Security Ownership of Certain Beneficial Owners and Management and Related Stockholder Matters</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90</w:t>
            </w:r>
          </w:p>
        </w:tc>
      </w:tr>
      <w:tr>
        <w:trPr>
          <w:trHeight w:val="20"/>
        </w:trPr>
        <w:tc>
          <w:tcPr>
            <w:tcW w:w="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13</w:t>
            </w:r>
          </w:p>
        </w:tc>
        <w:tc>
          <w:tcPr>
            <w:tcW w:w="7940" w:type="dxa"/>
            <w:vAlign w:val="bottom"/>
            <w:gridSpan w:val="22"/>
          </w:tcPr>
          <w:p>
            <w:pPr>
              <w:spacing w:after="0"/>
              <w:rPr>
                <w:sz w:val="20"/>
                <w:szCs w:val="20"/>
                <w:color w:val="auto"/>
              </w:rPr>
            </w:pPr>
            <w:r>
              <w:rPr>
                <w:rFonts w:ascii="Arial" w:cs="Arial" w:eastAsia="Arial" w:hAnsi="Arial"/>
                <w:sz w:val="16"/>
                <w:szCs w:val="16"/>
                <w:color w:val="231F20"/>
              </w:rPr>
              <w:t>Certain Relationships and Related Transactions, and Director Independence</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90</w:t>
            </w:r>
          </w:p>
        </w:tc>
      </w:tr>
      <w:tr>
        <w:trPr>
          <w:trHeight w:val="20"/>
        </w:trPr>
        <w:tc>
          <w:tcPr>
            <w:tcW w:w="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14</w:t>
            </w:r>
          </w:p>
        </w:tc>
        <w:tc>
          <w:tcPr>
            <w:tcW w:w="7940" w:type="dxa"/>
            <w:vAlign w:val="bottom"/>
            <w:gridSpan w:val="22"/>
          </w:tcPr>
          <w:p>
            <w:pPr>
              <w:spacing w:after="0"/>
              <w:rPr>
                <w:sz w:val="20"/>
                <w:szCs w:val="20"/>
                <w:color w:val="auto"/>
              </w:rPr>
            </w:pPr>
            <w:r>
              <w:rPr>
                <w:rFonts w:ascii="Arial" w:cs="Arial" w:eastAsia="Arial" w:hAnsi="Arial"/>
                <w:sz w:val="16"/>
                <w:szCs w:val="16"/>
                <w:color w:val="231F20"/>
              </w:rPr>
              <w:t>Principal Accounting Fees and Services</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90</w:t>
            </w:r>
          </w:p>
        </w:tc>
      </w:tr>
      <w:tr>
        <w:trPr>
          <w:trHeight w:val="181"/>
        </w:trPr>
        <w:tc>
          <w:tcPr>
            <w:tcW w:w="60" w:type="dxa"/>
            <w:vAlign w:val="bottom"/>
            <w:tcBorders>
              <w:bottom w:val="single" w:sz="8" w:color="5B89B4"/>
            </w:tcBorders>
          </w:tcPr>
          <w:p>
            <w:pPr>
              <w:spacing w:after="0"/>
              <w:rPr>
                <w:sz w:val="15"/>
                <w:szCs w:val="15"/>
                <w:color w:val="auto"/>
              </w:rPr>
            </w:pPr>
          </w:p>
        </w:tc>
        <w:tc>
          <w:tcPr>
            <w:tcW w:w="440" w:type="dxa"/>
            <w:vAlign w:val="bottom"/>
            <w:tcBorders>
              <w:top w:val="single" w:sz="8" w:color="0000EE"/>
              <w:bottom w:val="single" w:sz="8" w:color="5B89B4"/>
            </w:tcBorders>
          </w:tcPr>
          <w:p>
            <w:pPr>
              <w:spacing w:after="0"/>
              <w:rPr>
                <w:sz w:val="15"/>
                <w:szCs w:val="15"/>
                <w:color w:val="auto"/>
              </w:rPr>
            </w:pPr>
          </w:p>
        </w:tc>
        <w:tc>
          <w:tcPr>
            <w:tcW w:w="80" w:type="dxa"/>
            <w:vAlign w:val="bottom"/>
            <w:tcBorders>
              <w:top w:val="single" w:sz="8" w:color="0000EE"/>
              <w:bottom w:val="single" w:sz="8" w:color="5B89B4"/>
            </w:tcBorders>
          </w:tcPr>
          <w:p>
            <w:pPr>
              <w:spacing w:after="0"/>
              <w:rPr>
                <w:sz w:val="15"/>
                <w:szCs w:val="15"/>
                <w:color w:val="auto"/>
              </w:rPr>
            </w:pPr>
          </w:p>
        </w:tc>
        <w:tc>
          <w:tcPr>
            <w:tcW w:w="40" w:type="dxa"/>
            <w:vAlign w:val="bottom"/>
            <w:tcBorders>
              <w:bottom w:val="single" w:sz="8" w:color="5B89B4"/>
            </w:tcBorders>
          </w:tcPr>
          <w:p>
            <w:pPr>
              <w:spacing w:after="0"/>
              <w:rPr>
                <w:sz w:val="15"/>
                <w:szCs w:val="15"/>
                <w:color w:val="auto"/>
              </w:rPr>
            </w:pPr>
          </w:p>
        </w:tc>
        <w:tc>
          <w:tcPr>
            <w:tcW w:w="0" w:type="dxa"/>
            <w:vAlign w:val="bottom"/>
            <w:tcBorders>
              <w:bottom w:val="single" w:sz="8" w:color="5B89B4"/>
            </w:tcBorders>
          </w:tcPr>
          <w:p>
            <w:pPr>
              <w:spacing w:after="0"/>
              <w:rPr>
                <w:sz w:val="15"/>
                <w:szCs w:val="15"/>
                <w:color w:val="auto"/>
              </w:rPr>
            </w:pPr>
          </w:p>
        </w:tc>
        <w:tc>
          <w:tcPr>
            <w:tcW w:w="40" w:type="dxa"/>
            <w:vAlign w:val="bottom"/>
            <w:tcBorders>
              <w:bottom w:val="single" w:sz="8" w:color="5B89B4"/>
            </w:tcBorders>
          </w:tcPr>
          <w:p>
            <w:pPr>
              <w:spacing w:after="0"/>
              <w:rPr>
                <w:sz w:val="15"/>
                <w:szCs w:val="15"/>
                <w:color w:val="auto"/>
              </w:rPr>
            </w:pPr>
          </w:p>
        </w:tc>
        <w:tc>
          <w:tcPr>
            <w:tcW w:w="20" w:type="dxa"/>
            <w:vAlign w:val="bottom"/>
            <w:tcBorders>
              <w:bottom w:val="single" w:sz="8" w:color="5B89B4"/>
            </w:tcBorders>
          </w:tcPr>
          <w:p>
            <w:pPr>
              <w:spacing w:after="0"/>
              <w:rPr>
                <w:sz w:val="15"/>
                <w:szCs w:val="15"/>
                <w:color w:val="auto"/>
              </w:rPr>
            </w:pPr>
          </w:p>
        </w:tc>
        <w:tc>
          <w:tcPr>
            <w:tcW w:w="400" w:type="dxa"/>
            <w:vAlign w:val="bottom"/>
            <w:tcBorders>
              <w:bottom w:val="single" w:sz="8" w:color="5B89B4"/>
            </w:tcBorders>
          </w:tcPr>
          <w:p>
            <w:pPr>
              <w:spacing w:after="0"/>
              <w:rPr>
                <w:sz w:val="15"/>
                <w:szCs w:val="15"/>
                <w:color w:val="auto"/>
              </w:rPr>
            </w:pPr>
          </w:p>
        </w:tc>
        <w:tc>
          <w:tcPr>
            <w:tcW w:w="400" w:type="dxa"/>
            <w:vAlign w:val="bottom"/>
            <w:tcBorders>
              <w:bottom w:val="single" w:sz="8" w:color="5B89B4"/>
            </w:tcBorders>
          </w:tcPr>
          <w:p>
            <w:pPr>
              <w:spacing w:after="0"/>
              <w:rPr>
                <w:sz w:val="15"/>
                <w:szCs w:val="15"/>
                <w:color w:val="auto"/>
              </w:rPr>
            </w:pPr>
          </w:p>
        </w:tc>
        <w:tc>
          <w:tcPr>
            <w:tcW w:w="640" w:type="dxa"/>
            <w:vAlign w:val="bottom"/>
            <w:tcBorders>
              <w:top w:val="single" w:sz="8" w:color="0000EE"/>
              <w:bottom w:val="single" w:sz="8" w:color="5B89B4"/>
            </w:tcBorders>
          </w:tcPr>
          <w:p>
            <w:pPr>
              <w:spacing w:after="0"/>
              <w:rPr>
                <w:sz w:val="15"/>
                <w:szCs w:val="15"/>
                <w:color w:val="auto"/>
              </w:rPr>
            </w:pPr>
          </w:p>
        </w:tc>
        <w:tc>
          <w:tcPr>
            <w:tcW w:w="80" w:type="dxa"/>
            <w:vAlign w:val="bottom"/>
            <w:tcBorders>
              <w:top w:val="single" w:sz="8" w:color="0000EE"/>
              <w:bottom w:val="single" w:sz="8" w:color="5B89B4"/>
            </w:tcBorders>
          </w:tcPr>
          <w:p>
            <w:pPr>
              <w:spacing w:after="0"/>
              <w:rPr>
                <w:sz w:val="15"/>
                <w:szCs w:val="15"/>
                <w:color w:val="auto"/>
              </w:rPr>
            </w:pPr>
          </w:p>
        </w:tc>
        <w:tc>
          <w:tcPr>
            <w:tcW w:w="40" w:type="dxa"/>
            <w:vAlign w:val="bottom"/>
            <w:tcBorders>
              <w:top w:val="single" w:sz="8" w:color="0000EE"/>
              <w:bottom w:val="single" w:sz="8" w:color="5B89B4"/>
            </w:tcBorders>
          </w:tcPr>
          <w:p>
            <w:pPr>
              <w:spacing w:after="0"/>
              <w:rPr>
                <w:sz w:val="15"/>
                <w:szCs w:val="15"/>
                <w:color w:val="auto"/>
              </w:rPr>
            </w:pPr>
          </w:p>
        </w:tc>
        <w:tc>
          <w:tcPr>
            <w:tcW w:w="100" w:type="dxa"/>
            <w:vAlign w:val="bottom"/>
            <w:tcBorders>
              <w:top w:val="single" w:sz="8" w:color="0000EE"/>
              <w:bottom w:val="single" w:sz="8" w:color="5B89B4"/>
            </w:tcBorders>
          </w:tcPr>
          <w:p>
            <w:pPr>
              <w:spacing w:after="0"/>
              <w:rPr>
                <w:sz w:val="15"/>
                <w:szCs w:val="15"/>
                <w:color w:val="auto"/>
              </w:rPr>
            </w:pPr>
          </w:p>
        </w:tc>
        <w:tc>
          <w:tcPr>
            <w:tcW w:w="100" w:type="dxa"/>
            <w:vAlign w:val="bottom"/>
            <w:tcBorders>
              <w:top w:val="single" w:sz="8" w:color="0000EE"/>
              <w:bottom w:val="single" w:sz="8" w:color="5B89B4"/>
            </w:tcBorders>
          </w:tcPr>
          <w:p>
            <w:pPr>
              <w:spacing w:after="0"/>
              <w:rPr>
                <w:sz w:val="15"/>
                <w:szCs w:val="15"/>
                <w:color w:val="auto"/>
              </w:rPr>
            </w:pPr>
          </w:p>
        </w:tc>
        <w:tc>
          <w:tcPr>
            <w:tcW w:w="260" w:type="dxa"/>
            <w:vAlign w:val="bottom"/>
            <w:tcBorders>
              <w:top w:val="single" w:sz="8" w:color="0000EE"/>
              <w:bottom w:val="single" w:sz="8" w:color="5B89B4"/>
            </w:tcBorders>
          </w:tcPr>
          <w:p>
            <w:pPr>
              <w:spacing w:after="0"/>
              <w:rPr>
                <w:sz w:val="15"/>
                <w:szCs w:val="15"/>
                <w:color w:val="auto"/>
              </w:rPr>
            </w:pPr>
          </w:p>
        </w:tc>
        <w:tc>
          <w:tcPr>
            <w:tcW w:w="80" w:type="dxa"/>
            <w:vAlign w:val="bottom"/>
            <w:tcBorders>
              <w:top w:val="single" w:sz="8" w:color="0000EE"/>
              <w:bottom w:val="single" w:sz="8" w:color="5B89B4"/>
            </w:tcBorders>
          </w:tcPr>
          <w:p>
            <w:pPr>
              <w:spacing w:after="0"/>
              <w:rPr>
                <w:sz w:val="15"/>
                <w:szCs w:val="15"/>
                <w:color w:val="auto"/>
              </w:rPr>
            </w:pPr>
          </w:p>
        </w:tc>
        <w:tc>
          <w:tcPr>
            <w:tcW w:w="160" w:type="dxa"/>
            <w:vAlign w:val="bottom"/>
            <w:tcBorders>
              <w:top w:val="single" w:sz="8" w:color="0000EE"/>
              <w:bottom w:val="single" w:sz="8" w:color="5B89B4"/>
            </w:tcBorders>
          </w:tcPr>
          <w:p>
            <w:pPr>
              <w:spacing w:after="0"/>
              <w:rPr>
                <w:sz w:val="15"/>
                <w:szCs w:val="15"/>
                <w:color w:val="auto"/>
              </w:rPr>
            </w:pPr>
          </w:p>
        </w:tc>
        <w:tc>
          <w:tcPr>
            <w:tcW w:w="220" w:type="dxa"/>
            <w:vAlign w:val="bottom"/>
            <w:tcBorders>
              <w:top w:val="single" w:sz="8" w:color="0000EE"/>
              <w:bottom w:val="single" w:sz="8" w:color="5B89B4"/>
            </w:tcBorders>
          </w:tcPr>
          <w:p>
            <w:pPr>
              <w:spacing w:after="0"/>
              <w:rPr>
                <w:sz w:val="15"/>
                <w:szCs w:val="15"/>
                <w:color w:val="auto"/>
              </w:rPr>
            </w:pPr>
          </w:p>
        </w:tc>
        <w:tc>
          <w:tcPr>
            <w:tcW w:w="60" w:type="dxa"/>
            <w:vAlign w:val="bottom"/>
            <w:tcBorders>
              <w:top w:val="single" w:sz="8" w:color="0000EE"/>
              <w:bottom w:val="single" w:sz="8" w:color="5B89B4"/>
            </w:tcBorders>
          </w:tcPr>
          <w:p>
            <w:pPr>
              <w:spacing w:after="0"/>
              <w:rPr>
                <w:sz w:val="15"/>
                <w:szCs w:val="15"/>
                <w:color w:val="auto"/>
              </w:rPr>
            </w:pPr>
          </w:p>
        </w:tc>
        <w:tc>
          <w:tcPr>
            <w:tcW w:w="220" w:type="dxa"/>
            <w:vAlign w:val="bottom"/>
            <w:tcBorders>
              <w:top w:val="single" w:sz="8" w:color="0000EE"/>
              <w:bottom w:val="single" w:sz="8" w:color="5B89B4"/>
            </w:tcBorders>
          </w:tcPr>
          <w:p>
            <w:pPr>
              <w:spacing w:after="0"/>
              <w:rPr>
                <w:sz w:val="15"/>
                <w:szCs w:val="15"/>
                <w:color w:val="auto"/>
              </w:rPr>
            </w:pPr>
          </w:p>
        </w:tc>
        <w:tc>
          <w:tcPr>
            <w:tcW w:w="820" w:type="dxa"/>
            <w:vAlign w:val="bottom"/>
            <w:tcBorders>
              <w:top w:val="single" w:sz="8" w:color="0000EE"/>
              <w:bottom w:val="single" w:sz="8" w:color="5B89B4"/>
            </w:tcBorders>
          </w:tcPr>
          <w:p>
            <w:pPr>
              <w:spacing w:after="0"/>
              <w:rPr>
                <w:sz w:val="15"/>
                <w:szCs w:val="15"/>
                <w:color w:val="auto"/>
              </w:rPr>
            </w:pPr>
          </w:p>
        </w:tc>
        <w:tc>
          <w:tcPr>
            <w:tcW w:w="280" w:type="dxa"/>
            <w:vAlign w:val="bottom"/>
            <w:tcBorders>
              <w:bottom w:val="single" w:sz="8" w:color="5B89B4"/>
            </w:tcBorders>
          </w:tcPr>
          <w:p>
            <w:pPr>
              <w:spacing w:after="0"/>
              <w:rPr>
                <w:sz w:val="15"/>
                <w:szCs w:val="15"/>
                <w:color w:val="auto"/>
              </w:rPr>
            </w:pPr>
          </w:p>
        </w:tc>
        <w:tc>
          <w:tcPr>
            <w:tcW w:w="200" w:type="dxa"/>
            <w:vAlign w:val="bottom"/>
            <w:tcBorders>
              <w:bottom w:val="single" w:sz="8" w:color="5B89B4"/>
            </w:tcBorders>
          </w:tcPr>
          <w:p>
            <w:pPr>
              <w:spacing w:after="0"/>
              <w:rPr>
                <w:sz w:val="15"/>
                <w:szCs w:val="15"/>
                <w:color w:val="auto"/>
              </w:rPr>
            </w:pPr>
          </w:p>
        </w:tc>
        <w:tc>
          <w:tcPr>
            <w:tcW w:w="680" w:type="dxa"/>
            <w:vAlign w:val="bottom"/>
            <w:tcBorders>
              <w:bottom w:val="single" w:sz="8" w:color="5B89B4"/>
            </w:tcBorders>
          </w:tcPr>
          <w:p>
            <w:pPr>
              <w:spacing w:after="0"/>
              <w:rPr>
                <w:sz w:val="15"/>
                <w:szCs w:val="15"/>
                <w:color w:val="auto"/>
              </w:rPr>
            </w:pPr>
          </w:p>
        </w:tc>
        <w:tc>
          <w:tcPr>
            <w:tcW w:w="180" w:type="dxa"/>
            <w:vAlign w:val="bottom"/>
            <w:tcBorders>
              <w:bottom w:val="single" w:sz="8" w:color="5B89B4"/>
            </w:tcBorders>
          </w:tcPr>
          <w:p>
            <w:pPr>
              <w:spacing w:after="0"/>
              <w:rPr>
                <w:sz w:val="15"/>
                <w:szCs w:val="15"/>
                <w:color w:val="auto"/>
              </w:rPr>
            </w:pPr>
          </w:p>
        </w:tc>
        <w:tc>
          <w:tcPr>
            <w:tcW w:w="680" w:type="dxa"/>
            <w:vAlign w:val="bottom"/>
            <w:tcBorders>
              <w:bottom w:val="single" w:sz="8" w:color="5B89B4"/>
            </w:tcBorders>
          </w:tcPr>
          <w:p>
            <w:pPr>
              <w:spacing w:after="0"/>
              <w:rPr>
                <w:sz w:val="15"/>
                <w:szCs w:val="15"/>
                <w:color w:val="auto"/>
              </w:rPr>
            </w:pPr>
          </w:p>
        </w:tc>
        <w:tc>
          <w:tcPr>
            <w:tcW w:w="520" w:type="dxa"/>
            <w:vAlign w:val="bottom"/>
            <w:tcBorders>
              <w:bottom w:val="single" w:sz="8" w:color="5B89B4"/>
            </w:tcBorders>
          </w:tcPr>
          <w:p>
            <w:pPr>
              <w:spacing w:after="0"/>
              <w:rPr>
                <w:sz w:val="15"/>
                <w:szCs w:val="15"/>
                <w:color w:val="auto"/>
              </w:rPr>
            </w:pPr>
          </w:p>
        </w:tc>
        <w:tc>
          <w:tcPr>
            <w:tcW w:w="880" w:type="dxa"/>
            <w:vAlign w:val="bottom"/>
            <w:tcBorders>
              <w:bottom w:val="single" w:sz="8" w:color="5B89B4"/>
            </w:tcBorders>
          </w:tcPr>
          <w:p>
            <w:pPr>
              <w:spacing w:after="0"/>
              <w:rPr>
                <w:sz w:val="15"/>
                <w:szCs w:val="15"/>
                <w:color w:val="auto"/>
              </w:rPr>
            </w:pPr>
          </w:p>
        </w:tc>
        <w:tc>
          <w:tcPr>
            <w:tcW w:w="40" w:type="dxa"/>
            <w:vAlign w:val="bottom"/>
            <w:tcBorders>
              <w:bottom w:val="single" w:sz="8" w:color="5B89B4"/>
            </w:tcBorders>
          </w:tcPr>
          <w:p>
            <w:pPr>
              <w:spacing w:after="0"/>
              <w:rPr>
                <w:sz w:val="15"/>
                <w:szCs w:val="15"/>
                <w:color w:val="auto"/>
              </w:rPr>
            </w:pPr>
          </w:p>
        </w:tc>
        <w:tc>
          <w:tcPr>
            <w:tcW w:w="780" w:type="dxa"/>
            <w:vAlign w:val="bottom"/>
            <w:tcBorders>
              <w:bottom w:val="single" w:sz="8" w:color="5B89B4"/>
            </w:tcBorders>
          </w:tcPr>
          <w:p>
            <w:pPr>
              <w:spacing w:after="0"/>
              <w:rPr>
                <w:sz w:val="15"/>
                <w:szCs w:val="15"/>
                <w:color w:val="auto"/>
              </w:rPr>
            </w:pPr>
          </w:p>
        </w:tc>
        <w:tc>
          <w:tcPr>
            <w:tcW w:w="920" w:type="dxa"/>
            <w:vAlign w:val="bottom"/>
            <w:tcBorders>
              <w:bottom w:val="single" w:sz="8" w:color="5B89B4"/>
            </w:tcBorders>
          </w:tcPr>
          <w:p>
            <w:pPr>
              <w:spacing w:after="0"/>
              <w:rPr>
                <w:sz w:val="15"/>
                <w:szCs w:val="15"/>
                <w:color w:val="auto"/>
              </w:rPr>
            </w:pPr>
          </w:p>
        </w:tc>
        <w:tc>
          <w:tcPr>
            <w:tcW w:w="1840" w:type="dxa"/>
            <w:vAlign w:val="bottom"/>
            <w:tcBorders>
              <w:bottom w:val="single" w:sz="8" w:color="5B89B4"/>
            </w:tcBorders>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620" w:type="dxa"/>
            <w:vAlign w:val="bottom"/>
            <w:tcBorders>
              <w:bottom w:val="single" w:sz="8" w:color="0000EE"/>
            </w:tcBorders>
            <w:gridSpan w:val="6"/>
          </w:tcPr>
          <w:p>
            <w:pPr>
              <w:spacing w:after="0" w:line="181" w:lineRule="exact"/>
              <w:rPr>
                <w:sz w:val="20"/>
                <w:szCs w:val="20"/>
                <w:color w:val="auto"/>
              </w:rPr>
            </w:pPr>
            <w:r>
              <w:rPr>
                <w:rFonts w:ascii="Arial" w:cs="Arial" w:eastAsia="Arial" w:hAnsi="Arial"/>
                <w:sz w:val="16"/>
                <w:szCs w:val="16"/>
                <w:color w:val="5B89B4"/>
                <w:w w:val="96"/>
              </w:rPr>
              <w:t>PART IV</w:t>
            </w:r>
          </w:p>
        </w:tc>
        <w:tc>
          <w:tcPr>
            <w:tcW w:w="80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15</w:t>
            </w:r>
          </w:p>
        </w:tc>
        <w:tc>
          <w:tcPr>
            <w:tcW w:w="7940" w:type="dxa"/>
            <w:vAlign w:val="bottom"/>
            <w:gridSpan w:val="22"/>
          </w:tcPr>
          <w:p>
            <w:pPr>
              <w:spacing w:after="0"/>
              <w:rPr>
                <w:sz w:val="20"/>
                <w:szCs w:val="20"/>
                <w:color w:val="auto"/>
              </w:rPr>
            </w:pPr>
            <w:r>
              <w:rPr>
                <w:rFonts w:ascii="Arial" w:cs="Arial" w:eastAsia="Arial" w:hAnsi="Arial"/>
                <w:sz w:val="16"/>
                <w:szCs w:val="16"/>
                <w:color w:val="231F20"/>
              </w:rPr>
              <w:t>Exhibits and Financial Statement Schedules</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91</w:t>
            </w:r>
          </w:p>
        </w:tc>
      </w:tr>
      <w:tr>
        <w:trPr>
          <w:trHeight w:val="20"/>
        </w:trPr>
        <w:tc>
          <w:tcPr>
            <w:tcW w:w="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Item 16</w:t>
            </w:r>
          </w:p>
        </w:tc>
        <w:tc>
          <w:tcPr>
            <w:tcW w:w="7940" w:type="dxa"/>
            <w:vAlign w:val="bottom"/>
            <w:gridSpan w:val="22"/>
          </w:tcPr>
          <w:p>
            <w:pPr>
              <w:spacing w:after="0"/>
              <w:rPr>
                <w:sz w:val="20"/>
                <w:szCs w:val="20"/>
                <w:color w:val="auto"/>
              </w:rPr>
            </w:pPr>
            <w:r>
              <w:rPr>
                <w:rFonts w:ascii="Arial" w:cs="Arial" w:eastAsia="Arial" w:hAnsi="Arial"/>
                <w:sz w:val="16"/>
                <w:szCs w:val="16"/>
                <w:color w:val="231F20"/>
              </w:rPr>
              <w:t>Form 10-K Summary</w:t>
            </w: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94</w:t>
            </w:r>
          </w:p>
        </w:tc>
      </w:tr>
      <w:tr>
        <w:trPr>
          <w:trHeight w:val="181"/>
        </w:trPr>
        <w:tc>
          <w:tcPr>
            <w:tcW w:w="60" w:type="dxa"/>
            <w:vAlign w:val="bottom"/>
            <w:tcBorders>
              <w:bottom w:val="single" w:sz="8" w:color="5B89B4"/>
            </w:tcBorders>
          </w:tcPr>
          <w:p>
            <w:pPr>
              <w:spacing w:after="0"/>
              <w:rPr>
                <w:sz w:val="15"/>
                <w:szCs w:val="15"/>
                <w:color w:val="auto"/>
              </w:rPr>
            </w:pPr>
          </w:p>
        </w:tc>
        <w:tc>
          <w:tcPr>
            <w:tcW w:w="440" w:type="dxa"/>
            <w:vAlign w:val="bottom"/>
            <w:tcBorders>
              <w:top w:val="single" w:sz="8" w:color="0000EE"/>
              <w:bottom w:val="single" w:sz="8" w:color="5B89B4"/>
            </w:tcBorders>
          </w:tcPr>
          <w:p>
            <w:pPr>
              <w:spacing w:after="0"/>
              <w:rPr>
                <w:sz w:val="15"/>
                <w:szCs w:val="15"/>
                <w:color w:val="auto"/>
              </w:rPr>
            </w:pPr>
          </w:p>
        </w:tc>
        <w:tc>
          <w:tcPr>
            <w:tcW w:w="80" w:type="dxa"/>
            <w:vAlign w:val="bottom"/>
            <w:tcBorders>
              <w:top w:val="single" w:sz="8" w:color="0000EE"/>
              <w:bottom w:val="single" w:sz="8" w:color="5B89B4"/>
            </w:tcBorders>
          </w:tcPr>
          <w:p>
            <w:pPr>
              <w:spacing w:after="0"/>
              <w:rPr>
                <w:sz w:val="15"/>
                <w:szCs w:val="15"/>
                <w:color w:val="auto"/>
              </w:rPr>
            </w:pPr>
          </w:p>
        </w:tc>
        <w:tc>
          <w:tcPr>
            <w:tcW w:w="40" w:type="dxa"/>
            <w:vAlign w:val="bottom"/>
            <w:tcBorders>
              <w:bottom w:val="single" w:sz="8" w:color="5B89B4"/>
            </w:tcBorders>
          </w:tcPr>
          <w:p>
            <w:pPr>
              <w:spacing w:after="0"/>
              <w:rPr>
                <w:sz w:val="15"/>
                <w:szCs w:val="15"/>
                <w:color w:val="auto"/>
              </w:rPr>
            </w:pPr>
          </w:p>
        </w:tc>
        <w:tc>
          <w:tcPr>
            <w:tcW w:w="0" w:type="dxa"/>
            <w:vAlign w:val="bottom"/>
            <w:tcBorders>
              <w:bottom w:val="single" w:sz="8" w:color="5B89B4"/>
            </w:tcBorders>
          </w:tcPr>
          <w:p>
            <w:pPr>
              <w:spacing w:after="0"/>
              <w:rPr>
                <w:sz w:val="15"/>
                <w:szCs w:val="15"/>
                <w:color w:val="auto"/>
              </w:rPr>
            </w:pPr>
          </w:p>
        </w:tc>
        <w:tc>
          <w:tcPr>
            <w:tcW w:w="40" w:type="dxa"/>
            <w:vAlign w:val="bottom"/>
            <w:tcBorders>
              <w:bottom w:val="single" w:sz="8" w:color="5B89B4"/>
            </w:tcBorders>
          </w:tcPr>
          <w:p>
            <w:pPr>
              <w:spacing w:after="0"/>
              <w:rPr>
                <w:sz w:val="15"/>
                <w:szCs w:val="15"/>
                <w:color w:val="auto"/>
              </w:rPr>
            </w:pPr>
          </w:p>
        </w:tc>
        <w:tc>
          <w:tcPr>
            <w:tcW w:w="20" w:type="dxa"/>
            <w:vAlign w:val="bottom"/>
            <w:tcBorders>
              <w:bottom w:val="single" w:sz="8" w:color="5B89B4"/>
            </w:tcBorders>
          </w:tcPr>
          <w:p>
            <w:pPr>
              <w:spacing w:after="0"/>
              <w:rPr>
                <w:sz w:val="15"/>
                <w:szCs w:val="15"/>
                <w:color w:val="auto"/>
              </w:rPr>
            </w:pPr>
          </w:p>
        </w:tc>
        <w:tc>
          <w:tcPr>
            <w:tcW w:w="400" w:type="dxa"/>
            <w:vAlign w:val="bottom"/>
            <w:tcBorders>
              <w:bottom w:val="single" w:sz="8" w:color="5B89B4"/>
            </w:tcBorders>
          </w:tcPr>
          <w:p>
            <w:pPr>
              <w:spacing w:after="0"/>
              <w:rPr>
                <w:sz w:val="15"/>
                <w:szCs w:val="15"/>
                <w:color w:val="auto"/>
              </w:rPr>
            </w:pPr>
          </w:p>
        </w:tc>
        <w:tc>
          <w:tcPr>
            <w:tcW w:w="400" w:type="dxa"/>
            <w:vAlign w:val="bottom"/>
            <w:tcBorders>
              <w:bottom w:val="single" w:sz="8" w:color="5B89B4"/>
            </w:tcBorders>
          </w:tcPr>
          <w:p>
            <w:pPr>
              <w:spacing w:after="0"/>
              <w:rPr>
                <w:sz w:val="15"/>
                <w:szCs w:val="15"/>
                <w:color w:val="auto"/>
              </w:rPr>
            </w:pPr>
          </w:p>
        </w:tc>
        <w:tc>
          <w:tcPr>
            <w:tcW w:w="640" w:type="dxa"/>
            <w:vAlign w:val="bottom"/>
            <w:tcBorders>
              <w:top w:val="single" w:sz="8" w:color="0000EE"/>
              <w:bottom w:val="single" w:sz="8" w:color="5B89B4"/>
            </w:tcBorders>
          </w:tcPr>
          <w:p>
            <w:pPr>
              <w:spacing w:after="0"/>
              <w:rPr>
                <w:sz w:val="15"/>
                <w:szCs w:val="15"/>
                <w:color w:val="auto"/>
              </w:rPr>
            </w:pPr>
          </w:p>
        </w:tc>
        <w:tc>
          <w:tcPr>
            <w:tcW w:w="80" w:type="dxa"/>
            <w:vAlign w:val="bottom"/>
            <w:tcBorders>
              <w:top w:val="single" w:sz="8" w:color="0000EE"/>
              <w:bottom w:val="single" w:sz="8" w:color="5B89B4"/>
            </w:tcBorders>
          </w:tcPr>
          <w:p>
            <w:pPr>
              <w:spacing w:after="0"/>
              <w:rPr>
                <w:sz w:val="15"/>
                <w:szCs w:val="15"/>
                <w:color w:val="auto"/>
              </w:rPr>
            </w:pPr>
          </w:p>
        </w:tc>
        <w:tc>
          <w:tcPr>
            <w:tcW w:w="40" w:type="dxa"/>
            <w:vAlign w:val="bottom"/>
            <w:tcBorders>
              <w:top w:val="single" w:sz="8" w:color="0000EE"/>
              <w:bottom w:val="single" w:sz="8" w:color="5B89B4"/>
            </w:tcBorders>
          </w:tcPr>
          <w:p>
            <w:pPr>
              <w:spacing w:after="0"/>
              <w:rPr>
                <w:sz w:val="15"/>
                <w:szCs w:val="15"/>
                <w:color w:val="auto"/>
              </w:rPr>
            </w:pPr>
          </w:p>
        </w:tc>
        <w:tc>
          <w:tcPr>
            <w:tcW w:w="100" w:type="dxa"/>
            <w:vAlign w:val="bottom"/>
            <w:tcBorders>
              <w:top w:val="single" w:sz="8" w:color="0000EE"/>
              <w:bottom w:val="single" w:sz="8" w:color="5B89B4"/>
            </w:tcBorders>
          </w:tcPr>
          <w:p>
            <w:pPr>
              <w:spacing w:after="0"/>
              <w:rPr>
                <w:sz w:val="15"/>
                <w:szCs w:val="15"/>
                <w:color w:val="auto"/>
              </w:rPr>
            </w:pPr>
          </w:p>
        </w:tc>
        <w:tc>
          <w:tcPr>
            <w:tcW w:w="100" w:type="dxa"/>
            <w:vAlign w:val="bottom"/>
            <w:tcBorders>
              <w:top w:val="single" w:sz="8" w:color="0000EE"/>
              <w:bottom w:val="single" w:sz="8" w:color="5B89B4"/>
            </w:tcBorders>
          </w:tcPr>
          <w:p>
            <w:pPr>
              <w:spacing w:after="0"/>
              <w:rPr>
                <w:sz w:val="15"/>
                <w:szCs w:val="15"/>
                <w:color w:val="auto"/>
              </w:rPr>
            </w:pPr>
          </w:p>
        </w:tc>
        <w:tc>
          <w:tcPr>
            <w:tcW w:w="260" w:type="dxa"/>
            <w:vAlign w:val="bottom"/>
            <w:tcBorders>
              <w:top w:val="single" w:sz="8" w:color="0000EE"/>
              <w:bottom w:val="single" w:sz="8" w:color="5B89B4"/>
            </w:tcBorders>
          </w:tcPr>
          <w:p>
            <w:pPr>
              <w:spacing w:after="0"/>
              <w:rPr>
                <w:sz w:val="15"/>
                <w:szCs w:val="15"/>
                <w:color w:val="auto"/>
              </w:rPr>
            </w:pPr>
          </w:p>
        </w:tc>
        <w:tc>
          <w:tcPr>
            <w:tcW w:w="80" w:type="dxa"/>
            <w:vAlign w:val="bottom"/>
            <w:tcBorders>
              <w:top w:val="single" w:sz="8" w:color="0000EE"/>
              <w:bottom w:val="single" w:sz="8" w:color="5B89B4"/>
            </w:tcBorders>
          </w:tcPr>
          <w:p>
            <w:pPr>
              <w:spacing w:after="0"/>
              <w:rPr>
                <w:sz w:val="15"/>
                <w:szCs w:val="15"/>
                <w:color w:val="auto"/>
              </w:rPr>
            </w:pPr>
          </w:p>
        </w:tc>
        <w:tc>
          <w:tcPr>
            <w:tcW w:w="160" w:type="dxa"/>
            <w:vAlign w:val="bottom"/>
            <w:tcBorders>
              <w:top w:val="single" w:sz="8" w:color="0000EE"/>
              <w:bottom w:val="single" w:sz="8" w:color="5B89B4"/>
            </w:tcBorders>
          </w:tcPr>
          <w:p>
            <w:pPr>
              <w:spacing w:after="0"/>
              <w:rPr>
                <w:sz w:val="15"/>
                <w:szCs w:val="15"/>
                <w:color w:val="auto"/>
              </w:rPr>
            </w:pPr>
          </w:p>
        </w:tc>
        <w:tc>
          <w:tcPr>
            <w:tcW w:w="220" w:type="dxa"/>
            <w:vAlign w:val="bottom"/>
            <w:tcBorders>
              <w:bottom w:val="single" w:sz="8" w:color="5B89B4"/>
            </w:tcBorders>
          </w:tcPr>
          <w:p>
            <w:pPr>
              <w:spacing w:after="0"/>
              <w:rPr>
                <w:sz w:val="15"/>
                <w:szCs w:val="15"/>
                <w:color w:val="auto"/>
              </w:rPr>
            </w:pPr>
          </w:p>
        </w:tc>
        <w:tc>
          <w:tcPr>
            <w:tcW w:w="60" w:type="dxa"/>
            <w:vAlign w:val="bottom"/>
            <w:tcBorders>
              <w:bottom w:val="single" w:sz="8" w:color="5B89B4"/>
            </w:tcBorders>
          </w:tcPr>
          <w:p>
            <w:pPr>
              <w:spacing w:after="0"/>
              <w:rPr>
                <w:sz w:val="15"/>
                <w:szCs w:val="15"/>
                <w:color w:val="auto"/>
              </w:rPr>
            </w:pPr>
          </w:p>
        </w:tc>
        <w:tc>
          <w:tcPr>
            <w:tcW w:w="220" w:type="dxa"/>
            <w:vAlign w:val="bottom"/>
            <w:tcBorders>
              <w:bottom w:val="single" w:sz="8" w:color="5B89B4"/>
            </w:tcBorders>
          </w:tcPr>
          <w:p>
            <w:pPr>
              <w:spacing w:after="0"/>
              <w:rPr>
                <w:sz w:val="15"/>
                <w:szCs w:val="15"/>
                <w:color w:val="auto"/>
              </w:rPr>
            </w:pPr>
          </w:p>
        </w:tc>
        <w:tc>
          <w:tcPr>
            <w:tcW w:w="820" w:type="dxa"/>
            <w:vAlign w:val="bottom"/>
            <w:tcBorders>
              <w:bottom w:val="single" w:sz="8" w:color="5B89B4"/>
            </w:tcBorders>
          </w:tcPr>
          <w:p>
            <w:pPr>
              <w:spacing w:after="0"/>
              <w:rPr>
                <w:sz w:val="15"/>
                <w:szCs w:val="15"/>
                <w:color w:val="auto"/>
              </w:rPr>
            </w:pPr>
          </w:p>
        </w:tc>
        <w:tc>
          <w:tcPr>
            <w:tcW w:w="280" w:type="dxa"/>
            <w:vAlign w:val="bottom"/>
            <w:tcBorders>
              <w:bottom w:val="single" w:sz="8" w:color="5B89B4"/>
            </w:tcBorders>
          </w:tcPr>
          <w:p>
            <w:pPr>
              <w:spacing w:after="0"/>
              <w:rPr>
                <w:sz w:val="15"/>
                <w:szCs w:val="15"/>
                <w:color w:val="auto"/>
              </w:rPr>
            </w:pPr>
          </w:p>
        </w:tc>
        <w:tc>
          <w:tcPr>
            <w:tcW w:w="200" w:type="dxa"/>
            <w:vAlign w:val="bottom"/>
            <w:tcBorders>
              <w:bottom w:val="single" w:sz="8" w:color="5B89B4"/>
            </w:tcBorders>
          </w:tcPr>
          <w:p>
            <w:pPr>
              <w:spacing w:after="0"/>
              <w:rPr>
                <w:sz w:val="15"/>
                <w:szCs w:val="15"/>
                <w:color w:val="auto"/>
              </w:rPr>
            </w:pPr>
          </w:p>
        </w:tc>
        <w:tc>
          <w:tcPr>
            <w:tcW w:w="680" w:type="dxa"/>
            <w:vAlign w:val="bottom"/>
            <w:tcBorders>
              <w:bottom w:val="single" w:sz="8" w:color="5B89B4"/>
            </w:tcBorders>
          </w:tcPr>
          <w:p>
            <w:pPr>
              <w:spacing w:after="0"/>
              <w:rPr>
                <w:sz w:val="15"/>
                <w:szCs w:val="15"/>
                <w:color w:val="auto"/>
              </w:rPr>
            </w:pPr>
          </w:p>
        </w:tc>
        <w:tc>
          <w:tcPr>
            <w:tcW w:w="180" w:type="dxa"/>
            <w:vAlign w:val="bottom"/>
            <w:tcBorders>
              <w:bottom w:val="single" w:sz="8" w:color="5B89B4"/>
            </w:tcBorders>
          </w:tcPr>
          <w:p>
            <w:pPr>
              <w:spacing w:after="0"/>
              <w:rPr>
                <w:sz w:val="15"/>
                <w:szCs w:val="15"/>
                <w:color w:val="auto"/>
              </w:rPr>
            </w:pPr>
          </w:p>
        </w:tc>
        <w:tc>
          <w:tcPr>
            <w:tcW w:w="680" w:type="dxa"/>
            <w:vAlign w:val="bottom"/>
            <w:tcBorders>
              <w:bottom w:val="single" w:sz="8" w:color="5B89B4"/>
            </w:tcBorders>
          </w:tcPr>
          <w:p>
            <w:pPr>
              <w:spacing w:after="0"/>
              <w:rPr>
                <w:sz w:val="15"/>
                <w:szCs w:val="15"/>
                <w:color w:val="auto"/>
              </w:rPr>
            </w:pPr>
          </w:p>
        </w:tc>
        <w:tc>
          <w:tcPr>
            <w:tcW w:w="520" w:type="dxa"/>
            <w:vAlign w:val="bottom"/>
            <w:tcBorders>
              <w:bottom w:val="single" w:sz="8" w:color="5B89B4"/>
            </w:tcBorders>
          </w:tcPr>
          <w:p>
            <w:pPr>
              <w:spacing w:after="0"/>
              <w:rPr>
                <w:sz w:val="15"/>
                <w:szCs w:val="15"/>
                <w:color w:val="auto"/>
              </w:rPr>
            </w:pPr>
          </w:p>
        </w:tc>
        <w:tc>
          <w:tcPr>
            <w:tcW w:w="880" w:type="dxa"/>
            <w:vAlign w:val="bottom"/>
            <w:tcBorders>
              <w:bottom w:val="single" w:sz="8" w:color="5B89B4"/>
            </w:tcBorders>
          </w:tcPr>
          <w:p>
            <w:pPr>
              <w:spacing w:after="0"/>
              <w:rPr>
                <w:sz w:val="15"/>
                <w:szCs w:val="15"/>
                <w:color w:val="auto"/>
              </w:rPr>
            </w:pPr>
          </w:p>
        </w:tc>
        <w:tc>
          <w:tcPr>
            <w:tcW w:w="40" w:type="dxa"/>
            <w:vAlign w:val="bottom"/>
            <w:tcBorders>
              <w:bottom w:val="single" w:sz="8" w:color="5B89B4"/>
            </w:tcBorders>
          </w:tcPr>
          <w:p>
            <w:pPr>
              <w:spacing w:after="0"/>
              <w:rPr>
                <w:sz w:val="15"/>
                <w:szCs w:val="15"/>
                <w:color w:val="auto"/>
              </w:rPr>
            </w:pPr>
          </w:p>
        </w:tc>
        <w:tc>
          <w:tcPr>
            <w:tcW w:w="780" w:type="dxa"/>
            <w:vAlign w:val="bottom"/>
            <w:tcBorders>
              <w:bottom w:val="single" w:sz="8" w:color="5B89B4"/>
            </w:tcBorders>
          </w:tcPr>
          <w:p>
            <w:pPr>
              <w:spacing w:after="0"/>
              <w:rPr>
                <w:sz w:val="15"/>
                <w:szCs w:val="15"/>
                <w:color w:val="auto"/>
              </w:rPr>
            </w:pPr>
          </w:p>
        </w:tc>
        <w:tc>
          <w:tcPr>
            <w:tcW w:w="920" w:type="dxa"/>
            <w:vAlign w:val="bottom"/>
            <w:tcBorders>
              <w:bottom w:val="single" w:sz="8" w:color="5B89B4"/>
            </w:tcBorders>
          </w:tcPr>
          <w:p>
            <w:pPr>
              <w:spacing w:after="0"/>
              <w:rPr>
                <w:sz w:val="15"/>
                <w:szCs w:val="15"/>
                <w:color w:val="auto"/>
              </w:rPr>
            </w:pPr>
          </w:p>
        </w:tc>
        <w:tc>
          <w:tcPr>
            <w:tcW w:w="1840" w:type="dxa"/>
            <w:vAlign w:val="bottom"/>
            <w:tcBorders>
              <w:bottom w:val="single" w:sz="8" w:color="5B89B4"/>
            </w:tcBorders>
          </w:tcPr>
          <w:p>
            <w:pPr>
              <w:spacing w:after="0"/>
              <w:rPr>
                <w:sz w:val="15"/>
                <w:szCs w:val="15"/>
                <w:color w:val="auto"/>
              </w:rPr>
            </w:pPr>
          </w:p>
        </w:tc>
      </w:tr>
      <w:tr>
        <w:trPr>
          <w:trHeight w:val="205"/>
        </w:trPr>
        <w:tc>
          <w:tcPr>
            <w:tcW w:w="60" w:type="dxa"/>
            <w:vAlign w:val="bottom"/>
          </w:tcPr>
          <w:p>
            <w:pPr>
              <w:spacing w:after="0"/>
              <w:rPr>
                <w:sz w:val="17"/>
                <w:szCs w:val="17"/>
                <w:color w:val="auto"/>
              </w:rPr>
            </w:pPr>
          </w:p>
        </w:tc>
        <w:tc>
          <w:tcPr>
            <w:tcW w:w="1420" w:type="dxa"/>
            <w:vAlign w:val="bottom"/>
            <w:gridSpan w:val="8"/>
          </w:tcPr>
          <w:p>
            <w:pPr>
              <w:spacing w:after="0"/>
              <w:rPr>
                <w:sz w:val="20"/>
                <w:szCs w:val="20"/>
                <w:color w:val="auto"/>
              </w:rPr>
            </w:pPr>
            <w:r>
              <w:rPr>
                <w:rFonts w:ascii="Arial" w:cs="Arial" w:eastAsia="Arial" w:hAnsi="Arial"/>
                <w:sz w:val="16"/>
                <w:szCs w:val="16"/>
                <w:color w:val="231F20"/>
              </w:rPr>
              <w:t>SIGNATURES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jc w:val="center"/>
              <w:ind w:left="982"/>
              <w:spacing w:after="0"/>
              <w:rPr>
                <w:sz w:val="20"/>
                <w:szCs w:val="20"/>
                <w:color w:val="auto"/>
              </w:rPr>
            </w:pPr>
            <w:r>
              <w:rPr>
                <w:rFonts w:ascii="Arial" w:cs="Arial" w:eastAsia="Arial" w:hAnsi="Arial"/>
                <w:sz w:val="16"/>
                <w:szCs w:val="16"/>
                <w:color w:val="231F20"/>
              </w:rPr>
              <w:t>95</w:t>
            </w:r>
          </w:p>
        </w:tc>
      </w:tr>
      <w:tr>
        <w:trPr>
          <w:trHeight w:val="181"/>
        </w:trPr>
        <w:tc>
          <w:tcPr>
            <w:tcW w:w="60" w:type="dxa"/>
            <w:vAlign w:val="bottom"/>
            <w:tcBorders>
              <w:bottom w:val="single" w:sz="8" w:color="5B89B4"/>
            </w:tcBorders>
          </w:tcPr>
          <w:p>
            <w:pPr>
              <w:spacing w:after="0"/>
              <w:rPr>
                <w:sz w:val="15"/>
                <w:szCs w:val="15"/>
                <w:color w:val="auto"/>
              </w:rPr>
            </w:pPr>
          </w:p>
        </w:tc>
        <w:tc>
          <w:tcPr>
            <w:tcW w:w="440" w:type="dxa"/>
            <w:vAlign w:val="bottom"/>
            <w:tcBorders>
              <w:top w:val="single" w:sz="8" w:color="0000EE"/>
              <w:bottom w:val="single" w:sz="8" w:color="5B89B4"/>
            </w:tcBorders>
          </w:tcPr>
          <w:p>
            <w:pPr>
              <w:spacing w:after="0"/>
              <w:rPr>
                <w:sz w:val="15"/>
                <w:szCs w:val="15"/>
                <w:color w:val="auto"/>
              </w:rPr>
            </w:pPr>
          </w:p>
        </w:tc>
        <w:tc>
          <w:tcPr>
            <w:tcW w:w="80" w:type="dxa"/>
            <w:vAlign w:val="bottom"/>
            <w:tcBorders>
              <w:top w:val="single" w:sz="8" w:color="0000EE"/>
              <w:bottom w:val="single" w:sz="8" w:color="5B89B4"/>
            </w:tcBorders>
          </w:tcPr>
          <w:p>
            <w:pPr>
              <w:spacing w:after="0"/>
              <w:rPr>
                <w:sz w:val="15"/>
                <w:szCs w:val="15"/>
                <w:color w:val="auto"/>
              </w:rPr>
            </w:pPr>
          </w:p>
        </w:tc>
        <w:tc>
          <w:tcPr>
            <w:tcW w:w="40" w:type="dxa"/>
            <w:vAlign w:val="bottom"/>
            <w:tcBorders>
              <w:top w:val="single" w:sz="8" w:color="0000EE"/>
              <w:bottom w:val="single" w:sz="8" w:color="5B89B4"/>
            </w:tcBorders>
          </w:tcPr>
          <w:p>
            <w:pPr>
              <w:spacing w:after="0"/>
              <w:rPr>
                <w:sz w:val="15"/>
                <w:szCs w:val="15"/>
                <w:color w:val="auto"/>
              </w:rPr>
            </w:pPr>
          </w:p>
        </w:tc>
        <w:tc>
          <w:tcPr>
            <w:tcW w:w="0" w:type="dxa"/>
            <w:vAlign w:val="bottom"/>
            <w:tcBorders>
              <w:top w:val="single" w:sz="8" w:color="0000EE"/>
              <w:bottom w:val="single" w:sz="8" w:color="5B89B4"/>
            </w:tcBorders>
          </w:tcPr>
          <w:p>
            <w:pPr>
              <w:spacing w:after="0"/>
              <w:rPr>
                <w:sz w:val="15"/>
                <w:szCs w:val="15"/>
                <w:color w:val="auto"/>
              </w:rPr>
            </w:pPr>
          </w:p>
        </w:tc>
        <w:tc>
          <w:tcPr>
            <w:tcW w:w="40" w:type="dxa"/>
            <w:vAlign w:val="bottom"/>
            <w:tcBorders>
              <w:top w:val="single" w:sz="8" w:color="0000EE"/>
              <w:bottom w:val="single" w:sz="8" w:color="5B89B4"/>
            </w:tcBorders>
          </w:tcPr>
          <w:p>
            <w:pPr>
              <w:spacing w:after="0"/>
              <w:rPr>
                <w:sz w:val="15"/>
                <w:szCs w:val="15"/>
                <w:color w:val="auto"/>
              </w:rPr>
            </w:pPr>
          </w:p>
        </w:tc>
        <w:tc>
          <w:tcPr>
            <w:tcW w:w="20" w:type="dxa"/>
            <w:vAlign w:val="bottom"/>
            <w:tcBorders>
              <w:top w:val="single" w:sz="8" w:color="0000EE"/>
              <w:bottom w:val="single" w:sz="8" w:color="5B89B4"/>
            </w:tcBorders>
          </w:tcPr>
          <w:p>
            <w:pPr>
              <w:spacing w:after="0"/>
              <w:rPr>
                <w:sz w:val="15"/>
                <w:szCs w:val="15"/>
                <w:color w:val="auto"/>
              </w:rPr>
            </w:pPr>
          </w:p>
        </w:tc>
        <w:tc>
          <w:tcPr>
            <w:tcW w:w="400" w:type="dxa"/>
            <w:vAlign w:val="bottom"/>
            <w:tcBorders>
              <w:top w:val="single" w:sz="8" w:color="0000EE"/>
              <w:bottom w:val="single" w:sz="8" w:color="5B89B4"/>
            </w:tcBorders>
          </w:tcPr>
          <w:p>
            <w:pPr>
              <w:spacing w:after="0"/>
              <w:rPr>
                <w:sz w:val="15"/>
                <w:szCs w:val="15"/>
                <w:color w:val="auto"/>
              </w:rPr>
            </w:pPr>
          </w:p>
        </w:tc>
        <w:tc>
          <w:tcPr>
            <w:tcW w:w="400" w:type="dxa"/>
            <w:vAlign w:val="bottom"/>
            <w:tcBorders>
              <w:bottom w:val="single" w:sz="8" w:color="5B89B4"/>
            </w:tcBorders>
          </w:tcPr>
          <w:p>
            <w:pPr>
              <w:spacing w:after="0"/>
              <w:rPr>
                <w:sz w:val="15"/>
                <w:szCs w:val="15"/>
                <w:color w:val="auto"/>
              </w:rPr>
            </w:pPr>
          </w:p>
        </w:tc>
        <w:tc>
          <w:tcPr>
            <w:tcW w:w="640" w:type="dxa"/>
            <w:vAlign w:val="bottom"/>
            <w:tcBorders>
              <w:bottom w:val="single" w:sz="8" w:color="5B89B4"/>
            </w:tcBorders>
          </w:tcPr>
          <w:p>
            <w:pPr>
              <w:spacing w:after="0"/>
              <w:rPr>
                <w:sz w:val="15"/>
                <w:szCs w:val="15"/>
                <w:color w:val="auto"/>
              </w:rPr>
            </w:pPr>
          </w:p>
        </w:tc>
        <w:tc>
          <w:tcPr>
            <w:tcW w:w="80" w:type="dxa"/>
            <w:vAlign w:val="bottom"/>
            <w:tcBorders>
              <w:bottom w:val="single" w:sz="8" w:color="5B89B4"/>
            </w:tcBorders>
          </w:tcPr>
          <w:p>
            <w:pPr>
              <w:spacing w:after="0"/>
              <w:rPr>
                <w:sz w:val="15"/>
                <w:szCs w:val="15"/>
                <w:color w:val="auto"/>
              </w:rPr>
            </w:pPr>
          </w:p>
        </w:tc>
        <w:tc>
          <w:tcPr>
            <w:tcW w:w="40" w:type="dxa"/>
            <w:vAlign w:val="bottom"/>
            <w:tcBorders>
              <w:bottom w:val="single" w:sz="8" w:color="5B89B4"/>
            </w:tcBorders>
          </w:tcPr>
          <w:p>
            <w:pPr>
              <w:spacing w:after="0"/>
              <w:rPr>
                <w:sz w:val="15"/>
                <w:szCs w:val="15"/>
                <w:color w:val="auto"/>
              </w:rPr>
            </w:pPr>
          </w:p>
        </w:tc>
        <w:tc>
          <w:tcPr>
            <w:tcW w:w="100" w:type="dxa"/>
            <w:vAlign w:val="bottom"/>
            <w:tcBorders>
              <w:bottom w:val="single" w:sz="8" w:color="5B89B4"/>
            </w:tcBorders>
          </w:tcPr>
          <w:p>
            <w:pPr>
              <w:spacing w:after="0"/>
              <w:rPr>
                <w:sz w:val="15"/>
                <w:szCs w:val="15"/>
                <w:color w:val="auto"/>
              </w:rPr>
            </w:pPr>
          </w:p>
        </w:tc>
        <w:tc>
          <w:tcPr>
            <w:tcW w:w="100" w:type="dxa"/>
            <w:vAlign w:val="bottom"/>
            <w:tcBorders>
              <w:bottom w:val="single" w:sz="8" w:color="5B89B4"/>
            </w:tcBorders>
          </w:tcPr>
          <w:p>
            <w:pPr>
              <w:spacing w:after="0"/>
              <w:rPr>
                <w:sz w:val="15"/>
                <w:szCs w:val="15"/>
                <w:color w:val="auto"/>
              </w:rPr>
            </w:pPr>
          </w:p>
        </w:tc>
        <w:tc>
          <w:tcPr>
            <w:tcW w:w="260" w:type="dxa"/>
            <w:vAlign w:val="bottom"/>
            <w:tcBorders>
              <w:bottom w:val="single" w:sz="8" w:color="5B89B4"/>
            </w:tcBorders>
          </w:tcPr>
          <w:p>
            <w:pPr>
              <w:spacing w:after="0"/>
              <w:rPr>
                <w:sz w:val="15"/>
                <w:szCs w:val="15"/>
                <w:color w:val="auto"/>
              </w:rPr>
            </w:pPr>
          </w:p>
        </w:tc>
        <w:tc>
          <w:tcPr>
            <w:tcW w:w="80" w:type="dxa"/>
            <w:vAlign w:val="bottom"/>
            <w:tcBorders>
              <w:bottom w:val="single" w:sz="8" w:color="5B89B4"/>
            </w:tcBorders>
          </w:tcPr>
          <w:p>
            <w:pPr>
              <w:spacing w:after="0"/>
              <w:rPr>
                <w:sz w:val="15"/>
                <w:szCs w:val="15"/>
                <w:color w:val="auto"/>
              </w:rPr>
            </w:pPr>
          </w:p>
        </w:tc>
        <w:tc>
          <w:tcPr>
            <w:tcW w:w="160" w:type="dxa"/>
            <w:vAlign w:val="bottom"/>
            <w:tcBorders>
              <w:bottom w:val="single" w:sz="8" w:color="5B89B4"/>
            </w:tcBorders>
          </w:tcPr>
          <w:p>
            <w:pPr>
              <w:spacing w:after="0"/>
              <w:rPr>
                <w:sz w:val="15"/>
                <w:szCs w:val="15"/>
                <w:color w:val="auto"/>
              </w:rPr>
            </w:pPr>
          </w:p>
        </w:tc>
        <w:tc>
          <w:tcPr>
            <w:tcW w:w="220" w:type="dxa"/>
            <w:vAlign w:val="bottom"/>
            <w:tcBorders>
              <w:bottom w:val="single" w:sz="8" w:color="5B89B4"/>
            </w:tcBorders>
          </w:tcPr>
          <w:p>
            <w:pPr>
              <w:spacing w:after="0"/>
              <w:rPr>
                <w:sz w:val="15"/>
                <w:szCs w:val="15"/>
                <w:color w:val="auto"/>
              </w:rPr>
            </w:pPr>
          </w:p>
        </w:tc>
        <w:tc>
          <w:tcPr>
            <w:tcW w:w="60" w:type="dxa"/>
            <w:vAlign w:val="bottom"/>
            <w:tcBorders>
              <w:bottom w:val="single" w:sz="8" w:color="5B89B4"/>
            </w:tcBorders>
          </w:tcPr>
          <w:p>
            <w:pPr>
              <w:spacing w:after="0"/>
              <w:rPr>
                <w:sz w:val="15"/>
                <w:szCs w:val="15"/>
                <w:color w:val="auto"/>
              </w:rPr>
            </w:pPr>
          </w:p>
        </w:tc>
        <w:tc>
          <w:tcPr>
            <w:tcW w:w="220" w:type="dxa"/>
            <w:vAlign w:val="bottom"/>
            <w:tcBorders>
              <w:bottom w:val="single" w:sz="8" w:color="5B89B4"/>
            </w:tcBorders>
          </w:tcPr>
          <w:p>
            <w:pPr>
              <w:spacing w:after="0"/>
              <w:rPr>
                <w:sz w:val="15"/>
                <w:szCs w:val="15"/>
                <w:color w:val="auto"/>
              </w:rPr>
            </w:pPr>
          </w:p>
        </w:tc>
        <w:tc>
          <w:tcPr>
            <w:tcW w:w="820" w:type="dxa"/>
            <w:vAlign w:val="bottom"/>
            <w:tcBorders>
              <w:bottom w:val="single" w:sz="8" w:color="5B89B4"/>
            </w:tcBorders>
          </w:tcPr>
          <w:p>
            <w:pPr>
              <w:spacing w:after="0"/>
              <w:rPr>
                <w:sz w:val="15"/>
                <w:szCs w:val="15"/>
                <w:color w:val="auto"/>
              </w:rPr>
            </w:pPr>
          </w:p>
        </w:tc>
        <w:tc>
          <w:tcPr>
            <w:tcW w:w="280" w:type="dxa"/>
            <w:vAlign w:val="bottom"/>
            <w:tcBorders>
              <w:bottom w:val="single" w:sz="8" w:color="5B89B4"/>
            </w:tcBorders>
          </w:tcPr>
          <w:p>
            <w:pPr>
              <w:spacing w:after="0"/>
              <w:rPr>
                <w:sz w:val="15"/>
                <w:szCs w:val="15"/>
                <w:color w:val="auto"/>
              </w:rPr>
            </w:pPr>
          </w:p>
        </w:tc>
        <w:tc>
          <w:tcPr>
            <w:tcW w:w="200" w:type="dxa"/>
            <w:vAlign w:val="bottom"/>
            <w:tcBorders>
              <w:bottom w:val="single" w:sz="8" w:color="5B89B4"/>
            </w:tcBorders>
          </w:tcPr>
          <w:p>
            <w:pPr>
              <w:spacing w:after="0"/>
              <w:rPr>
                <w:sz w:val="15"/>
                <w:szCs w:val="15"/>
                <w:color w:val="auto"/>
              </w:rPr>
            </w:pPr>
          </w:p>
        </w:tc>
        <w:tc>
          <w:tcPr>
            <w:tcW w:w="680" w:type="dxa"/>
            <w:vAlign w:val="bottom"/>
            <w:tcBorders>
              <w:bottom w:val="single" w:sz="8" w:color="5B89B4"/>
            </w:tcBorders>
          </w:tcPr>
          <w:p>
            <w:pPr>
              <w:spacing w:after="0"/>
              <w:rPr>
                <w:sz w:val="15"/>
                <w:szCs w:val="15"/>
                <w:color w:val="auto"/>
              </w:rPr>
            </w:pPr>
          </w:p>
        </w:tc>
        <w:tc>
          <w:tcPr>
            <w:tcW w:w="180" w:type="dxa"/>
            <w:vAlign w:val="bottom"/>
            <w:tcBorders>
              <w:bottom w:val="single" w:sz="8" w:color="5B89B4"/>
            </w:tcBorders>
          </w:tcPr>
          <w:p>
            <w:pPr>
              <w:spacing w:after="0"/>
              <w:rPr>
                <w:sz w:val="15"/>
                <w:szCs w:val="15"/>
                <w:color w:val="auto"/>
              </w:rPr>
            </w:pPr>
          </w:p>
        </w:tc>
        <w:tc>
          <w:tcPr>
            <w:tcW w:w="680" w:type="dxa"/>
            <w:vAlign w:val="bottom"/>
            <w:tcBorders>
              <w:bottom w:val="single" w:sz="8" w:color="5B89B4"/>
            </w:tcBorders>
          </w:tcPr>
          <w:p>
            <w:pPr>
              <w:spacing w:after="0"/>
              <w:rPr>
                <w:sz w:val="15"/>
                <w:szCs w:val="15"/>
                <w:color w:val="auto"/>
              </w:rPr>
            </w:pPr>
          </w:p>
        </w:tc>
        <w:tc>
          <w:tcPr>
            <w:tcW w:w="520" w:type="dxa"/>
            <w:vAlign w:val="bottom"/>
            <w:tcBorders>
              <w:bottom w:val="single" w:sz="8" w:color="5B89B4"/>
            </w:tcBorders>
          </w:tcPr>
          <w:p>
            <w:pPr>
              <w:spacing w:after="0"/>
              <w:rPr>
                <w:sz w:val="15"/>
                <w:szCs w:val="15"/>
                <w:color w:val="auto"/>
              </w:rPr>
            </w:pPr>
          </w:p>
        </w:tc>
        <w:tc>
          <w:tcPr>
            <w:tcW w:w="880" w:type="dxa"/>
            <w:vAlign w:val="bottom"/>
            <w:tcBorders>
              <w:bottom w:val="single" w:sz="8" w:color="5B89B4"/>
            </w:tcBorders>
          </w:tcPr>
          <w:p>
            <w:pPr>
              <w:spacing w:after="0"/>
              <w:rPr>
                <w:sz w:val="15"/>
                <w:szCs w:val="15"/>
                <w:color w:val="auto"/>
              </w:rPr>
            </w:pPr>
          </w:p>
        </w:tc>
        <w:tc>
          <w:tcPr>
            <w:tcW w:w="40" w:type="dxa"/>
            <w:vAlign w:val="bottom"/>
            <w:tcBorders>
              <w:bottom w:val="single" w:sz="8" w:color="5B89B4"/>
            </w:tcBorders>
          </w:tcPr>
          <w:p>
            <w:pPr>
              <w:spacing w:after="0"/>
              <w:rPr>
                <w:sz w:val="15"/>
                <w:szCs w:val="15"/>
                <w:color w:val="auto"/>
              </w:rPr>
            </w:pPr>
          </w:p>
        </w:tc>
        <w:tc>
          <w:tcPr>
            <w:tcW w:w="780" w:type="dxa"/>
            <w:vAlign w:val="bottom"/>
            <w:tcBorders>
              <w:bottom w:val="single" w:sz="8" w:color="5B89B4"/>
            </w:tcBorders>
          </w:tcPr>
          <w:p>
            <w:pPr>
              <w:spacing w:after="0"/>
              <w:rPr>
                <w:sz w:val="15"/>
                <w:szCs w:val="15"/>
                <w:color w:val="auto"/>
              </w:rPr>
            </w:pPr>
          </w:p>
        </w:tc>
        <w:tc>
          <w:tcPr>
            <w:tcW w:w="920" w:type="dxa"/>
            <w:vAlign w:val="bottom"/>
            <w:tcBorders>
              <w:bottom w:val="single" w:sz="8" w:color="5B89B4"/>
            </w:tcBorders>
          </w:tcPr>
          <w:p>
            <w:pPr>
              <w:spacing w:after="0"/>
              <w:rPr>
                <w:sz w:val="15"/>
                <w:szCs w:val="15"/>
                <w:color w:val="auto"/>
              </w:rPr>
            </w:pPr>
          </w:p>
        </w:tc>
        <w:tc>
          <w:tcPr>
            <w:tcW w:w="1840" w:type="dxa"/>
            <w:vAlign w:val="bottom"/>
            <w:tcBorders>
              <w:bottom w:val="single" w:sz="8" w:color="5B89B4"/>
            </w:tcBorders>
          </w:tcPr>
          <w:p>
            <w:pPr>
              <w:spacing w:after="0"/>
              <w:rPr>
                <w:sz w:val="15"/>
                <w:szCs w:val="15"/>
                <w:color w:val="auto"/>
              </w:rPr>
            </w:pPr>
          </w:p>
        </w:tc>
      </w:tr>
      <w:tr>
        <w:trPr>
          <w:trHeight w:val="1036"/>
        </w:trPr>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2" w:name="page3"/>
    <w:bookmarkEnd w:id="2"/>
    <w:p>
      <w:pPr>
        <w:ind w:left="1080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36"/>
          <w:szCs w:val="36"/>
          <w:color w:val="5B89B4"/>
        </w:rPr>
        <w:t>PART 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231F20"/>
        </w:rPr>
        <w:t>The terms “we,” “our,” “us,” "ManpowerGroup," or “the Company” refer to ManpowerGroup Inc. and its consolidated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Item 1. Business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Introduction and History</w:t>
      </w:r>
    </w:p>
    <w:p>
      <w:pPr>
        <w:spacing w:after="0" w:line="8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ManpowerGroup Inc. is a global leader in innovative workforce solutions. Through our network of over 2,100 offices in approximately 75 countries and territories, we put millions of people to work each year with our global, multinational and local clients across all major industry segments. Our strong and distinct brands provide specialized solutions that drive organizations forward, accelerate individual success and help build more sustainable communities. We power the future of work.</w:t>
      </w:r>
    </w:p>
    <w:p>
      <w:pPr>
        <w:spacing w:after="0" w:line="12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By offering a comprehensive range of workforce solutions and services, we help companies improve strategy, quality, and efficiency, increase productivity and reduce costs across their workforce to achieve their business goals. ManpowerGroup’s offerings of innovative workforce solutions and services includes:</w:t>
      </w:r>
    </w:p>
    <w:p>
      <w:pPr>
        <w:spacing w:after="0" w:line="49" w:lineRule="exact"/>
        <w:rPr>
          <w:sz w:val="20"/>
          <w:szCs w:val="20"/>
          <w:color w:val="auto"/>
        </w:rPr>
      </w:pPr>
    </w:p>
    <w:p>
      <w:pPr>
        <w:jc w:val="both"/>
        <w:ind w:left="520" w:right="20" w:hanging="315"/>
        <w:spacing w:after="0" w:line="247" w:lineRule="auto"/>
        <w:tabs>
          <w:tab w:leader="none" w:pos="520" w:val="left"/>
        </w:tabs>
        <w:numPr>
          <w:ilvl w:val="0"/>
          <w:numId w:val="3"/>
        </w:numPr>
        <w:rPr>
          <w:rFonts w:ascii="Times New Roman" w:cs="Times New Roman" w:eastAsia="Times New Roman" w:hAnsi="Times New Roman"/>
          <w:sz w:val="16"/>
          <w:szCs w:val="16"/>
          <w:color w:val="5B89B4"/>
        </w:rPr>
      </w:pPr>
      <w:r>
        <w:rPr>
          <w:rFonts w:ascii="Arial" w:cs="Arial" w:eastAsia="Arial" w:hAnsi="Arial"/>
          <w:sz w:val="16"/>
          <w:szCs w:val="16"/>
          <w:b w:val="1"/>
          <w:bCs w:val="1"/>
          <w:color w:val="231F20"/>
        </w:rPr>
        <w:t xml:space="preserve">Recruitment and Assessment </w:t>
      </w:r>
      <w:r>
        <w:rPr>
          <w:rFonts w:ascii="Arial" w:cs="Arial" w:eastAsia="Arial" w:hAnsi="Arial"/>
          <w:sz w:val="16"/>
          <w:szCs w:val="16"/>
          <w:color w:val="231F20"/>
        </w:rPr>
        <w:t>– By leveraging our trusted brands, industry knowledge and expertise, we identify the right talent in the right place to help</w:t>
      </w:r>
      <w:r>
        <w:rPr>
          <w:rFonts w:ascii="Arial" w:cs="Arial" w:eastAsia="Arial" w:hAnsi="Arial"/>
          <w:sz w:val="16"/>
          <w:szCs w:val="16"/>
          <w:b w:val="1"/>
          <w:bCs w:val="1"/>
          <w:color w:val="231F20"/>
        </w:rPr>
        <w:t xml:space="preserve"> </w:t>
      </w:r>
      <w:r>
        <w:rPr>
          <w:rFonts w:ascii="Arial" w:cs="Arial" w:eastAsia="Arial" w:hAnsi="Arial"/>
          <w:sz w:val="16"/>
          <w:szCs w:val="16"/>
          <w:color w:val="231F20"/>
        </w:rPr>
        <w:t>our clients quickly access the people and skills they need when they need them. Through our industry-leading and AI-enabled assessments, we help people and organizations understand their strengths and potential, resulting in better job matches, higher retention and a stronger workforce.</w:t>
      </w:r>
    </w:p>
    <w:p>
      <w:pPr>
        <w:spacing w:after="0" w:line="58" w:lineRule="exact"/>
        <w:rPr>
          <w:rFonts w:ascii="Times New Roman" w:cs="Times New Roman" w:eastAsia="Times New Roman" w:hAnsi="Times New Roman"/>
          <w:sz w:val="16"/>
          <w:szCs w:val="16"/>
          <w:color w:val="5B89B4"/>
        </w:rPr>
      </w:pPr>
    </w:p>
    <w:p>
      <w:pPr>
        <w:jc w:val="both"/>
        <w:ind w:left="520" w:hanging="315"/>
        <w:spacing w:after="0" w:line="247" w:lineRule="auto"/>
        <w:tabs>
          <w:tab w:leader="none" w:pos="520" w:val="left"/>
        </w:tabs>
        <w:numPr>
          <w:ilvl w:val="0"/>
          <w:numId w:val="3"/>
        </w:numPr>
        <w:rPr>
          <w:rFonts w:ascii="Times New Roman" w:cs="Times New Roman" w:eastAsia="Times New Roman" w:hAnsi="Times New Roman"/>
          <w:sz w:val="16"/>
          <w:szCs w:val="16"/>
          <w:color w:val="5B89B4"/>
        </w:rPr>
      </w:pPr>
      <w:r>
        <w:rPr>
          <w:rFonts w:ascii="Arial" w:cs="Arial" w:eastAsia="Arial" w:hAnsi="Arial"/>
          <w:sz w:val="16"/>
          <w:szCs w:val="16"/>
          <w:b w:val="1"/>
          <w:bCs w:val="1"/>
          <w:color w:val="231F20"/>
        </w:rPr>
        <w:t xml:space="preserve">Upskilling, Reskilling, Training and Development </w:t>
      </w:r>
      <w:r>
        <w:rPr>
          <w:rFonts w:ascii="Arial" w:cs="Arial" w:eastAsia="Arial" w:hAnsi="Arial"/>
          <w:sz w:val="16"/>
          <w:szCs w:val="16"/>
          <w:color w:val="231F20"/>
        </w:rPr>
        <w:t>– Our global insights around evolving employer needs and our expertise in training and development</w:t>
      </w:r>
      <w:r>
        <w:rPr>
          <w:rFonts w:ascii="Arial" w:cs="Arial" w:eastAsia="Arial" w:hAnsi="Arial"/>
          <w:sz w:val="16"/>
          <w:szCs w:val="16"/>
          <w:b w:val="1"/>
          <w:bCs w:val="1"/>
          <w:color w:val="231F20"/>
        </w:rPr>
        <w:t xml:space="preserve"> </w:t>
      </w:r>
      <w:r>
        <w:rPr>
          <w:rFonts w:ascii="Arial" w:cs="Arial" w:eastAsia="Arial" w:hAnsi="Arial"/>
          <w:sz w:val="16"/>
          <w:szCs w:val="16"/>
          <w:color w:val="231F20"/>
        </w:rPr>
        <w:t>help us prepare candidates and associates to succeed in today’s competitive marketplace. We offer an extensive portfolio of training courses and leadership development solutions that help clients maximize talent and optimize performance.</w:t>
      </w:r>
    </w:p>
    <w:p>
      <w:pPr>
        <w:spacing w:after="0" w:line="58" w:lineRule="exact"/>
        <w:rPr>
          <w:rFonts w:ascii="Times New Roman" w:cs="Times New Roman" w:eastAsia="Times New Roman" w:hAnsi="Times New Roman"/>
          <w:sz w:val="16"/>
          <w:szCs w:val="16"/>
          <w:color w:val="5B89B4"/>
        </w:rPr>
      </w:pPr>
    </w:p>
    <w:p>
      <w:pPr>
        <w:ind w:left="520" w:right="20" w:hanging="315"/>
        <w:spacing w:after="0" w:line="262" w:lineRule="auto"/>
        <w:tabs>
          <w:tab w:leader="none" w:pos="520" w:val="left"/>
        </w:tabs>
        <w:numPr>
          <w:ilvl w:val="0"/>
          <w:numId w:val="3"/>
        </w:numPr>
        <w:rPr>
          <w:rFonts w:ascii="Times New Roman" w:cs="Times New Roman" w:eastAsia="Times New Roman" w:hAnsi="Times New Roman"/>
          <w:sz w:val="16"/>
          <w:szCs w:val="16"/>
          <w:color w:val="5B89B4"/>
        </w:rPr>
      </w:pPr>
      <w:r>
        <w:rPr>
          <w:rFonts w:ascii="Arial" w:cs="Arial" w:eastAsia="Arial" w:hAnsi="Arial"/>
          <w:sz w:val="16"/>
          <w:szCs w:val="16"/>
          <w:b w:val="1"/>
          <w:bCs w:val="1"/>
          <w:color w:val="231F20"/>
        </w:rPr>
        <w:t xml:space="preserve">Career Management </w:t>
      </w:r>
      <w:r>
        <w:rPr>
          <w:rFonts w:ascii="Arial" w:cs="Arial" w:eastAsia="Arial" w:hAnsi="Arial"/>
          <w:sz w:val="16"/>
          <w:szCs w:val="16"/>
          <w:color w:val="231F20"/>
        </w:rPr>
        <w:t>– We help individuals find meaningful work and manage their career journey through outplacement services and targeted skills</w:t>
      </w:r>
      <w:r>
        <w:rPr>
          <w:rFonts w:ascii="Arial" w:cs="Arial" w:eastAsia="Arial" w:hAnsi="Arial"/>
          <w:sz w:val="16"/>
          <w:szCs w:val="16"/>
          <w:b w:val="1"/>
          <w:bCs w:val="1"/>
          <w:color w:val="231F20"/>
        </w:rPr>
        <w:t xml:space="preserve"> </w:t>
      </w:r>
      <w:r>
        <w:rPr>
          <w:rFonts w:ascii="Arial" w:cs="Arial" w:eastAsia="Arial" w:hAnsi="Arial"/>
          <w:sz w:val="16"/>
          <w:szCs w:val="16"/>
          <w:color w:val="231F20"/>
        </w:rPr>
        <w:t>development. By helping individuals and organizations manage workforce transitions and career changes, we unleash human potential.</w:t>
      </w:r>
    </w:p>
    <w:p>
      <w:pPr>
        <w:spacing w:after="0" w:line="46" w:lineRule="exact"/>
        <w:rPr>
          <w:rFonts w:ascii="Times New Roman" w:cs="Times New Roman" w:eastAsia="Times New Roman" w:hAnsi="Times New Roman"/>
          <w:sz w:val="16"/>
          <w:szCs w:val="16"/>
          <w:color w:val="5B89B4"/>
        </w:rPr>
      </w:pPr>
    </w:p>
    <w:p>
      <w:pPr>
        <w:ind w:left="520" w:right="20" w:hanging="315"/>
        <w:spacing w:after="0" w:line="262" w:lineRule="auto"/>
        <w:tabs>
          <w:tab w:leader="none" w:pos="520" w:val="left"/>
        </w:tabs>
        <w:numPr>
          <w:ilvl w:val="0"/>
          <w:numId w:val="3"/>
        </w:numPr>
        <w:rPr>
          <w:rFonts w:ascii="Times New Roman" w:cs="Times New Roman" w:eastAsia="Times New Roman" w:hAnsi="Times New Roman"/>
          <w:sz w:val="16"/>
          <w:szCs w:val="16"/>
          <w:color w:val="5B89B4"/>
        </w:rPr>
      </w:pPr>
      <w:r>
        <w:rPr>
          <w:rFonts w:ascii="Arial" w:cs="Arial" w:eastAsia="Arial" w:hAnsi="Arial"/>
          <w:sz w:val="16"/>
          <w:szCs w:val="16"/>
          <w:b w:val="1"/>
          <w:bCs w:val="1"/>
          <w:color w:val="231F20"/>
        </w:rPr>
        <w:t xml:space="preserve">Outsourcing </w:t>
      </w:r>
      <w:r>
        <w:rPr>
          <w:rFonts w:ascii="Arial" w:cs="Arial" w:eastAsia="Arial" w:hAnsi="Arial"/>
          <w:sz w:val="16"/>
          <w:szCs w:val="16"/>
          <w:color w:val="231F20"/>
        </w:rPr>
        <w:t>– We provide clients with outsourcing services related to human resources functions primarily in the areas of large-scale recruiting and</w:t>
      </w:r>
      <w:r>
        <w:rPr>
          <w:rFonts w:ascii="Arial" w:cs="Arial" w:eastAsia="Arial" w:hAnsi="Arial"/>
          <w:sz w:val="16"/>
          <w:szCs w:val="16"/>
          <w:b w:val="1"/>
          <w:bCs w:val="1"/>
          <w:color w:val="231F20"/>
        </w:rPr>
        <w:t xml:space="preserve"> </w:t>
      </w:r>
      <w:r>
        <w:rPr>
          <w:rFonts w:ascii="Arial" w:cs="Arial" w:eastAsia="Arial" w:hAnsi="Arial"/>
          <w:sz w:val="16"/>
          <w:szCs w:val="16"/>
          <w:color w:val="231F20"/>
        </w:rPr>
        <w:t>workforce-intensive initiatives that are outcome-based, thereby sharing in the risk and reward with our clients.</w:t>
      </w:r>
    </w:p>
    <w:p>
      <w:pPr>
        <w:spacing w:after="0" w:line="46" w:lineRule="exact"/>
        <w:rPr>
          <w:rFonts w:ascii="Times New Roman" w:cs="Times New Roman" w:eastAsia="Times New Roman" w:hAnsi="Times New Roman"/>
          <w:sz w:val="16"/>
          <w:szCs w:val="16"/>
          <w:color w:val="5B89B4"/>
        </w:rPr>
      </w:pPr>
    </w:p>
    <w:p>
      <w:pPr>
        <w:ind w:left="520" w:hanging="315"/>
        <w:spacing w:after="0" w:line="262" w:lineRule="auto"/>
        <w:tabs>
          <w:tab w:leader="none" w:pos="520" w:val="left"/>
        </w:tabs>
        <w:numPr>
          <w:ilvl w:val="0"/>
          <w:numId w:val="3"/>
        </w:numPr>
        <w:rPr>
          <w:rFonts w:ascii="Times New Roman" w:cs="Times New Roman" w:eastAsia="Times New Roman" w:hAnsi="Times New Roman"/>
          <w:sz w:val="16"/>
          <w:szCs w:val="16"/>
          <w:color w:val="5B89B4"/>
        </w:rPr>
      </w:pPr>
      <w:r>
        <w:rPr>
          <w:rFonts w:ascii="Arial" w:cs="Arial" w:eastAsia="Arial" w:hAnsi="Arial"/>
          <w:sz w:val="16"/>
          <w:szCs w:val="16"/>
          <w:b w:val="1"/>
          <w:bCs w:val="1"/>
          <w:color w:val="231F20"/>
        </w:rPr>
        <w:t xml:space="preserve">Workforce Consulting </w:t>
      </w:r>
      <w:r>
        <w:rPr>
          <w:rFonts w:ascii="Arial" w:cs="Arial" w:eastAsia="Arial" w:hAnsi="Arial"/>
          <w:sz w:val="16"/>
          <w:szCs w:val="16"/>
          <w:color w:val="231F20"/>
        </w:rPr>
        <w:t>– We help clients create and transform their workforce strategy to achieve their business strategy, increase business agility and</w:t>
      </w:r>
      <w:r>
        <w:rPr>
          <w:rFonts w:ascii="Arial" w:cs="Arial" w:eastAsia="Arial" w:hAnsi="Arial"/>
          <w:sz w:val="16"/>
          <w:szCs w:val="16"/>
          <w:b w:val="1"/>
          <w:bCs w:val="1"/>
          <w:color w:val="231F20"/>
        </w:rPr>
        <w:t xml:space="preserve"> </w:t>
      </w:r>
      <w:r>
        <w:rPr>
          <w:rFonts w:ascii="Arial" w:cs="Arial" w:eastAsia="Arial" w:hAnsi="Arial"/>
          <w:sz w:val="16"/>
          <w:szCs w:val="16"/>
          <w:color w:val="231F20"/>
        </w:rPr>
        <w:t>flexibility, and accelerate individuals' and business success.</w:t>
      </w:r>
    </w:p>
    <w:p>
      <w:pPr>
        <w:spacing w:after="0" w:line="10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Our expert family of global brands - Manpower, Experis and Talent Solutions - provide innovative workforce solutions across the globe for hundreds of thousands of organizations every year.</w:t>
      </w:r>
    </w:p>
    <w:p>
      <w:pPr>
        <w:spacing w:after="0" w:line="120"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b w:val="1"/>
          <w:bCs w:val="1"/>
          <w:color w:val="231F20"/>
        </w:rPr>
        <w:t xml:space="preserve">Manpower </w:t>
      </w:r>
      <w:r>
        <w:rPr>
          <w:rFonts w:ascii="Arial" w:cs="Arial" w:eastAsia="Arial" w:hAnsi="Arial"/>
          <w:sz w:val="16"/>
          <w:szCs w:val="16"/>
          <w:color w:val="231F20"/>
        </w:rPr>
        <w:t>is a global leader in contingent staffing and permanent recruitment, providing strategic and operational flexibility to organizations and connecting</w:t>
      </w:r>
      <w:r>
        <w:rPr>
          <w:rFonts w:ascii="Arial" w:cs="Arial" w:eastAsia="Arial" w:hAnsi="Arial"/>
          <w:sz w:val="16"/>
          <w:szCs w:val="16"/>
          <w:b w:val="1"/>
          <w:bCs w:val="1"/>
          <w:color w:val="231F20"/>
        </w:rPr>
        <w:t xml:space="preserve"> </w:t>
      </w:r>
      <w:r>
        <w:rPr>
          <w:rFonts w:ascii="Arial" w:cs="Arial" w:eastAsia="Arial" w:hAnsi="Arial"/>
          <w:sz w:val="16"/>
          <w:szCs w:val="16"/>
          <w:color w:val="231F20"/>
        </w:rPr>
        <w:t>people to meaningful work while helping them develop skills to stay employable. With our data driven insight into people’s motivation, skills adjacencies, and performance potential, we provide learning programs, on the job training and market based certifications for rapid reskilling and upskilling at scale.</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color w:val="231F20"/>
        </w:rPr>
        <w:t xml:space="preserve">Experis </w:t>
      </w:r>
      <w:r>
        <w:rPr>
          <w:rFonts w:ascii="Arial" w:cs="Arial" w:eastAsia="Arial" w:hAnsi="Arial"/>
          <w:sz w:val="16"/>
          <w:szCs w:val="16"/>
          <w:color w:val="231F20"/>
        </w:rPr>
        <w:t>is a global leader in information technology (IT) professional resourcing and project services specializing in Enterprise Applications, Business</w:t>
      </w:r>
      <w:r>
        <w:rPr>
          <w:rFonts w:ascii="Arial" w:cs="Arial" w:eastAsia="Arial" w:hAnsi="Arial"/>
          <w:sz w:val="16"/>
          <w:szCs w:val="16"/>
          <w:b w:val="1"/>
          <w:bCs w:val="1"/>
          <w:color w:val="231F20"/>
        </w:rPr>
        <w:t xml:space="preserve"> </w:t>
      </w:r>
      <w:r>
        <w:rPr>
          <w:rFonts w:ascii="Arial" w:cs="Arial" w:eastAsia="Arial" w:hAnsi="Arial"/>
          <w:sz w:val="16"/>
          <w:szCs w:val="16"/>
          <w:color w:val="231F20"/>
        </w:rPr>
        <w:t>Transformation, Cloud and Infrastructure, Digital Workspace and Cyber Security. As digital transformation and skills shortages continue in the technology field, Experis provides talent with the combination of in-demand technical skills together with the soft skills that are critical for business success.</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color w:val="231F20"/>
        </w:rPr>
        <w:t xml:space="preserve">Talent Solutions </w:t>
      </w:r>
      <w:r>
        <w:rPr>
          <w:rFonts w:ascii="Arial" w:cs="Arial" w:eastAsia="Arial" w:hAnsi="Arial"/>
          <w:sz w:val="16"/>
          <w:szCs w:val="16"/>
          <w:color w:val="231F20"/>
        </w:rPr>
        <w:t>combines leading global offerings Recruitment Process Outsourcing (RPO), TAPFIN - Managed Service Provider (MSP) and Right</w:t>
      </w:r>
      <w:r>
        <w:rPr>
          <w:rFonts w:ascii="Arial" w:cs="Arial" w:eastAsia="Arial" w:hAnsi="Arial"/>
          <w:sz w:val="16"/>
          <w:szCs w:val="16"/>
          <w:b w:val="1"/>
          <w:bCs w:val="1"/>
          <w:color w:val="231F20"/>
        </w:rPr>
        <w:t xml:space="preserve"> </w:t>
      </w:r>
      <w:r>
        <w:rPr>
          <w:rFonts w:ascii="Arial" w:cs="Arial" w:eastAsia="Arial" w:hAnsi="Arial"/>
          <w:sz w:val="16"/>
          <w:szCs w:val="16"/>
          <w:color w:val="231F20"/>
        </w:rPr>
        <w:t>Management to provide data-driven capabilities that help organizations with their workforce transformation. Talent Solutions helps organizations more effectively source, manage and develop talent at scale. From talent attraction and acquisition to upskilling, development and retention, we leverage our integrated HR tech stack PowerSuite to deliver workforce solutions across multiple countries at scale.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3" w:name="page4"/>
    <w:bookmarkEnd w:id="3"/>
    <w:p>
      <w:pPr>
        <w:ind w:left="6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34"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Our leadership position enables us to be a pathway to quality employment opportunities for people at all points in their career journey and we have connected people to meaningful work for over 75 years. Governments and policy makers in the markets where we operate look to us to provide employment advice, opportunities and training to assist the unemployed in gaining the skills they need to enter the workforce, providing a bridge to employment and helping build more sustainable communities.</w:t>
      </w:r>
    </w:p>
    <w:p>
      <w:pPr>
        <w:spacing w:after="0" w:line="13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We, and our predecessors, have been in business since 1948 when we were incorporated as a Wisconsin corporation, and have had our shares listed on the New York Stock Exchange since 1967.</w:t>
      </w:r>
    </w:p>
    <w:p>
      <w:pPr>
        <w:spacing w:after="0" w:line="110"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 xml:space="preserve">Our website is </w:t>
      </w:r>
      <w:r>
        <w:rPr>
          <w:rFonts w:ascii="Arial" w:cs="Arial" w:eastAsia="Arial" w:hAnsi="Arial"/>
          <w:sz w:val="16"/>
          <w:szCs w:val="16"/>
          <w:color w:val="000000"/>
        </w:rPr>
        <w:t>www.manpowergroup.com</w:t>
      </w:r>
      <w:r>
        <w:rPr>
          <w:rFonts w:ascii="Arial" w:cs="Arial" w:eastAsia="Arial" w:hAnsi="Arial"/>
          <w:sz w:val="16"/>
          <w:szCs w:val="16"/>
          <w:color w:val="231F20"/>
        </w:rPr>
        <w:t>. The Investor Relations section (</w:t>
      </w:r>
      <w:r>
        <w:rPr>
          <w:rFonts w:ascii="Arial" w:cs="Arial" w:eastAsia="Arial" w:hAnsi="Arial"/>
          <w:sz w:val="16"/>
          <w:szCs w:val="16"/>
          <w:color w:val="000000"/>
        </w:rPr>
        <w:t>investor.manpowergroup.com</w:t>
      </w:r>
      <w:r>
        <w:rPr>
          <w:rFonts w:ascii="Arial" w:cs="Arial" w:eastAsia="Arial" w:hAnsi="Arial"/>
          <w:sz w:val="16"/>
          <w:szCs w:val="16"/>
          <w:color w:val="231F20"/>
        </w:rPr>
        <w:t>) provides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website:</w:t>
      </w:r>
    </w:p>
    <w:p>
      <w:pPr>
        <w:spacing w:after="0" w:line="65" w:lineRule="exact"/>
        <w:rPr>
          <w:sz w:val="20"/>
          <w:szCs w:val="20"/>
          <w:color w:val="auto"/>
        </w:rPr>
      </w:pPr>
    </w:p>
    <w:p>
      <w:pPr>
        <w:ind w:left="520" w:hanging="315"/>
        <w:spacing w:after="0"/>
        <w:tabs>
          <w:tab w:leader="none" w:pos="520" w:val="left"/>
        </w:tabs>
        <w:numPr>
          <w:ilvl w:val="0"/>
          <w:numId w:val="4"/>
        </w:numPr>
        <w:rPr>
          <w:rFonts w:ascii="Times New Roman" w:cs="Times New Roman" w:eastAsia="Times New Roman" w:hAnsi="Times New Roman"/>
          <w:sz w:val="16"/>
          <w:szCs w:val="16"/>
          <w:color w:val="5B89B4"/>
        </w:rPr>
      </w:pPr>
      <w:r>
        <w:rPr>
          <w:rFonts w:ascii="Arial" w:cs="Arial" w:eastAsia="Arial" w:hAnsi="Arial"/>
          <w:sz w:val="16"/>
          <w:szCs w:val="16"/>
          <w:color w:val="231F20"/>
        </w:rPr>
        <w:t>our amended and restated articles of incorporation and amended and restated bylaws;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4"/>
        </w:numPr>
        <w:rPr>
          <w:rFonts w:ascii="Times New Roman" w:cs="Times New Roman" w:eastAsia="Times New Roman" w:hAnsi="Times New Roman"/>
          <w:sz w:val="16"/>
          <w:szCs w:val="16"/>
          <w:color w:val="5B89B4"/>
        </w:rPr>
      </w:pPr>
      <w:r>
        <w:rPr>
          <w:rFonts w:ascii="Arial" w:cs="Arial" w:eastAsia="Arial" w:hAnsi="Arial"/>
          <w:sz w:val="16"/>
          <w:szCs w:val="16"/>
          <w:color w:val="231F20"/>
        </w:rPr>
        <w:t>our ManpowerGroup code of business conduct and ethics;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4"/>
        </w:numPr>
        <w:rPr>
          <w:rFonts w:ascii="Times New Roman" w:cs="Times New Roman" w:eastAsia="Times New Roman" w:hAnsi="Times New Roman"/>
          <w:sz w:val="16"/>
          <w:szCs w:val="16"/>
          <w:color w:val="5B89B4"/>
        </w:rPr>
      </w:pPr>
      <w:r>
        <w:rPr>
          <w:rFonts w:ascii="Arial" w:cs="Arial" w:eastAsia="Arial" w:hAnsi="Arial"/>
          <w:sz w:val="16"/>
          <w:szCs w:val="16"/>
          <w:color w:val="231F20"/>
        </w:rPr>
        <w:t>our corporate governance guidelines;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4"/>
        </w:numPr>
        <w:rPr>
          <w:rFonts w:ascii="Times New Roman" w:cs="Times New Roman" w:eastAsia="Times New Roman" w:hAnsi="Times New Roman"/>
          <w:sz w:val="16"/>
          <w:szCs w:val="16"/>
          <w:color w:val="5B89B4"/>
        </w:rPr>
      </w:pPr>
      <w:r>
        <w:rPr>
          <w:rFonts w:ascii="Arial" w:cs="Arial" w:eastAsia="Arial" w:hAnsi="Arial"/>
          <w:sz w:val="16"/>
          <w:szCs w:val="16"/>
          <w:color w:val="231F20"/>
        </w:rPr>
        <w:t>our insider trading policy;</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4"/>
        </w:numPr>
        <w:rPr>
          <w:rFonts w:ascii="Times New Roman" w:cs="Times New Roman" w:eastAsia="Times New Roman" w:hAnsi="Times New Roman"/>
          <w:sz w:val="16"/>
          <w:szCs w:val="16"/>
          <w:color w:val="5B89B4"/>
        </w:rPr>
      </w:pPr>
      <w:r>
        <w:rPr>
          <w:rFonts w:ascii="Arial" w:cs="Arial" w:eastAsia="Arial" w:hAnsi="Arial"/>
          <w:sz w:val="16"/>
          <w:szCs w:val="16"/>
          <w:color w:val="231F20"/>
        </w:rPr>
        <w:t>our anti-corruption policy;</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4"/>
        </w:numPr>
        <w:rPr>
          <w:rFonts w:ascii="Times New Roman" w:cs="Times New Roman" w:eastAsia="Times New Roman" w:hAnsi="Times New Roman"/>
          <w:sz w:val="16"/>
          <w:szCs w:val="16"/>
          <w:color w:val="5B89B4"/>
        </w:rPr>
      </w:pPr>
      <w:r>
        <w:rPr>
          <w:rFonts w:ascii="Arial" w:cs="Arial" w:eastAsia="Arial" w:hAnsi="Arial"/>
          <w:sz w:val="16"/>
          <w:szCs w:val="16"/>
          <w:color w:val="231F20"/>
        </w:rPr>
        <w:t>the charters of the Audit, People, Culture &amp; Compensation and Governance &amp; Sustainability Committees of the Board of Directors;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4"/>
        </w:numPr>
        <w:rPr>
          <w:rFonts w:ascii="Times New Roman" w:cs="Times New Roman" w:eastAsia="Times New Roman" w:hAnsi="Times New Roman"/>
          <w:sz w:val="16"/>
          <w:szCs w:val="16"/>
          <w:color w:val="5B89B4"/>
        </w:rPr>
      </w:pPr>
      <w:r>
        <w:rPr>
          <w:rFonts w:ascii="Arial" w:cs="Arial" w:eastAsia="Arial" w:hAnsi="Arial"/>
          <w:sz w:val="16"/>
          <w:szCs w:val="16"/>
          <w:color w:val="231F20"/>
        </w:rPr>
        <w:t>our guidelines for selecting board candidates;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4"/>
        </w:numPr>
        <w:rPr>
          <w:rFonts w:ascii="Times New Roman" w:cs="Times New Roman" w:eastAsia="Times New Roman" w:hAnsi="Times New Roman"/>
          <w:sz w:val="16"/>
          <w:szCs w:val="16"/>
          <w:color w:val="5B89B4"/>
        </w:rPr>
      </w:pPr>
      <w:r>
        <w:rPr>
          <w:rFonts w:ascii="Arial" w:cs="Arial" w:eastAsia="Arial" w:hAnsi="Arial"/>
          <w:sz w:val="16"/>
          <w:szCs w:val="16"/>
          <w:color w:val="231F20"/>
        </w:rPr>
        <w:t>our categorical standards for relationships deemed not to impair independence of non-employee directors;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4"/>
        </w:numPr>
        <w:rPr>
          <w:rFonts w:ascii="Times New Roman" w:cs="Times New Roman" w:eastAsia="Times New Roman" w:hAnsi="Times New Roman"/>
          <w:sz w:val="16"/>
          <w:szCs w:val="16"/>
          <w:color w:val="5B89B4"/>
        </w:rPr>
      </w:pPr>
      <w:r>
        <w:rPr>
          <w:rFonts w:ascii="Arial" w:cs="Arial" w:eastAsia="Arial" w:hAnsi="Arial"/>
          <w:sz w:val="16"/>
          <w:szCs w:val="16"/>
          <w:color w:val="231F20"/>
        </w:rPr>
        <w:t>our independent auditors' services policy;</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4"/>
        </w:numPr>
        <w:rPr>
          <w:rFonts w:ascii="Times New Roman" w:cs="Times New Roman" w:eastAsia="Times New Roman" w:hAnsi="Times New Roman"/>
          <w:sz w:val="16"/>
          <w:szCs w:val="16"/>
          <w:color w:val="5B89B4"/>
        </w:rPr>
      </w:pPr>
      <w:r>
        <w:rPr>
          <w:rFonts w:ascii="Arial" w:cs="Arial" w:eastAsia="Arial" w:hAnsi="Arial"/>
          <w:sz w:val="16"/>
          <w:szCs w:val="16"/>
          <w:color w:val="231F20"/>
        </w:rPr>
        <w:t>our executive officer stock ownership guidelines;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4"/>
        </w:numPr>
        <w:rPr>
          <w:rFonts w:ascii="Times New Roman" w:cs="Times New Roman" w:eastAsia="Times New Roman" w:hAnsi="Times New Roman"/>
          <w:sz w:val="16"/>
          <w:szCs w:val="16"/>
          <w:color w:val="5B89B4"/>
        </w:rPr>
      </w:pPr>
      <w:r>
        <w:rPr>
          <w:rFonts w:ascii="Arial" w:cs="Arial" w:eastAsia="Arial" w:hAnsi="Arial"/>
          <w:sz w:val="16"/>
          <w:szCs w:val="16"/>
          <w:color w:val="231F20"/>
        </w:rPr>
        <w:t>our outside director stock ownership guidelines; and</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4"/>
        </w:numPr>
        <w:rPr>
          <w:rFonts w:ascii="Times New Roman" w:cs="Times New Roman" w:eastAsia="Times New Roman" w:hAnsi="Times New Roman"/>
          <w:sz w:val="16"/>
          <w:szCs w:val="16"/>
          <w:color w:val="5B89B4"/>
        </w:rPr>
      </w:pPr>
      <w:r>
        <w:rPr>
          <w:rFonts w:ascii="Arial" w:cs="Arial" w:eastAsia="Arial" w:hAnsi="Arial"/>
          <w:sz w:val="16"/>
          <w:szCs w:val="16"/>
          <w:color w:val="231F20"/>
        </w:rPr>
        <w:t>our regular updates on sustainability.</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Documents available on the website are also available in print for any shareholder who requests them. Requests may be made by writing to Secretary, ManpowerGroup, 100 Manpower Place, Milwaukee, Wisconsin 53212. We are not including the information contained on or available through our website as a part of, or incorporating such information by reference into, this Annual Report on Form 10-K.</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Our Operations</w:t>
      </w:r>
    </w:p>
    <w:p>
      <w:pPr>
        <w:spacing w:after="0" w:line="8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workforce solutions and staffing services while demand for our outplacement services typically declines. During periods of increasing demand, we are generally able to improve our profitability and operating leverage as our cost base can support some increase in business without a similar increase in selling and administrative expenses.</w:t>
      </w:r>
    </w:p>
    <w:p>
      <w:pPr>
        <w:spacing w:after="0" w:line="125"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231F20"/>
        </w:rPr>
        <w:t>Correspondingly, during periods of weak economic growth or economic contraction, the demand for our staffing services typically declines, while demand for our outplacement services typically accelerates. When demand drops, our operating profit is typically impacted unfavorably as we experience a deleveraging of our selling and administrative expense base as expenses may not decline at the same pace as revenues. In periods of economic contraction, we may have more significant expense deleveraging, as we believe it is prudent not to reduce selling and administrative expenses to levels that could negatively impact the long-term potential of our branch network and brands.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4" w:name="page5"/>
    <w:bookmarkEnd w:id="4"/>
    <w:p>
      <w:pPr>
        <w:ind w:left="1080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34"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The nature of our operations is such that our most significant current asset is accounts receivable, with a days sales outstanding of 52 days as of December 31, 2024.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is outstanding for much longer, which may result in a decline in operating cash flows.</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Conversely, as the demand for our services declines, we generally experience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While this may result in an increase in our operating cash flows, longer payment terms and timing of payroll, tax and supplier related payments significantly impact our cash positions and cash flows each period. Any increase in operating cash flows from an economic slowdown would not be sustained in the event that a downturn continues for an extended period.</w:t>
      </w:r>
    </w:p>
    <w:p>
      <w:pPr>
        <w:spacing w:after="0" w:line="125"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Due to our industry’s sensitivity to economic factors, the inherent difficulty in forecasting the direction and strength of the economy and the short-term nature of staffing assignments, it is difficult to forecast future demand for our services with certainty. As a result, we monitor a number of economic indicators, as well as recent business trends, to predict future revenue trends for each of the countries and territories where we operate. Based upon these anticipated trends, we determine what level of personnel and office investments are necessary to take full advantage of growth opportunities.</w:t>
      </w:r>
    </w:p>
    <w:p>
      <w:pPr>
        <w:spacing w:after="0" w:line="12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During the last several years, secular trends toward greater workforce flexibility have impacted the demand for our innovative workforce solutions and services around the world. As companies attempt to increase the variability of their cost base, the workforce solutions we provide help them to effectively address the fluctuating demand for their products or services. As the global economy continues to grow and adapt with new technology, we are helping clients manage their workforce transformation and ensure they have the right skills now and in the future. Whether it is through workforce assessments, targeted training or by creating longer-term development paths, we help organizations and candidates adapt their skills to changing workforce needs.</w:t>
      </w:r>
    </w:p>
    <w:p>
      <w:pPr>
        <w:spacing w:after="0" w:line="13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Our portfolio of recruitment services includes permanent, temporary and contract recruitment of professionals, as well as administrative, industrial and IT professional positions. These services are provided under our Manpower and Experis brands. We have provided services under our core Manpower brand for over 75 years with a primary focus on the areas of office and industrial services and solutions. Our Talent Based Outsourcing offering within our Manpower brand includes outcome-based solutions such as management of financial and administrative processes, including call center and customer service activities.</w:t>
      </w:r>
    </w:p>
    <w:p>
      <w:pPr>
        <w:spacing w:after="0" w:line="124"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We provide IT resourcing and services under our Experis brand. Our experience and expertise allow us to accurately assess candidates’ workplace potential and technical skills to match them to the needs of our clients. We plan to continue to build our Experis brand and attract the talent our clients need as skills shortages arise or continue.</w:t>
      </w:r>
    </w:p>
    <w:p>
      <w:pPr>
        <w:spacing w:after="0" w:line="120"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231F20"/>
        </w:rPr>
        <w:t>Our Talent Solutions brand specializes in the delivery of customized workforce strategies and new solutions and creating added value that addresses our clients’ complex global workforce needs. Through our RPO offering, we manage customized, large-scale recruiting and workforce productivity initiatives for clients through exclusive outsourcing contracts. We can manage a single element or all of a client's permanent recruiting and hiring processes, from job profiling to on-boarding, globally or in a single location. MSP services include overall program management, reporting and tracking, supplier selection and management and order distribution. The MSP and RPO offerings both provide specialty expertise in contingent workforce management and broader administrative functions. Our Right Management offering includes our career management services that have historically been counter-cyclical to our staffing services, which helps to offset the impact of an economic downturn on our overall financial results.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Americas</w:t>
      </w:r>
    </w:p>
    <w:p>
      <w:pPr>
        <w:spacing w:after="0" w:line="8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We provide services as Manpower, Experis and Talent Solutions through both branch and franchise offices. The Americas segment had 416 branch and 137 franchise offices as of December 31, 2024. In the United States, where we realized 65% of the Americas’ revenue, we had 288 branch and 130 franchise offices as of December 31, 2024, as well as on-site locations at clients with significant permanent, temporary and contract recruitment requirements. In Other Americas, the largest operations of which include Canada, Mexico and Colombia, we had 128 branch and 7 franchise offices as of December 31, 2024. We provide a number of central support services to our branches and franchises, which enable us to maintain consistent service quality throughout the region regardless of whether an office is a branch or franchise.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5" w:name="page6"/>
    <w:bookmarkEnd w:id="5"/>
    <w:p>
      <w:pPr>
        <w:ind w:left="6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34"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Our franchise agreements provide the franchisee with the right to use the Manpower® service mark in a specifically defined exclusive territory. In the United States, franchise fees generally range from 2% to 3% of franchisee sales. Our franchise agreements provide that in the event of a proposed sale of a franchise to a third party, we have the right to acquire the franchise at the same price and on the same terms as proposed by the third party. We have exercised this right in the past and may do so in the future if opportunities arise.</w:t>
      </w:r>
    </w:p>
    <w:p>
      <w:pPr>
        <w:spacing w:after="0" w:line="13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Our Manpower and Experis operations provide a variety of workforce solutions and services, including permanent, temporary and contract recruitment, assessment and selection, and training. Our Talent Solutions operations provide a variety of workforce solutions offerings including RPO, MSP and Right Management. During 2024 in this segment, 90% of revenues were derived from our staffing/interim services, 4% from permanent recruitment services, 2% from outcome-based solutions and consulting and 4% from other services.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Southern Europe</w:t>
      </w:r>
    </w:p>
    <w:p>
      <w:pPr>
        <w:spacing w:after="0" w:line="8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We are a leading provider of permanent, temporary and contract recruitment, assessment and selection, training and outsourcing services throughout Europe. The Southern Europe segment had 1,166 branch offices as of December 31, 2024. Our largest operations in this segment are in France (56% of the segment revenue) and Italy (20% of the segment revenue).</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We conduct our operations in France as a leading workforce solutions and service provider through 647 branch offices as Manpower, Experis and Talent Solutions, and 169 branch offices under the name Supplay as of December 31, 2024. The employment services market in France calls for a wide range of our services including permanent, temporary and contract recruitment, assessment and selection, and training. The temporary recruitment market is predominantly focused on recruitment for industrial positions. During 2024 in France, 91% of revenues were derived from our staffing/interim services, 1% from permanent recruitment services, 6% from outcome-based solutions and consulting and 2% from other services.</w:t>
      </w:r>
    </w:p>
    <w:p>
      <w:pPr>
        <w:spacing w:after="0" w:line="12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In Italy, we are a leading workforce solutions and services provider. As of December 31, 2024, ManpowerGroup Italy conducted operations through a network of 204 branch offices. It provides a comprehensive suite of workforce solutions and services offered through Manpower, Experis or Talent Solutions, including permanent, temporary and contract recruitment, assessment and selection, training and outsourcing. During 2024 in Italy, 93% of revenues were derived from our staffing/interim services, 3% from permanent recruitment services, 2% from outcome-based solutions and consulting and 2% from other services.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Northern Europe</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Our largest operations in Northern Europe are in the United Kingdom, the Nordics, Germany, the Netherlands and Belgium providing a comprehensive suite of workforce solutions and services through Manpower, Experis, and Talent Solutions. Collectively, we operate through 282 branch offices in this region.</w:t>
      </w:r>
    </w:p>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In the United Kingdom, where we have the largest operation in this segment, we are a leading provider of workforce solutions and services. As of December 31, 2024, we conducted operations in the United Kingdom as Manpower, Experis and Talent Solutions through a network of 46 branch offices and also provided on-site services to clients who have significant permanent, temporary and contract recruitment requirements. In the United Kingdom, we also conduct operations as Brook Street Bureau PLC, or Brook Street. Its core business is secretarial, office and light industrial recruitment. Brook Street operates as a local network of branches and competes primarily with local or regional independents. Brook Street’s revenues are comprised of temporary and contract placements as well as permanent recruitment.</w:t>
      </w:r>
    </w:p>
    <w:p>
      <w:pPr>
        <w:spacing w:after="0" w:line="14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During 2024 in Northern Europe, 85% of revenues were derived from our staffing/interim services, 4% from permanent recruitment services, 8% from outcome-based solutions and consulting and 3% from other services.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APME</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We operate through 110 branch offices in the Asia Pacific Middle East (APME) region. The largest of these operations are located in Japan and India, which operate through branch offices. Our APME operations provide a variety of workforce solutions and services offered through Manpower, Experis and Talent Solutions, including permanent, temporary and contract recruitment, assessment and selection, training and outsourcing. During 2024 in this segment, 81% of revenues were derived from our staffing/interim services, 2% from permanent recruitment services, 15% from outcome-based solutions and consulting and 2% from other services.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6" w:name="page7"/>
    <w:bookmarkEnd w:id="6"/>
    <w:p>
      <w:pPr>
        <w:ind w:left="1080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Competition</w:t>
      </w:r>
    </w:p>
    <w:p>
      <w:pPr>
        <w:spacing w:after="0" w:line="8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We compete in the employment services industry by offering a broad range of services, including permanent, temporary and contract recruitment, project-based workforce solutions, assessment and selection, training, career and talent management, managed service solutions, outsourcing, consulting and professional services.</w:t>
      </w:r>
    </w:p>
    <w:p>
      <w:pPr>
        <w:spacing w:after="0" w:line="12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231F20"/>
        </w:rPr>
        <w:t>Our industry is large and fragmented, comprised of thousands of firms employing millions of people and generating billions of United States dollars in annual revenues. In most areas, no single company has a dominant share of the employment services market. In addition to us, the largest publicly owned companies specializing in recruitment services are The Adecco Group and Randstad. We also compete against a variety of regional or specialized companies such as Recruit Holdings, Allegis Group, Kelly Services, Robert Half, Kforce, PageGroup, Korn/Ferry International and Alexander Mann. It is a highly competitive industry, reflecting several trends in the global marketplace such as the increasing demand for skilled people, employers’ desire for more flexible working models and consolidation among clients and in the employment services industry itself, as well as low entry costs for small firms wishing to compete in the industry, especially at the local level. We manage these trends by leveraging established strengths, including several of the employment services industry’s most recognized and respected brands; geographic diversification; size and service scope; an innovative product mix; recruiting and assessment expertise; and a strong client base. While staffing is an important aspect of our business, our strategy is focused on providing both the skilled employees our clients need and higher-value workforce management, outsourcing and consulting solutions.</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231F20"/>
        </w:rPr>
        <w:t>Our client mix consists of both small- and medium-size businesses, and large national and multinational clients. Client relationships with small- and medium-size businesses are based on a local or regional relationship, and tend to rely less on longer-term contracts, and the competitors for this business are primarily locally-owned businesses. On the other hand, the large national and multinational clients, which comprised approximately 60% of our revenues in 2024, will frequently enter into non-exclusive arrangements with several firms, with the ultimate choice among them being left to local managers. As a result, employment services firms with a large network of offices compete most effectively for this business which generally has agreed-upon pricing or mark-up on services performed.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Legal Regulations</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employment services industry is closely regulated in all of the major markets in which we operate, except the United States, the United Kingdom, Canada and Australia. Employment services firms are generally subject to one or more of the following types of government regulation:</w:t>
      </w:r>
    </w:p>
    <w:p>
      <w:pPr>
        <w:spacing w:after="0" w:line="51" w:lineRule="exact"/>
        <w:rPr>
          <w:sz w:val="20"/>
          <w:szCs w:val="20"/>
          <w:color w:val="auto"/>
        </w:rPr>
      </w:pPr>
    </w:p>
    <w:p>
      <w:pPr>
        <w:ind w:left="520" w:hanging="315"/>
        <w:spacing w:after="0"/>
        <w:tabs>
          <w:tab w:leader="none" w:pos="520" w:val="left"/>
        </w:tabs>
        <w:numPr>
          <w:ilvl w:val="0"/>
          <w:numId w:val="5"/>
        </w:numPr>
        <w:rPr>
          <w:rFonts w:ascii="Times New Roman" w:cs="Times New Roman" w:eastAsia="Times New Roman" w:hAnsi="Times New Roman"/>
          <w:sz w:val="16"/>
          <w:szCs w:val="16"/>
          <w:color w:val="5B89B4"/>
        </w:rPr>
      </w:pPr>
      <w:r>
        <w:rPr>
          <w:rFonts w:ascii="Arial" w:cs="Arial" w:eastAsia="Arial" w:hAnsi="Arial"/>
          <w:sz w:val="16"/>
          <w:szCs w:val="16"/>
          <w:color w:val="231F20"/>
        </w:rPr>
        <w:t>regulation of the employer/employee relationship between the firm and its temporary and contract employees;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5"/>
        </w:numPr>
        <w:rPr>
          <w:rFonts w:ascii="Times New Roman" w:cs="Times New Roman" w:eastAsia="Times New Roman" w:hAnsi="Times New Roman"/>
          <w:sz w:val="16"/>
          <w:szCs w:val="16"/>
          <w:color w:val="5B89B4"/>
        </w:rPr>
      </w:pPr>
      <w:r>
        <w:rPr>
          <w:rFonts w:ascii="Arial" w:cs="Arial" w:eastAsia="Arial" w:hAnsi="Arial"/>
          <w:sz w:val="16"/>
          <w:szCs w:val="16"/>
          <w:color w:val="231F20"/>
        </w:rPr>
        <w:t>registration, licensing, record keeping and reporting requirements;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5"/>
        </w:numPr>
        <w:rPr>
          <w:rFonts w:ascii="Times New Roman" w:cs="Times New Roman" w:eastAsia="Times New Roman" w:hAnsi="Times New Roman"/>
          <w:sz w:val="16"/>
          <w:szCs w:val="16"/>
          <w:color w:val="5B89B4"/>
        </w:rPr>
      </w:pPr>
      <w:r>
        <w:rPr>
          <w:rFonts w:ascii="Arial" w:cs="Arial" w:eastAsia="Arial" w:hAnsi="Arial"/>
          <w:sz w:val="16"/>
          <w:szCs w:val="16"/>
          <w:color w:val="231F20"/>
        </w:rPr>
        <w:t>substantive limitations on the operations or the use of temporary and contract employees by clients; and</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5"/>
        </w:numPr>
        <w:rPr>
          <w:rFonts w:ascii="Times New Roman" w:cs="Times New Roman" w:eastAsia="Times New Roman" w:hAnsi="Times New Roman"/>
          <w:sz w:val="16"/>
          <w:szCs w:val="16"/>
          <w:color w:val="5B89B4"/>
        </w:rPr>
      </w:pPr>
      <w:r>
        <w:rPr>
          <w:rFonts w:ascii="Arial" w:cs="Arial" w:eastAsia="Arial" w:hAnsi="Arial"/>
          <w:sz w:val="16"/>
          <w:szCs w:val="16"/>
          <w:color w:val="231F20"/>
        </w:rPr>
        <w:t>regulation that requires new or additional benefits and pay parity for our associates.</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3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In most countries, workforce solutions and services firms are considered the legal employers of temporary and contract workers. Therefore, laws regulating the employer/employee relationship, such as tax withholding or reporting, social security or retirement, health and other benefits, anti-discrimination and workers’ compensation, govern the firm.</w:t>
      </w:r>
    </w:p>
    <w:p>
      <w:pPr>
        <w:spacing w:after="0" w:line="12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United Kingdom and Canada do not presently have any form of national registration or licensing requirement.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7" w:name="page8"/>
    <w:bookmarkEnd w:id="7"/>
    <w:p>
      <w:pPr>
        <w:ind w:left="6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after assignment termination.</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231F20"/>
        </w:rPr>
        <w:t>Our outplacement and consulting services generally are not subject to governmental regulation in the markets in which we operate.</w:t>
      </w:r>
    </w:p>
    <w:p>
      <w:pPr>
        <w:spacing w:after="0" w:line="14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Trademarks</w:t>
      </w:r>
    </w:p>
    <w:p>
      <w:pPr>
        <w:spacing w:after="0" w:line="88"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231F20"/>
        </w:rPr>
        <w:t>We maintain a number of registered trademarks, trade names and service marks in the United States and various other countries and territories. We believe that many of these marks and trade names, including ManpowerGroup</w:t>
      </w:r>
      <w:r>
        <w:rPr>
          <w:rFonts w:ascii="Arial" w:cs="Arial" w:eastAsia="Arial" w:hAnsi="Arial"/>
          <w:sz w:val="21"/>
          <w:szCs w:val="21"/>
          <w:color w:val="231F20"/>
          <w:vertAlign w:val="superscript"/>
        </w:rPr>
        <w:t>®</w:t>
      </w:r>
      <w:r>
        <w:rPr>
          <w:rFonts w:ascii="Arial" w:cs="Arial" w:eastAsia="Arial" w:hAnsi="Arial"/>
          <w:sz w:val="16"/>
          <w:szCs w:val="16"/>
          <w:color w:val="231F20"/>
        </w:rPr>
        <w:t>, Manpower</w:t>
      </w:r>
      <w:r>
        <w:rPr>
          <w:rFonts w:ascii="Arial" w:cs="Arial" w:eastAsia="Arial" w:hAnsi="Arial"/>
          <w:sz w:val="21"/>
          <w:szCs w:val="21"/>
          <w:color w:val="231F20"/>
          <w:vertAlign w:val="superscript"/>
        </w:rPr>
        <w:t>®</w:t>
      </w:r>
      <w:r>
        <w:rPr>
          <w:rFonts w:ascii="Arial" w:cs="Arial" w:eastAsia="Arial" w:hAnsi="Arial"/>
          <w:sz w:val="16"/>
          <w:szCs w:val="16"/>
          <w:color w:val="231F20"/>
        </w:rPr>
        <w:t>, Experis</w:t>
      </w:r>
      <w:r>
        <w:rPr>
          <w:rFonts w:ascii="Arial" w:cs="Arial" w:eastAsia="Arial" w:hAnsi="Arial"/>
          <w:sz w:val="21"/>
          <w:szCs w:val="21"/>
          <w:color w:val="231F20"/>
          <w:vertAlign w:val="superscript"/>
        </w:rPr>
        <w:t>®</w:t>
      </w:r>
      <w:r>
        <w:rPr>
          <w:rFonts w:ascii="Arial" w:cs="Arial" w:eastAsia="Arial" w:hAnsi="Arial"/>
          <w:sz w:val="16"/>
          <w:szCs w:val="16"/>
          <w:color w:val="231F20"/>
        </w:rPr>
        <w:t>, Right Management</w:t>
      </w:r>
      <w:r>
        <w:rPr>
          <w:rFonts w:ascii="Arial" w:cs="Arial" w:eastAsia="Arial" w:hAnsi="Arial"/>
          <w:sz w:val="21"/>
          <w:szCs w:val="21"/>
          <w:color w:val="231F20"/>
          <w:vertAlign w:val="superscript"/>
        </w:rPr>
        <w:t>®</w:t>
      </w:r>
      <w:r>
        <w:rPr>
          <w:rFonts w:ascii="Arial" w:cs="Arial" w:eastAsia="Arial" w:hAnsi="Arial"/>
          <w:sz w:val="16"/>
          <w:szCs w:val="16"/>
          <w:color w:val="231F20"/>
        </w:rPr>
        <w:t>, Brook Street</w:t>
      </w:r>
      <w:r>
        <w:rPr>
          <w:rFonts w:ascii="Arial" w:cs="Arial" w:eastAsia="Arial" w:hAnsi="Arial"/>
          <w:sz w:val="21"/>
          <w:szCs w:val="21"/>
          <w:color w:val="231F20"/>
          <w:vertAlign w:val="superscript"/>
        </w:rPr>
        <w:t>®</w:t>
      </w:r>
      <w:r>
        <w:rPr>
          <w:rFonts w:ascii="Arial" w:cs="Arial" w:eastAsia="Arial" w:hAnsi="Arial"/>
          <w:sz w:val="16"/>
          <w:szCs w:val="16"/>
          <w:color w:val="231F20"/>
        </w:rPr>
        <w:t>, Jefferson Wells</w:t>
      </w:r>
      <w:r>
        <w:rPr>
          <w:rFonts w:ascii="Arial" w:cs="Arial" w:eastAsia="Arial" w:hAnsi="Arial"/>
          <w:sz w:val="21"/>
          <w:szCs w:val="21"/>
          <w:color w:val="231F20"/>
          <w:vertAlign w:val="superscript"/>
        </w:rPr>
        <w:t>®</w:t>
      </w:r>
      <w:r>
        <w:rPr>
          <w:rFonts w:ascii="Arial" w:cs="Arial" w:eastAsia="Arial" w:hAnsi="Arial"/>
          <w:sz w:val="16"/>
          <w:szCs w:val="16"/>
          <w:color w:val="231F20"/>
        </w:rPr>
        <w:t>, Supplay</w:t>
      </w:r>
      <w:r>
        <w:rPr>
          <w:rFonts w:ascii="Arial" w:cs="Arial" w:eastAsia="Arial" w:hAnsi="Arial"/>
          <w:sz w:val="21"/>
          <w:szCs w:val="21"/>
          <w:color w:val="231F20"/>
          <w:vertAlign w:val="superscript"/>
        </w:rPr>
        <w:t>®</w:t>
      </w:r>
      <w:r>
        <w:rPr>
          <w:rFonts w:ascii="Arial" w:cs="Arial" w:eastAsia="Arial" w:hAnsi="Arial"/>
          <w:sz w:val="16"/>
          <w:szCs w:val="16"/>
          <w:color w:val="231F20"/>
        </w:rPr>
        <w:t>, PowerSuite</w:t>
      </w:r>
      <w:r>
        <w:rPr>
          <w:rFonts w:ascii="Arial" w:cs="Arial" w:eastAsia="Arial" w:hAnsi="Arial"/>
          <w:sz w:val="21"/>
          <w:szCs w:val="21"/>
          <w:color w:val="231F20"/>
          <w:vertAlign w:val="superscript"/>
        </w:rPr>
        <w:t>®</w:t>
      </w:r>
      <w:r>
        <w:rPr>
          <w:rFonts w:ascii="Arial" w:cs="Arial" w:eastAsia="Arial" w:hAnsi="Arial"/>
          <w:sz w:val="16"/>
          <w:szCs w:val="16"/>
          <w:color w:val="231F20"/>
        </w:rPr>
        <w:t xml:space="preserve"> and MyPath</w:t>
      </w:r>
      <w:r>
        <w:rPr>
          <w:rFonts w:ascii="Arial" w:cs="Arial" w:eastAsia="Arial" w:hAnsi="Arial"/>
          <w:sz w:val="21"/>
          <w:szCs w:val="21"/>
          <w:color w:val="231F20"/>
          <w:vertAlign w:val="superscript"/>
        </w:rPr>
        <w:t>®</w:t>
      </w:r>
      <w:r>
        <w:rPr>
          <w:rFonts w:ascii="Arial" w:cs="Arial" w:eastAsia="Arial" w:hAnsi="Arial"/>
          <w:sz w:val="16"/>
          <w:szCs w:val="16"/>
          <w:color w:val="231F20"/>
        </w:rPr>
        <w:t xml:space="preserve"> 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Employees</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We had approximately 26,700 full-time equivalent employees as of December 31, 2024. In addition, we recruit millions of permanent, temporary and contract workers on a worldwide basis each year on behalf of our clients.</w:t>
      </w:r>
    </w:p>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Human Capital</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We Are a Workforce Solutions and Human Capital Company.</w:t>
      </w:r>
    </w:p>
    <w:p>
      <w:pPr>
        <w:spacing w:after="0" w:line="8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Human capital management is at the core of our business. Our purpose is to provide meaningful and sustainable employment and is rooted in our values: People, Knowledge and Innovation. Our 26,700 employees, spanning approximately 75 countries, help improve the lives of approximately 500,000 workers daily by providing guidance, advice, assessments, coaching, upskilling, reskilling and pathways to long-term sustainable employment. These efforts support local economies by increasing employability and opportunity for the millions of lives that we reach each year.</w:t>
      </w:r>
    </w:p>
    <w:p>
      <w:pPr>
        <w:spacing w:after="0" w:line="6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 xml:space="preserve">Through our sustainability report </w:t>
      </w:r>
      <w:r>
        <w:rPr>
          <w:rFonts w:ascii="Arial" w:cs="Arial" w:eastAsia="Arial" w:hAnsi="Arial"/>
          <w:sz w:val="16"/>
          <w:szCs w:val="16"/>
          <w:i w:val="1"/>
          <w:iCs w:val="1"/>
          <w:color w:val="231F20"/>
        </w:rPr>
        <w:t>Working to Change the World</w:t>
      </w:r>
      <w:r>
        <w:rPr>
          <w:rFonts w:ascii="Arial" w:cs="Arial" w:eastAsia="Arial" w:hAnsi="Arial"/>
          <w:sz w:val="16"/>
          <w:szCs w:val="16"/>
          <w:color w:val="231F20"/>
        </w:rPr>
        <w:t>, we report progress on our People &amp; Prosperity pillar, where we are focused on being Creators of Talent at Scale, championing diversity, and improving employability and prosperity. For over 75 years, we have developed global insights on the issues and trends impacting organizations and individuals in today’s fast changing world of work. Our own research and solutions, coupled with partnerships with clients and Non-Governmental Organizations (e.g. World Economic Forum, World Employment Confederation and Junior Achievement, among others), enable us to advance the global discussion around the future of work and future for workers. These include the impact of digitization and generative AI, the green transition and shift in in-demand skills, exacerbating talent shortages, and the increased need for reskilling and upskilling. Our most recent annual Talent Shortage Survey reported that 74% of companies cannot find the skilled workers they need.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8" w:name="page9"/>
    <w:bookmarkEnd w:id="8"/>
    <w:p>
      <w:pPr>
        <w:ind w:left="1080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We Seek to Create Talent at Scale.</w:t>
      </w:r>
    </w:p>
    <w:p>
      <w:pPr>
        <w:spacing w:after="0" w:line="8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Our Manpower MyPath program is designed to deliver targeted upskilling at speed and scale to our Manpower associates in order to accelerate their employability at higher wage levels, while also growing the pool of in-demand talent for our clients. Through this program, Manpower recruiters provide personalized and data-driven guidance, development, training, and access to jobs especially in growth sectors including advanced manufacturing, information technology, supply chain and customer service. MyPath has impacted over 270,000 lives through 2024, and MyPath associates now represent 30% of our associate talent pool in MyPath certified countries, across over 14,000 clients and 12 markets.</w:t>
      </w:r>
    </w:p>
    <w:p>
      <w:pPr>
        <w:spacing w:after="0" w:line="12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We are also targeting the creation of IT talent through our Experis Academy. This accelerated development program features custom-designed curricula to upskill people into specialized roles that can meet the demand for cloud, infrastructure, business transformation and digital workforce skills. Paired with coaching and soft skills training, upon completion most Academy graduates receive a permanent job offer from our clients. Through the end of 2024, we have trained more than 4,500 developers while also bridging the skills gaps for more than 170 tech companies across approximately 20 countries.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We Are Focused on Strengthening Our Culture and Developing Our People.</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5B89B4"/>
        </w:rPr>
        <w:t>Our Global Footprint</w:t>
      </w:r>
    </w:p>
    <w:p>
      <w:pPr>
        <w:spacing w:after="0" w:line="88" w:lineRule="exact"/>
        <w:rPr>
          <w:sz w:val="20"/>
          <w:szCs w:val="20"/>
          <w:color w:val="auto"/>
        </w:rPr>
      </w:pPr>
    </w:p>
    <w:p>
      <w:pPr>
        <w:ind w:left="500" w:right="20"/>
        <w:spacing w:after="0" w:line="260" w:lineRule="auto"/>
        <w:rPr>
          <w:sz w:val="20"/>
          <w:szCs w:val="20"/>
          <w:color w:val="auto"/>
        </w:rPr>
      </w:pPr>
      <w:r>
        <w:rPr>
          <w:rFonts w:ascii="Arial" w:cs="Arial" w:eastAsia="Arial" w:hAnsi="Arial"/>
          <w:sz w:val="16"/>
          <w:szCs w:val="16"/>
          <w:color w:val="231F20"/>
        </w:rPr>
        <w:t>We have a global footprint, though our teams are managed locally: 31% of our people are in the Americas, 33% in Southern Europe, 19% in Northern Europe and 17% in Asia Pacific/Middle East.</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5B89B4"/>
        </w:rPr>
        <w:t>Developing our People</w:t>
      </w:r>
    </w:p>
    <w:p>
      <w:pPr>
        <w:spacing w:after="0" w:line="88" w:lineRule="exact"/>
        <w:rPr>
          <w:sz w:val="20"/>
          <w:szCs w:val="20"/>
          <w:color w:val="auto"/>
        </w:rPr>
      </w:pPr>
    </w:p>
    <w:p>
      <w:pPr>
        <w:ind w:left="500" w:right="20"/>
        <w:spacing w:after="0" w:line="260" w:lineRule="auto"/>
        <w:rPr>
          <w:sz w:val="20"/>
          <w:szCs w:val="20"/>
          <w:color w:val="auto"/>
        </w:rPr>
      </w:pPr>
      <w:r>
        <w:rPr>
          <w:rFonts w:ascii="Arial" w:cs="Arial" w:eastAsia="Arial" w:hAnsi="Arial"/>
          <w:sz w:val="16"/>
          <w:szCs w:val="16"/>
          <w:color w:val="231F20"/>
        </w:rPr>
        <w:t>We believe our success in creating value for individuals and organizations around the world will depend on our ability to leverage the potential of our own people. We are investing in our people to support both our strategic ambitions and their personal goals.</w:t>
      </w:r>
    </w:p>
    <w:p>
      <w:pPr>
        <w:spacing w:after="0" w:line="122" w:lineRule="exact"/>
        <w:rPr>
          <w:sz w:val="20"/>
          <w:szCs w:val="20"/>
          <w:color w:val="auto"/>
        </w:rPr>
      </w:pPr>
    </w:p>
    <w:p>
      <w:pPr>
        <w:ind w:left="500" w:right="20"/>
        <w:spacing w:after="0" w:line="260" w:lineRule="auto"/>
        <w:rPr>
          <w:sz w:val="20"/>
          <w:szCs w:val="20"/>
          <w:color w:val="auto"/>
        </w:rPr>
      </w:pPr>
      <w:r>
        <w:rPr>
          <w:rFonts w:ascii="Arial" w:cs="Arial" w:eastAsia="Arial" w:hAnsi="Arial"/>
          <w:sz w:val="16"/>
          <w:szCs w:val="16"/>
          <w:color w:val="231F20"/>
        </w:rPr>
        <w:t>In 2024, we continued to broaden and deepen our investment through our Leadership Development Programs, incorporating the 3 E’s of our development philosophy: Education, Exposure and Experience.</w:t>
      </w:r>
    </w:p>
    <w:p>
      <w:pPr>
        <w:spacing w:after="0" w:line="51" w:lineRule="exact"/>
        <w:rPr>
          <w:sz w:val="20"/>
          <w:szCs w:val="20"/>
          <w:color w:val="auto"/>
        </w:rPr>
      </w:pPr>
    </w:p>
    <w:p>
      <w:pPr>
        <w:ind w:left="1040" w:hanging="310"/>
        <w:spacing w:after="0" w:line="260" w:lineRule="auto"/>
        <w:tabs>
          <w:tab w:leader="none" w:pos="1040" w:val="left"/>
        </w:tabs>
        <w:numPr>
          <w:ilvl w:val="0"/>
          <w:numId w:val="6"/>
        </w:numPr>
        <w:rPr>
          <w:rFonts w:ascii="Times New Roman" w:cs="Times New Roman" w:eastAsia="Times New Roman" w:hAnsi="Times New Roman"/>
          <w:sz w:val="16"/>
          <w:szCs w:val="16"/>
          <w:color w:val="5B89B4"/>
        </w:rPr>
      </w:pPr>
      <w:r>
        <w:rPr>
          <w:rFonts w:ascii="Arial" w:cs="Arial" w:eastAsia="Arial" w:hAnsi="Arial"/>
          <w:sz w:val="16"/>
          <w:szCs w:val="16"/>
          <w:color w:val="231F20"/>
        </w:rPr>
        <w:t>For our Future Leaders Program (FLP) that targets individual contributors wanting to take on their first managerial role, 110 employees completed this program in 2024 and a total of 955 employees have completed the program since its inception in 2019.</w:t>
      </w:r>
    </w:p>
    <w:p>
      <w:pPr>
        <w:spacing w:after="0" w:line="50" w:lineRule="exact"/>
        <w:rPr>
          <w:rFonts w:ascii="Times New Roman" w:cs="Times New Roman" w:eastAsia="Times New Roman" w:hAnsi="Times New Roman"/>
          <w:sz w:val="16"/>
          <w:szCs w:val="16"/>
          <w:color w:val="5B89B4"/>
        </w:rPr>
      </w:pPr>
    </w:p>
    <w:p>
      <w:pPr>
        <w:ind w:left="1040" w:right="20" w:hanging="310"/>
        <w:spacing w:after="0" w:line="260" w:lineRule="auto"/>
        <w:tabs>
          <w:tab w:leader="none" w:pos="1040" w:val="left"/>
        </w:tabs>
        <w:numPr>
          <w:ilvl w:val="0"/>
          <w:numId w:val="6"/>
        </w:numPr>
        <w:rPr>
          <w:rFonts w:ascii="Times New Roman" w:cs="Times New Roman" w:eastAsia="Times New Roman" w:hAnsi="Times New Roman"/>
          <w:sz w:val="16"/>
          <w:szCs w:val="16"/>
          <w:color w:val="5B89B4"/>
        </w:rPr>
      </w:pPr>
      <w:r>
        <w:rPr>
          <w:rFonts w:ascii="Arial" w:cs="Arial" w:eastAsia="Arial" w:hAnsi="Arial"/>
          <w:sz w:val="16"/>
          <w:szCs w:val="16"/>
          <w:color w:val="231F20"/>
        </w:rPr>
        <w:t>For our Accelerated Leadership Program (XLP) that targets current managers ready to move into bigger or more complex roles, 20 employees completed this program in 2024 - and a total of 101 employees have completed the program since it began in 2022.</w:t>
      </w:r>
    </w:p>
    <w:p>
      <w:pPr>
        <w:spacing w:after="0" w:line="50" w:lineRule="exact"/>
        <w:rPr>
          <w:rFonts w:ascii="Times New Roman" w:cs="Times New Roman" w:eastAsia="Times New Roman" w:hAnsi="Times New Roman"/>
          <w:sz w:val="16"/>
          <w:szCs w:val="16"/>
          <w:color w:val="5B89B4"/>
        </w:rPr>
      </w:pPr>
    </w:p>
    <w:p>
      <w:pPr>
        <w:jc w:val="both"/>
        <w:ind w:left="1040" w:right="20" w:hanging="310"/>
        <w:spacing w:after="0" w:line="245" w:lineRule="auto"/>
        <w:tabs>
          <w:tab w:leader="none" w:pos="1040" w:val="left"/>
        </w:tabs>
        <w:numPr>
          <w:ilvl w:val="0"/>
          <w:numId w:val="6"/>
        </w:numPr>
        <w:rPr>
          <w:rFonts w:ascii="Times New Roman" w:cs="Times New Roman" w:eastAsia="Times New Roman" w:hAnsi="Times New Roman"/>
          <w:sz w:val="16"/>
          <w:szCs w:val="16"/>
          <w:color w:val="5B89B4"/>
        </w:rPr>
      </w:pPr>
      <w:r>
        <w:rPr>
          <w:rFonts w:ascii="Arial" w:cs="Arial" w:eastAsia="Arial" w:hAnsi="Arial"/>
          <w:sz w:val="16"/>
          <w:szCs w:val="16"/>
          <w:color w:val="231F20"/>
        </w:rPr>
        <w:t>For our Strategic Leadership Program (SLP) that focuses on senior leaders to prepare them to move into the Global Leadership team, 42 employees completed the program since the program began in 2022. The program runs every other year and our next cohort will start in 2025 with 12 employees identified through talent planning and calibration.</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color w:val="231F20"/>
        </w:rPr>
        <w:t>Upon completion of these programs, the majority of our participants have made positive leadership career moves.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5B89B4"/>
        </w:rPr>
        <w:t>Strengthening our Culture</w:t>
      </w:r>
    </w:p>
    <w:p>
      <w:pPr>
        <w:spacing w:after="0" w:line="88" w:lineRule="exact"/>
        <w:rPr>
          <w:sz w:val="20"/>
          <w:szCs w:val="20"/>
          <w:color w:val="auto"/>
        </w:rPr>
      </w:pPr>
    </w:p>
    <w:p>
      <w:pPr>
        <w:jc w:val="both"/>
        <w:ind w:left="500"/>
        <w:spacing w:after="0" w:line="241" w:lineRule="auto"/>
        <w:rPr>
          <w:sz w:val="20"/>
          <w:szCs w:val="20"/>
          <w:color w:val="auto"/>
        </w:rPr>
      </w:pPr>
      <w:r>
        <w:rPr>
          <w:rFonts w:ascii="Arial" w:cs="Arial" w:eastAsia="Arial" w:hAnsi="Arial"/>
          <w:sz w:val="16"/>
          <w:szCs w:val="16"/>
          <w:color w:val="231F20"/>
        </w:rPr>
        <w:t>We believe that all people deserve to feel safe, respected and able to thrive in the workplace. Our focus encompasses four areas of focus : (1) globally, support gender diversity at leadership levels; (2) locally, address a second dimension of diversity based on gaps or opportunities within a country; (3) culturally, foster an inclusive environment that supports our diverse workforce; and (4) societally, advance employment security for workers while promoting upskilling, well-being, flexibility and income opportunity.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9" w:name="page10"/>
    <w:bookmarkEnd w:id="9"/>
    <w:p>
      <w:pPr>
        <w:spacing w:after="0"/>
        <w:rPr>
          <w:sz w:val="20"/>
          <w:szCs w:val="20"/>
          <w:color w:val="auto"/>
        </w:rPr>
      </w:pPr>
      <w:r>
        <w:rPr>
          <w:rFonts w:ascii="Arial" w:cs="Arial" w:eastAsia="Arial" w:hAnsi="Arial"/>
          <w:sz w:val="15"/>
          <w:szCs w:val="15"/>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-107315</wp:posOffset>
            </wp:positionV>
            <wp:extent cx="7149465" cy="135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ectPr>
          <w:pgSz w:w="11900" w:h="16838" w:orient="portrait"/>
          <w:cols w:equalWidth="0" w:num="1">
            <w:col w:w="11200"/>
          </w:cols>
          <w:pgMar w:left="380" w:top="704" w:right="319" w:bottom="1440" w:gutter="0" w:footer="0" w:header="0"/>
        </w:sectPr>
      </w:pPr>
    </w:p>
    <w:p>
      <w:pPr>
        <w:spacing w:after="0" w:line="206" w:lineRule="exact"/>
        <w:rPr>
          <w:sz w:val="20"/>
          <w:szCs w:val="20"/>
          <w:color w:val="auto"/>
        </w:rPr>
      </w:pPr>
    </w:p>
    <w:p>
      <w:pPr>
        <w:jc w:val="both"/>
        <w:ind w:left="440" w:right="20"/>
        <w:spacing w:after="0" w:line="236" w:lineRule="auto"/>
        <w:rPr>
          <w:sz w:val="20"/>
          <w:szCs w:val="20"/>
          <w:color w:val="auto"/>
        </w:rPr>
      </w:pPr>
      <w:r>
        <w:rPr>
          <w:rFonts w:ascii="Arial" w:cs="Arial" w:eastAsia="Arial" w:hAnsi="Arial"/>
          <w:sz w:val="16"/>
          <w:szCs w:val="16"/>
          <w:color w:val="231F20"/>
        </w:rPr>
        <w:t>Our Board of Directors has exceeded 30% gender diversity for more than 10 years. As of December 31, 2024, 18% are racially diverse and 36% are non-US born. Our Executive Leadership Team, which reports directly to the CEO, is 30% women, 40% racially diverse and 70% non-US born. Our Global Leadership Team, the top 86 leaders in the company, is 38% women. Gender diversity across all our markets globally aligns to our values. We will continue to develop our talent across all markets and at all levels, including working to ensure that the gender diversity of our leadership is aligned to the representation of the organization. Diversity in our workplaces also means that we prioritize people’s health and wellbeing and have committed to flexible work models across the globe to attract, engage and retain our people. In several markets, we have launched initiatives and trained our managers to promote greater awareness of mental wellbeing. We see diversity as a strategic enabler of our business and therefore we are focused on actions to support our diverse organization, our culture and the impact we have on the communities we serve across the globe.</w:t>
      </w:r>
    </w:p>
    <w:p>
      <w:pPr>
        <w:spacing w:after="0" w:line="66" w:lineRule="exact"/>
        <w:rPr>
          <w:sz w:val="20"/>
          <w:szCs w:val="20"/>
          <w:color w:val="auto"/>
        </w:rPr>
      </w:pPr>
    </w:p>
    <w:p>
      <w:pPr>
        <w:jc w:val="both"/>
        <w:ind w:left="440"/>
        <w:spacing w:after="0" w:line="236" w:lineRule="auto"/>
        <w:rPr>
          <w:sz w:val="20"/>
          <w:szCs w:val="20"/>
          <w:color w:val="auto"/>
        </w:rPr>
      </w:pPr>
      <w:r>
        <w:rPr>
          <w:rFonts w:ascii="Arial" w:cs="Arial" w:eastAsia="Arial" w:hAnsi="Arial"/>
          <w:sz w:val="16"/>
          <w:szCs w:val="16"/>
          <w:color w:val="231F20"/>
        </w:rPr>
        <w:t>Additionally, encouraging active engagement among our workforce is important for nurturing a strong and inclusive culture. We believe regular pulse surveys offer valuable insights into employee sentiments, spanning various areas such as the effectiveness of our People &amp; Culture strategy, leadership assessments, ethics, values, and developmental opportunities. Our Culture Matters initiative has been refined, and we incorporated these behaviors into Our Standards. Our business strategy guides our actions for achieving our goals, and the behaviors in Our Standards—Clarity, Care, and Grow— illustrate how we execute these strategies. We believe our global leaders should provide clarity to our people and our clients, care about themselves and others through our people practices, and make decisions that grow our business and ourselves. Our core belief is that for ManpowerGroup to be successful, each of us needs to be accountable to delivering on these at all levels of our organization.</w:t>
      </w:r>
    </w:p>
    <w:p>
      <w:pPr>
        <w:spacing w:after="0" w:line="129" w:lineRule="exact"/>
        <w:rPr>
          <w:sz w:val="20"/>
          <w:szCs w:val="20"/>
          <w:color w:val="auto"/>
        </w:rPr>
      </w:pPr>
    </w:p>
    <w:p>
      <w:pPr>
        <w:jc w:val="both"/>
        <w:ind w:left="440" w:right="20"/>
        <w:spacing w:after="0" w:line="260" w:lineRule="auto"/>
        <w:rPr>
          <w:sz w:val="20"/>
          <w:szCs w:val="20"/>
          <w:color w:val="auto"/>
        </w:rPr>
      </w:pPr>
      <w:r>
        <w:rPr>
          <w:rFonts w:ascii="Arial" w:cs="Arial" w:eastAsia="Arial" w:hAnsi="Arial"/>
          <w:sz w:val="16"/>
          <w:szCs w:val="16"/>
          <w:color w:val="231F20"/>
        </w:rPr>
        <w:t>In 2024, we conducted a global employee survey with over 22,000 staff participating, achieving an 80% response rate. Over 11,000 employees left nearly 26,000 comments to help leaders improve the employee experience at ManpowerGroup.</w:t>
      </w:r>
    </w:p>
    <w:p>
      <w:pPr>
        <w:spacing w:after="0" w:line="14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412750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704" w:right="319" w:bottom="1440" w:gutter="0" w:footer="0" w:header="0"/>
          <w:type w:val="continuous"/>
        </w:sectPr>
      </w:pPr>
    </w:p>
    <w:bookmarkStart w:id="10" w:name="page11"/>
    <w:bookmarkEnd w:id="10"/>
    <w:p>
      <w:pPr>
        <w:ind w:left="1080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Item 1A. Risk Factors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FORWARD-LOOKING STATEMENTS</w:t>
      </w:r>
    </w:p>
    <w:p>
      <w:pPr>
        <w:spacing w:after="0" w:line="8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231F20"/>
        </w:rPr>
        <w:t>This Annual Report on Form 10-K contains forward-looking statements within the meaning of Section 27A of the Securities Act of 1933, as amended, and Section 21E of the Exchange Act of 1934, as amended, (each a "forward-looking statement"). Statements made in this report that are not statements of historical fact are forward-looking statements. In addition, from time to time, we and our representatives may make statements that are forward -looking. Forward-looking statements are based on management’s current assumptions and expectations and are subject to risks and uncertainties that are beyond our control. This section provides you with cautionary statements identifying, for purposes of the safe harbor provisions of the Private Securities Litigation Reform Act of 1995, important factors that could materially adversely affect our business, operational and financial results and cash flows. In addition, these factors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 We caution that any forward-looking statement reflects only our belief at the time the statement is made. We undertake no obligation to update any forward-looking statements to reflect subsequent events or circumstances.</w:t>
      </w:r>
    </w:p>
    <w:p>
      <w:pPr>
        <w:spacing w:after="0" w:line="7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The following are some of the factors that could materially adversely affect our business, operational and financial results and cash flows or cause actual results to differ materially from estimates contained in our forward-looking statements. Risks in this section are grouped in the following categories: (1) Company and Operational Risks; (2) Strategic Risks; (3) Financial and Market Risks; and (4) Regulatory and Legal Risks. Many risks affect more than one category, and the risks are not in order of significance or probability of occurrence because they have been grouped by categories.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Company and Operational Risks</w:t>
      </w:r>
    </w:p>
    <w:p>
      <w:pPr>
        <w:spacing w:after="0" w:line="88" w:lineRule="exact"/>
        <w:rPr>
          <w:sz w:val="20"/>
          <w:szCs w:val="20"/>
          <w:color w:val="auto"/>
        </w:rPr>
      </w:pPr>
    </w:p>
    <w:p>
      <w:pPr>
        <w:ind w:left="520" w:hanging="315"/>
        <w:spacing w:after="0"/>
        <w:tabs>
          <w:tab w:leader="none" w:pos="520" w:val="left"/>
        </w:tabs>
        <w:numPr>
          <w:ilvl w:val="0"/>
          <w:numId w:val="7"/>
        </w:numPr>
        <w:rPr>
          <w:rFonts w:ascii="Times New Roman" w:cs="Times New Roman" w:eastAsia="Times New Roman" w:hAnsi="Times New Roman"/>
          <w:sz w:val="16"/>
          <w:szCs w:val="16"/>
          <w:color w:val="5B89B4"/>
        </w:rPr>
      </w:pPr>
      <w:r>
        <w:rPr>
          <w:rFonts w:ascii="Arial" w:cs="Arial" w:eastAsia="Arial" w:hAnsi="Arial"/>
          <w:sz w:val="16"/>
          <w:szCs w:val="16"/>
          <w:color w:val="231F20"/>
        </w:rPr>
        <w:t>Volatile, negative or uncertain economic conditions;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7"/>
        </w:numPr>
        <w:rPr>
          <w:rFonts w:ascii="Times New Roman" w:cs="Times New Roman" w:eastAsia="Times New Roman" w:hAnsi="Times New Roman"/>
          <w:sz w:val="16"/>
          <w:szCs w:val="16"/>
          <w:color w:val="5B89B4"/>
        </w:rPr>
      </w:pPr>
      <w:r>
        <w:rPr>
          <w:rFonts w:ascii="Arial" w:cs="Arial" w:eastAsia="Arial" w:hAnsi="Arial"/>
          <w:sz w:val="16"/>
          <w:szCs w:val="16"/>
          <w:color w:val="231F20"/>
        </w:rPr>
        <w:t>Inability to timely operate our business or respond to the needs of our clients;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7"/>
        </w:numPr>
        <w:rPr>
          <w:rFonts w:ascii="Times New Roman" w:cs="Times New Roman" w:eastAsia="Times New Roman" w:hAnsi="Times New Roman"/>
          <w:sz w:val="16"/>
          <w:szCs w:val="16"/>
          <w:color w:val="5B89B4"/>
        </w:rPr>
      </w:pPr>
      <w:r>
        <w:rPr>
          <w:rFonts w:ascii="Arial" w:cs="Arial" w:eastAsia="Arial" w:hAnsi="Arial"/>
          <w:sz w:val="16"/>
          <w:szCs w:val="16"/>
          <w:color w:val="231F20"/>
        </w:rPr>
        <w:t>Competition in the worldwide employment services industry limiting our ability to maintain or increase market share or profitability;</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7"/>
        </w:numPr>
        <w:rPr>
          <w:rFonts w:ascii="Times New Roman" w:cs="Times New Roman" w:eastAsia="Times New Roman" w:hAnsi="Times New Roman"/>
          <w:sz w:val="16"/>
          <w:szCs w:val="16"/>
          <w:color w:val="5B89B4"/>
        </w:rPr>
      </w:pPr>
      <w:r>
        <w:rPr>
          <w:rFonts w:ascii="Arial" w:cs="Arial" w:eastAsia="Arial" w:hAnsi="Arial"/>
          <w:sz w:val="16"/>
          <w:szCs w:val="16"/>
          <w:color w:val="231F20"/>
        </w:rPr>
        <w:t>Cyberattack or improper disclosure or loss of sensitive or confidential company, employee, associate or client data, including personal data;</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7"/>
        </w:numPr>
        <w:rPr>
          <w:rFonts w:ascii="Times New Roman" w:cs="Times New Roman" w:eastAsia="Times New Roman" w:hAnsi="Times New Roman"/>
          <w:sz w:val="16"/>
          <w:szCs w:val="16"/>
          <w:color w:val="5B89B4"/>
        </w:rPr>
      </w:pPr>
      <w:r>
        <w:rPr>
          <w:rFonts w:ascii="Arial" w:cs="Arial" w:eastAsia="Arial" w:hAnsi="Arial"/>
          <w:sz w:val="16"/>
          <w:szCs w:val="16"/>
          <w:color w:val="231F20"/>
        </w:rPr>
        <w:t>Disruption, increased costs and reputational risk from outsourcing various aspects of our business;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7"/>
        </w:numPr>
        <w:rPr>
          <w:rFonts w:ascii="Times New Roman" w:cs="Times New Roman" w:eastAsia="Times New Roman" w:hAnsi="Times New Roman"/>
          <w:sz w:val="16"/>
          <w:szCs w:val="16"/>
          <w:color w:val="5B89B4"/>
        </w:rPr>
      </w:pPr>
      <w:r>
        <w:rPr>
          <w:rFonts w:ascii="Arial" w:cs="Arial" w:eastAsia="Arial" w:hAnsi="Arial"/>
          <w:sz w:val="16"/>
          <w:szCs w:val="16"/>
          <w:color w:val="231F20"/>
        </w:rPr>
        <w:t>Risks related to the emergence of AI;</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7"/>
        </w:numPr>
        <w:rPr>
          <w:rFonts w:ascii="Times New Roman" w:cs="Times New Roman" w:eastAsia="Times New Roman" w:hAnsi="Times New Roman"/>
          <w:sz w:val="16"/>
          <w:szCs w:val="16"/>
          <w:color w:val="5B89B4"/>
        </w:rPr>
      </w:pPr>
      <w:r>
        <w:rPr>
          <w:rFonts w:ascii="Arial" w:cs="Arial" w:eastAsia="Arial" w:hAnsi="Arial"/>
          <w:sz w:val="16"/>
          <w:szCs w:val="16"/>
          <w:color w:val="231F20"/>
        </w:rPr>
        <w:t>A loss or reduction in revenues from one or more large clients;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7"/>
        </w:numPr>
        <w:rPr>
          <w:rFonts w:ascii="Times New Roman" w:cs="Times New Roman" w:eastAsia="Times New Roman" w:hAnsi="Times New Roman"/>
          <w:sz w:val="16"/>
          <w:szCs w:val="16"/>
          <w:color w:val="5B89B4"/>
        </w:rPr>
      </w:pPr>
      <w:r>
        <w:rPr>
          <w:rFonts w:ascii="Arial" w:cs="Arial" w:eastAsia="Arial" w:hAnsi="Arial"/>
          <w:sz w:val="16"/>
          <w:szCs w:val="16"/>
          <w:color w:val="231F20"/>
        </w:rPr>
        <w:t>Loss of key personnel;</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7"/>
        </w:numPr>
        <w:rPr>
          <w:rFonts w:ascii="Times New Roman" w:cs="Times New Roman" w:eastAsia="Times New Roman" w:hAnsi="Times New Roman"/>
          <w:sz w:val="16"/>
          <w:szCs w:val="16"/>
          <w:color w:val="5B89B4"/>
        </w:rPr>
      </w:pPr>
      <w:r>
        <w:rPr>
          <w:rFonts w:ascii="Arial" w:cs="Arial" w:eastAsia="Arial" w:hAnsi="Arial"/>
          <w:sz w:val="16"/>
          <w:szCs w:val="16"/>
          <w:color w:val="231F20"/>
        </w:rPr>
        <w:t>Competition in labor markets limiting our ability to attract, train and retain the personnel necessary to meet our clients’ staffing needs;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7"/>
        </w:numPr>
        <w:rPr>
          <w:rFonts w:ascii="Times New Roman" w:cs="Times New Roman" w:eastAsia="Times New Roman" w:hAnsi="Times New Roman"/>
          <w:sz w:val="16"/>
          <w:szCs w:val="16"/>
          <w:color w:val="5B89B4"/>
        </w:rPr>
      </w:pPr>
      <w:r>
        <w:rPr>
          <w:rFonts w:ascii="Arial" w:cs="Arial" w:eastAsia="Arial" w:hAnsi="Arial"/>
          <w:sz w:val="16"/>
          <w:szCs w:val="16"/>
          <w:color w:val="231F20"/>
        </w:rPr>
        <w:t>Political unrest, natural disasters, health crises, infrastructure disruptions and other risks beyond our control;</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7"/>
        </w:numPr>
        <w:rPr>
          <w:rFonts w:ascii="Times New Roman" w:cs="Times New Roman" w:eastAsia="Times New Roman" w:hAnsi="Times New Roman"/>
          <w:sz w:val="16"/>
          <w:szCs w:val="16"/>
          <w:color w:val="5B89B4"/>
        </w:rPr>
      </w:pPr>
      <w:r>
        <w:rPr>
          <w:rFonts w:ascii="Arial" w:cs="Arial" w:eastAsia="Arial" w:hAnsi="Arial"/>
          <w:sz w:val="16"/>
          <w:szCs w:val="16"/>
          <w:color w:val="231F20"/>
        </w:rPr>
        <w:t>Our ability to preserve our reputation in the marketplace;</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7"/>
        </w:numPr>
        <w:rPr>
          <w:rFonts w:ascii="Times New Roman" w:cs="Times New Roman" w:eastAsia="Times New Roman" w:hAnsi="Times New Roman"/>
          <w:sz w:val="16"/>
          <w:szCs w:val="16"/>
          <w:color w:val="5B89B4"/>
        </w:rPr>
      </w:pPr>
      <w:r>
        <w:rPr>
          <w:rFonts w:ascii="Arial" w:cs="Arial" w:eastAsia="Arial" w:hAnsi="Arial"/>
          <w:sz w:val="16"/>
          <w:szCs w:val="16"/>
          <w:color w:val="231F20"/>
        </w:rPr>
        <w:t>Changes in client attitudes toward the use of our services or our industry; and</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7"/>
        </w:numPr>
        <w:rPr>
          <w:rFonts w:ascii="Times New Roman" w:cs="Times New Roman" w:eastAsia="Times New Roman" w:hAnsi="Times New Roman"/>
          <w:sz w:val="16"/>
          <w:szCs w:val="16"/>
          <w:color w:val="5B89B4"/>
        </w:rPr>
      </w:pPr>
      <w:r>
        <w:rPr>
          <w:rFonts w:ascii="Arial" w:cs="Arial" w:eastAsia="Arial" w:hAnsi="Arial"/>
          <w:sz w:val="16"/>
          <w:szCs w:val="16"/>
          <w:color w:val="231F20"/>
        </w:rPr>
        <w:t>Limited ability to protect our thought leadership and other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Strategic Risks</w:t>
      </w:r>
    </w:p>
    <w:p>
      <w:pPr>
        <w:spacing w:after="0" w:line="64" w:lineRule="exact"/>
        <w:rPr>
          <w:sz w:val="20"/>
          <w:szCs w:val="20"/>
          <w:color w:val="auto"/>
        </w:rPr>
      </w:pPr>
    </w:p>
    <w:p>
      <w:pPr>
        <w:ind w:left="520" w:hanging="315"/>
        <w:spacing w:after="0"/>
        <w:tabs>
          <w:tab w:leader="none" w:pos="520" w:val="left"/>
        </w:tabs>
        <w:numPr>
          <w:ilvl w:val="0"/>
          <w:numId w:val="8"/>
        </w:numPr>
        <w:rPr>
          <w:rFonts w:ascii="Times New Roman" w:cs="Times New Roman" w:eastAsia="Times New Roman" w:hAnsi="Times New Roman"/>
          <w:sz w:val="16"/>
          <w:szCs w:val="16"/>
          <w:color w:val="5B89B4"/>
        </w:rPr>
      </w:pPr>
      <w:r>
        <w:rPr>
          <w:rFonts w:ascii="Arial" w:cs="Arial" w:eastAsia="Arial" w:hAnsi="Arial"/>
          <w:sz w:val="16"/>
          <w:szCs w:val="16"/>
          <w:color w:val="231F20"/>
        </w:rPr>
        <w:t>Inability to effectively implement our business strategy or achieve our objectives;</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8"/>
        </w:numPr>
        <w:rPr>
          <w:rFonts w:ascii="Times New Roman" w:cs="Times New Roman" w:eastAsia="Times New Roman" w:hAnsi="Times New Roman"/>
          <w:sz w:val="16"/>
          <w:szCs w:val="16"/>
          <w:color w:val="5B89B4"/>
        </w:rPr>
      </w:pPr>
      <w:r>
        <w:rPr>
          <w:rFonts w:ascii="Arial" w:cs="Arial" w:eastAsia="Arial" w:hAnsi="Arial"/>
          <w:sz w:val="16"/>
          <w:szCs w:val="16"/>
          <w:color w:val="231F20"/>
        </w:rPr>
        <w:t>Failure to keep pace with technological change and marketplace demand in the development and implementation of our services and solutions;</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8"/>
        </w:numPr>
        <w:rPr>
          <w:rFonts w:ascii="Times New Roman" w:cs="Times New Roman" w:eastAsia="Times New Roman" w:hAnsi="Times New Roman"/>
          <w:sz w:val="16"/>
          <w:szCs w:val="16"/>
          <w:color w:val="5B89B4"/>
        </w:rPr>
      </w:pPr>
      <w:r>
        <w:rPr>
          <w:rFonts w:ascii="Arial" w:cs="Arial" w:eastAsia="Arial" w:hAnsi="Arial"/>
          <w:sz w:val="16"/>
          <w:szCs w:val="16"/>
          <w:color w:val="231F20"/>
        </w:rPr>
        <w:t>Our sustainability strategy exposes us to business risks;</w:t>
      </w:r>
    </w:p>
    <w:p>
      <w:pPr>
        <w:spacing w:after="0" w:line="75"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8"/>
        </w:numPr>
        <w:rPr>
          <w:rFonts w:ascii="Times New Roman" w:cs="Times New Roman" w:eastAsia="Times New Roman" w:hAnsi="Times New Roman"/>
          <w:sz w:val="16"/>
          <w:szCs w:val="16"/>
          <w:color w:val="5B89B4"/>
        </w:rPr>
      </w:pPr>
      <w:r>
        <w:rPr>
          <w:rFonts w:ascii="Arial" w:cs="Arial" w:eastAsia="Arial" w:hAnsi="Arial"/>
          <w:sz w:val="16"/>
          <w:szCs w:val="16"/>
          <w:color w:val="231F20"/>
        </w:rPr>
        <w:t>Costs or disruptions resulting from acquisitions we complete; and</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8"/>
        </w:numPr>
        <w:rPr>
          <w:rFonts w:ascii="Times New Roman" w:cs="Times New Roman" w:eastAsia="Times New Roman" w:hAnsi="Times New Roman"/>
          <w:sz w:val="16"/>
          <w:szCs w:val="16"/>
          <w:color w:val="5B89B4"/>
        </w:rPr>
      </w:pPr>
      <w:r>
        <w:rPr>
          <w:rFonts w:ascii="Arial" w:cs="Arial" w:eastAsia="Arial" w:hAnsi="Arial"/>
          <w:sz w:val="16"/>
          <w:szCs w:val="16"/>
          <w:color w:val="231F20"/>
        </w:rPr>
        <w:t>Risks related to dispositions we may undertake via sales, franchises, joint ventures or other exit activities.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11" w:name="page12"/>
    <w:bookmarkEnd w:id="11"/>
    <w:p>
      <w:pPr>
        <w:ind w:left="6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Financial and Market Risks</w:t>
      </w:r>
    </w:p>
    <w:p>
      <w:pPr>
        <w:spacing w:after="0" w:line="64" w:lineRule="exact"/>
        <w:rPr>
          <w:sz w:val="20"/>
          <w:szCs w:val="20"/>
          <w:color w:val="auto"/>
        </w:rPr>
      </w:pPr>
    </w:p>
    <w:p>
      <w:pPr>
        <w:ind w:left="520" w:hanging="315"/>
        <w:spacing w:after="0"/>
        <w:tabs>
          <w:tab w:leader="none" w:pos="520" w:val="left"/>
        </w:tabs>
        <w:numPr>
          <w:ilvl w:val="0"/>
          <w:numId w:val="9"/>
        </w:numPr>
        <w:rPr>
          <w:rFonts w:ascii="Times New Roman" w:cs="Times New Roman" w:eastAsia="Times New Roman" w:hAnsi="Times New Roman"/>
          <w:sz w:val="16"/>
          <w:szCs w:val="16"/>
          <w:color w:val="5B89B4"/>
        </w:rPr>
      </w:pPr>
      <w:r>
        <w:rPr>
          <w:rFonts w:ascii="Arial" w:cs="Arial" w:eastAsia="Arial" w:hAnsi="Arial"/>
          <w:sz w:val="16"/>
          <w:szCs w:val="16"/>
          <w:color w:val="231F20"/>
        </w:rPr>
        <w:t>Foreign currency fluctuations;</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9"/>
        </w:numPr>
        <w:rPr>
          <w:rFonts w:ascii="Times New Roman" w:cs="Times New Roman" w:eastAsia="Times New Roman" w:hAnsi="Times New Roman"/>
          <w:sz w:val="16"/>
          <w:szCs w:val="16"/>
          <w:color w:val="5B89B4"/>
        </w:rPr>
      </w:pPr>
      <w:r>
        <w:rPr>
          <w:rFonts w:ascii="Arial" w:cs="Arial" w:eastAsia="Arial" w:hAnsi="Arial"/>
          <w:sz w:val="16"/>
          <w:szCs w:val="16"/>
          <w:color w:val="231F20"/>
        </w:rPr>
        <w:t>Inability to meet our liquidity or working capital needs;</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9"/>
        </w:numPr>
        <w:rPr>
          <w:rFonts w:ascii="Times New Roman" w:cs="Times New Roman" w:eastAsia="Times New Roman" w:hAnsi="Times New Roman"/>
          <w:sz w:val="16"/>
          <w:szCs w:val="16"/>
          <w:color w:val="5B89B4"/>
        </w:rPr>
      </w:pPr>
      <w:r>
        <w:rPr>
          <w:rFonts w:ascii="Arial" w:cs="Arial" w:eastAsia="Arial" w:hAnsi="Arial"/>
          <w:sz w:val="16"/>
          <w:szCs w:val="16"/>
          <w:color w:val="231F20"/>
        </w:rPr>
        <w:t>Inability to maintain effective internal controls;</w:t>
      </w:r>
    </w:p>
    <w:p>
      <w:pPr>
        <w:spacing w:after="0" w:line="75"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9"/>
        </w:numPr>
        <w:rPr>
          <w:rFonts w:ascii="Times New Roman" w:cs="Times New Roman" w:eastAsia="Times New Roman" w:hAnsi="Times New Roman"/>
          <w:sz w:val="16"/>
          <w:szCs w:val="16"/>
          <w:color w:val="5B89B4"/>
        </w:rPr>
      </w:pPr>
      <w:r>
        <w:rPr>
          <w:rFonts w:ascii="Arial" w:cs="Arial" w:eastAsia="Arial" w:hAnsi="Arial"/>
          <w:sz w:val="16"/>
          <w:szCs w:val="16"/>
          <w:color w:val="231F20"/>
        </w:rPr>
        <w:t>Material adverse effects on our operating flexibility resulting from our debt levels;</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9"/>
        </w:numPr>
        <w:rPr>
          <w:rFonts w:ascii="Times New Roman" w:cs="Times New Roman" w:eastAsia="Times New Roman" w:hAnsi="Times New Roman"/>
          <w:sz w:val="16"/>
          <w:szCs w:val="16"/>
          <w:color w:val="5B89B4"/>
        </w:rPr>
      </w:pPr>
      <w:r>
        <w:rPr>
          <w:rFonts w:ascii="Arial" w:cs="Arial" w:eastAsia="Arial" w:hAnsi="Arial"/>
          <w:sz w:val="16"/>
          <w:szCs w:val="16"/>
          <w:color w:val="231F20"/>
        </w:rPr>
        <w:t>Failure to comply with restrictive covenants under our revolving credit facilities and other debt instruments;</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9"/>
        </w:numPr>
        <w:rPr>
          <w:rFonts w:ascii="Times New Roman" w:cs="Times New Roman" w:eastAsia="Times New Roman" w:hAnsi="Times New Roman"/>
          <w:sz w:val="16"/>
          <w:szCs w:val="16"/>
          <w:color w:val="5B89B4"/>
        </w:rPr>
      </w:pPr>
      <w:r>
        <w:rPr>
          <w:rFonts w:ascii="Arial" w:cs="Arial" w:eastAsia="Arial" w:hAnsi="Arial"/>
          <w:sz w:val="16"/>
          <w:szCs w:val="16"/>
          <w:color w:val="231F20"/>
        </w:rPr>
        <w:t>Inability to obtain credit on terms acceptable to us or at all;</w:t>
      </w:r>
    </w:p>
    <w:p>
      <w:pPr>
        <w:spacing w:after="0" w:line="75"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9"/>
        </w:numPr>
        <w:rPr>
          <w:rFonts w:ascii="Times New Roman" w:cs="Times New Roman" w:eastAsia="Times New Roman" w:hAnsi="Times New Roman"/>
          <w:sz w:val="16"/>
          <w:szCs w:val="16"/>
          <w:color w:val="5B89B4"/>
        </w:rPr>
      </w:pPr>
      <w:r>
        <w:rPr>
          <w:rFonts w:ascii="Arial" w:cs="Arial" w:eastAsia="Arial" w:hAnsi="Arial"/>
          <w:sz w:val="16"/>
          <w:szCs w:val="16"/>
          <w:color w:val="231F20"/>
        </w:rPr>
        <w:t>The performance of our subsidiaries and their ability to distribute cash to our parent company, ManpowerGroup, may vary;</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9"/>
        </w:numPr>
        <w:rPr>
          <w:rFonts w:ascii="Times New Roman" w:cs="Times New Roman" w:eastAsia="Times New Roman" w:hAnsi="Times New Roman"/>
          <w:sz w:val="16"/>
          <w:szCs w:val="16"/>
          <w:color w:val="5B89B4"/>
        </w:rPr>
      </w:pPr>
      <w:r>
        <w:rPr>
          <w:rFonts w:ascii="Arial" w:cs="Arial" w:eastAsia="Arial" w:hAnsi="Arial"/>
          <w:sz w:val="16"/>
          <w:szCs w:val="16"/>
          <w:color w:val="231F20"/>
        </w:rPr>
        <w:t>Inability to secure guarantees or letters of credit on acceptable terms;</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9"/>
        </w:numPr>
        <w:rPr>
          <w:rFonts w:ascii="Times New Roman" w:cs="Times New Roman" w:eastAsia="Times New Roman" w:hAnsi="Times New Roman"/>
          <w:sz w:val="16"/>
          <w:szCs w:val="16"/>
          <w:color w:val="5B89B4"/>
        </w:rPr>
      </w:pPr>
      <w:r>
        <w:rPr>
          <w:rFonts w:ascii="Arial" w:cs="Arial" w:eastAsia="Arial" w:hAnsi="Arial"/>
          <w:sz w:val="16"/>
          <w:szCs w:val="16"/>
          <w:color w:val="231F20"/>
        </w:rPr>
        <w:t>Changes in tax legislation; and</w:t>
      </w:r>
    </w:p>
    <w:p>
      <w:pPr>
        <w:spacing w:after="0" w:line="75"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9"/>
        </w:numPr>
        <w:rPr>
          <w:rFonts w:ascii="Times New Roman" w:cs="Times New Roman" w:eastAsia="Times New Roman" w:hAnsi="Times New Roman"/>
          <w:sz w:val="16"/>
          <w:szCs w:val="16"/>
          <w:color w:val="5B89B4"/>
        </w:rPr>
      </w:pPr>
      <w:r>
        <w:rPr>
          <w:rFonts w:ascii="Arial" w:cs="Arial" w:eastAsia="Arial" w:hAnsi="Arial"/>
          <w:sz w:val="16"/>
          <w:szCs w:val="16"/>
          <w:color w:val="231F20"/>
        </w:rPr>
        <w:t>Fluctuation of our stock price.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Regulatory and Legal Risks</w:t>
      </w:r>
    </w:p>
    <w:p>
      <w:pPr>
        <w:spacing w:after="0" w:line="76" w:lineRule="exact"/>
        <w:rPr>
          <w:sz w:val="20"/>
          <w:szCs w:val="20"/>
          <w:color w:val="auto"/>
        </w:rPr>
      </w:pPr>
    </w:p>
    <w:p>
      <w:pPr>
        <w:ind w:left="520" w:hanging="315"/>
        <w:spacing w:after="0"/>
        <w:tabs>
          <w:tab w:leader="none" w:pos="520" w:val="left"/>
        </w:tabs>
        <w:numPr>
          <w:ilvl w:val="0"/>
          <w:numId w:val="10"/>
        </w:numPr>
        <w:rPr>
          <w:rFonts w:ascii="Times New Roman" w:cs="Times New Roman" w:eastAsia="Times New Roman" w:hAnsi="Times New Roman"/>
          <w:sz w:val="16"/>
          <w:szCs w:val="16"/>
          <w:color w:val="5B89B4"/>
        </w:rPr>
      </w:pPr>
      <w:r>
        <w:rPr>
          <w:rFonts w:ascii="Arial" w:cs="Arial" w:eastAsia="Arial" w:hAnsi="Arial"/>
          <w:sz w:val="16"/>
          <w:szCs w:val="16"/>
          <w:color w:val="231F20"/>
        </w:rPr>
        <w:t>Challenges meeting contractual obligations if we or third parties fail to deliver on performance commitments;</w:t>
      </w:r>
    </w:p>
    <w:p>
      <w:pPr>
        <w:spacing w:after="0" w:line="75" w:lineRule="exact"/>
        <w:rPr>
          <w:rFonts w:ascii="Times New Roman" w:cs="Times New Roman" w:eastAsia="Times New Roman" w:hAnsi="Times New Roman"/>
          <w:sz w:val="16"/>
          <w:szCs w:val="16"/>
          <w:color w:val="5B89B4"/>
        </w:rPr>
      </w:pPr>
    </w:p>
    <w:p>
      <w:pPr>
        <w:ind w:left="520" w:right="20" w:hanging="315"/>
        <w:spacing w:after="0" w:line="260" w:lineRule="auto"/>
        <w:tabs>
          <w:tab w:leader="none" w:pos="520" w:val="left"/>
        </w:tabs>
        <w:numPr>
          <w:ilvl w:val="0"/>
          <w:numId w:val="10"/>
        </w:numPr>
        <w:rPr>
          <w:rFonts w:ascii="Times New Roman" w:cs="Times New Roman" w:eastAsia="Times New Roman" w:hAnsi="Times New Roman"/>
          <w:sz w:val="16"/>
          <w:szCs w:val="16"/>
          <w:color w:val="5B89B4"/>
        </w:rPr>
      </w:pPr>
      <w:r>
        <w:rPr>
          <w:rFonts w:ascii="Arial" w:cs="Arial" w:eastAsia="Arial" w:hAnsi="Arial"/>
          <w:sz w:val="16"/>
          <w:szCs w:val="16"/>
          <w:color w:val="231F20"/>
        </w:rPr>
        <w:t>Legal regulations in places we do business or the regulatory prohibition or restriction of employment services or the imposition of additional licensing or tax requirements;</w:t>
      </w:r>
    </w:p>
    <w:p>
      <w:pPr>
        <w:spacing w:after="0" w:line="38"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0"/>
        </w:numPr>
        <w:rPr>
          <w:rFonts w:ascii="Times New Roman" w:cs="Times New Roman" w:eastAsia="Times New Roman" w:hAnsi="Times New Roman"/>
          <w:sz w:val="16"/>
          <w:szCs w:val="16"/>
          <w:color w:val="5B89B4"/>
        </w:rPr>
      </w:pPr>
      <w:r>
        <w:rPr>
          <w:rFonts w:ascii="Arial" w:cs="Arial" w:eastAsia="Arial" w:hAnsi="Arial"/>
          <w:sz w:val="16"/>
          <w:szCs w:val="16"/>
          <w:color w:val="231F20"/>
        </w:rPr>
        <w:t>Failure to comply with anti-corruption and bribery laws;</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0"/>
        </w:numPr>
        <w:rPr>
          <w:rFonts w:ascii="Times New Roman" w:cs="Times New Roman" w:eastAsia="Times New Roman" w:hAnsi="Times New Roman"/>
          <w:sz w:val="16"/>
          <w:szCs w:val="16"/>
          <w:color w:val="5B89B4"/>
        </w:rPr>
      </w:pPr>
      <w:r>
        <w:rPr>
          <w:rFonts w:ascii="Arial" w:cs="Arial" w:eastAsia="Arial" w:hAnsi="Arial"/>
          <w:sz w:val="16"/>
          <w:szCs w:val="16"/>
          <w:color w:val="231F20"/>
        </w:rPr>
        <w:t>Legal claims, including employment-related claims, from clients or third parties;</w:t>
      </w:r>
    </w:p>
    <w:p>
      <w:pPr>
        <w:spacing w:after="0" w:line="75"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0"/>
        </w:numPr>
        <w:rPr>
          <w:rFonts w:ascii="Times New Roman" w:cs="Times New Roman" w:eastAsia="Times New Roman" w:hAnsi="Times New Roman"/>
          <w:sz w:val="16"/>
          <w:szCs w:val="16"/>
          <w:color w:val="5B89B4"/>
        </w:rPr>
      </w:pPr>
      <w:r>
        <w:rPr>
          <w:rFonts w:ascii="Arial" w:cs="Arial" w:eastAsia="Arial" w:hAnsi="Arial"/>
          <w:sz w:val="16"/>
          <w:szCs w:val="16"/>
          <w:color w:val="231F20"/>
        </w:rPr>
        <w:t>Liability resulting from competition law;</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0"/>
        </w:numPr>
        <w:rPr>
          <w:rFonts w:ascii="Times New Roman" w:cs="Times New Roman" w:eastAsia="Times New Roman" w:hAnsi="Times New Roman"/>
          <w:sz w:val="16"/>
          <w:szCs w:val="16"/>
          <w:color w:val="5B89B4"/>
        </w:rPr>
      </w:pPr>
      <w:r>
        <w:rPr>
          <w:rFonts w:ascii="Arial" w:cs="Arial" w:eastAsia="Arial" w:hAnsi="Arial"/>
          <w:sz w:val="16"/>
          <w:szCs w:val="16"/>
          <w:color w:val="231F20"/>
        </w:rPr>
        <w:t>Provisions under Wisconsin law and our articles of incorporation and bylaws could make the takeover of our Company more difficult; and</w:t>
      </w:r>
    </w:p>
    <w:p>
      <w:pPr>
        <w:spacing w:after="0" w:line="75"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0"/>
        </w:numPr>
        <w:rPr>
          <w:rFonts w:ascii="Times New Roman" w:cs="Times New Roman" w:eastAsia="Times New Roman" w:hAnsi="Times New Roman"/>
          <w:sz w:val="16"/>
          <w:szCs w:val="16"/>
          <w:color w:val="5B89B4"/>
        </w:rPr>
      </w:pPr>
      <w:r>
        <w:rPr>
          <w:rFonts w:ascii="Arial" w:cs="Arial" w:eastAsia="Arial" w:hAnsi="Arial"/>
          <w:sz w:val="16"/>
          <w:szCs w:val="16"/>
          <w:color w:val="231F20"/>
        </w:rPr>
        <w:t>Other factors that may be disclosed below or from time to time in our SEC filings or otherwise.</w:t>
      </w:r>
    </w:p>
    <w:p>
      <w:pPr>
        <w:spacing w:after="0" w:line="9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RISK FACTORS</w:t>
      </w:r>
    </w:p>
    <w:p>
      <w:pPr>
        <w:spacing w:after="0" w:line="8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In addition to the other information set forth in this report, you should carefully consider the following factors which could materially adversely affect our business, financial condition, results of operations (including revenues and profitability) or stock price. Our business is also subject to general risks and uncertainties that may broadly affect companies. Additional risks and uncertainties not currently known to us or that we currently deem to be immaterial also could materially adversely affect our business, financial condition, results of operations or stock price.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Company and Operational Risks</w:t>
      </w:r>
    </w:p>
    <w:p>
      <w:pPr>
        <w:spacing w:after="0" w:line="88" w:lineRule="exact"/>
        <w:rPr>
          <w:sz w:val="20"/>
          <w:szCs w:val="20"/>
          <w:color w:val="auto"/>
        </w:rPr>
      </w:pPr>
    </w:p>
    <w:p>
      <w:pPr>
        <w:ind w:left="320"/>
        <w:spacing w:after="0" w:line="260" w:lineRule="auto"/>
        <w:rPr>
          <w:sz w:val="20"/>
          <w:szCs w:val="20"/>
          <w:color w:val="auto"/>
        </w:rPr>
      </w:pPr>
      <w:r>
        <w:rPr>
          <w:rFonts w:ascii="Arial" w:cs="Arial" w:eastAsia="Arial" w:hAnsi="Arial"/>
          <w:sz w:val="16"/>
          <w:szCs w:val="16"/>
          <w:i w:val="1"/>
          <w:iCs w:val="1"/>
          <w:color w:val="5B89B4"/>
        </w:rPr>
        <w:t>Our results of operations have been and may in the future be materially adversely affected by volatile, negative, or uncertain economic conditions, including the risk of recession.</w:t>
      </w:r>
    </w:p>
    <w:p>
      <w:pPr>
        <w:spacing w:after="0" w:line="5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Our business is sensitive to changes in global macroeconomic conditions. We have at times experienced uncertainty and volatility in global economic conditions, including in rates of growth or decline in the markets we serve. Our operating countries and regions, which are increasingly interdependent, have experienced periods of volatile growth patterns or declines, and we expect that global conditions will continue to be characterized by instability and unpredictability. Such conditions have and may continue to cause our clients to reduce or defer their spending on new projects that require our solutions which could decrease demand for our various staffing services. If our business growth is slow, or if it contracts for an extended period of time, this could have a material adverse effect on our business and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12" w:name="page13"/>
    <w:bookmarkEnd w:id="12"/>
    <w:p>
      <w:pPr>
        <w:ind w:left="1080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Our profitability is sensitive to decreases in demand. Based on current macroeconomic conditions, there is a significant risk that some of our most important markets will experience a recession, which would likely be accompanied by a decline in demand for our services. When demand drops or remains low, our operating profit is impacted unfavorably as we experience a deleveraging of our selling and administrative expense base as expenses do not decline as quickly as revenues. For example, our ability to achieve cost containment through reductions in our headcount may be impeded or slowed by applicable legal requirements to consult with employee representative bodies such as works councils. In periods of decline, we may not be able to reduce selling and administrative expenses without negatively impacting the long-term potential of our branch network and brands. Additionally, some clients may slow the rate at which they pay us, or become unable to pay their obligations and our cash flow and profitability may suffer.</w:t>
      </w:r>
    </w:p>
    <w:p>
      <w:pPr>
        <w:spacing w:after="0" w:line="7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Economic conditions in the countries and territories where we do business may be affected by recent or emerging events, such as the rise of populism, political volatility, civil violence and unrest, election results or other changes in ruling parties or governmental leadership, trade disputes, protectionism or changes in global trade policies, capital flows, the global refugee crisis, social justice movements, energy shortages or instability in the global energy market, global health crises, changes in immigration policy, the impact of supply chain challenges on our clients, changes in employment policy, changes in interest rates, inflation, the impact of terrorist activity, or by other political or economic developments. In addition, there is a risk the current inflationary environment and efforts to combat inflation could have an impact on the countries and territories where we do business. We are particularly susceptible to changes in demand patterns and economic conditions in Europe, which represents two of our operating segments and 64% of our revenue.</w:t>
      </w:r>
    </w:p>
    <w:p>
      <w:pPr>
        <w:spacing w:after="0" w:line="7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There is a risk that economic conditions in European markets or elsewhere may continue to be negatively impacted by geopolitical events. In recent years these have included labor unrest, civil protest, heightened trade tensions, refugee crises, and military conflicts, including the ongoing conflicts between Russia and Ukraine and Israel and Hamas. We cannot predict the potential consequences arising from these conflicts and the further escalation of geopolitical tensions globally, including whether they could have an effect on the global economy and on our business and results of operations. Geopolitical events could give rise to the imposition of further sanctions, regional or international expansion of current conflicts, instability in energy supplies, potential retaliatory action by governments, heightened cybersecurity threats, disruptions in the global supply chain, volatility in foreign exchange rates, and inflationary pressures. Any of these events or trends could have a material adverse effect on our business and operating results, particularly our European operations.</w:t>
      </w:r>
    </w:p>
    <w:p>
      <w:pPr>
        <w:spacing w:after="0" w:line="7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There is a risk that even when overall global economic conditions are positive, we could experience declines in all, or in portions, of our business. During past periods of recovery, we have experienced inconsistent results, with some geographical regions, or countries within a region, suffering declines or weakness in economic activity while others improve. Differing economic conditions and patterns of economic growth or contraction may affect demand for our solutions and services, and there is a risk that, even during times of strengthening global economic conditions, we may not experience uniform, or any, increases in demand for our solutions and services within the markets where our business is concentrated.</w:t>
      </w:r>
    </w:p>
    <w:p>
      <w:pPr>
        <w:spacing w:after="0" w:line="6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Even without uncertainty and volatility, it is difficult for us to forecast future demand for our services due to the inherent difficulty in forecasting the direction and strength of economic cycles, and the short-term nature of many of our staffing assignments. When it is difficult for us to accurately forecast future demand, we may not be able to determine the optimal level of personnel and office investments necessary to profitably operate our business or take advantage of growth opportunities.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We may lack the speed, agility, and resiliency to effectively operate our business and respond to the needs of our clients.</w:t>
      </w:r>
    </w:p>
    <w:p>
      <w:pPr>
        <w:spacing w:after="0" w:line="8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231F20"/>
        </w:rPr>
        <w:t>There is a risk we may not be able to respond with sufficient speed and agility to the needs of our diverse clients, which span all industries and whose needs may change rapidly as their businesses and industries evolve. The size and breadth of our organization, comprising approximately 26,700 employees based out of over 2,100 offices in approximately 75 countries and territories, may make it difficult for us to effectively manage our resources, to maintain our corporate culture throughout the organization, to drive service improvements and to provide coordinated solutions to our clients who require our services in multiple locations. For example, client demands for uniform service across borders may be difficult to satisfy because of variation in local laws and customs. We see a trend in more multi-country and enterprise-level relationships, and we may have difficulty in profitably managing and delivering projects involving multiple countries. Also, our size and organizational structure may make it difficult to develop and implement new processes and tools across the enterprise in a consistent manner. If we are not effective at anticipating or meeting the widely ranging needs of our current and prospective clients, or our competitors are more agile or effective at doing so, our business and financial results could be materially adversely affected.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13" w:name="page14"/>
    <w:bookmarkEnd w:id="13"/>
    <w:p>
      <w:pPr>
        <w:ind w:left="6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Our ability to perform at speed, and to meet client expectations, may also be adversely affected by limitations in our own information systems and those of our third-party vendors. We are increasingly dependent on these systems, which are subject to damage or interruption from multiple causes, including power outages, facility damage, computer and telecommunications failures, vandalism, malware, hacking and other malicious acts, catastrophic events and human error. If our information systems are damaged, fail to work properly, or otherwise become unavailable, we may incur substantial costs to repair or replace them, and may experience reputational damage, loss of critical information, customer disruption, and interruptions or delays in our ability to perform essential functions and implement new and innovative services.</w:t>
      </w:r>
    </w:p>
    <w:p>
      <w:pPr>
        <w:spacing w:after="0" w:line="104" w:lineRule="exact"/>
        <w:rPr>
          <w:sz w:val="20"/>
          <w:szCs w:val="20"/>
          <w:color w:val="auto"/>
        </w:rPr>
      </w:pPr>
    </w:p>
    <w:p>
      <w:pPr>
        <w:ind w:left="320"/>
        <w:spacing w:after="0" w:line="260" w:lineRule="auto"/>
        <w:rPr>
          <w:sz w:val="20"/>
          <w:szCs w:val="20"/>
          <w:color w:val="auto"/>
        </w:rPr>
      </w:pPr>
      <w:r>
        <w:rPr>
          <w:rFonts w:ascii="Arial" w:cs="Arial" w:eastAsia="Arial" w:hAnsi="Arial"/>
          <w:sz w:val="16"/>
          <w:szCs w:val="16"/>
          <w:i w:val="1"/>
          <w:iCs w:val="1"/>
          <w:color w:val="5B89B4"/>
        </w:rPr>
        <w:t>The worldwide employment services industry is highly competitive with limited barriers to entry in many markets, which could limit our ability to maintain or increase our market share or profitability.</w:t>
      </w:r>
    </w:p>
    <w:p>
      <w:pPr>
        <w:spacing w:after="0" w:line="5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The worldwide employment services industry is highly competitive with limited barriers to entry in many markets, and in recent years has undergone significant consolidation. We compete in markets throughout the world with full-service and specialized employment services agencies. Several of our global competitors have very substantial marketing and financial resources and may be better positioned in certain markets. Portions of our industry may become increasingly commoditized, with the result that competition in key areas could become more focused on pricing. We expect that we will continue to experience pressure on price from competitors and clients. There is a risk that we will not compete effectively, including on price, which could limit our ability to maintain or increase our market share and could materially adversely affect our financial results. This may worsen as clients increasingly take advantage of low-cost alternatives including using their own in-house resources rather than engaging a third party. The increased availability and maturation of artificial intelligence (AI) tools may enable clients to use advanced automation capabilities in lieu of services provided by our employees, contractors and associates.</w:t>
      </w:r>
    </w:p>
    <w:p>
      <w:pPr>
        <w:spacing w:after="0" w:line="90" w:lineRule="exact"/>
        <w:rPr>
          <w:sz w:val="20"/>
          <w:szCs w:val="20"/>
          <w:color w:val="auto"/>
        </w:rPr>
      </w:pPr>
    </w:p>
    <w:p>
      <w:pPr>
        <w:jc w:val="both"/>
        <w:ind w:left="320" w:right="20"/>
        <w:spacing w:after="0" w:line="246" w:lineRule="auto"/>
        <w:rPr>
          <w:sz w:val="20"/>
          <w:szCs w:val="20"/>
          <w:color w:val="auto"/>
        </w:rPr>
      </w:pPr>
      <w:r>
        <w:rPr>
          <w:rFonts w:ascii="Arial" w:cs="Arial" w:eastAsia="Arial" w:hAnsi="Arial"/>
          <w:sz w:val="16"/>
          <w:szCs w:val="16"/>
          <w:i w:val="1"/>
          <w:iCs w:val="1"/>
          <w:color w:val="5B89B4"/>
        </w:rPr>
        <w:t>We could incur liabilities or suffer reputational damage from a cyberattack or improper disclosure or loss of personal or confidential data, and our use of data is subject to complex and ever-changing privacy and cybersecurity legal requirements that could negatively impact our business or subject us to claims and/or fines for non-compliance.</w:t>
      </w:r>
    </w:p>
    <w:p>
      <w:pPr>
        <w:spacing w:after="0" w:line="6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231F20"/>
        </w:rPr>
        <w:t>In connection with the operation of our business, we store, process and transmit a large amount of data, including personnel and payment data, about our employees, clients, associates and candidates, a portion of which is personal data and/or confidential data. We expect our use of data to increase, including through the use of analytics, AI and machine learning (ML). In engaging in these data-related activities, we rely on our own technology systems and software, and those of third-party vendors we use for a variety of processes, including, but not limited to cloud-based technology and systems, mobile technologies and social media. Unauthorized access to, disclosure, modification, use or loss of personal or confidential data may occur through various methods. These include, but are not limited to, ransomware, systems failure, employee negligence or malfeasance, fraud or misappropriation, or unauthorized access to or through our information systems, whether by our employees, vendors or third parties, including a cyberattack by hackers, members of organized crime and/or state-sponsored organizations, who may develop and deploy supply chain interruptions, social engineering attacks, viruses, worms or other malicious software programs, or obtain credentials to our systems through other unrelated cyberattacks.</w:t>
      </w:r>
    </w:p>
    <w:p>
      <w:pPr>
        <w:spacing w:after="0" w:line="7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231F20"/>
        </w:rPr>
        <w:t>An incident involving disclosure, system failure, data modification, loss or security breach could harm our reputation and subject us to significant monetary damages or losses, litigation, negative publicity, regulatory enforcement actions, fines, criminal prosecution, as well as liability under our contracts and laws that protect personal and/or confidential data, resulting in increased costs or loss of revenues. Cybersecurity threats continue to increase in frequency and sophistication, thereby increasing the difficulty of detecting and defending against them. In the past, we have experienced data security breaches resulting from unauthorized access to our systems and other fraudulent activities, such as social engineering, which to date have not had a material impact on our operations or financial results. We regularly engage an independent external security firm to assess our defenses to a potential cyberattack, and these assessments may uncover new or additional vulnerabilities and weaknesses that could lead to a compromise of our systems and/or a loss of personal data. In a recent evaluation, vulnerabilities were identified that could facilitate or contribute to a security incident involving personal data. The assessment firm was able to penetrate defensive protections adopted by us, as well as protections that we obtain from third party providers. We are prioritizing the resolution of security gaps that could lead to a loss of personal data or to other damage. Despite our efforts to identify and address vulnerabilities in our systems, vulnerabilities in software products used by us are disclosed by our software providers on a daily basis, and attackers grow continuously more sophisticated in their attack methods, which may additionally make use of AI technology such as AI-generated 'deep-fake' impersonation or social engineering, making it impossible to give assurance that our cybersecurity efforts will be successful.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14" w:name="page15"/>
    <w:bookmarkEnd w:id="14"/>
    <w:p>
      <w:pPr>
        <w:ind w:left="1080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There is a risk that our and our third-party vendors’ preventative security controls and practices will be inadequate to prevent unauthorized access to, disclosure of, or loss of personal and/or confidential data, or fraudulent activity, especially given that third party attacks have become more common. In the past, our data has been exposed due to data security breaches at our third party vendors, but to date none of these incidents have had a material impact on our operations or financial results. Any such future events, such as unauthorized access or fraudulent activity with our third party vendors could have a material adverse effect on our business and financial results.</w:t>
      </w:r>
    </w:p>
    <w:p>
      <w:pPr>
        <w:spacing w:after="0" w:line="6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More of our employees are working from their homes or other remote locations than before, which makes it more difficult for us to monitor their activities, the security of their work locations, insider threats, and data exfiltration. This has increased the risk of security incidents, which could include unauthorized access to, disclosure of, or loss of personal and/or confidential data, as well as other types of fraudulent activity. Any such unauthorized access or fraudulent activity could have a material adverse effect on our business and financial results.</w:t>
      </w:r>
    </w:p>
    <w:p>
      <w:pPr>
        <w:spacing w:after="0" w:line="65"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231F20"/>
        </w:rPr>
        <w:t>The potential risk of security breaches, fraud and cyberattacks may increase as we continue to introduce services and offerings, whether mobile, cloud, or otherwise. Any additional services and offerings inevitably increase the potential for a cyberattack against us. Further, data privacy and cybersecurity are subject to frequently changing laws and regulations, including the European Union’s General Data Protection Regulation (the “GDPR”), the California Privacy Rights Act (the “CPRA”), and additional legislation in place, or expected to become effective, in various U.S. states and other countries. These laws and regulations are increasing in number, complexity, burden and potential financial penalties, and are often inconsistent among the various jurisdictions and countries in which we provide services. For example, the GDPR and the CPRA impose significant compliance obligations that add costs and operational burdens to our business with respect to our collection, use, storage and retention of personal data. Compliance with these obligations could reduce operational efficiency and increase our regulatory compliance costs, and failure to satisfy these requirements may lead to significant regulatory enforcement actions and/or large private litigation in the event of a security breach or other violation. Under the GDPR, the maximum fine can be up to 4% of a company’s global revenue, and there is no maximum penalty under the CPRA. In addition, our liability insurance might not be sufficient in scope or amount to cover us against claims and losses related to violations of data privacy and cybersecurity laws or security breaches, social engineering, cyberattacks and other related data disclosure, loss or breach.</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We have outsourced aspects of our business, which could result in disruption, increased costs, and reputational risk.</w:t>
      </w:r>
    </w:p>
    <w:p>
      <w:pPr>
        <w:spacing w:after="0" w:line="8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We have increasingly outsourced, and may further outsource, important processes of our business to third party vendors, which exposes us to other risks, including increased costs, supply chain interruptions, potential disruptions to our business operations, and reputational risk. For example, we rely on third parties to host, manage and secure certain aspects of our data center information and technology infrastructure, to develop and maintain new technology for attracting, onboarding, managing, and analyzing our workforce, and to provide important back-office support. We have increasingly centralized our vendor profile so that we are reliant on a small number of vendors for highly critical corporate and technology functions. While we believe these third-party vendors provide greater efficiency and expertise, our dependence on a small number of vendors increases the risk that our business will be adversely affected if our vendors are unable to provide these services consistent with our needs. Similarly, our business continuity and our margins could be adversely affected if we needed to replace one of our critical vendors for performance or economic reasons.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231F20"/>
        </w:rPr>
        <w:t>Our operations also depend significantly upon these vendors’ and our ability to protect our data and to ensure the availability of our servers, software applications and websites. Despite our and our third-party vendors’ implementation of security measures, our systems remain susceptible to system failures, computer viruses, natural disasters, unauthorized access, cyberattacks and other similar incidents, any of which could result in disruptions to our operations. Our vendors have experienced data losses in the past, and we can expect such data incidents will occur in the future. A successful breach of the security of our technology systems, or those of our vendors, could result in the theft of confidential, personally identifiable, or other sensitive data, including data about our employees and/or associates, or our human resources operations, any of which could damage our reputation in the market. If we are not able to realize the savings associated with outsourcing services or if there is a disruption or security breach of our outsourced services that results in a loss or damage to our data, or in an inappropriate disclosure of confidential, personally identifiable, or sensitive data, our business and financial results could be materially adversely affected.</w:t>
      </w:r>
    </w:p>
    <w:p>
      <w:pPr>
        <w:spacing w:after="0" w:line="59" w:lineRule="exact"/>
        <w:rPr>
          <w:sz w:val="20"/>
          <w:szCs w:val="20"/>
          <w:color w:val="auto"/>
        </w:rPr>
      </w:pPr>
    </w:p>
    <w:p>
      <w:pPr>
        <w:ind w:left="320"/>
        <w:spacing w:after="0" w:line="260" w:lineRule="auto"/>
        <w:rPr>
          <w:sz w:val="20"/>
          <w:szCs w:val="20"/>
          <w:color w:val="auto"/>
        </w:rPr>
      </w:pPr>
      <w:r>
        <w:rPr>
          <w:rFonts w:ascii="Arial" w:cs="Arial" w:eastAsia="Arial" w:hAnsi="Arial"/>
          <w:sz w:val="16"/>
          <w:szCs w:val="16"/>
          <w:i w:val="1"/>
          <w:iCs w:val="1"/>
          <w:color w:val="5B89B4"/>
        </w:rPr>
        <w:t>Risks and uncertainties related to the development and use of AI could harm our business operations, reduce demand for our services, and raise legal or regulatory challenges .</w:t>
      </w:r>
    </w:p>
    <w:p>
      <w:pPr>
        <w:spacing w:after="0" w:line="5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Leveraging AI-based technology for our internal operations and service offerings presents risks, costs, and challenges as we begin to implement AI capabilities, including generative AI, to improve our operating efficiency and develop client offerings. If we fail to continue to develop and implement AI-based services and solutions or if those technologies fail to perform as predicted, we may not be able to recover our investment in these technologies and we may fail to realize the potential benefits of AI.</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15" w:name="page16"/>
    <w:bookmarkEnd w:id="15"/>
    <w:p>
      <w:pPr>
        <w:ind w:left="6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The rapidly increasing deployment of AI technology by our customers may lead to reduced demand for our services and solutions. As these technologies evolve, some services and tasks currently performed by our associates may be replaced by AI automation, which could lead to reduced demand for our services if we cannot replace such demand with new services.</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The development, adoption, and use of AI technologies is still in early stages and could involve significant legal, reputational and financial harm. AI algorithms and training methodologies may be flawed and datasets may be overbroad, insufficient, or contain biased information. Moreover, the use of AI may give rise to risks related to harmful content, accuracy, bias, intellectual property infringement or misappropriation, defamation, data privacy, cybersecurity and health and safety, among others. These risks also bring the possibility of new or enhanced governmental or regulatory scrutiny, litigation or other legal liability, or ethical concerns that could adversely affect our business, reputation, or financial results.</w:t>
      </w:r>
    </w:p>
    <w:p>
      <w:pPr>
        <w:spacing w:after="0" w:line="6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Evolving rules, regulations, and industry standards governing AI may require us to incur significant costs to modify, maintain, or align our business practices, services and solutions to comply with US and non-US rules and regulations, the nature of which cannot be determined at this time and may be inconsistent across jurisdictions. Several jurisdictions where we operate are considering or have enacted legislation and policies regulating AI, such as the European Union’s AI Act. These regulations may impose significant requirements on how we design, build and deploy AI and use AI to make employment decisions on behalf of ourselves or our clients.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A loss or reduction in revenues from large client accounts could have a material adverse effect on our business.</w:t>
      </w:r>
    </w:p>
    <w:p>
      <w:pPr>
        <w:spacing w:after="0" w:line="8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Our client mix consists of both small- and medium-size businesses, which are based upon a local or regional relationship with our presence in each market, and large national and multinational clients. These large national and multinational clients will frequently enter into non-exclusive arrangements with several firms, and the client is generally able to terminate their contract with us on short notice without penalty. The deterioration of the financial condition or business prospects of one or more large national and/or multinational clients, or a change in their strategy around the use of our services, could reduce their need for our services and result in a significant decrease in the revenues and earnings we derive from them. A loss or reduction in revenues from our large national and multinational clients could have a material adverse effect on our business.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If we lose our key personnel, then our business may suffer.</w:t>
      </w:r>
    </w:p>
    <w:p>
      <w:pPr>
        <w:spacing w:after="0" w:line="8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Our operations are dependent on the continued efforts of our officers and executive management and the performance and productivity of headquarters management and staff, our local managers and field personnel. Our ability to attract and retain business is significantly affected by local relationships and the quality of service rendered. If we were to lose key personnel who have acquired significant experience in managing our business or managing companies on a global basis or in key markets, it could have a significant impact on our operations.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Intense competition may limit our ability to attract, train and retain the qualified personnel necessary for us to meet our clients’ staffing needs.</w:t>
      </w:r>
    </w:p>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231F20"/>
        </w:rPr>
        <w:t>Our business depends on our ability to attract and retain qualified associates who meet the requirements of our clients and possess skill sets and experience that match client needs. In many markets, we have recently experienced an unusually tight labor market, with historically low levels of unemployment, and there is a risk that we may be unable to meet our clients’ requirements in identifying an adequate number of associates. These labor shortages have been exacerbated by employees and potential employees leaving the labor market due to burn-out, resignation, early retirement, immigration challenges, workplace safety concerns, and childcare responsibilities. Workers have also impacted the labor market through increasing demands for change in employment conditions, such as demands for higher wages, remote work, and additional flexibility in work schedule. We must continually evaluate and upgrade our base of available qualified personnel through recruiting and training programs to keep pace with changing client needs and emerging technologies. This is especially acute for individuals with critical IT capabilities and other technology skills that are in high demand by many companies, as competition for such individuals with proven professional skills is intense, and we expect demand for such individuals to remain strong for the foreseeable future. Qualified personnel with relevant skills may not be available to us in sufficient numbers and on terms of employment acceptable to us. Additionally, our clients may look to us for assistance in identifying and integrating into their organizations’ workers from diverse backgrounds, and who may represent different generations, geographical regions, and skillsets. These needs may change due to business requirements, or in response to geopolitical and societal trends. There is a risk that we may not be able to identify workers with skills that match client demand, or that our training programs may not succeed in developing effective or adequate skills. If we fail to recruit, train and retain qualified associates who meet the needs of our clients, our reputation, business and financial results could be materially adversely affected.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16" w:name="page17"/>
    <w:bookmarkEnd w:id="16"/>
    <w:p>
      <w:pPr>
        <w:ind w:left="1080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Our global operations subject us to certain risks beyond our control.</w:t>
      </w:r>
    </w:p>
    <w:p>
      <w:pPr>
        <w:spacing w:after="0" w:line="88"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With operations in approximately 75 countries and territories around the world, we are subject to numerous risks outside of our control, including risks arising from political unrest and other political events, regional and international hostilities and international responses to these hostilities, strikes and other worker unrest, natural disasters, the impact of global climate change, acts of war, terrorism, international conflict, severe weather conditions, pandemics, and other global health emergencies, disruptions of infrastructure and utilities including energy, cyberattacks, and other events beyond our control.</w:t>
      </w:r>
    </w:p>
    <w:p>
      <w:pPr>
        <w:spacing w:after="0" w:line="6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Although it is not possible to predict such events or their consequences, these events could materially adversely affect our reputation, business and financial results.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Our ability to attract and retain business and employees may depend on our reputation in the marketplace.</w:t>
      </w:r>
    </w:p>
    <w:p>
      <w:pPr>
        <w:spacing w:after="0" w:line="8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231F20"/>
        </w:rPr>
        <w:t>We believe our reputation, along with our brand equity in the ManpowerGroup name and our various other brands, are important corporate resources that help distinguish our services from those of competitors and also contribute to our efforts to recruit and retain talented employees. However, our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franchisees and other third-party brand licensees, adversaries in legal proceedings, government regulators, as well as members of the investment community or the media. There is a risk that negative information about ManpowerGroup, even if based on rumor or misunderstanding, could materially adversely affect our business. Damage to our reputation could be difficult, expensive and time-consuming to repair, could make potential or existing clients reluctant to select us for new engagements, resulting in a loss of business, and could materially adversely affect our recruitment and retention efforts. Damage to our reputation could also reduce the value and effectiveness of the ManpowerGroup name and our other brand names, and could reduce investor confidence in us, materially adversely affecting our share price.</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Changes in sentiment toward the staffing industry could affect the marketplace for our services.</w:t>
      </w:r>
    </w:p>
    <w:p>
      <w:pPr>
        <w:spacing w:after="0" w:line="88"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231F20"/>
        </w:rPr>
        <w:t>From time to time, the staffing industry has come under criticism from unions, works councils, regulatory agencies and other constituents that maintain that labor and employment protections, such as wage and benefits regulations, are subverted when clients use contingent staffing services. Our business is dependent on the continued acceptance of contingent staffing arrangements as a source of flexible labor for our clients. If attitudes or business practices in some locations change due to pressure from organized labor, political groups or regulatory agencies, it could have a material adverse effect on our business, results of operations and financial condition.</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We have only a limited ability to protect our thought leadership and other intellectual property, which is important to our success.</w:t>
      </w:r>
    </w:p>
    <w:p>
      <w:pPr>
        <w:spacing w:after="0" w:line="8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Our success depends, in part, upon our ability to protect our proprietary methodologies and other intellectual property including the value of our brands. Existing laws of the various countries in which we provide services or solutions may offer only limited protection. We rely upon a combination of trade secrets, confidentiality, license and other contractual agreements, and copyright and trademark laws to protect our intellectual property rights. We cannot be certain that the legal steps we are taking around the world are sufficient to protect our intellectual property rights and may not be adequate to prevent or deter infringement or other misappropriation of our intellectual property by competitors, former employees or other third parties. In addition, our intellectual property rights may not prevent competitors from independently developing products, services and solutions similar to ours. Failure to adequately protect our intellectual property rights, or changes in law that diminish or remove our current legal protections could have a material adverse impact on our business and financial results.</w:t>
      </w:r>
    </w:p>
    <w:p>
      <w:pPr>
        <w:spacing w:after="0" w:line="7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In addition, we cannot be sure that our services and solutions do not infringe on the intellectual property rights of third parties, and these third parties could claim that we or our clients are infringing upon their intellectual property rights. These claims could harm our reputation, cause us to incur substantial costs or prevent us from offering some services or solutions in the future.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17" w:name="page18"/>
    <w:bookmarkEnd w:id="17"/>
    <w:p>
      <w:pPr>
        <w:ind w:left="6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Strategic Risks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We may be unable to effectively implement our business strategy, and there can be no assurance that we will achieve our objectives.</w:t>
      </w:r>
    </w:p>
    <w:p>
      <w:pPr>
        <w:spacing w:after="0" w:line="8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231F20"/>
        </w:rPr>
        <w:t>Our business strategy focuses on growing revenues while improving our operating profits. An important element of our strategy is our effort to diversify our revenues beyond our core staffing and employment services. This includes expanding our sales in higher margin professional resourcing, such as our Experis brand in IT recruitment. There is a risk that our growth strategy in Experis may be impeded due to the scarcity of talent in the IT field, which is particularly in demand, and which may restrict our ability to fulfill customer requirements. Similarly, another aspect of our strategy to expand beyond our core staffing and employment services is through the sale of innovative workforce solutions designed to achieve higher operating margins. Our higher-margin Right Management career management services have historically performed well in periods of downturn, and it is part of our business strategy that this counter-cyclical effect would help cushion our results in the event of a period of decline. However, in the event of a downturn, there can be no assurances that the margin contribution from Right Management would increase, or that it would significantly offset other declines we might experience in the business. Additionally, our workforce solutions are often unique, non-repeatable and tailored to a client’s needs, and present costs, risks and complexity that may be difficult to calculate. These solutions may be unprofitable if we are not able to accurately anticipate these costs and risks in our pricing for these solutions. For example, we may fail to structure and price our solutions in a manner that properly compensates us to create an adequate delivery model, to adequately manage new solutions, or to obtain adequate insurance coverage in amount or scope to cover potential risks arising from such solutions.</w:t>
      </w:r>
    </w:p>
    <w:p>
      <w:pPr>
        <w:spacing w:after="0" w:line="7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Our business strategy also includes continuing efforts to transform how we use personnel and technology to manage our financial administration and to enhance our delivery of services. For example, in 2024 we continued to progress in our deployment of PowerSuite, our global cloud-based platforms for front and back office. In addition, during 2024, we opened our Global Business Services center in Porto, Portugal, our regional finance center to serve all of Europe and a central component of our global strategy to standardize, centralize and transform finance service delivery.</w:t>
      </w:r>
    </w:p>
    <w:p>
      <w:pPr>
        <w:spacing w:after="0" w:line="6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These projects are complex and may consume considerable financial and personnel resources. The goal of these transformation initiatives is to become a more agile and effective competitor, to reduce the cost of operating our business and to increase our operating profit and operating profit margin. However, as these efforts may consume considerable resources, they may put pressure on our operating results or ability to address other priorities. They may not be successful, may not be achieved within our timing and cost estimates, and may not ultimately reduce our operating costs or prevent the return of any costs that are eliminated. Additionally, reductions in personnel and other changes emerging from these projects could materially adversely affect our ability to effectively operate our business. If, for these or other reasons, we are not successful in implementing our business strategy or achieving the anticipated results of our transformation initiatives, our business, financial condition, results of operations, and internal control over financial reporting could be materially adversely affected.</w:t>
      </w:r>
    </w:p>
    <w:p>
      <w:pPr>
        <w:spacing w:after="0" w:line="90" w:lineRule="exact"/>
        <w:rPr>
          <w:sz w:val="20"/>
          <w:szCs w:val="20"/>
          <w:color w:val="auto"/>
        </w:rPr>
      </w:pPr>
    </w:p>
    <w:p>
      <w:pPr>
        <w:ind w:left="320" w:right="20"/>
        <w:spacing w:after="0" w:line="260" w:lineRule="auto"/>
        <w:rPr>
          <w:sz w:val="20"/>
          <w:szCs w:val="20"/>
          <w:color w:val="auto"/>
        </w:rPr>
      </w:pPr>
      <w:r>
        <w:rPr>
          <w:rFonts w:ascii="Arial" w:cs="Arial" w:eastAsia="Arial" w:hAnsi="Arial"/>
          <w:sz w:val="16"/>
          <w:szCs w:val="16"/>
          <w:i w:val="1"/>
          <w:iCs w:val="1"/>
          <w:color w:val="5B89B4"/>
        </w:rPr>
        <w:t>Our results of operations and ability to grow could be materially negatively affected if we cannot successfully keep pace with technological changes in the development and implementation of our services and solutions.</w:t>
      </w:r>
    </w:p>
    <w:p>
      <w:pPr>
        <w:spacing w:after="0" w:line="5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Our success depends on our ability to keep pace with rapid technological changes in the development and implementation of our services and solutions. For example, rapid changes in the functionality and potential uses of AI, machine learning and robotics are having a significant impact on some of the industries we serve. This technological disruption could also have significant and unforeseen consequences for the workforce services industry and for our business in particular, such as a reduced demand for our services or challenges to effective implementation of this technology. There is a risk that these, or other developments, could result in significant rapid disruption to our business model, and that we will be unprepared to compete effectively. This challenge is further complicated by rapidly evolving regulatory restrictions governing the permitted uses of artificial intelligence.</w:t>
      </w:r>
    </w:p>
    <w:p>
      <w:pPr>
        <w:spacing w:after="0" w:line="6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Additionally, our business is reliant on a variety of technologies, including those which support applicant on-boarding and tracking systems, order management, billing, payroll, and client data analytics. There is a risk we will not sufficiently invest in technology or industry developments, or evolve our business with the right strategic investments, or at sufficient speed and scale, to adapt to changes in our marketplace. Similarly, from time to time we make strategic commitments to particular technologies to recruit, manage or analyze our workforce or support our business, and there is a risk they will be unsuccessful. Additionally, there are risks and uncertainties associated with our use of, and client demand for, AI technologies which could expose us to regulatory, legal, reputational or financial harm. These and similar risks could have a negative effect on our services and solutions, our results of operations, and our ability to develop and maintain a competitive advantage in the marketplace.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18" w:name="page19"/>
    <w:bookmarkEnd w:id="18"/>
    <w:p>
      <w:pPr>
        <w:ind w:left="1080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Our sustainability commitments and disclosures may expose us to risks, legal liability, and increased costs.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231F20"/>
        </w:rPr>
        <w:t>Our business could be impacted in several ways by our corporate sustainability initiatives, including our goals for sustainability, diversity, and inclusion.</w:t>
      </w:r>
    </w:p>
    <w:p>
      <w:pPr>
        <w:spacing w:after="0" w:line="88" w:lineRule="exact"/>
        <w:rPr>
          <w:sz w:val="20"/>
          <w:szCs w:val="20"/>
          <w:color w:val="auto"/>
        </w:rPr>
      </w:pPr>
    </w:p>
    <w:p>
      <w:pPr>
        <w:jc w:val="both"/>
        <w:ind w:left="520" w:hanging="315"/>
        <w:spacing w:after="0" w:line="238" w:lineRule="auto"/>
        <w:tabs>
          <w:tab w:leader="none" w:pos="520" w:val="left"/>
        </w:tabs>
        <w:numPr>
          <w:ilvl w:val="0"/>
          <w:numId w:val="11"/>
        </w:numPr>
        <w:rPr>
          <w:rFonts w:ascii="Times New Roman" w:cs="Times New Roman" w:eastAsia="Times New Roman" w:hAnsi="Times New Roman"/>
          <w:sz w:val="16"/>
          <w:szCs w:val="16"/>
          <w:color w:val="5B89B4"/>
        </w:rPr>
      </w:pPr>
      <w:r>
        <w:rPr>
          <w:rFonts w:ascii="Arial" w:cs="Arial" w:eastAsia="Arial" w:hAnsi="Arial"/>
          <w:sz w:val="16"/>
          <w:szCs w:val="16"/>
          <w:color w:val="231F20"/>
        </w:rPr>
        <w:t>Our positions and disclosures on these matters, or failure to achieve our commitments, could harm our reputation or brand image. For example, we have made various commitments regarding the future reduction of our greenhouse gas emissions, and there is a risk we will be unsuccessful in making progress toward our goals or ultimately meeting them, which could have adverse reputational impacts. Reputational concerns could also cause us to examine our relationships with certain clients and vendors, and choose not to conduct business with certain partners, which could negatively affect our performance or operational efficiency.</w:t>
      </w:r>
    </w:p>
    <w:p>
      <w:pPr>
        <w:spacing w:after="0" w:line="68" w:lineRule="exact"/>
        <w:rPr>
          <w:rFonts w:ascii="Times New Roman" w:cs="Times New Roman" w:eastAsia="Times New Roman" w:hAnsi="Times New Roman"/>
          <w:sz w:val="16"/>
          <w:szCs w:val="16"/>
          <w:color w:val="5B89B4"/>
        </w:rPr>
      </w:pPr>
    </w:p>
    <w:p>
      <w:pPr>
        <w:ind w:left="520" w:right="20" w:hanging="315"/>
        <w:spacing w:after="0" w:line="260" w:lineRule="auto"/>
        <w:tabs>
          <w:tab w:leader="none" w:pos="520" w:val="left"/>
        </w:tabs>
        <w:numPr>
          <w:ilvl w:val="0"/>
          <w:numId w:val="11"/>
        </w:numPr>
        <w:rPr>
          <w:rFonts w:ascii="Times New Roman" w:cs="Times New Roman" w:eastAsia="Times New Roman" w:hAnsi="Times New Roman"/>
          <w:sz w:val="16"/>
          <w:szCs w:val="16"/>
          <w:color w:val="5B89B4"/>
        </w:rPr>
      </w:pPr>
      <w:r>
        <w:rPr>
          <w:rFonts w:ascii="Arial" w:cs="Arial" w:eastAsia="Arial" w:hAnsi="Arial"/>
          <w:sz w:val="16"/>
          <w:szCs w:val="16"/>
          <w:color w:val="231F20"/>
        </w:rPr>
        <w:t>Positions we take, or do not take, on politically sensitive social issues or other sustainability matters may be unpopular with certain existing or potential clients and employees, which may impact our ability to attract and retain those clients and employees.</w:t>
      </w:r>
    </w:p>
    <w:p>
      <w:pPr>
        <w:spacing w:after="0" w:line="50" w:lineRule="exact"/>
        <w:rPr>
          <w:rFonts w:ascii="Times New Roman" w:cs="Times New Roman" w:eastAsia="Times New Roman" w:hAnsi="Times New Roman"/>
          <w:sz w:val="16"/>
          <w:szCs w:val="16"/>
          <w:color w:val="5B89B4"/>
        </w:rPr>
      </w:pPr>
    </w:p>
    <w:p>
      <w:pPr>
        <w:jc w:val="both"/>
        <w:ind w:left="520" w:right="20" w:hanging="315"/>
        <w:spacing w:after="0" w:line="237" w:lineRule="auto"/>
        <w:tabs>
          <w:tab w:leader="none" w:pos="520" w:val="left"/>
        </w:tabs>
        <w:numPr>
          <w:ilvl w:val="0"/>
          <w:numId w:val="11"/>
        </w:numPr>
        <w:rPr>
          <w:rFonts w:ascii="Times New Roman" w:cs="Times New Roman" w:eastAsia="Times New Roman" w:hAnsi="Times New Roman"/>
          <w:sz w:val="16"/>
          <w:szCs w:val="16"/>
          <w:color w:val="5B89B4"/>
        </w:rPr>
      </w:pPr>
      <w:r>
        <w:rPr>
          <w:rFonts w:ascii="Arial" w:cs="Arial" w:eastAsia="Arial" w:hAnsi="Arial"/>
          <w:sz w:val="16"/>
          <w:szCs w:val="16"/>
          <w:color w:val="231F20"/>
        </w:rPr>
        <w:t>We may experience increased compliance burdens and costs in order to implement our initiatives, including those costs associated with any new legal or regulatory requirements (such as the EU Corporate Sustainability Reporting Directive (CSRD)), or voluntary standards and commitments, designed to mitigate climate change or address human capital management concerns. We will be required to report on CSRD commencing in 2025 (filing in 2026) and will be subject to limited assurance requirements by a third party. If we are not able to implement processes and controls to accumulate data to support the disclosures in a timely manner, we may not be able to meet the regulatory requirements and reporting timelines or fail to meet the limited assurance requirements.</w:t>
      </w:r>
    </w:p>
    <w:p>
      <w:pPr>
        <w:spacing w:after="0" w:line="68" w:lineRule="exact"/>
        <w:rPr>
          <w:rFonts w:ascii="Times New Roman" w:cs="Times New Roman" w:eastAsia="Times New Roman" w:hAnsi="Times New Roman"/>
          <w:sz w:val="16"/>
          <w:szCs w:val="16"/>
          <w:color w:val="5B89B4"/>
        </w:rPr>
      </w:pPr>
    </w:p>
    <w:p>
      <w:pPr>
        <w:jc w:val="both"/>
        <w:ind w:left="520" w:hanging="315"/>
        <w:spacing w:after="0"/>
        <w:tabs>
          <w:tab w:leader="none" w:pos="520" w:val="left"/>
        </w:tabs>
        <w:numPr>
          <w:ilvl w:val="0"/>
          <w:numId w:val="11"/>
        </w:numPr>
        <w:rPr>
          <w:rFonts w:ascii="Times New Roman" w:cs="Times New Roman" w:eastAsia="Times New Roman" w:hAnsi="Times New Roman"/>
          <w:sz w:val="16"/>
          <w:szCs w:val="16"/>
          <w:color w:val="5B89B4"/>
        </w:rPr>
      </w:pPr>
      <w:r>
        <w:rPr>
          <w:rFonts w:ascii="Arial" w:cs="Arial" w:eastAsia="Arial" w:hAnsi="Arial"/>
          <w:sz w:val="16"/>
          <w:szCs w:val="16"/>
          <w:color w:val="231F20"/>
        </w:rPr>
        <w:t>Our ability to achieve our sustainability commitments may be subject to numerous external factors outside of our control, including: (1) the availability and cost of low-carbon energy sources; (2) evolving regulatory requirements affecting sustainability standards or disclosures; (3) the availability of vendors and other business partners that can meet our sustainability, diversity, and other standards; and (4) our ability to recruit, develop, and retain diverse talent.</w:t>
      </w:r>
    </w:p>
    <w:p>
      <w:pPr>
        <w:spacing w:after="0" w:line="67" w:lineRule="exact"/>
        <w:rPr>
          <w:rFonts w:ascii="Times New Roman" w:cs="Times New Roman" w:eastAsia="Times New Roman" w:hAnsi="Times New Roman"/>
          <w:sz w:val="16"/>
          <w:szCs w:val="16"/>
          <w:color w:val="5B89B4"/>
        </w:rPr>
      </w:pPr>
    </w:p>
    <w:p>
      <w:pPr>
        <w:jc w:val="both"/>
        <w:ind w:left="520" w:hanging="315"/>
        <w:spacing w:after="0" w:line="237" w:lineRule="auto"/>
        <w:tabs>
          <w:tab w:leader="none" w:pos="520" w:val="left"/>
        </w:tabs>
        <w:numPr>
          <w:ilvl w:val="0"/>
          <w:numId w:val="11"/>
        </w:numPr>
        <w:rPr>
          <w:rFonts w:ascii="Times New Roman" w:cs="Times New Roman" w:eastAsia="Times New Roman" w:hAnsi="Times New Roman"/>
          <w:sz w:val="16"/>
          <w:szCs w:val="16"/>
          <w:color w:val="5B89B4"/>
        </w:rPr>
      </w:pPr>
      <w:r>
        <w:rPr>
          <w:rFonts w:ascii="Arial" w:cs="Arial" w:eastAsia="Arial" w:hAnsi="Arial"/>
          <w:sz w:val="16"/>
          <w:szCs w:val="16"/>
          <w:color w:val="231F20"/>
        </w:rPr>
        <w:t>Standard methodologies and frameworks, as well as our processes and controls, for measuring and reporting sustainability matters across our operations are continuously evolving, including sustainability-related disclosures that may be required by the SEC, European and other regulators; and such changing standards could result in significant revisions to our current goals, reported progress in achieving such goals, or our ability to achieve such goals in the future. Methodologies for reporting sustainability data may be updated and previously reported sustainability data may be adjusted to reflect improvement in availability and quality of third-party data, changing assumptions, changes in the nature and scope of our operations and other changes in circumstances.</w:t>
      </w:r>
    </w:p>
    <w:p>
      <w:pPr>
        <w:spacing w:after="0" w:line="68" w:lineRule="exact"/>
        <w:rPr>
          <w:rFonts w:ascii="Times New Roman" w:cs="Times New Roman" w:eastAsia="Times New Roman" w:hAnsi="Times New Roman"/>
          <w:sz w:val="16"/>
          <w:szCs w:val="16"/>
          <w:color w:val="5B89B4"/>
        </w:rPr>
      </w:pPr>
    </w:p>
    <w:p>
      <w:pPr>
        <w:jc w:val="both"/>
        <w:ind w:left="520" w:hanging="315"/>
        <w:spacing w:after="0" w:line="237" w:lineRule="auto"/>
        <w:tabs>
          <w:tab w:leader="none" w:pos="520" w:val="left"/>
        </w:tabs>
        <w:numPr>
          <w:ilvl w:val="0"/>
          <w:numId w:val="11"/>
        </w:numPr>
        <w:rPr>
          <w:rFonts w:ascii="Times New Roman" w:cs="Times New Roman" w:eastAsia="Times New Roman" w:hAnsi="Times New Roman"/>
          <w:sz w:val="16"/>
          <w:szCs w:val="16"/>
          <w:color w:val="5B89B4"/>
        </w:rPr>
      </w:pPr>
      <w:r>
        <w:rPr>
          <w:rFonts w:ascii="Arial" w:cs="Arial" w:eastAsia="Arial" w:hAnsi="Arial"/>
          <w:sz w:val="16"/>
          <w:szCs w:val="16"/>
          <w:color w:val="231F20"/>
        </w:rPr>
        <w:t>Our positions and disclosures on these matters may be challenged by the US Federal government or state governments. For example, on January 21, 2025, President Trump issued an Executive Order directing the Attorney General to make recommendations for enforcing Federal civil rights laws and taking other appropriate measures to encourage the private sector to end illegal discrimination and preferences, including a proposed strategic enforcement plan. Despite our efforts to ensure that our positions on these matters are compliant with all applicable laws, any challenges may be costly and time-consuming to resolve, and may not be resolved in our favor, which may have a material adverse effect on our business, including our ability to attract and retain employees, our reputation and our results of operations.</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Our acquisition strategy may be unsuccessful and may introduce unexpected costs.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231F20"/>
        </w:rPr>
        <w:t>From time to time, we make acquisitions of other companies or operating assets. These activities involve significant strategic and operational risks, including:</w:t>
      </w:r>
    </w:p>
    <w:p>
      <w:pPr>
        <w:spacing w:after="0" w:line="76" w:lineRule="exact"/>
        <w:rPr>
          <w:sz w:val="20"/>
          <w:szCs w:val="20"/>
          <w:color w:val="auto"/>
        </w:rPr>
      </w:pPr>
    </w:p>
    <w:p>
      <w:pPr>
        <w:ind w:left="520" w:hanging="315"/>
        <w:spacing w:after="0" w:line="260" w:lineRule="auto"/>
        <w:tabs>
          <w:tab w:leader="none" w:pos="520" w:val="left"/>
        </w:tabs>
        <w:numPr>
          <w:ilvl w:val="0"/>
          <w:numId w:val="12"/>
        </w:numPr>
        <w:rPr>
          <w:rFonts w:ascii="Times New Roman" w:cs="Times New Roman" w:eastAsia="Times New Roman" w:hAnsi="Times New Roman"/>
          <w:sz w:val="16"/>
          <w:szCs w:val="16"/>
          <w:color w:val="5B89B4"/>
        </w:rPr>
      </w:pPr>
      <w:r>
        <w:rPr>
          <w:rFonts w:ascii="Arial" w:cs="Arial" w:eastAsia="Arial" w:hAnsi="Arial"/>
          <w:sz w:val="16"/>
          <w:szCs w:val="16"/>
          <w:color w:val="231F20"/>
        </w:rPr>
        <w:t>in some instances, we have failed to, and may in the future fail to achieve our strategic objectives or fail to meet our performance expectations, including as a result of challenges integrating the acquired company and assimilating their corporate culture;</w:t>
      </w:r>
    </w:p>
    <w:p>
      <w:pPr>
        <w:spacing w:after="0" w:line="38"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2"/>
        </w:numPr>
        <w:rPr>
          <w:rFonts w:ascii="Times New Roman" w:cs="Times New Roman" w:eastAsia="Times New Roman" w:hAnsi="Times New Roman"/>
          <w:sz w:val="16"/>
          <w:szCs w:val="16"/>
          <w:color w:val="5B89B4"/>
        </w:rPr>
      </w:pPr>
      <w:r>
        <w:rPr>
          <w:rFonts w:ascii="Arial" w:cs="Arial" w:eastAsia="Arial" w:hAnsi="Arial"/>
          <w:sz w:val="16"/>
          <w:szCs w:val="16"/>
          <w:color w:val="231F20"/>
        </w:rPr>
        <w:t>over-valuation by us of any companies or assets that we acquire;</w:t>
      </w:r>
    </w:p>
    <w:p>
      <w:pPr>
        <w:spacing w:after="0" w:line="75"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2"/>
        </w:numPr>
        <w:rPr>
          <w:rFonts w:ascii="Times New Roman" w:cs="Times New Roman" w:eastAsia="Times New Roman" w:hAnsi="Times New Roman"/>
          <w:sz w:val="16"/>
          <w:szCs w:val="16"/>
          <w:color w:val="5B89B4"/>
        </w:rPr>
      </w:pPr>
      <w:r>
        <w:rPr>
          <w:rFonts w:ascii="Arial" w:cs="Arial" w:eastAsia="Arial" w:hAnsi="Arial"/>
          <w:sz w:val="16"/>
          <w:szCs w:val="16"/>
          <w:color w:val="231F20"/>
        </w:rPr>
        <w:t>we may have difficulties integrating the operations, leadership, personnel, financial reporting, services or other functions of acquired companies;</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2"/>
        </w:numPr>
        <w:rPr>
          <w:rFonts w:ascii="Times New Roman" w:cs="Times New Roman" w:eastAsia="Times New Roman" w:hAnsi="Times New Roman"/>
          <w:sz w:val="16"/>
          <w:szCs w:val="16"/>
          <w:color w:val="5B89B4"/>
        </w:rPr>
      </w:pPr>
      <w:r>
        <w:rPr>
          <w:rFonts w:ascii="Arial" w:cs="Arial" w:eastAsia="Arial" w:hAnsi="Arial"/>
          <w:sz w:val="16"/>
          <w:szCs w:val="16"/>
          <w:color w:val="231F20"/>
        </w:rPr>
        <w:t>we have experienced, and may in the future experience disputes that arise with the sellers;</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2"/>
        </w:numPr>
        <w:rPr>
          <w:rFonts w:ascii="Times New Roman" w:cs="Times New Roman" w:eastAsia="Times New Roman" w:hAnsi="Times New Roman"/>
          <w:sz w:val="16"/>
          <w:szCs w:val="16"/>
          <w:color w:val="5B89B4"/>
        </w:rPr>
      </w:pPr>
      <w:r>
        <w:rPr>
          <w:rFonts w:ascii="Arial" w:cs="Arial" w:eastAsia="Arial" w:hAnsi="Arial"/>
          <w:sz w:val="16"/>
          <w:szCs w:val="16"/>
          <w:color w:val="231F20"/>
        </w:rPr>
        <w:t>we may fail to effectively monitor compliance with corporate policies as well as regulatory requirements;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19" w:name="page20"/>
    <w:bookmarkEnd w:id="19"/>
    <w:p>
      <w:pPr>
        <w:ind w:left="6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63" w:lineRule="exact"/>
        <w:rPr>
          <w:sz w:val="20"/>
          <w:szCs w:val="20"/>
          <w:color w:val="auto"/>
        </w:rPr>
      </w:pPr>
    </w:p>
    <w:p>
      <w:pPr>
        <w:ind w:left="520" w:hanging="315"/>
        <w:spacing w:after="0"/>
        <w:tabs>
          <w:tab w:leader="none" w:pos="520" w:val="left"/>
        </w:tabs>
        <w:numPr>
          <w:ilvl w:val="0"/>
          <w:numId w:val="13"/>
        </w:numPr>
        <w:rPr>
          <w:rFonts w:ascii="Times New Roman" w:cs="Times New Roman" w:eastAsia="Times New Roman" w:hAnsi="Times New Roman"/>
          <w:sz w:val="16"/>
          <w:szCs w:val="16"/>
          <w:color w:val="5B89B4"/>
        </w:rPr>
      </w:pPr>
      <w:r>
        <w:rPr>
          <w:rFonts w:ascii="Arial" w:cs="Arial" w:eastAsia="Arial" w:hAnsi="Arial"/>
          <w:sz w:val="16"/>
          <w:szCs w:val="16"/>
          <w:color w:val="231F20"/>
        </w:rPr>
        <w:t>we may face unanticipated risks and liabilities in connection with the acquired company's operations;</w:t>
      </w:r>
    </w:p>
    <w:p>
      <w:pPr>
        <w:spacing w:after="0" w:line="75"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3"/>
        </w:numPr>
        <w:rPr>
          <w:rFonts w:ascii="Times New Roman" w:cs="Times New Roman" w:eastAsia="Times New Roman" w:hAnsi="Times New Roman"/>
          <w:sz w:val="16"/>
          <w:szCs w:val="16"/>
          <w:color w:val="5B89B4"/>
        </w:rPr>
      </w:pPr>
      <w:r>
        <w:rPr>
          <w:rFonts w:ascii="Arial" w:cs="Arial" w:eastAsia="Arial" w:hAnsi="Arial"/>
          <w:sz w:val="16"/>
          <w:szCs w:val="16"/>
          <w:color w:val="231F20"/>
        </w:rPr>
        <w:t>we may obtain insufficient indemnification from the selling parties for liabilities incurred by the acquired companies prior to the acquisitions; and</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3"/>
        </w:numPr>
        <w:rPr>
          <w:rFonts w:ascii="Times New Roman" w:cs="Times New Roman" w:eastAsia="Times New Roman" w:hAnsi="Times New Roman"/>
          <w:sz w:val="16"/>
          <w:szCs w:val="16"/>
          <w:color w:val="5B89B4"/>
        </w:rPr>
      </w:pPr>
      <w:r>
        <w:rPr>
          <w:rFonts w:ascii="Arial" w:cs="Arial" w:eastAsia="Arial" w:hAnsi="Arial"/>
          <w:sz w:val="16"/>
          <w:szCs w:val="16"/>
          <w:color w:val="231F20"/>
        </w:rPr>
        <w:t>acquisition transactions, and the integration of acquired entities, may result in a diversion of our management’s attention from other business concerns.</w:t>
      </w:r>
    </w:p>
    <w:p>
      <w:pPr>
        <w:spacing w:after="0" w:line="9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These risks could have a material adverse effect on our business because they may result in substantial costs to us and disrupt our business. The integration of prior acquisitions, as well as entry into future acquisition transactions, could materially adversely affect our business, financial condition, results of operations and liquidity. Additionally, we have incurred, and may in the future incur impairment losses on goodwill and other intangible assets with an indefinite life or restructuring charges as a result of acquisitions we make.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5B89B4"/>
        </w:rPr>
        <w:t>From time to time, we undertake dispositions via sales, franchises, joint ventures or other exit activities, and we may face risks related to such transactions.</w:t>
      </w:r>
    </w:p>
    <w:p>
      <w:pPr>
        <w:spacing w:after="0" w:line="10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231F20"/>
        </w:rPr>
        <w:t>Occasionally, we dispose of parts of our operations based on risk considerations and to optimize our global strategic and geographic footprint and overall efficiency. We have engaged in such dispositions in the past, including the dispositions of our businesses in Korea and Austria in 2024, the Philippines in 2023 and Russia and Hungary in 2022, respectively. We expect that we will continue to dispose of portions of our business that are not meeting our performance or strategic objectives. Among other alternatives, this could take the form of a closure of a business, the contribution of the business to a joint venture, or an exit by means of a sale to, or a franchise arrangement with, a third party. There are risks and costs associated with any exit activities, which could include difficulties in the separation of operations, services or personnel, the diversion of management attention, and the disruption of our business. Any such transactions may require regulatory or governmental approvals, which could impede the transaction. Divestitures may also involve continued financial involvement in, or liability with respect to, the divested businesses. As a result of divestiture transactions, we could incur severance charges for personnel and payments for lease and other commitments, charges from the impairment or write-off of assets, and other financial loss due to the transaction. Furthermore, there is the risk that we might lose customers, in particular multinational clients with operations in the exited countries or operations. Additionally, if we choose to enter into a franchise arrangement for a third party to operate our business in the exited region using our trademarks and other licensed assets, we face potential counterparty and reputational risks arising from the franchisee’s operation of the business. The reputational risks include the risk that marketplace participants, including clients, candidates and the media, may believe that we continue to control the operations of a divested or franchised business that operates utilizing our name or other trademarks.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Financial and Market Risks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Foreign currency fluctuations may have a material adverse effect on our operating results.</w:t>
      </w:r>
    </w:p>
    <w:p>
      <w:pPr>
        <w:spacing w:after="0" w:line="88"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Although we report our results of operations in United States dollars, the majority of our revenues and expenses are denominated in currencies other than the United States dollar, and unfavorable fluctuations in foreign currency exchange rates could have a material adverse effect on our reported financial results. Highly inflationary economies of foreign countries can result in foreign currency devaluation, which may also negatively impact our reported financial results. This occurred in Argentina and is likely to continue while the country attempts to stabilize its currency exchange rate going forward.</w:t>
      </w:r>
    </w:p>
    <w:p>
      <w:pPr>
        <w:spacing w:after="0" w:line="6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During 2024, approximately 85% of our revenues were generated outside of the United States, the majority of which were generated in Europe. Furthermore, $952.8 million of our outstanding indebtedness as of December 31, 2024 was denominated in foreign currencies, including $928.4 million related to our Euro-denominated notes (€900.0 million). Increases or decreases in the value of the United States dollar against other major currencies, or the imposition of limitations on conversion of foreign currencies into United States dollars, could affect our revenues, operating profit and the value of balance sheet items denominated in foreign currencies. Our exposure to foreign currencies, in particular the Euro, could have a material adverse effect on our reported results and shareholders’ equity, however, such fluctuations generally do not affect our cash flow or result in actual economic gains or losses unless we repatriate funds. Furthermore, the volatility of currencies may make year-over-year comparability of our financial results difficult.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20" w:name="page21"/>
    <w:bookmarkEnd w:id="20"/>
    <w:p>
      <w:pPr>
        <w:ind w:left="1080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We seek to mitigate our exposure to foreign currency fluctuations by utilizing net investment hedges and, from time to time, foreign currency forward exchange contracts and cross-currency swaps. Our Euro-denominated notes are designated as a hedge of our net investment in subsidiaries with a Euro-functional currency as of December 31, 2024, to mitigate our Euro currency translation exposure. The effectiveness of this hedge in part depends on our ability to accurately forecast future cash flows, which is particularly difficult during periods of uncertain or uneven demand for our services and highly volatile exchange rates. Further, hedging activities may only offset a portion, or none at all, of the material adverse financial effects of unfavorable fluctuations in foreign exchange rates over the time the hedge is in place or effective.</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Our liquidity could be adversely impacted by economic conditions affecting our clients.</w:t>
      </w:r>
    </w:p>
    <w:p>
      <w:pPr>
        <w:spacing w:after="0" w:line="8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Our working capital is primarily in the form of trade receivables which generally increase as sales increase. One of the ways in which we measure our working capital is in terms of working capital as a percent of revenue with a focus on Days Sales Outstanding (“DSO”). During periods of decline or uncertainty, our clients may slow the rate at which they pay their vendors, or they may become unable to pay their obligations. In addition, some clients have begun to impose more challenging billing terms, which increases the length of time before we receive payment for services. If our clients become unable to pay amounts owed to us, or pay us more slowly, then our DSO will increase, and our cash flow, liquidity, and profitability may suffer.</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Our results of operations and share price could be materially adversely affected if we are unable to maintain effective internal controls.</w:t>
      </w:r>
    </w:p>
    <w:p>
      <w:pPr>
        <w:spacing w:after="0" w:line="8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and fraud. Because of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we could suffer harm to our reputation, fail to meet our public reporting requirements timely, be unable to properly report on our business and our results of operations, or be required to restate our financial statements. If any of these were to occur, the market price of our securities and our ability to obtain new business could be materially adversely affected.</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Our debt levels could materially adversely affect our operating flexibility and put us at a competitive disadvantage.</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As of December 31, 2024, we had $952.8 million of total debt. Our level of debt and the limitations imposed on us by our credit agreements could have important consequences for investors, including the following:</w:t>
      </w:r>
    </w:p>
    <w:p>
      <w:pPr>
        <w:spacing w:after="0" w:line="51" w:lineRule="exact"/>
        <w:rPr>
          <w:sz w:val="20"/>
          <w:szCs w:val="20"/>
          <w:color w:val="auto"/>
        </w:rPr>
      </w:pPr>
    </w:p>
    <w:p>
      <w:pPr>
        <w:ind w:left="520" w:hanging="315"/>
        <w:spacing w:after="0" w:line="260" w:lineRule="auto"/>
        <w:tabs>
          <w:tab w:leader="none" w:pos="520" w:val="left"/>
        </w:tabs>
        <w:numPr>
          <w:ilvl w:val="0"/>
          <w:numId w:val="14"/>
        </w:numPr>
        <w:rPr>
          <w:rFonts w:ascii="Times New Roman" w:cs="Times New Roman" w:eastAsia="Times New Roman" w:hAnsi="Times New Roman"/>
          <w:sz w:val="16"/>
          <w:szCs w:val="16"/>
          <w:color w:val="5B89B4"/>
        </w:rPr>
      </w:pPr>
      <w:r>
        <w:rPr>
          <w:rFonts w:ascii="Arial" w:cs="Arial" w:eastAsia="Arial" w:hAnsi="Arial"/>
          <w:sz w:val="16"/>
          <w:szCs w:val="16"/>
          <w:color w:val="231F20"/>
        </w:rPr>
        <w:t>we may not be able to obtain additional debt financing for future working capital, capital expenditures, significant acquisition opportunities, or other corporate purposes or may have to pay more for such financing;</w:t>
      </w:r>
    </w:p>
    <w:p>
      <w:pPr>
        <w:spacing w:after="0" w:line="50"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4"/>
        </w:numPr>
        <w:rPr>
          <w:rFonts w:ascii="Times New Roman" w:cs="Times New Roman" w:eastAsia="Times New Roman" w:hAnsi="Times New Roman"/>
          <w:sz w:val="16"/>
          <w:szCs w:val="16"/>
          <w:color w:val="5B89B4"/>
        </w:rPr>
      </w:pPr>
      <w:r>
        <w:rPr>
          <w:rFonts w:ascii="Arial" w:cs="Arial" w:eastAsia="Arial" w:hAnsi="Arial"/>
          <w:sz w:val="16"/>
          <w:szCs w:val="16"/>
          <w:color w:val="231F20"/>
        </w:rPr>
        <w:t>borrowings under our revolving credit facilities are at a variable interest rate, making us more vulnerable to increases in interest rates; and</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4"/>
        </w:numPr>
        <w:rPr>
          <w:rFonts w:ascii="Times New Roman" w:cs="Times New Roman" w:eastAsia="Times New Roman" w:hAnsi="Times New Roman"/>
          <w:sz w:val="16"/>
          <w:szCs w:val="16"/>
          <w:color w:val="5B89B4"/>
        </w:rPr>
      </w:pPr>
      <w:r>
        <w:rPr>
          <w:rFonts w:ascii="Arial" w:cs="Arial" w:eastAsia="Arial" w:hAnsi="Arial"/>
          <w:sz w:val="16"/>
          <w:szCs w:val="16"/>
          <w:color w:val="231F20"/>
        </w:rPr>
        <w:t>we could be less able to take advantage of significant business opportunities and to react to changes in market or industry conditions.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Our failure to comply with restrictive covenants under our revolving credit facilities and other debt instruments could trigger prepayment obligations.</w:t>
      </w:r>
    </w:p>
    <w:p>
      <w:pPr>
        <w:spacing w:after="0" w:line="8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materially adversely affected by increased costs and rates.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The lenders under our and our subsidiaries’ credit facilities may be unwilling or unable to extend credit to us on acceptable terms or at all.</w:t>
      </w:r>
    </w:p>
    <w:p>
      <w:pPr>
        <w:spacing w:after="0" w:line="88"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If our liquidity needs increase, we would expect to use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materially adversely affected, or our interest expense may increase substantially.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21" w:name="page22"/>
    <w:bookmarkEnd w:id="21"/>
    <w:p>
      <w:pPr>
        <w:ind w:left="6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materially adversely affected.</w:t>
      </w:r>
    </w:p>
    <w:p>
      <w:pPr>
        <w:spacing w:after="0" w:line="101" w:lineRule="exact"/>
        <w:rPr>
          <w:sz w:val="20"/>
          <w:szCs w:val="20"/>
          <w:color w:val="auto"/>
        </w:rPr>
      </w:pPr>
    </w:p>
    <w:p>
      <w:pPr>
        <w:ind w:left="320" w:right="20"/>
        <w:spacing w:after="0" w:line="260" w:lineRule="auto"/>
        <w:rPr>
          <w:sz w:val="20"/>
          <w:szCs w:val="20"/>
          <w:color w:val="auto"/>
        </w:rPr>
      </w:pPr>
      <w:r>
        <w:rPr>
          <w:rFonts w:ascii="Arial" w:cs="Arial" w:eastAsia="Arial" w:hAnsi="Arial"/>
          <w:sz w:val="16"/>
          <w:szCs w:val="16"/>
          <w:i w:val="1"/>
          <w:iCs w:val="1"/>
          <w:color w:val="5B89B4"/>
        </w:rPr>
        <w:t>The performance of our subsidiaries and their ability to distribute cash to our parent company may vary, negatively affecting our ability to service our debt at the parent company level or in other subsidiaries.</w:t>
      </w:r>
    </w:p>
    <w:p>
      <w:pPr>
        <w:spacing w:after="0" w:line="5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working capital requirements, and be subject to various business considerations, including the ability of such subsidiaries to pay such dividends or make such loans and advances.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Our inability to secure guarantees or letters of credit on acceptable terms may substantially increase our cost of doing business in various countries.</w:t>
      </w:r>
    </w:p>
    <w:p>
      <w:pPr>
        <w:spacing w:after="0" w:line="88"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In a number of countries and territories in which we conduct business, we are obligated to provide guarantees or letters of credit to secure licenses, lease space or for insurance coverage. We typically receive these guarantees and letters of credit from a number of financial institutions around the world. In the event that we are unable to secure these arrangements from a bank, lender or other third party on acceptable terms, our liquidity may be materially adversely affected, there could be a disruption to our business or there could be a substantial increase in cost for our business.</w:t>
      </w:r>
    </w:p>
    <w:p>
      <w:pPr>
        <w:spacing w:after="0" w:line="101" w:lineRule="exact"/>
        <w:rPr>
          <w:sz w:val="20"/>
          <w:szCs w:val="20"/>
          <w:color w:val="auto"/>
        </w:rPr>
      </w:pPr>
    </w:p>
    <w:p>
      <w:pPr>
        <w:ind w:left="320"/>
        <w:spacing w:after="0" w:line="260" w:lineRule="auto"/>
        <w:rPr>
          <w:sz w:val="20"/>
          <w:szCs w:val="20"/>
          <w:color w:val="auto"/>
        </w:rPr>
      </w:pPr>
      <w:r>
        <w:rPr>
          <w:rFonts w:ascii="Arial" w:cs="Arial" w:eastAsia="Arial" w:hAnsi="Arial"/>
          <w:sz w:val="16"/>
          <w:szCs w:val="16"/>
          <w:i w:val="1"/>
          <w:iCs w:val="1"/>
          <w:color w:val="5B89B4"/>
        </w:rPr>
        <w:t>We could be subject to changes in tax rates, adoption of new United States or international tax legislation or tax audits that could result in additional income tax liabilities.</w:t>
      </w:r>
    </w:p>
    <w:p>
      <w:pPr>
        <w:spacing w:after="0" w:line="5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We are subject to income and other taxes in the United States and international jurisdictions where we have operations. The tax bases and rates of these respective tax jurisdictions change from time to time due to economic and political conditions. Our effective income tax rate is affected by changes in earnings in countries with differing tax rates, changes in valuation of deferred tax assets and liabilities or changes in the respective tax laws. Our other taxes are impacted by changes in local tax laws or changes in our business.</w:t>
      </w:r>
    </w:p>
    <w:p>
      <w:pPr>
        <w:spacing w:after="0" w:line="65" w:lineRule="exact"/>
        <w:rPr>
          <w:sz w:val="20"/>
          <w:szCs w:val="20"/>
          <w:color w:val="auto"/>
        </w:rPr>
      </w:pPr>
    </w:p>
    <w:p>
      <w:pPr>
        <w:jc w:val="both"/>
        <w:ind w:right="20"/>
        <w:spacing w:after="0" w:line="256" w:lineRule="auto"/>
        <w:rPr>
          <w:sz w:val="20"/>
          <w:szCs w:val="20"/>
          <w:color w:val="auto"/>
        </w:rPr>
      </w:pPr>
      <w:r>
        <w:rPr>
          <w:rFonts w:ascii="Arial" w:cs="Arial" w:eastAsia="Arial" w:hAnsi="Arial"/>
          <w:sz w:val="15"/>
          <w:szCs w:val="15"/>
          <w:color w:val="231F20"/>
        </w:rPr>
        <w:t>In addition, tax accounting involves complex matters and requires our judgment to determine our worldwide provision for income and other taxes and tax assets and liabilities. These complex matters include transfer pricing and reporting related to intercompany transactions. We are routinely subject to tax examinations by the United States Internal Revenue Service and other tax authorities. Tax authorities have disagreed, and may disagree in the future, with our judgments. Many taxing authorities are taking increasingly aggressive positions opposing the judgments we make, including with respect to our intercompany transactions. We regularly assess the likely outcomes of our audits and tax proceedings to determine the appropriateness of our tax liabilities. However, our judgments might not be sustained as a result of these audits and tax proceedings, and the amounts ultimately paid could be materially different from the amounts previously recorded.</w:t>
      </w:r>
    </w:p>
    <w:p>
      <w:pPr>
        <w:spacing w:after="0" w:line="5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231F20"/>
        </w:rPr>
        <w:t>In addition, changes in tax laws, treaties or regulations, or their interpretation or enforcement, have become more unpredictable and may become more stringent, which could materially adversely affect our tax position. A number of countries where we do business, including the United States and many countries in the European Union, have implemented, and are considering implementing, changes in relevant tax, accounting and other laws, regulations and interpretations. The overall tax environment has made it increasingly challenging for multinational corporations to operate with certainty about taxation in many jurisdictions. For example, a number of members of the Organization for Economic Co-operation and Development have agreed to enact the Pillar Two international tax reform, which introduces a global minimum effective tax rate whereby certain multinational groups are subject to a 15% minimum tax on income derived in low-tax jurisdictions. These rules became effective in some countries in 2024. As another example, in February 2025 the French government enacted legislation resulting in a one-year temporary increase in the corporate income tax rate for our French business from 25.825% to 36.125% for 2025 and a three-year delay to the scheduled phase-out of the French business tax (CVAE). We estimate this legislation will increase our consolidated global effective tax rate in the range of 4% to 5% based on current projections. These proposed and enacted changes in tax laws, treaties or regulations, or their interpretation or enforcement, could have a material adverse impact on our current or future tax positions.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22" w:name="page23"/>
    <w:bookmarkEnd w:id="22"/>
    <w:p>
      <w:pPr>
        <w:ind w:left="1080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The price of our common stock may fluctuate significantly, which may result in losses for investors.</w:t>
      </w:r>
    </w:p>
    <w:p>
      <w:pPr>
        <w:spacing w:after="0" w:line="8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The market price for our common stock may be subject to significant volatility. For example, during 2024, the price of our common stock as reported on the New York Stock Exchange ranged from a high of $79.12 to a low of $56.82. Our stock price can fluctuate as a result of a variety of factors, including factors listed in these “Risk Factors” and others, many of which are beyond our control. These factors include:</w:t>
      </w:r>
    </w:p>
    <w:p>
      <w:pPr>
        <w:spacing w:after="0" w:line="61" w:lineRule="exact"/>
        <w:rPr>
          <w:sz w:val="20"/>
          <w:szCs w:val="20"/>
          <w:color w:val="auto"/>
        </w:rPr>
      </w:pPr>
    </w:p>
    <w:p>
      <w:pPr>
        <w:ind w:left="520" w:hanging="315"/>
        <w:spacing w:after="0"/>
        <w:tabs>
          <w:tab w:leader="none" w:pos="520" w:val="left"/>
        </w:tabs>
        <w:numPr>
          <w:ilvl w:val="0"/>
          <w:numId w:val="15"/>
        </w:numPr>
        <w:rPr>
          <w:rFonts w:ascii="Times New Roman" w:cs="Times New Roman" w:eastAsia="Times New Roman" w:hAnsi="Times New Roman"/>
          <w:sz w:val="16"/>
          <w:szCs w:val="16"/>
          <w:color w:val="5B89B4"/>
        </w:rPr>
      </w:pPr>
      <w:r>
        <w:rPr>
          <w:rFonts w:ascii="Arial" w:cs="Arial" w:eastAsia="Arial" w:hAnsi="Arial"/>
          <w:sz w:val="16"/>
          <w:szCs w:val="16"/>
          <w:color w:val="231F20"/>
        </w:rPr>
        <w:t>changes in general economic conditions;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5"/>
        </w:numPr>
        <w:rPr>
          <w:rFonts w:ascii="Times New Roman" w:cs="Times New Roman" w:eastAsia="Times New Roman" w:hAnsi="Times New Roman"/>
          <w:sz w:val="16"/>
          <w:szCs w:val="16"/>
          <w:color w:val="5B89B4"/>
        </w:rPr>
      </w:pPr>
      <w:r>
        <w:rPr>
          <w:rFonts w:ascii="Arial" w:cs="Arial" w:eastAsia="Arial" w:hAnsi="Arial"/>
          <w:sz w:val="16"/>
          <w:szCs w:val="16"/>
          <w:color w:val="231F20"/>
        </w:rPr>
        <w:t>actual or anticipated variations in our quarterly operating results;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5"/>
        </w:numPr>
        <w:rPr>
          <w:rFonts w:ascii="Times New Roman" w:cs="Times New Roman" w:eastAsia="Times New Roman" w:hAnsi="Times New Roman"/>
          <w:sz w:val="16"/>
          <w:szCs w:val="16"/>
          <w:color w:val="5B89B4"/>
        </w:rPr>
      </w:pPr>
      <w:r>
        <w:rPr>
          <w:rFonts w:ascii="Arial" w:cs="Arial" w:eastAsia="Arial" w:hAnsi="Arial"/>
          <w:sz w:val="16"/>
          <w:szCs w:val="16"/>
          <w:color w:val="231F20"/>
        </w:rPr>
        <w:t>announcement of new services by us or our competitors;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5"/>
        </w:numPr>
        <w:rPr>
          <w:rFonts w:ascii="Times New Roman" w:cs="Times New Roman" w:eastAsia="Times New Roman" w:hAnsi="Times New Roman"/>
          <w:sz w:val="16"/>
          <w:szCs w:val="16"/>
          <w:color w:val="5B89B4"/>
        </w:rPr>
      </w:pPr>
      <w:r>
        <w:rPr>
          <w:rFonts w:ascii="Arial" w:cs="Arial" w:eastAsia="Arial" w:hAnsi="Arial"/>
          <w:sz w:val="16"/>
          <w:szCs w:val="16"/>
          <w:color w:val="231F20"/>
        </w:rPr>
        <w:t>announcements relating to strategic relationships or acquisitions;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5"/>
        </w:numPr>
        <w:rPr>
          <w:rFonts w:ascii="Times New Roman" w:cs="Times New Roman" w:eastAsia="Times New Roman" w:hAnsi="Times New Roman"/>
          <w:sz w:val="16"/>
          <w:szCs w:val="16"/>
          <w:color w:val="5B89B4"/>
        </w:rPr>
      </w:pPr>
      <w:r>
        <w:rPr>
          <w:rFonts w:ascii="Arial" w:cs="Arial" w:eastAsia="Arial" w:hAnsi="Arial"/>
          <w:sz w:val="16"/>
          <w:szCs w:val="16"/>
          <w:color w:val="231F20"/>
        </w:rPr>
        <w:t>changes in financial estimates or other statements by securities analysts; and</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5"/>
        </w:numPr>
        <w:rPr>
          <w:rFonts w:ascii="Times New Roman" w:cs="Times New Roman" w:eastAsia="Times New Roman" w:hAnsi="Times New Roman"/>
          <w:sz w:val="16"/>
          <w:szCs w:val="16"/>
          <w:color w:val="5B89B4"/>
        </w:rPr>
      </w:pPr>
      <w:r>
        <w:rPr>
          <w:rFonts w:ascii="Arial" w:cs="Arial" w:eastAsia="Arial" w:hAnsi="Arial"/>
          <w:sz w:val="16"/>
          <w:szCs w:val="16"/>
          <w:color w:val="231F20"/>
        </w:rPr>
        <w:t>changes in investor sentiment regarding the company arising from these or other events, or the economy in general.</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Regulatory and Legal Risks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Our performance on contracts may be materially adversely affected if we or third parties fail to deliver on commitments.</w:t>
      </w:r>
    </w:p>
    <w:p>
      <w:pPr>
        <w:spacing w:after="0" w:line="8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Our contracts are increasingly complex and, in most instances, require that we partner with other parties or subcontractors to provide the workforce solutions required by our clients. Our clients have become more sophisticated in their contractual negotiation process and more detailed in defining their operational requirements, including requirements to use the client's form of agreement. Our ability to deliver these solutions and provide the services required by our clients is dependent on our and our partners’ ability to meet our clients’ delivery requirements and schedules. If we or our partners fail to deliver services on time and in accordance with contractual performance obligations, then our ability to successfully complete our contracts may be affected, which may have a material and adverse impact on our client relations, revenues and profitability. Additionally, we may incur liability for the actions or omissions of our partners, subcontractors or vendors and we may face challenges or be unable to enforce these obligations against those partners.</w:t>
      </w:r>
    </w:p>
    <w:p>
      <w:pPr>
        <w:spacing w:after="0" w:line="105" w:lineRule="exact"/>
        <w:rPr>
          <w:sz w:val="20"/>
          <w:szCs w:val="20"/>
          <w:color w:val="auto"/>
        </w:rPr>
      </w:pPr>
    </w:p>
    <w:p>
      <w:pPr>
        <w:ind w:left="320" w:right="20"/>
        <w:spacing w:after="0" w:line="260" w:lineRule="auto"/>
        <w:rPr>
          <w:sz w:val="20"/>
          <w:szCs w:val="20"/>
          <w:color w:val="auto"/>
        </w:rPr>
      </w:pPr>
      <w:r>
        <w:rPr>
          <w:rFonts w:ascii="Arial" w:cs="Arial" w:eastAsia="Arial" w:hAnsi="Arial"/>
          <w:sz w:val="16"/>
          <w:szCs w:val="16"/>
          <w:i w:val="1"/>
          <w:iCs w:val="1"/>
          <w:color w:val="5B89B4"/>
        </w:rPr>
        <w:t>Government regulations may result in prohibition or restriction of certain types of employment services or the imposition of additional licensing or tax requirements that may reduce our future earnings.</w:t>
      </w:r>
    </w:p>
    <w:p>
      <w:pPr>
        <w:spacing w:after="0" w:line="5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231F20"/>
        </w:rPr>
        <w:t>In many jurisdictions in which we operate, such as France, Italy, Germany, Japan and Mexico, the employment services industry is heavily regulated and scrutinized. For example, in 2021, legislation was adopted in Mexico that affects many types of temporary placements under the country’s labor laws. The law broadly prohibits the provision of our traditional temporary staffing services, only allowing outsourced worker assignments for special, deliverables-based projects outside of the client’s core business activity. This has had a material adverse impact on our business in Mexico. In Europe,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 Moreover, many countries, including the Netherlands and Japan, have established regulations that require equal-pay for equal -work for temporary workers and fixed term employees. Furthermore, some countries are adopting more restrictive immigration regulations, which may lead to greater expense or inability to fulfill client demand, particularly in our cross-border Talent Solutions business. All of these continuously-evolving regulations could have a significant impact on our revenues, costs, and operating margins.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231F20"/>
        </w:rPr>
        <w:t>The countries and territories in which we operate may, among other things:</w:t>
      </w:r>
    </w:p>
    <w:p>
      <w:pPr>
        <w:spacing w:after="0" w:line="64" w:lineRule="exact"/>
        <w:rPr>
          <w:sz w:val="20"/>
          <w:szCs w:val="20"/>
          <w:color w:val="auto"/>
        </w:rPr>
      </w:pPr>
    </w:p>
    <w:p>
      <w:pPr>
        <w:ind w:left="520" w:hanging="315"/>
        <w:spacing w:after="0"/>
        <w:tabs>
          <w:tab w:leader="none" w:pos="520" w:val="left"/>
        </w:tabs>
        <w:numPr>
          <w:ilvl w:val="0"/>
          <w:numId w:val="16"/>
        </w:numPr>
        <w:rPr>
          <w:rFonts w:ascii="Times New Roman" w:cs="Times New Roman" w:eastAsia="Times New Roman" w:hAnsi="Times New Roman"/>
          <w:sz w:val="16"/>
          <w:szCs w:val="16"/>
          <w:color w:val="5B89B4"/>
        </w:rPr>
      </w:pPr>
      <w:r>
        <w:rPr>
          <w:rFonts w:ascii="Arial" w:cs="Arial" w:eastAsia="Arial" w:hAnsi="Arial"/>
          <w:sz w:val="16"/>
          <w:szCs w:val="16"/>
          <w:color w:val="231F20"/>
        </w:rPr>
        <w:t>create additional regulations that prohibit or restrict the types of employment services or categories of job roles that we may provide;</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6"/>
        </w:numPr>
        <w:rPr>
          <w:rFonts w:ascii="Times New Roman" w:cs="Times New Roman" w:eastAsia="Times New Roman" w:hAnsi="Times New Roman"/>
          <w:sz w:val="16"/>
          <w:szCs w:val="16"/>
          <w:color w:val="5B89B4"/>
        </w:rPr>
      </w:pPr>
      <w:r>
        <w:rPr>
          <w:rFonts w:ascii="Arial" w:cs="Arial" w:eastAsia="Arial" w:hAnsi="Arial"/>
          <w:sz w:val="16"/>
          <w:szCs w:val="16"/>
          <w:color w:val="231F20"/>
        </w:rPr>
        <w:t>expand governmental or regulatory scrutiny of the use of AI within the employment context or recruitment process;</w:t>
      </w:r>
    </w:p>
    <w:p>
      <w:pPr>
        <w:spacing w:after="0" w:line="87"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6"/>
        </w:numPr>
        <w:rPr>
          <w:rFonts w:ascii="Times New Roman" w:cs="Times New Roman" w:eastAsia="Times New Roman" w:hAnsi="Times New Roman"/>
          <w:sz w:val="16"/>
          <w:szCs w:val="16"/>
          <w:color w:val="5B89B4"/>
        </w:rPr>
      </w:pPr>
      <w:r>
        <w:rPr>
          <w:rFonts w:ascii="Arial" w:cs="Arial" w:eastAsia="Arial" w:hAnsi="Arial"/>
          <w:sz w:val="16"/>
          <w:szCs w:val="16"/>
          <w:color w:val="231F20"/>
        </w:rPr>
        <w:t>require new or additional benefits be paid to our associates;</w:t>
      </w:r>
    </w:p>
    <w:p>
      <w:pPr>
        <w:spacing w:after="0" w:line="75"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6"/>
        </w:numPr>
        <w:rPr>
          <w:rFonts w:ascii="Times New Roman" w:cs="Times New Roman" w:eastAsia="Times New Roman" w:hAnsi="Times New Roman"/>
          <w:sz w:val="16"/>
          <w:szCs w:val="16"/>
          <w:color w:val="5B89B4"/>
        </w:rPr>
      </w:pPr>
      <w:r>
        <w:rPr>
          <w:rFonts w:ascii="Arial" w:cs="Arial" w:eastAsia="Arial" w:hAnsi="Arial"/>
          <w:sz w:val="16"/>
          <w:szCs w:val="16"/>
          <w:color w:val="231F20"/>
        </w:rPr>
        <w:t>require pay parity for our associates or impose mandatory thresholds for employee diversity;</w:t>
      </w:r>
    </w:p>
    <w:p>
      <w:pPr>
        <w:spacing w:after="0" w:line="87" w:lineRule="exact"/>
        <w:rPr>
          <w:rFonts w:ascii="Times New Roman" w:cs="Times New Roman" w:eastAsia="Times New Roman" w:hAnsi="Times New Roman"/>
          <w:sz w:val="16"/>
          <w:szCs w:val="16"/>
          <w:color w:val="5B89B4"/>
        </w:rPr>
      </w:pPr>
    </w:p>
    <w:p>
      <w:pPr>
        <w:ind w:left="520" w:right="20" w:hanging="315"/>
        <w:spacing w:after="0" w:line="260" w:lineRule="auto"/>
        <w:tabs>
          <w:tab w:leader="none" w:pos="520" w:val="left"/>
        </w:tabs>
        <w:numPr>
          <w:ilvl w:val="0"/>
          <w:numId w:val="16"/>
        </w:numPr>
        <w:rPr>
          <w:rFonts w:ascii="Times New Roman" w:cs="Times New Roman" w:eastAsia="Times New Roman" w:hAnsi="Times New Roman"/>
          <w:sz w:val="16"/>
          <w:szCs w:val="16"/>
          <w:color w:val="5B89B4"/>
        </w:rPr>
      </w:pPr>
      <w:r>
        <w:rPr>
          <w:rFonts w:ascii="Arial" w:cs="Arial" w:eastAsia="Arial" w:hAnsi="Arial"/>
          <w:sz w:val="16"/>
          <w:szCs w:val="16"/>
          <w:color w:val="231F20"/>
        </w:rPr>
        <w:t>regulate the period of time for which we may or may not employ our workers, including maximum term limits or minimum time requirements for associates on assignment at our clients;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23" w:name="page24"/>
    <w:bookmarkEnd w:id="23"/>
    <w:p>
      <w:pPr>
        <w:ind w:left="6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63" w:lineRule="exact"/>
        <w:rPr>
          <w:sz w:val="20"/>
          <w:szCs w:val="20"/>
          <w:color w:val="auto"/>
        </w:rPr>
      </w:pPr>
    </w:p>
    <w:p>
      <w:pPr>
        <w:ind w:left="520" w:hanging="315"/>
        <w:spacing w:after="0"/>
        <w:tabs>
          <w:tab w:leader="none" w:pos="520" w:val="left"/>
        </w:tabs>
        <w:numPr>
          <w:ilvl w:val="0"/>
          <w:numId w:val="17"/>
        </w:numPr>
        <w:rPr>
          <w:rFonts w:ascii="Times New Roman" w:cs="Times New Roman" w:eastAsia="Times New Roman" w:hAnsi="Times New Roman"/>
          <w:sz w:val="16"/>
          <w:szCs w:val="16"/>
          <w:color w:val="5B89B4"/>
        </w:rPr>
      </w:pPr>
      <w:r>
        <w:rPr>
          <w:rFonts w:ascii="Arial" w:cs="Arial" w:eastAsia="Arial" w:hAnsi="Arial"/>
          <w:sz w:val="16"/>
          <w:szCs w:val="16"/>
          <w:color w:val="231F20"/>
        </w:rPr>
        <w:t>require us to obtain additional licensing to provide employment services; or</w:t>
      </w:r>
    </w:p>
    <w:p>
      <w:pPr>
        <w:spacing w:after="0" w:line="75"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7"/>
        </w:numPr>
        <w:rPr>
          <w:rFonts w:ascii="Times New Roman" w:cs="Times New Roman" w:eastAsia="Times New Roman" w:hAnsi="Times New Roman"/>
          <w:sz w:val="16"/>
          <w:szCs w:val="16"/>
          <w:color w:val="5B89B4"/>
        </w:rPr>
      </w:pPr>
      <w:r>
        <w:rPr>
          <w:rFonts w:ascii="Arial" w:cs="Arial" w:eastAsia="Arial" w:hAnsi="Arial"/>
          <w:sz w:val="16"/>
          <w:szCs w:val="16"/>
          <w:color w:val="231F20"/>
        </w:rPr>
        <w:t>increase taxes, such as sales or value-added taxes.</w:t>
      </w:r>
    </w:p>
    <w:p>
      <w:pPr>
        <w:spacing w:after="0" w:line="9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Other types of future regulation may have a material adverse effect on our business and financial results by making it more difficult or expensive for us to continue to cost-effectively provide employment services, particularly if we cannot pass along increases in costs to our clients.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Failure to comply with antibribery and corruption laws could materially adversely affect our business.</w:t>
      </w:r>
    </w:p>
    <w:p>
      <w:pPr>
        <w:spacing w:after="0" w:line="8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We are additionally subject to numerous legal and regulatory requirements that prohibit bribery and corrupt acts. These include the Foreign Corrupt Practices Act and the UK Bribery Act 2010, as well as similar legislation in many of the countries and territories in which we operate. Our employees (but not our temporary associates) are required to participate in a global anticorruption compliance training program designed to ensure compliance with these laws and regulations. However, there are no assurances this program will be effective. In many countries where we operate, practices in the local business community may not conform to international business standards and could violate anticorruption law or regulations. Furthermore, we remain subject to the risk that one of our employees (or one of our associates on a temporary or contract-based assignment) could engage in business practices that are pro</w:t>
      </w:r>
      <w:r>
        <w:rPr>
          <w:rFonts w:ascii="Arial" w:cs="Arial" w:eastAsia="Arial" w:hAnsi="Arial"/>
          <w:sz w:val="16"/>
          <w:szCs w:val="16"/>
          <w:color w:val="000000"/>
        </w:rPr>
        <w:t>hibited by our policies and</w:t>
      </w:r>
      <w:r>
        <w:rPr>
          <w:rFonts w:ascii="Arial" w:cs="Arial" w:eastAsia="Arial" w:hAnsi="Arial"/>
          <w:sz w:val="16"/>
          <w:szCs w:val="16"/>
          <w:color w:val="231F20"/>
        </w:rPr>
        <w:t xml:space="preserve"> </w:t>
      </w:r>
      <w:r>
        <w:rPr>
          <w:rFonts w:ascii="Arial" w:cs="Arial" w:eastAsia="Arial" w:hAnsi="Arial"/>
          <w:sz w:val="16"/>
          <w:szCs w:val="16"/>
          <w:color w:val="000000"/>
        </w:rPr>
        <w:t>these laws and regulations. Any such violations could materially adversely affect our business.</w:t>
      </w:r>
    </w:p>
    <w:p>
      <w:pPr>
        <w:spacing w:after="0" w:line="105" w:lineRule="exact"/>
        <w:rPr>
          <w:sz w:val="20"/>
          <w:szCs w:val="20"/>
          <w:color w:val="auto"/>
        </w:rPr>
      </w:pPr>
    </w:p>
    <w:p>
      <w:pPr>
        <w:ind w:left="320" w:right="20"/>
        <w:spacing w:after="0" w:line="260" w:lineRule="auto"/>
        <w:rPr>
          <w:sz w:val="20"/>
          <w:szCs w:val="20"/>
          <w:color w:val="auto"/>
        </w:rPr>
      </w:pPr>
      <w:r>
        <w:rPr>
          <w:rFonts w:ascii="Arial" w:cs="Arial" w:eastAsia="Arial" w:hAnsi="Arial"/>
          <w:sz w:val="16"/>
          <w:szCs w:val="16"/>
          <w:i w:val="1"/>
          <w:iCs w:val="1"/>
          <w:color w:val="5B89B4"/>
        </w:rPr>
        <w:t>We may be exposed to legal claims, including employment-related claims that could materially adversely affect our business, financial condition and results of operations.</w:t>
      </w:r>
    </w:p>
    <w:p>
      <w:pPr>
        <w:spacing w:after="0" w:line="5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We are subject to a wide variety of potential litigation and other legal claims that arise in the ordinary course of our business. The results of litigation and other legal proceedings are inherently uncertain, and adverse judgments or settlements in some, or all of these legal disputes may result in materially adverse monetary damages, fines, penalties or injunctive relief against us.</w:t>
      </w:r>
    </w:p>
    <w:p>
      <w:pPr>
        <w:spacing w:after="0" w:line="6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For example, through our direct interaction with our clients’ businesses and facilities, including functions and systems that are sensitive or critical to their core businesses, we may be exposed to operational, regulatory, reputational and other risks specific to their business, including data security risks. These risks may be reduced through contractual provisions that limit damages or mitigate our responsibility for losses caused by our assigned workers; but these types of contractual protections are not always possible because we may perceive an important economic opportunity, because of the contracting practices of our industry competitors or because our personnel did not adequately follow our contracting guidelines. In addition, as we expand our services and solutions into new areas, we may be exposed to additional and evolving risks specific to these new areas.</w:t>
      </w:r>
    </w:p>
    <w:p>
      <w:pPr>
        <w:spacing w:after="0" w:line="6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We are in the business of employing people and placing them in the workplaces of other businesses. Risks relating to these activities could include possible claims of or relating to:</w:t>
      </w:r>
    </w:p>
    <w:p>
      <w:pPr>
        <w:spacing w:after="0" w:line="51" w:lineRule="exact"/>
        <w:rPr>
          <w:sz w:val="20"/>
          <w:szCs w:val="20"/>
          <w:color w:val="auto"/>
        </w:rPr>
      </w:pPr>
    </w:p>
    <w:p>
      <w:pPr>
        <w:ind w:left="520" w:hanging="315"/>
        <w:spacing w:after="0"/>
        <w:tabs>
          <w:tab w:leader="none" w:pos="520" w:val="left"/>
        </w:tabs>
        <w:numPr>
          <w:ilvl w:val="0"/>
          <w:numId w:val="18"/>
        </w:numPr>
        <w:rPr>
          <w:rFonts w:ascii="Times New Roman" w:cs="Times New Roman" w:eastAsia="Times New Roman" w:hAnsi="Times New Roman"/>
          <w:sz w:val="16"/>
          <w:szCs w:val="16"/>
          <w:color w:val="5B89B4"/>
        </w:rPr>
      </w:pPr>
      <w:r>
        <w:rPr>
          <w:rFonts w:ascii="Arial" w:cs="Arial" w:eastAsia="Arial" w:hAnsi="Arial"/>
          <w:sz w:val="16"/>
          <w:szCs w:val="16"/>
          <w:color w:val="231F20"/>
        </w:rPr>
        <w:t>discrimination or harassment;</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8"/>
        </w:numPr>
        <w:rPr>
          <w:rFonts w:ascii="Times New Roman" w:cs="Times New Roman" w:eastAsia="Times New Roman" w:hAnsi="Times New Roman"/>
          <w:sz w:val="16"/>
          <w:szCs w:val="16"/>
          <w:color w:val="5B89B4"/>
        </w:rPr>
      </w:pPr>
      <w:r>
        <w:rPr>
          <w:rFonts w:ascii="Arial" w:cs="Arial" w:eastAsia="Arial" w:hAnsi="Arial"/>
          <w:sz w:val="16"/>
          <w:szCs w:val="16"/>
          <w:color w:val="231F20"/>
        </w:rPr>
        <w:t>employee pay, including wage and hour requirements;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8"/>
        </w:numPr>
        <w:rPr>
          <w:rFonts w:ascii="Times New Roman" w:cs="Times New Roman" w:eastAsia="Times New Roman" w:hAnsi="Times New Roman"/>
          <w:sz w:val="16"/>
          <w:szCs w:val="16"/>
          <w:color w:val="5B89B4"/>
        </w:rPr>
      </w:pPr>
      <w:r>
        <w:rPr>
          <w:rFonts w:ascii="Arial" w:cs="Arial" w:eastAsia="Arial" w:hAnsi="Arial"/>
          <w:sz w:val="16"/>
          <w:szCs w:val="16"/>
          <w:color w:val="231F20"/>
        </w:rPr>
        <w:t>wrongful termination or retaliation;</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8"/>
        </w:numPr>
        <w:rPr>
          <w:rFonts w:ascii="Times New Roman" w:cs="Times New Roman" w:eastAsia="Times New Roman" w:hAnsi="Times New Roman"/>
          <w:sz w:val="16"/>
          <w:szCs w:val="16"/>
          <w:color w:val="5B89B4"/>
        </w:rPr>
      </w:pPr>
      <w:r>
        <w:rPr>
          <w:rFonts w:ascii="Arial" w:cs="Arial" w:eastAsia="Arial" w:hAnsi="Arial"/>
          <w:sz w:val="16"/>
          <w:szCs w:val="16"/>
          <w:color w:val="231F20"/>
        </w:rPr>
        <w:t>actions or inactions of our workers, including matters for which we may have to indemnify a client;</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8"/>
        </w:numPr>
        <w:rPr>
          <w:rFonts w:ascii="Times New Roman" w:cs="Times New Roman" w:eastAsia="Times New Roman" w:hAnsi="Times New Roman"/>
          <w:sz w:val="16"/>
          <w:szCs w:val="16"/>
          <w:color w:val="5B89B4"/>
        </w:rPr>
      </w:pPr>
      <w:r>
        <w:rPr>
          <w:rFonts w:ascii="Arial" w:cs="Arial" w:eastAsia="Arial" w:hAnsi="Arial"/>
          <w:sz w:val="16"/>
          <w:szCs w:val="16"/>
          <w:color w:val="231F20"/>
        </w:rPr>
        <w:t>laws governing employment screening and privacy;</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8"/>
        </w:numPr>
        <w:rPr>
          <w:rFonts w:ascii="Times New Roman" w:cs="Times New Roman" w:eastAsia="Times New Roman" w:hAnsi="Times New Roman"/>
          <w:sz w:val="16"/>
          <w:szCs w:val="16"/>
          <w:color w:val="5B89B4"/>
        </w:rPr>
      </w:pPr>
      <w:r>
        <w:rPr>
          <w:rFonts w:ascii="Arial" w:cs="Arial" w:eastAsia="Arial" w:hAnsi="Arial"/>
          <w:sz w:val="16"/>
          <w:szCs w:val="16"/>
          <w:color w:val="231F20"/>
        </w:rPr>
        <w:t>classification of workers as employees or independent contractors;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8"/>
        </w:numPr>
        <w:rPr>
          <w:rFonts w:ascii="Times New Roman" w:cs="Times New Roman" w:eastAsia="Times New Roman" w:hAnsi="Times New Roman"/>
          <w:sz w:val="16"/>
          <w:szCs w:val="16"/>
          <w:color w:val="5B89B4"/>
        </w:rPr>
      </w:pPr>
      <w:r>
        <w:rPr>
          <w:rFonts w:ascii="Arial" w:cs="Arial" w:eastAsia="Arial" w:hAnsi="Arial"/>
          <w:sz w:val="16"/>
          <w:szCs w:val="16"/>
          <w:color w:val="231F20"/>
        </w:rPr>
        <w:t>employee unionization and collective bargaining activity, which we have recently experienced with certain small employee groups;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8"/>
        </w:numPr>
        <w:rPr>
          <w:rFonts w:ascii="Times New Roman" w:cs="Times New Roman" w:eastAsia="Times New Roman" w:hAnsi="Times New Roman"/>
          <w:sz w:val="16"/>
          <w:szCs w:val="16"/>
          <w:color w:val="5B89B4"/>
        </w:rPr>
      </w:pPr>
      <w:r>
        <w:rPr>
          <w:rFonts w:ascii="Arial" w:cs="Arial" w:eastAsia="Arial" w:hAnsi="Arial"/>
          <w:sz w:val="16"/>
          <w:szCs w:val="16"/>
          <w:color w:val="231F20"/>
        </w:rPr>
        <w:t>employment of undocumented or illegal workers;</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8"/>
        </w:numPr>
        <w:rPr>
          <w:rFonts w:ascii="Times New Roman" w:cs="Times New Roman" w:eastAsia="Times New Roman" w:hAnsi="Times New Roman"/>
          <w:sz w:val="16"/>
          <w:szCs w:val="16"/>
          <w:color w:val="5B89B4"/>
        </w:rPr>
      </w:pPr>
      <w:r>
        <w:rPr>
          <w:rFonts w:ascii="Arial" w:cs="Arial" w:eastAsia="Arial" w:hAnsi="Arial"/>
          <w:sz w:val="16"/>
          <w:szCs w:val="16"/>
          <w:color w:val="231F20"/>
        </w:rPr>
        <w:t>issues relating to health and safety, including workers’ compensation;</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8"/>
        </w:numPr>
        <w:rPr>
          <w:rFonts w:ascii="Times New Roman" w:cs="Times New Roman" w:eastAsia="Times New Roman" w:hAnsi="Times New Roman"/>
          <w:sz w:val="16"/>
          <w:szCs w:val="16"/>
          <w:color w:val="5B89B4"/>
        </w:rPr>
      </w:pPr>
      <w:r>
        <w:rPr>
          <w:rFonts w:ascii="Arial" w:cs="Arial" w:eastAsia="Arial" w:hAnsi="Arial"/>
          <w:sz w:val="16"/>
          <w:szCs w:val="16"/>
          <w:color w:val="231F20"/>
        </w:rPr>
        <w:t>employee benefits, including leave and healthcare coverage;</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8"/>
        </w:numPr>
        <w:rPr>
          <w:rFonts w:ascii="Times New Roman" w:cs="Times New Roman" w:eastAsia="Times New Roman" w:hAnsi="Times New Roman"/>
          <w:sz w:val="16"/>
          <w:szCs w:val="16"/>
          <w:color w:val="5B89B4"/>
        </w:rPr>
      </w:pPr>
      <w:r>
        <w:rPr>
          <w:rFonts w:ascii="Arial" w:cs="Arial" w:eastAsia="Arial" w:hAnsi="Arial"/>
          <w:sz w:val="16"/>
          <w:szCs w:val="16"/>
          <w:color w:val="231F20"/>
        </w:rPr>
        <w:t>errors and omissions relating to the performance of professional roles such as IT professionals, accountants, engineers and the like; and</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8"/>
        </w:numPr>
        <w:rPr>
          <w:rFonts w:ascii="Times New Roman" w:cs="Times New Roman" w:eastAsia="Times New Roman" w:hAnsi="Times New Roman"/>
          <w:sz w:val="16"/>
          <w:szCs w:val="16"/>
          <w:color w:val="5B89B4"/>
        </w:rPr>
      </w:pPr>
      <w:r>
        <w:rPr>
          <w:rFonts w:ascii="Arial" w:cs="Arial" w:eastAsia="Arial" w:hAnsi="Arial"/>
          <w:sz w:val="16"/>
          <w:szCs w:val="16"/>
          <w:color w:val="231F20"/>
        </w:rPr>
        <w:t>our workers’ misuse of proprietary information, misappropriation of funds, other criminal activity or torts or other similar claims.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24" w:name="page25"/>
    <w:bookmarkEnd w:id="24"/>
    <w:p>
      <w:pPr>
        <w:ind w:left="1080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We may incur fines and other losses or negative publicity with respect to the above risks. In addition, some or all of these claims may give rise to litigation, which could be time-consuming to our management team and costly and could have a negative impact on our business regardless of the merits of the claim. For example, in the past, we have devoted considerable time and expense to resolve several California-based “wage and hour” claims that asserted deficiencies in our payroll practices, and we are often sued by plaintiffs in various other employment-related matters, including those seeking class action status in the US. It is likely we will continue to experience similar claims in the future, which may increase in number as a result of remote working assignments as well as increasing employment regulation at the state and local level.</w:t>
      </w:r>
    </w:p>
    <w:p>
      <w:pPr>
        <w:spacing w:after="0" w:line="6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Our business exposes us to competition law risk.</w:t>
      </w:r>
    </w:p>
    <w:p>
      <w:pPr>
        <w:spacing w:after="0" w:line="8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We are subject to antitrust and competition law in the United States, the European Union, and many other regions in which we operate. Some of our business models may carry a heightened risk of regulatory inquiry under relevant competition laws. Although we have put in place safeguards designed to maintain compliance with applicable competition laws, there can be no assurance these protections will be adequate. Competition law authorities have investigated our business practices in the past in France and in other countries, and there continues to be a risk of such inquiries in the future. There is no assurance we would successfully defend against any such regulatory inquiries, and they could consume substantial amounts of our financial and managerial resources, remain outstanding for a significant duration, and result in adverse publicity, even if successfully resolved. An unfavorable outcome could result in liabilities that have a material adverse effect upon our business, financial condition or results of operations.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6"/>
          <w:szCs w:val="16"/>
          <w:color w:val="5B89B4"/>
        </w:rPr>
        <w:t>Wisconsin law and our articles of incorporation and bylaws contain provisions that could make the takeover of our company more difficult.</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currently include:</w:t>
      </w:r>
    </w:p>
    <w:p>
      <w:pPr>
        <w:spacing w:after="0" w:line="51" w:lineRule="exact"/>
        <w:rPr>
          <w:sz w:val="20"/>
          <w:szCs w:val="20"/>
          <w:color w:val="auto"/>
        </w:rPr>
      </w:pPr>
    </w:p>
    <w:p>
      <w:pPr>
        <w:ind w:left="520" w:hanging="315"/>
        <w:spacing w:after="0"/>
        <w:tabs>
          <w:tab w:leader="none" w:pos="520" w:val="left"/>
        </w:tabs>
        <w:numPr>
          <w:ilvl w:val="0"/>
          <w:numId w:val="19"/>
        </w:numPr>
        <w:rPr>
          <w:rFonts w:ascii="Times New Roman" w:cs="Times New Roman" w:eastAsia="Times New Roman" w:hAnsi="Times New Roman"/>
          <w:sz w:val="16"/>
          <w:szCs w:val="16"/>
          <w:color w:val="5B89B4"/>
        </w:rPr>
      </w:pPr>
      <w:r>
        <w:rPr>
          <w:rFonts w:ascii="Arial" w:cs="Arial" w:eastAsia="Arial" w:hAnsi="Arial"/>
          <w:sz w:val="16"/>
          <w:szCs w:val="16"/>
          <w:color w:val="231F20"/>
        </w:rPr>
        <w:t>permitting removal of directors only for cause;</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9"/>
        </w:numPr>
        <w:rPr>
          <w:rFonts w:ascii="Times New Roman" w:cs="Times New Roman" w:eastAsia="Times New Roman" w:hAnsi="Times New Roman"/>
          <w:sz w:val="16"/>
          <w:szCs w:val="16"/>
          <w:color w:val="5B89B4"/>
        </w:rPr>
      </w:pPr>
      <w:r>
        <w:rPr>
          <w:rFonts w:ascii="Arial" w:cs="Arial" w:eastAsia="Arial" w:hAnsi="Arial"/>
          <w:sz w:val="16"/>
          <w:szCs w:val="16"/>
          <w:color w:val="231F20"/>
        </w:rPr>
        <w:t>providing that vacancies on the board of directors will be filled by the remaining directors then in office; and</w:t>
      </w:r>
    </w:p>
    <w:p>
      <w:pPr>
        <w:spacing w:after="0" w:line="99" w:lineRule="exact"/>
        <w:rPr>
          <w:rFonts w:ascii="Times New Roman" w:cs="Times New Roman" w:eastAsia="Times New Roman" w:hAnsi="Times New Roman"/>
          <w:sz w:val="16"/>
          <w:szCs w:val="16"/>
          <w:color w:val="5B89B4"/>
        </w:rPr>
      </w:pPr>
    </w:p>
    <w:p>
      <w:pPr>
        <w:ind w:left="520" w:hanging="315"/>
        <w:spacing w:after="0"/>
        <w:tabs>
          <w:tab w:leader="none" w:pos="520" w:val="left"/>
        </w:tabs>
        <w:numPr>
          <w:ilvl w:val="0"/>
          <w:numId w:val="19"/>
        </w:numPr>
        <w:rPr>
          <w:rFonts w:ascii="Times New Roman" w:cs="Times New Roman" w:eastAsia="Times New Roman" w:hAnsi="Times New Roman"/>
          <w:sz w:val="16"/>
          <w:szCs w:val="16"/>
          <w:color w:val="5B89B4"/>
        </w:rPr>
      </w:pPr>
      <w:r>
        <w:rPr>
          <w:rFonts w:ascii="Arial" w:cs="Arial" w:eastAsia="Arial" w:hAnsi="Arial"/>
          <w:sz w:val="16"/>
          <w:szCs w:val="16"/>
          <w:color w:val="231F20"/>
        </w:rPr>
        <w:t>requiring advance notice for shareholder proposals and director nominees.</w:t>
      </w:r>
    </w:p>
    <w:p>
      <w:pPr>
        <w:spacing w:after="0" w:line="99"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In addition, the Wisconsin control share acquisition statute and Wisconsin’s “fair price” and “business combination” provisions, in addition to other provisions of Wisconsin law, limit the ability of an acquiring person to engage in certain transactions or to exercise the full voting power of acquired shares under certain circumstances. As a result, offers to acquire us, which may represent a premium over the available market price of our common stock, may be withdrawn or otherwise fail to be realized. The provisions described above could cause our stock price to decline.</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231F20"/>
        </w:rPr>
        <w:t>Not applicable.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25" w:name="page26"/>
    <w:bookmarkEnd w:id="25"/>
    <w:p>
      <w:pPr>
        <w:ind w:left="6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Item 1C. Cybersecurity</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We have an enterprise-wide information security program designed to identify, protect, detect, and respond to and manage reasonably foreseeable cybersecurity risks and threats. To protect our information systems from cybersecurity threats, we use various security tools that help prevent, detect, escalate, investigate, and remediate identified risks and security incidents in a timely manner. We also maintain a third-party security program to identify, prioritize, assess, mitigate, and remediate third-party risks; however, we often rely on the third parties we use to implement security programs commensurate with their risk, and we cannot ensure in all circumstances that their efforts will be successful.</w:t>
      </w:r>
    </w:p>
    <w:p>
      <w:pPr>
        <w:spacing w:after="0" w:line="6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We regularly assess risks from cybersecurity and technology threats and monitor our information systems for potential vulnerabilities. We use a widely adopted risk quantification model to identify, measure and prioritize cybersecurity and technology risks and develop related security controls and safeguards. We conduct regular reviews and tests of our information security controls and leverage audits by our internal audit team, tabletop exercises, penetration and vulnerability testing, red team exercises, and other exercises to evaluate the effectiveness of our information security program and improve our security measures and planning. We also engage an independent industry recognized security service provider to conduct an annual red team assessment of our security controls, as well as third-party penetration testing of our information systems. The results of these assessments are reported to senior management and the Audit Committee of the Board of Directors.</w:t>
      </w:r>
    </w:p>
    <w:p>
      <w:pPr>
        <w:spacing w:after="0" w:line="7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231F20"/>
        </w:rPr>
        <w:t>Our systems periodically experience directed attacks intended to lead to interruptions and delays in our operations and the services we provide to clients as well as loss, misuse or theft of personal information (candidates, associates, vendors, clients and employees) and other data, confidential information or intellectual property, and we have experienced data exposures in the past. However, to date these incidents have not had a material impact on our services, information systems or business. Any significant disruption to our services or access to our systems could result in a loss of clients and adversely affect our business and results of operations. Further, a penetration of our information systems or a third-party’s information systems or other misappropriation or misuse of personal information could subject us to business, regulatory, litigation and reputation risk, which could have a negative effect on our business, financial condition, and results of operations. See Item 1A of Part I, “Risk Factors,” under the heading “We could incur liabilities or suffer reputational damage from a cyberattack or improper disclosure or loss of personal or confidential data, and our use of data is subject to complex and ever-changing privacy and cybersecurity legal requirements that could negatively impact our business or subject us to claims and/or fines for non-compliance,” which should be read in conjunction with the information above.</w:t>
      </w:r>
    </w:p>
    <w:p>
      <w:pPr>
        <w:spacing w:after="0" w:line="6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The Chief Information Security Officer (CISO) leads our global information security organization responsible for overseeing the Company’s information security program. Our CISO has over 30 years of industry experience, including serving in similar roles leading and overseeing cybersecurity programs at other public companies. Team members who support our information security program have relevant educational and industry experience, including holding similar positions at various technology companies. The global information security organization provides regular reports to senior management on various cybersecurity threats, assessments and findings.</w:t>
      </w:r>
    </w:p>
    <w:p>
      <w:pPr>
        <w:spacing w:after="0" w:line="6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The Audit Committee of the Board of Directors oversees our annual enterprise risk assessment, where we assess key risks within the company, including security and technology risks and cybersecurity threats. The Audit Committee of the Board of Directors oversees our cybersecurity risk and regularly receives reports from our CISO on various cybersecurity matters, including risk assessments, mitigation strategies, areas of emerging risks, incidents and industry trends, and other areas of importance.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Item 2. Properties</w:t>
      </w:r>
    </w:p>
    <w:p>
      <w:pPr>
        <w:spacing w:after="0" w:line="10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Item 3.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231F20"/>
        </w:rPr>
        <w:t>We are involved in litigation of a routine nature and various legal matters, which are being defended and handled in the ordinary course of business.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231F20"/>
        </w:rPr>
        <w:t>Not applicable.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26" w:name="page27"/>
    <w:bookmarkEnd w:id="26"/>
    <w:p>
      <w:pPr>
        <w:ind w:left="10800"/>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INFORMATION ABOUT OUR EXECUTIVE OFFICERS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(as of February 19, 2025)</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820" w:type="dxa"/>
            <w:vAlign w:val="bottom"/>
            <w:tcBorders>
              <w:top w:val="single" w:sz="8" w:color="auto"/>
              <w:bottom w:val="single" w:sz="8" w:color="auto"/>
            </w:tcBorders>
            <w:shd w:val="clear" w:color="auto" w:fill="98B0CD"/>
          </w:tcPr>
          <w:p>
            <w:pPr>
              <w:ind w:left="80"/>
              <w:spacing w:after="0"/>
              <w:rPr>
                <w:sz w:val="20"/>
                <w:szCs w:val="20"/>
                <w:color w:val="auto"/>
              </w:rPr>
            </w:pPr>
            <w:r>
              <w:rPr>
                <w:rFonts w:ascii="Arial" w:cs="Arial" w:eastAsia="Arial" w:hAnsi="Arial"/>
                <w:sz w:val="13"/>
                <w:szCs w:val="13"/>
                <w:b w:val="1"/>
                <w:bCs w:val="1"/>
                <w:color w:val="231F20"/>
              </w:rPr>
              <w:t>Name of Officer</w:t>
            </w:r>
          </w:p>
        </w:tc>
        <w:tc>
          <w:tcPr>
            <w:tcW w:w="8440" w:type="dxa"/>
            <w:vAlign w:val="bottom"/>
            <w:tcBorders>
              <w:top w:val="single" w:sz="8" w:color="auto"/>
              <w:bottom w:val="single" w:sz="8" w:color="auto"/>
            </w:tcBorders>
            <w:shd w:val="clear" w:color="auto" w:fill="98B0CD"/>
          </w:tcPr>
          <w:p>
            <w:pPr>
              <w:ind w:left="120"/>
              <w:spacing w:after="0"/>
              <w:rPr>
                <w:sz w:val="20"/>
                <w:szCs w:val="20"/>
                <w:color w:val="auto"/>
              </w:rPr>
            </w:pPr>
            <w:r>
              <w:rPr>
                <w:rFonts w:ascii="Arial" w:cs="Arial" w:eastAsia="Arial" w:hAnsi="Arial"/>
                <w:sz w:val="13"/>
                <w:szCs w:val="13"/>
                <w:b w:val="1"/>
                <w:bCs w:val="1"/>
                <w:color w:val="231F20"/>
              </w:rPr>
              <w:t>Office</w:t>
            </w:r>
          </w:p>
        </w:tc>
      </w:tr>
      <w:tr>
        <w:trPr>
          <w:trHeight w:val="187"/>
        </w:trPr>
        <w:tc>
          <w:tcPr>
            <w:tcW w:w="2820" w:type="dxa"/>
            <w:vAlign w:val="bottom"/>
            <w:shd w:val="clear" w:color="auto" w:fill="E1E6EF"/>
          </w:tcPr>
          <w:p>
            <w:pPr>
              <w:ind w:left="80"/>
              <w:spacing w:after="0"/>
              <w:rPr>
                <w:sz w:val="20"/>
                <w:szCs w:val="20"/>
                <w:color w:val="auto"/>
              </w:rPr>
            </w:pPr>
            <w:r>
              <w:rPr>
                <w:rFonts w:ascii="Arial" w:cs="Arial" w:eastAsia="Arial" w:hAnsi="Arial"/>
                <w:sz w:val="14"/>
                <w:szCs w:val="14"/>
                <w:color w:val="231F20"/>
              </w:rPr>
              <w:t>Jonas Prising</w:t>
            </w:r>
          </w:p>
        </w:tc>
        <w:tc>
          <w:tcPr>
            <w:tcW w:w="8440" w:type="dxa"/>
            <w:vAlign w:val="bottom"/>
            <w:shd w:val="clear" w:color="auto" w:fill="E1E6EF"/>
          </w:tcPr>
          <w:p>
            <w:pPr>
              <w:ind w:left="120"/>
              <w:spacing w:after="0"/>
              <w:rPr>
                <w:sz w:val="20"/>
                <w:szCs w:val="20"/>
                <w:color w:val="auto"/>
              </w:rPr>
            </w:pPr>
            <w:r>
              <w:rPr>
                <w:rFonts w:ascii="Arial" w:cs="Arial" w:eastAsia="Arial" w:hAnsi="Arial"/>
                <w:sz w:val="14"/>
                <w:szCs w:val="14"/>
                <w:color w:val="231F20"/>
              </w:rPr>
              <w:t>Chairman of ManpowerGroup since December 2015. Chief Executive Officer of ManpowerGroup since May 2014. ManpowerGroup</w:t>
            </w:r>
          </w:p>
        </w:tc>
      </w:tr>
      <w:tr>
        <w:trPr>
          <w:trHeight w:val="166"/>
        </w:trPr>
        <w:tc>
          <w:tcPr>
            <w:tcW w:w="2820" w:type="dxa"/>
            <w:vAlign w:val="bottom"/>
            <w:shd w:val="clear" w:color="auto" w:fill="E1E6EF"/>
          </w:tcPr>
          <w:p>
            <w:pPr>
              <w:ind w:left="80"/>
              <w:spacing w:after="0"/>
              <w:rPr>
                <w:sz w:val="20"/>
                <w:szCs w:val="20"/>
                <w:color w:val="auto"/>
              </w:rPr>
            </w:pPr>
            <w:r>
              <w:rPr>
                <w:rFonts w:ascii="Arial" w:cs="Arial" w:eastAsia="Arial" w:hAnsi="Arial"/>
                <w:sz w:val="14"/>
                <w:szCs w:val="14"/>
                <w:color w:val="231F20"/>
              </w:rPr>
              <w:t>Age 60</w:t>
            </w:r>
          </w:p>
        </w:tc>
        <w:tc>
          <w:tcPr>
            <w:tcW w:w="8440" w:type="dxa"/>
            <w:vAlign w:val="bottom"/>
            <w:shd w:val="clear" w:color="auto" w:fill="E1E6EF"/>
          </w:tcPr>
          <w:p>
            <w:pPr>
              <w:ind w:left="120"/>
              <w:spacing w:after="0"/>
              <w:rPr>
                <w:sz w:val="20"/>
                <w:szCs w:val="20"/>
                <w:color w:val="auto"/>
              </w:rPr>
            </w:pPr>
            <w:r>
              <w:rPr>
                <w:rFonts w:ascii="Arial" w:cs="Arial" w:eastAsia="Arial" w:hAnsi="Arial"/>
                <w:sz w:val="14"/>
                <w:szCs w:val="14"/>
                <w:color w:val="231F20"/>
              </w:rPr>
              <w:t>President from November 2012 to May 2014. Executive Vice President, President of ManpowerGroup - the Americas from January</w:t>
            </w:r>
          </w:p>
        </w:tc>
      </w:tr>
      <w:tr>
        <w:trPr>
          <w:trHeight w:val="166"/>
        </w:trPr>
        <w:tc>
          <w:tcPr>
            <w:tcW w:w="2820" w:type="dxa"/>
            <w:vAlign w:val="bottom"/>
            <w:shd w:val="clear" w:color="auto" w:fill="E1E6EF"/>
          </w:tcPr>
          <w:p>
            <w:pPr>
              <w:spacing w:after="0"/>
              <w:rPr>
                <w:sz w:val="14"/>
                <w:szCs w:val="14"/>
                <w:color w:val="auto"/>
              </w:rPr>
            </w:pPr>
          </w:p>
        </w:tc>
        <w:tc>
          <w:tcPr>
            <w:tcW w:w="8440" w:type="dxa"/>
            <w:vAlign w:val="bottom"/>
            <w:shd w:val="clear" w:color="auto" w:fill="E1E6EF"/>
          </w:tcPr>
          <w:p>
            <w:pPr>
              <w:ind w:left="120"/>
              <w:spacing w:after="0"/>
              <w:rPr>
                <w:sz w:val="20"/>
                <w:szCs w:val="20"/>
                <w:color w:val="auto"/>
              </w:rPr>
            </w:pPr>
            <w:r>
              <w:rPr>
                <w:rFonts w:ascii="Arial" w:cs="Arial" w:eastAsia="Arial" w:hAnsi="Arial"/>
                <w:sz w:val="14"/>
                <w:szCs w:val="14"/>
                <w:color w:val="231F20"/>
              </w:rPr>
              <w:t>2009 to October 2012. Executive Vice President, President – United States and Canadian Operations from January 2006 to</w:t>
            </w:r>
          </w:p>
        </w:tc>
      </w:tr>
      <w:tr>
        <w:trPr>
          <w:trHeight w:val="166"/>
        </w:trPr>
        <w:tc>
          <w:tcPr>
            <w:tcW w:w="2820" w:type="dxa"/>
            <w:vAlign w:val="bottom"/>
            <w:shd w:val="clear" w:color="auto" w:fill="E1E6EF"/>
          </w:tcPr>
          <w:p>
            <w:pPr>
              <w:spacing w:after="0"/>
              <w:rPr>
                <w:sz w:val="14"/>
                <w:szCs w:val="14"/>
                <w:color w:val="auto"/>
              </w:rPr>
            </w:pPr>
          </w:p>
        </w:tc>
        <w:tc>
          <w:tcPr>
            <w:tcW w:w="8440" w:type="dxa"/>
            <w:vAlign w:val="bottom"/>
            <w:shd w:val="clear" w:color="auto" w:fill="E1E6EF"/>
          </w:tcPr>
          <w:p>
            <w:pPr>
              <w:ind w:left="120"/>
              <w:spacing w:after="0"/>
              <w:rPr>
                <w:sz w:val="20"/>
                <w:szCs w:val="20"/>
                <w:color w:val="auto"/>
              </w:rPr>
            </w:pPr>
            <w:r>
              <w:rPr>
                <w:rFonts w:ascii="Arial" w:cs="Arial" w:eastAsia="Arial" w:hAnsi="Arial"/>
                <w:sz w:val="14"/>
                <w:szCs w:val="14"/>
                <w:color w:val="231F20"/>
              </w:rPr>
              <w:t>December 2008. A director of ManpowerGroup since May 2014. An employee of ManpowerGroup since May 1999. A director of</w:t>
            </w:r>
          </w:p>
        </w:tc>
      </w:tr>
      <w:tr>
        <w:trPr>
          <w:trHeight w:val="178"/>
        </w:trPr>
        <w:tc>
          <w:tcPr>
            <w:tcW w:w="2820" w:type="dxa"/>
            <w:vAlign w:val="bottom"/>
            <w:shd w:val="clear" w:color="auto" w:fill="E1E6EF"/>
          </w:tcPr>
          <w:p>
            <w:pPr>
              <w:spacing w:after="0"/>
              <w:rPr>
                <w:sz w:val="15"/>
                <w:szCs w:val="15"/>
                <w:color w:val="auto"/>
              </w:rPr>
            </w:pPr>
          </w:p>
        </w:tc>
        <w:tc>
          <w:tcPr>
            <w:tcW w:w="8440" w:type="dxa"/>
            <w:vAlign w:val="bottom"/>
            <w:shd w:val="clear" w:color="auto" w:fill="E1E6EF"/>
          </w:tcPr>
          <w:p>
            <w:pPr>
              <w:ind w:left="120"/>
              <w:spacing w:after="0"/>
              <w:rPr>
                <w:sz w:val="20"/>
                <w:szCs w:val="20"/>
                <w:color w:val="auto"/>
              </w:rPr>
            </w:pPr>
            <w:r>
              <w:rPr>
                <w:rFonts w:ascii="Arial" w:cs="Arial" w:eastAsia="Arial" w:hAnsi="Arial"/>
                <w:sz w:val="14"/>
                <w:szCs w:val="14"/>
                <w:color w:val="231F20"/>
              </w:rPr>
              <w:t>Kohl's Corporation since August 2015.</w:t>
            </w:r>
          </w:p>
        </w:tc>
      </w:tr>
      <w:tr>
        <w:trPr>
          <w:trHeight w:val="189"/>
        </w:trPr>
        <w:tc>
          <w:tcPr>
            <w:tcW w:w="2820" w:type="dxa"/>
            <w:vAlign w:val="bottom"/>
          </w:tcPr>
          <w:p>
            <w:pPr>
              <w:ind w:left="80"/>
              <w:spacing w:after="0"/>
              <w:rPr>
                <w:sz w:val="20"/>
                <w:szCs w:val="20"/>
                <w:color w:val="auto"/>
              </w:rPr>
            </w:pPr>
            <w:r>
              <w:rPr>
                <w:rFonts w:ascii="Arial" w:cs="Arial" w:eastAsia="Arial" w:hAnsi="Arial"/>
                <w:sz w:val="14"/>
                <w:szCs w:val="14"/>
                <w:color w:val="231F20"/>
              </w:rPr>
              <w:t>John T. McGinnis</w:t>
            </w:r>
          </w:p>
        </w:tc>
        <w:tc>
          <w:tcPr>
            <w:tcW w:w="8440" w:type="dxa"/>
            <w:vAlign w:val="bottom"/>
          </w:tcPr>
          <w:p>
            <w:pPr>
              <w:ind w:left="120"/>
              <w:spacing w:after="0"/>
              <w:rPr>
                <w:sz w:val="20"/>
                <w:szCs w:val="20"/>
                <w:color w:val="auto"/>
              </w:rPr>
            </w:pPr>
            <w:r>
              <w:rPr>
                <w:rFonts w:ascii="Arial" w:cs="Arial" w:eastAsia="Arial" w:hAnsi="Arial"/>
                <w:sz w:val="14"/>
                <w:szCs w:val="14"/>
                <w:color w:val="231F20"/>
              </w:rPr>
              <w:t>Executive Vice President, Chief Financial Officer of ManpowerGroup since February 2016. Global Controller of Morgan Stanley from</w:t>
            </w:r>
          </w:p>
        </w:tc>
      </w:tr>
      <w:tr>
        <w:trPr>
          <w:trHeight w:val="166"/>
        </w:trPr>
        <w:tc>
          <w:tcPr>
            <w:tcW w:w="2820" w:type="dxa"/>
            <w:vAlign w:val="bottom"/>
          </w:tcPr>
          <w:p>
            <w:pPr>
              <w:ind w:left="80"/>
              <w:spacing w:after="0"/>
              <w:rPr>
                <w:sz w:val="20"/>
                <w:szCs w:val="20"/>
                <w:color w:val="auto"/>
              </w:rPr>
            </w:pPr>
            <w:r>
              <w:rPr>
                <w:rFonts w:ascii="Arial" w:cs="Arial" w:eastAsia="Arial" w:hAnsi="Arial"/>
                <w:sz w:val="14"/>
                <w:szCs w:val="14"/>
                <w:color w:val="231F20"/>
              </w:rPr>
              <w:t>Age 58</w:t>
            </w:r>
          </w:p>
        </w:tc>
        <w:tc>
          <w:tcPr>
            <w:tcW w:w="8440" w:type="dxa"/>
            <w:vAlign w:val="bottom"/>
          </w:tcPr>
          <w:p>
            <w:pPr>
              <w:ind w:left="120"/>
              <w:spacing w:after="0"/>
              <w:rPr>
                <w:sz w:val="20"/>
                <w:szCs w:val="20"/>
                <w:color w:val="auto"/>
              </w:rPr>
            </w:pPr>
            <w:r>
              <w:rPr>
                <w:rFonts w:ascii="Arial" w:cs="Arial" w:eastAsia="Arial" w:hAnsi="Arial"/>
                <w:sz w:val="14"/>
                <w:szCs w:val="14"/>
                <w:color w:val="231F20"/>
              </w:rPr>
              <w:t>January 2014 to February 2016. Chief Financial Officer, HSBC North America from July 2012 to January 2014. Chief Financial</w:t>
            </w:r>
          </w:p>
        </w:tc>
      </w:tr>
      <w:tr>
        <w:trPr>
          <w:trHeight w:val="178"/>
        </w:trPr>
        <w:tc>
          <w:tcPr>
            <w:tcW w:w="2820" w:type="dxa"/>
            <w:vAlign w:val="bottom"/>
          </w:tcPr>
          <w:p>
            <w:pPr>
              <w:spacing w:after="0"/>
              <w:rPr>
                <w:sz w:val="15"/>
                <w:szCs w:val="15"/>
                <w:color w:val="auto"/>
              </w:rPr>
            </w:pPr>
          </w:p>
        </w:tc>
        <w:tc>
          <w:tcPr>
            <w:tcW w:w="8440" w:type="dxa"/>
            <w:vAlign w:val="bottom"/>
          </w:tcPr>
          <w:p>
            <w:pPr>
              <w:ind w:left="120"/>
              <w:spacing w:after="0"/>
              <w:rPr>
                <w:sz w:val="20"/>
                <w:szCs w:val="20"/>
                <w:color w:val="auto"/>
              </w:rPr>
            </w:pPr>
            <w:r>
              <w:rPr>
                <w:rFonts w:ascii="Arial" w:cs="Arial" w:eastAsia="Arial" w:hAnsi="Arial"/>
                <w:sz w:val="14"/>
                <w:szCs w:val="14"/>
                <w:color w:val="231F20"/>
              </w:rPr>
              <w:t>Officer, HSBC Bank USA from July 2010 to January 2014. An employee of ManpowerGroup since February 2016.</w:t>
            </w:r>
          </w:p>
        </w:tc>
      </w:tr>
      <w:tr>
        <w:trPr>
          <w:trHeight w:val="189"/>
        </w:trPr>
        <w:tc>
          <w:tcPr>
            <w:tcW w:w="2820" w:type="dxa"/>
            <w:vAlign w:val="bottom"/>
            <w:shd w:val="clear" w:color="auto" w:fill="E1E6EF"/>
          </w:tcPr>
          <w:p>
            <w:pPr>
              <w:ind w:left="80"/>
              <w:spacing w:after="0"/>
              <w:rPr>
                <w:sz w:val="20"/>
                <w:szCs w:val="20"/>
                <w:color w:val="auto"/>
              </w:rPr>
            </w:pPr>
            <w:r>
              <w:rPr>
                <w:rFonts w:ascii="Arial" w:cs="Arial" w:eastAsia="Arial" w:hAnsi="Arial"/>
                <w:sz w:val="14"/>
                <w:szCs w:val="14"/>
                <w:color w:val="231F20"/>
              </w:rPr>
              <w:t>Becky Frankiewicz</w:t>
            </w:r>
          </w:p>
        </w:tc>
        <w:tc>
          <w:tcPr>
            <w:tcW w:w="8440" w:type="dxa"/>
            <w:vAlign w:val="bottom"/>
            <w:shd w:val="clear" w:color="auto" w:fill="E1E6EF"/>
          </w:tcPr>
          <w:p>
            <w:pPr>
              <w:ind w:left="120"/>
              <w:spacing w:after="0"/>
              <w:rPr>
                <w:sz w:val="20"/>
                <w:szCs w:val="20"/>
                <w:color w:val="auto"/>
              </w:rPr>
            </w:pPr>
            <w:r>
              <w:rPr>
                <w:rFonts w:ascii="Arial" w:cs="Arial" w:eastAsia="Arial" w:hAnsi="Arial"/>
                <w:sz w:val="14"/>
                <w:szCs w:val="14"/>
                <w:color w:val="231F20"/>
              </w:rPr>
              <w:t>Regional President, North America and Chief Commercial Officer since June 2022. Regional President, North America from July</w:t>
            </w:r>
          </w:p>
        </w:tc>
      </w:tr>
      <w:tr>
        <w:trPr>
          <w:trHeight w:val="166"/>
        </w:trPr>
        <w:tc>
          <w:tcPr>
            <w:tcW w:w="2820" w:type="dxa"/>
            <w:vAlign w:val="bottom"/>
            <w:shd w:val="clear" w:color="auto" w:fill="E1E6EF"/>
          </w:tcPr>
          <w:p>
            <w:pPr>
              <w:ind w:left="80"/>
              <w:spacing w:after="0"/>
              <w:rPr>
                <w:sz w:val="20"/>
                <w:szCs w:val="20"/>
                <w:color w:val="auto"/>
              </w:rPr>
            </w:pPr>
            <w:r>
              <w:rPr>
                <w:rFonts w:ascii="Arial" w:cs="Arial" w:eastAsia="Arial" w:hAnsi="Arial"/>
                <w:sz w:val="14"/>
                <w:szCs w:val="14"/>
                <w:color w:val="231F20"/>
              </w:rPr>
              <w:t>Age 53</w:t>
            </w:r>
          </w:p>
        </w:tc>
        <w:tc>
          <w:tcPr>
            <w:tcW w:w="8440" w:type="dxa"/>
            <w:vAlign w:val="bottom"/>
            <w:shd w:val="clear" w:color="auto" w:fill="E1E6EF"/>
          </w:tcPr>
          <w:p>
            <w:pPr>
              <w:ind w:left="120"/>
              <w:spacing w:after="0"/>
              <w:rPr>
                <w:sz w:val="20"/>
                <w:szCs w:val="20"/>
                <w:color w:val="auto"/>
              </w:rPr>
            </w:pPr>
            <w:r>
              <w:rPr>
                <w:rFonts w:ascii="Arial" w:cs="Arial" w:eastAsia="Arial" w:hAnsi="Arial"/>
                <w:sz w:val="14"/>
                <w:szCs w:val="14"/>
                <w:color w:val="231F20"/>
              </w:rPr>
              <w:t>2017 to June 2022. General Manager Quaker Foods North America at PepsiCo from October 2014 to July 2017. An employee of</w:t>
            </w:r>
          </w:p>
        </w:tc>
      </w:tr>
      <w:tr>
        <w:trPr>
          <w:trHeight w:val="178"/>
        </w:trPr>
        <w:tc>
          <w:tcPr>
            <w:tcW w:w="2820" w:type="dxa"/>
            <w:vAlign w:val="bottom"/>
            <w:shd w:val="clear" w:color="auto" w:fill="E1E6EF"/>
          </w:tcPr>
          <w:p>
            <w:pPr>
              <w:spacing w:after="0"/>
              <w:rPr>
                <w:sz w:val="15"/>
                <w:szCs w:val="15"/>
                <w:color w:val="auto"/>
              </w:rPr>
            </w:pPr>
          </w:p>
        </w:tc>
        <w:tc>
          <w:tcPr>
            <w:tcW w:w="8440" w:type="dxa"/>
            <w:vAlign w:val="bottom"/>
            <w:shd w:val="clear" w:color="auto" w:fill="E1E6EF"/>
          </w:tcPr>
          <w:p>
            <w:pPr>
              <w:ind w:left="120"/>
              <w:spacing w:after="0"/>
              <w:rPr>
                <w:sz w:val="20"/>
                <w:szCs w:val="20"/>
                <w:color w:val="auto"/>
              </w:rPr>
            </w:pPr>
            <w:r>
              <w:rPr>
                <w:rFonts w:ascii="Arial" w:cs="Arial" w:eastAsia="Arial" w:hAnsi="Arial"/>
                <w:sz w:val="14"/>
                <w:szCs w:val="14"/>
                <w:color w:val="231F20"/>
              </w:rPr>
              <w:t>ManpowerGroup since July 2017. A director of Energizer Holdings, Inc. since January 2020.</w:t>
            </w:r>
          </w:p>
        </w:tc>
      </w:tr>
      <w:tr>
        <w:trPr>
          <w:trHeight w:val="189"/>
        </w:trPr>
        <w:tc>
          <w:tcPr>
            <w:tcW w:w="2820" w:type="dxa"/>
            <w:vAlign w:val="bottom"/>
          </w:tcPr>
          <w:p>
            <w:pPr>
              <w:ind w:left="80"/>
              <w:spacing w:after="0"/>
              <w:rPr>
                <w:sz w:val="20"/>
                <w:szCs w:val="20"/>
                <w:color w:val="auto"/>
              </w:rPr>
            </w:pPr>
            <w:r>
              <w:rPr>
                <w:rFonts w:ascii="Arial" w:cs="Arial" w:eastAsia="Arial" w:hAnsi="Arial"/>
                <w:sz w:val="14"/>
                <w:szCs w:val="14"/>
                <w:color w:val="231F20"/>
              </w:rPr>
              <w:t>Michelle S. Nettles</w:t>
            </w:r>
          </w:p>
        </w:tc>
        <w:tc>
          <w:tcPr>
            <w:tcW w:w="8440" w:type="dxa"/>
            <w:vAlign w:val="bottom"/>
          </w:tcPr>
          <w:p>
            <w:pPr>
              <w:ind w:left="120"/>
              <w:spacing w:after="0"/>
              <w:rPr>
                <w:sz w:val="20"/>
                <w:szCs w:val="20"/>
                <w:color w:val="auto"/>
              </w:rPr>
            </w:pPr>
            <w:r>
              <w:rPr>
                <w:rFonts w:ascii="Arial" w:cs="Arial" w:eastAsia="Arial" w:hAnsi="Arial"/>
                <w:sz w:val="14"/>
                <w:szCs w:val="14"/>
                <w:color w:val="231F20"/>
              </w:rPr>
              <w:t>Executive Vice President, Chief People and Legal Officer since January 2025. Executive Vice President, Chief People and Culture</w:t>
            </w:r>
          </w:p>
        </w:tc>
      </w:tr>
      <w:tr>
        <w:trPr>
          <w:trHeight w:val="166"/>
        </w:trPr>
        <w:tc>
          <w:tcPr>
            <w:tcW w:w="2820" w:type="dxa"/>
            <w:vAlign w:val="bottom"/>
          </w:tcPr>
          <w:p>
            <w:pPr>
              <w:ind w:left="80"/>
              <w:spacing w:after="0"/>
              <w:rPr>
                <w:sz w:val="20"/>
                <w:szCs w:val="20"/>
                <w:color w:val="auto"/>
              </w:rPr>
            </w:pPr>
            <w:r>
              <w:rPr>
                <w:rFonts w:ascii="Arial" w:cs="Arial" w:eastAsia="Arial" w:hAnsi="Arial"/>
                <w:sz w:val="14"/>
                <w:szCs w:val="14"/>
                <w:color w:val="231F20"/>
              </w:rPr>
              <w:t>Age 53</w:t>
            </w:r>
          </w:p>
        </w:tc>
        <w:tc>
          <w:tcPr>
            <w:tcW w:w="8440" w:type="dxa"/>
            <w:vAlign w:val="bottom"/>
          </w:tcPr>
          <w:p>
            <w:pPr>
              <w:ind w:left="120"/>
              <w:spacing w:after="0"/>
              <w:rPr>
                <w:sz w:val="20"/>
                <w:szCs w:val="20"/>
                <w:color w:val="auto"/>
              </w:rPr>
            </w:pPr>
            <w:r>
              <w:rPr>
                <w:rFonts w:ascii="Arial" w:cs="Arial" w:eastAsia="Arial" w:hAnsi="Arial"/>
                <w:sz w:val="14"/>
                <w:szCs w:val="14"/>
                <w:color w:val="231F20"/>
              </w:rPr>
              <w:t>Officer from May 2022 to December 2024. Senior Vice President, Chief People and Culture Office from July 2019 to May 2022.</w:t>
            </w:r>
          </w:p>
        </w:tc>
      </w:tr>
      <w:tr>
        <w:trPr>
          <w:trHeight w:val="166"/>
        </w:trPr>
        <w:tc>
          <w:tcPr>
            <w:tcW w:w="2820" w:type="dxa"/>
            <w:vAlign w:val="bottom"/>
          </w:tcPr>
          <w:p>
            <w:pPr>
              <w:spacing w:after="0"/>
              <w:rPr>
                <w:sz w:val="14"/>
                <w:szCs w:val="14"/>
                <w:color w:val="auto"/>
              </w:rPr>
            </w:pPr>
          </w:p>
        </w:tc>
        <w:tc>
          <w:tcPr>
            <w:tcW w:w="8440" w:type="dxa"/>
            <w:vAlign w:val="bottom"/>
          </w:tcPr>
          <w:p>
            <w:pPr>
              <w:ind w:left="120"/>
              <w:spacing w:after="0"/>
              <w:rPr>
                <w:sz w:val="20"/>
                <w:szCs w:val="20"/>
                <w:color w:val="auto"/>
              </w:rPr>
            </w:pPr>
            <w:r>
              <w:rPr>
                <w:rFonts w:ascii="Arial" w:cs="Arial" w:eastAsia="Arial" w:hAnsi="Arial"/>
                <w:sz w:val="14"/>
                <w:szCs w:val="14"/>
                <w:color w:val="231F20"/>
              </w:rPr>
              <w:t>Chief People and Diversity Officer of Molson Coors Brewing Company from October 2016 to July 2019. Chief Human Resources</w:t>
            </w:r>
          </w:p>
        </w:tc>
      </w:tr>
      <w:tr>
        <w:trPr>
          <w:trHeight w:val="166"/>
        </w:trPr>
        <w:tc>
          <w:tcPr>
            <w:tcW w:w="2820" w:type="dxa"/>
            <w:vAlign w:val="bottom"/>
          </w:tcPr>
          <w:p>
            <w:pPr>
              <w:spacing w:after="0"/>
              <w:rPr>
                <w:sz w:val="14"/>
                <w:szCs w:val="14"/>
                <w:color w:val="auto"/>
              </w:rPr>
            </w:pPr>
          </w:p>
        </w:tc>
        <w:tc>
          <w:tcPr>
            <w:tcW w:w="8440" w:type="dxa"/>
            <w:vAlign w:val="bottom"/>
          </w:tcPr>
          <w:p>
            <w:pPr>
              <w:ind w:left="120"/>
              <w:spacing w:after="0"/>
              <w:rPr>
                <w:sz w:val="20"/>
                <w:szCs w:val="20"/>
                <w:color w:val="auto"/>
              </w:rPr>
            </w:pPr>
            <w:r>
              <w:rPr>
                <w:rFonts w:ascii="Arial" w:cs="Arial" w:eastAsia="Arial" w:hAnsi="Arial"/>
                <w:sz w:val="14"/>
                <w:szCs w:val="14"/>
                <w:color w:val="231F20"/>
              </w:rPr>
              <w:t>Officer of MillerCoors from October 2014 to October 2016. Prior thereto, held other positions at MillerCoors since 2009. An</w:t>
            </w:r>
          </w:p>
        </w:tc>
      </w:tr>
      <w:tr>
        <w:trPr>
          <w:trHeight w:val="178"/>
        </w:trPr>
        <w:tc>
          <w:tcPr>
            <w:tcW w:w="2820" w:type="dxa"/>
            <w:vAlign w:val="bottom"/>
            <w:tcBorders>
              <w:bottom w:val="single" w:sz="8" w:color="auto"/>
            </w:tcBorders>
          </w:tcPr>
          <w:p>
            <w:pPr>
              <w:spacing w:after="0"/>
              <w:rPr>
                <w:sz w:val="15"/>
                <w:szCs w:val="15"/>
                <w:color w:val="auto"/>
              </w:rPr>
            </w:pPr>
          </w:p>
        </w:tc>
        <w:tc>
          <w:tcPr>
            <w:tcW w:w="84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231F20"/>
              </w:rPr>
              <w:t>employee of ManpowerGroup since July 2019. A director of RXO, Inc. since November 2022.</w:t>
            </w:r>
          </w:p>
        </w:tc>
      </w:tr>
      <w:tr>
        <w:trPr>
          <w:trHeight w:val="562"/>
        </w:trPr>
        <w:tc>
          <w:tcPr>
            <w:tcW w:w="2820" w:type="dxa"/>
            <w:vAlign w:val="bottom"/>
          </w:tcPr>
          <w:p>
            <w:pPr>
              <w:spacing w:after="0"/>
              <w:rPr>
                <w:sz w:val="24"/>
                <w:szCs w:val="24"/>
                <w:color w:val="auto"/>
              </w:rPr>
            </w:pPr>
          </w:p>
        </w:tc>
        <w:tc>
          <w:tcPr>
            <w:tcW w:w="8440" w:type="dxa"/>
            <w:vAlign w:val="bottom"/>
          </w:tcPr>
          <w:p>
            <w:pPr>
              <w:ind w:left="2720"/>
              <w:spacing w:after="0"/>
              <w:rPr>
                <w:sz w:val="20"/>
                <w:szCs w:val="20"/>
                <w:color w:val="auto"/>
              </w:rPr>
            </w:pPr>
            <w:r>
              <w:rPr>
                <w:rFonts w:ascii="Arial" w:cs="Arial" w:eastAsia="Arial" w:hAnsi="Arial"/>
                <w:sz w:val="16"/>
                <w:szCs w:val="16"/>
                <w:color w:val="auto"/>
              </w:rPr>
              <w:t>27</w:t>
            </w:r>
          </w:p>
        </w:tc>
      </w:tr>
      <w:tr>
        <w:trPr>
          <w:trHeight w:val="651"/>
        </w:trPr>
        <w:tc>
          <w:tcPr>
            <w:tcW w:w="282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27" w:name="page28"/>
    <w:bookmarkEnd w:id="27"/>
    <w:p>
      <w:pPr>
        <w:ind w:left="65"/>
        <w:spacing w:after="0"/>
        <w:rPr>
          <w:sz w:val="20"/>
          <w:szCs w:val="20"/>
          <w:color w:val="auto"/>
        </w:rPr>
      </w:pPr>
      <w:r>
        <w:rPr>
          <w:rFonts w:ascii="Arial" w:cs="Arial" w:eastAsia="Arial" w:hAnsi="Arial"/>
          <w:sz w:val="16"/>
          <w:szCs w:val="16"/>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74"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5B89B4"/>
        </w:rPr>
        <w:t>OTHER INFORMATION</w:t>
      </w:r>
    </w:p>
    <w:p>
      <w:pPr>
        <w:spacing w:after="0" w:line="108" w:lineRule="exact"/>
        <w:rPr>
          <w:sz w:val="20"/>
          <w:szCs w:val="20"/>
          <w:color w:val="auto"/>
        </w:rPr>
      </w:pPr>
    </w:p>
    <w:p>
      <w:pPr>
        <w:ind w:left="325"/>
        <w:spacing w:after="0"/>
        <w:rPr>
          <w:sz w:val="20"/>
          <w:szCs w:val="20"/>
          <w:color w:val="auto"/>
        </w:rPr>
      </w:pPr>
      <w:r>
        <w:rPr>
          <w:rFonts w:ascii="Arial" w:cs="Arial" w:eastAsia="Arial" w:hAnsi="Arial"/>
          <w:sz w:val="16"/>
          <w:szCs w:val="16"/>
          <w:u w:val="single" w:color="auto"/>
          <w:color w:val="5B89B4"/>
        </w:rPr>
        <w:t>Audit Committee Approval of Audit-Related and Non-Audit Services</w:t>
      </w:r>
    </w:p>
    <w:p>
      <w:pPr>
        <w:spacing w:after="0" w:line="88"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231F20"/>
        </w:rPr>
        <w:t>The Audit Committee of our Board of Directors has approved the following audit-related and non-audit services performed or to be performed for us by our independent registered public accounting firm, Deloitte &amp; Touche LLP and Affiliates, in 2024:</w:t>
      </w:r>
    </w:p>
    <w:p>
      <w:pPr>
        <w:spacing w:after="0" w:line="51" w:lineRule="exact"/>
        <w:rPr>
          <w:sz w:val="20"/>
          <w:szCs w:val="20"/>
          <w:color w:val="auto"/>
        </w:rPr>
      </w:pPr>
    </w:p>
    <w:p>
      <w:pPr>
        <w:jc w:val="both"/>
        <w:ind w:left="425" w:right="20" w:hanging="425"/>
        <w:spacing w:after="0" w:line="270" w:lineRule="auto"/>
        <w:tabs>
          <w:tab w:leader="none" w:pos="425" w:val="left"/>
        </w:tabs>
        <w:numPr>
          <w:ilvl w:val="0"/>
          <w:numId w:val="20"/>
        </w:numPr>
        <w:rPr>
          <w:rFonts w:ascii="Arial" w:cs="Arial" w:eastAsia="Arial" w:hAnsi="Arial"/>
          <w:sz w:val="15"/>
          <w:szCs w:val="15"/>
          <w:color w:val="231F20"/>
        </w:rPr>
      </w:pPr>
      <w:r>
        <w:rPr>
          <w:rFonts w:ascii="Arial" w:cs="Arial" w:eastAsia="Arial" w:hAnsi="Arial"/>
          <w:sz w:val="15"/>
          <w:szCs w:val="15"/>
          <w:color w:val="231F20"/>
        </w:rPr>
        <w:t>tax compliance services with respect to tax compliance review for international returns, preparation and/or review of tax returns, including sales and use tax, excise tax, income tax, local tax, property tax, and value added tax and consultation regarding appropriate handling of items on the United States and international tax returns, assistance with U.S. and non-U.S. tax audits and examinations and advise and assist with respect to transfer pricing matters;</w:t>
      </w:r>
    </w:p>
    <w:p>
      <w:pPr>
        <w:spacing w:after="0" w:line="44" w:lineRule="exact"/>
        <w:rPr>
          <w:rFonts w:ascii="Arial" w:cs="Arial" w:eastAsia="Arial" w:hAnsi="Arial"/>
          <w:sz w:val="15"/>
          <w:szCs w:val="15"/>
          <w:color w:val="231F20"/>
        </w:rPr>
      </w:pPr>
    </w:p>
    <w:p>
      <w:pPr>
        <w:ind w:left="425" w:right="20" w:hanging="425"/>
        <w:spacing w:after="0" w:line="260" w:lineRule="auto"/>
        <w:tabs>
          <w:tab w:leader="none" w:pos="425" w:val="left"/>
        </w:tabs>
        <w:numPr>
          <w:ilvl w:val="0"/>
          <w:numId w:val="20"/>
        </w:numPr>
        <w:rPr>
          <w:rFonts w:ascii="Arial" w:cs="Arial" w:eastAsia="Arial" w:hAnsi="Arial"/>
          <w:sz w:val="16"/>
          <w:szCs w:val="16"/>
          <w:color w:val="231F20"/>
        </w:rPr>
      </w:pPr>
      <w:r>
        <w:rPr>
          <w:rFonts w:ascii="Arial" w:cs="Arial" w:eastAsia="Arial" w:hAnsi="Arial"/>
          <w:sz w:val="16"/>
          <w:szCs w:val="16"/>
          <w:color w:val="231F20"/>
        </w:rPr>
        <w:t>tax consulting services with respect to U.S. federal, state, local and international tax research and consultation related to US tax reform and regulatory changes, U.S. foreign tax credit research and consultation and advice and assistance with respect to transfer pricing matters; and</w:t>
      </w:r>
    </w:p>
    <w:p>
      <w:pPr>
        <w:spacing w:after="0" w:line="50" w:lineRule="exact"/>
        <w:rPr>
          <w:rFonts w:ascii="Arial" w:cs="Arial" w:eastAsia="Arial" w:hAnsi="Arial"/>
          <w:sz w:val="16"/>
          <w:szCs w:val="16"/>
          <w:color w:val="231F20"/>
        </w:rPr>
      </w:pPr>
    </w:p>
    <w:p>
      <w:pPr>
        <w:jc w:val="both"/>
        <w:ind w:left="425" w:hanging="425"/>
        <w:spacing w:after="0" w:line="246" w:lineRule="auto"/>
        <w:tabs>
          <w:tab w:leader="none" w:pos="425" w:val="left"/>
        </w:tabs>
        <w:numPr>
          <w:ilvl w:val="0"/>
          <w:numId w:val="20"/>
        </w:numPr>
        <w:rPr>
          <w:rFonts w:ascii="Arial" w:cs="Arial" w:eastAsia="Arial" w:hAnsi="Arial"/>
          <w:sz w:val="16"/>
          <w:szCs w:val="16"/>
          <w:color w:val="231F20"/>
        </w:rPr>
      </w:pPr>
      <w:r>
        <w:rPr>
          <w:rFonts w:ascii="Arial" w:cs="Arial" w:eastAsia="Arial" w:hAnsi="Arial"/>
          <w:sz w:val="16"/>
          <w:szCs w:val="16"/>
          <w:color w:val="231F20"/>
        </w:rPr>
        <w:t>audit-related services with respect certifications and attestation reports related to certain financial and non-financial information for specific client requirements and government subsidies for certain of our foreign subsidiaries and sustainability advisory services related to advice and recommendations regarding management’s sustainability program.</w:t>
      </w:r>
    </w:p>
    <w:p>
      <w:pPr>
        <w:spacing w:after="0" w:line="15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28" w:name="page29"/>
    <w:bookmarkEnd w:id="28"/>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60" w:lineRule="exact"/>
        <w:rPr>
          <w:sz w:val="20"/>
          <w:szCs w:val="20"/>
          <w:color w:val="auto"/>
        </w:rPr>
      </w:pPr>
    </w:p>
    <w:p>
      <w:pPr>
        <w:ind w:left="5"/>
        <w:spacing w:after="0"/>
        <w:rPr>
          <w:sz w:val="20"/>
          <w:szCs w:val="20"/>
          <w:color w:val="auto"/>
        </w:rPr>
      </w:pPr>
      <w:r>
        <w:rPr>
          <w:rFonts w:ascii="Arial" w:cs="Arial" w:eastAsia="Arial" w:hAnsi="Arial"/>
          <w:sz w:val="36"/>
          <w:szCs w:val="36"/>
          <w:b w:val="1"/>
          <w:bCs w:val="1"/>
          <w:color w:val="5B89B4"/>
        </w:rPr>
        <w:t>PART II</w:t>
      </w:r>
    </w:p>
    <w:p>
      <w:pPr>
        <w:spacing w:after="0" w:line="109" w:lineRule="exact"/>
        <w:rPr>
          <w:sz w:val="20"/>
          <w:szCs w:val="20"/>
          <w:color w:val="auto"/>
        </w:rPr>
      </w:pPr>
    </w:p>
    <w:p>
      <w:pPr>
        <w:jc w:val="both"/>
        <w:ind w:left="5"/>
        <w:spacing w:after="0" w:line="294" w:lineRule="auto"/>
        <w:rPr>
          <w:sz w:val="20"/>
          <w:szCs w:val="20"/>
          <w:color w:val="auto"/>
        </w:rPr>
      </w:pPr>
      <w:r>
        <w:rPr>
          <w:rFonts w:ascii="Arial" w:cs="Arial" w:eastAsia="Arial" w:hAnsi="Arial"/>
          <w:sz w:val="22"/>
          <w:szCs w:val="22"/>
          <w:b w:val="1"/>
          <w:bCs w:val="1"/>
          <w:color w:val="5B89B4"/>
        </w:rPr>
        <w:t>Item 5. Market for Registrant’s Common Equity, Related Shareholder Matters and Issuer Purchases of Equity Securities</w:t>
      </w:r>
    </w:p>
    <w:p>
      <w:pPr>
        <w:spacing w:after="0" w:line="37"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u w:val="single" w:color="auto"/>
          <w:color w:val="5B89B4"/>
        </w:rPr>
        <w:t>Common Stock Listing and Trading</w:t>
      </w:r>
    </w:p>
    <w:p>
      <w:pPr>
        <w:spacing w:after="0" w:line="8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The Company's common stock is listed for trading on the New York Stock Exchange under the symbol MAN.</w:t>
      </w:r>
    </w:p>
    <w:p>
      <w:pPr>
        <w:spacing w:after="0" w:line="112"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u w:val="single" w:color="auto"/>
          <w:color w:val="5B89B4"/>
        </w:rPr>
        <w:t>Shareholders of Record</w:t>
      </w:r>
    </w:p>
    <w:p>
      <w:pPr>
        <w:spacing w:after="0" w:line="8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As of February 17, 2025, the Company's common stock was held by approximately 2,500 record holders.</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u w:val="single" w:color="auto"/>
          <w:color w:val="5B89B4"/>
        </w:rPr>
        <w:t>Dividend Policy</w:t>
      </w:r>
    </w:p>
    <w:p>
      <w:pPr>
        <w:spacing w:after="0" w:line="88"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231F20"/>
        </w:rPr>
        <w:t>While we currently expect that future semi-annual dividends will continue to be paid, our dividend policy is subject to review and change at the discretion of our Board of Directors and may depend upon, among other factors, earnings, financial condition, and other requirements.</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u w:val="single" w:color="auto"/>
          <w:color w:val="5B89B4"/>
        </w:rPr>
        <w:t>Issuer Purchases of Equity Securities</w:t>
      </w:r>
    </w:p>
    <w:p>
      <w:pPr>
        <w:spacing w:after="0" w:line="88"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231F20"/>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fourth quarter of 2024. As of December 31, 2024, there were 2.6 million shares remaining authorized for repurchase under the 2023 authorization.</w:t>
      </w:r>
    </w:p>
    <w:p>
      <w:pPr>
        <w:spacing w:after="0" w:line="72" w:lineRule="exact"/>
        <w:rPr>
          <w:sz w:val="20"/>
          <w:szCs w:val="20"/>
          <w:color w:val="auto"/>
        </w:rPr>
      </w:pPr>
    </w:p>
    <w:tbl>
      <w:tblPr>
        <w:tblLayout w:type="fixed"/>
        <w:tblInd w:w="5" w:type="dxa"/>
        <w:tblCellMar>
          <w:top w:w="0" w:type="dxa"/>
          <w:left w:w="0" w:type="dxa"/>
          <w:bottom w:w="0" w:type="dxa"/>
          <w:right w:w="0" w:type="dxa"/>
        </w:tblCellMar>
      </w:tblPr>
      <w:tr>
        <w:trPr>
          <w:trHeight w:val="146"/>
        </w:trPr>
        <w:tc>
          <w:tcPr>
            <w:tcW w:w="4080" w:type="dxa"/>
            <w:vAlign w:val="bottom"/>
            <w:tcBorders>
              <w:top w:val="single" w:sz="8" w:color="231F20"/>
            </w:tcBorders>
            <w:shd w:val="clear" w:color="auto" w:fill="98B0CF"/>
          </w:tcPr>
          <w:p>
            <w:pPr>
              <w:spacing w:after="0"/>
              <w:rPr>
                <w:sz w:val="12"/>
                <w:szCs w:val="12"/>
                <w:color w:val="auto"/>
              </w:rPr>
            </w:pPr>
          </w:p>
        </w:tc>
        <w:tc>
          <w:tcPr>
            <w:tcW w:w="120" w:type="dxa"/>
            <w:vAlign w:val="bottom"/>
            <w:tcBorders>
              <w:top w:val="single" w:sz="8" w:color="231F20"/>
            </w:tcBorders>
            <w:shd w:val="clear" w:color="auto" w:fill="98B0CF"/>
          </w:tcPr>
          <w:p>
            <w:pPr>
              <w:spacing w:after="0"/>
              <w:rPr>
                <w:sz w:val="12"/>
                <w:szCs w:val="12"/>
                <w:color w:val="auto"/>
              </w:rPr>
            </w:pPr>
          </w:p>
        </w:tc>
        <w:tc>
          <w:tcPr>
            <w:tcW w:w="1700" w:type="dxa"/>
            <w:vAlign w:val="bottom"/>
            <w:tcBorders>
              <w:top w:val="single" w:sz="8" w:color="231F20"/>
            </w:tcBorders>
            <w:shd w:val="clear" w:color="auto" w:fill="98B0CF"/>
          </w:tcPr>
          <w:p>
            <w:pPr>
              <w:spacing w:after="0"/>
              <w:rPr>
                <w:sz w:val="12"/>
                <w:szCs w:val="12"/>
                <w:color w:val="auto"/>
              </w:rPr>
            </w:pPr>
          </w:p>
        </w:tc>
        <w:tc>
          <w:tcPr>
            <w:tcW w:w="300" w:type="dxa"/>
            <w:vAlign w:val="bottom"/>
            <w:tcBorders>
              <w:top w:val="single" w:sz="8" w:color="231F20"/>
            </w:tcBorders>
            <w:shd w:val="clear" w:color="auto" w:fill="98B0CF"/>
          </w:tcPr>
          <w:p>
            <w:pPr>
              <w:spacing w:after="0"/>
              <w:rPr>
                <w:sz w:val="12"/>
                <w:szCs w:val="12"/>
                <w:color w:val="auto"/>
              </w:rPr>
            </w:pPr>
          </w:p>
        </w:tc>
        <w:tc>
          <w:tcPr>
            <w:tcW w:w="320" w:type="dxa"/>
            <w:vAlign w:val="bottom"/>
            <w:tcBorders>
              <w:top w:val="single" w:sz="8" w:color="231F20"/>
            </w:tcBorders>
            <w:shd w:val="clear" w:color="auto" w:fill="98B0CF"/>
          </w:tcPr>
          <w:p>
            <w:pPr>
              <w:spacing w:after="0"/>
              <w:rPr>
                <w:sz w:val="12"/>
                <w:szCs w:val="12"/>
                <w:color w:val="auto"/>
              </w:rPr>
            </w:pPr>
          </w:p>
        </w:tc>
        <w:tc>
          <w:tcPr>
            <w:tcW w:w="1160" w:type="dxa"/>
            <w:vAlign w:val="bottom"/>
            <w:tcBorders>
              <w:top w:val="single" w:sz="8" w:color="231F20"/>
            </w:tcBorders>
            <w:shd w:val="clear" w:color="auto" w:fill="98B0CF"/>
          </w:tcPr>
          <w:p>
            <w:pPr>
              <w:spacing w:after="0"/>
              <w:rPr>
                <w:sz w:val="12"/>
                <w:szCs w:val="12"/>
                <w:color w:val="auto"/>
              </w:rPr>
            </w:pPr>
          </w:p>
        </w:tc>
        <w:tc>
          <w:tcPr>
            <w:tcW w:w="1700" w:type="dxa"/>
            <w:vAlign w:val="bottom"/>
            <w:tcBorders>
              <w:top w:val="single" w:sz="8" w:color="231F20"/>
            </w:tcBorders>
            <w:shd w:val="clear" w:color="auto" w:fill="98B0CF"/>
          </w:tcPr>
          <w:p>
            <w:pPr>
              <w:jc w:val="center"/>
              <w:ind w:right="33"/>
              <w:spacing w:after="0" w:line="146" w:lineRule="exact"/>
              <w:rPr>
                <w:sz w:val="20"/>
                <w:szCs w:val="20"/>
                <w:color w:val="auto"/>
              </w:rPr>
            </w:pPr>
            <w:r>
              <w:rPr>
                <w:rFonts w:ascii="Arial" w:cs="Arial" w:eastAsia="Arial" w:hAnsi="Arial"/>
                <w:sz w:val="13"/>
                <w:szCs w:val="13"/>
                <w:b w:val="1"/>
                <w:bCs w:val="1"/>
                <w:color w:val="auto"/>
                <w:w w:val="97"/>
              </w:rPr>
              <w:t>Total number of</w:t>
            </w:r>
          </w:p>
        </w:tc>
        <w:tc>
          <w:tcPr>
            <w:tcW w:w="1880" w:type="dxa"/>
            <w:vAlign w:val="bottom"/>
            <w:tcBorders>
              <w:top w:val="single" w:sz="8" w:color="231F20"/>
            </w:tcBorders>
            <w:shd w:val="clear" w:color="auto" w:fill="98B0CF"/>
          </w:tcPr>
          <w:p>
            <w:pPr>
              <w:jc w:val="center"/>
              <w:spacing w:after="0" w:line="146" w:lineRule="exact"/>
              <w:rPr>
                <w:sz w:val="20"/>
                <w:szCs w:val="20"/>
                <w:color w:val="auto"/>
              </w:rPr>
            </w:pPr>
            <w:r>
              <w:rPr>
                <w:rFonts w:ascii="Arial" w:cs="Arial" w:eastAsia="Arial" w:hAnsi="Arial"/>
                <w:sz w:val="13"/>
                <w:szCs w:val="13"/>
                <w:b w:val="1"/>
                <w:bCs w:val="1"/>
                <w:color w:val="auto"/>
                <w:w w:val="97"/>
              </w:rPr>
              <w:t>Maximum number</w:t>
            </w:r>
          </w:p>
        </w:tc>
      </w:tr>
      <w:tr>
        <w:trPr>
          <w:trHeight w:val="142"/>
        </w:trPr>
        <w:tc>
          <w:tcPr>
            <w:tcW w:w="408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700" w:type="dxa"/>
            <w:vAlign w:val="bottom"/>
            <w:shd w:val="clear" w:color="auto" w:fill="98B0CF"/>
          </w:tcPr>
          <w:p>
            <w:pPr>
              <w:spacing w:after="0"/>
              <w:rPr>
                <w:sz w:val="12"/>
                <w:szCs w:val="12"/>
                <w:color w:val="auto"/>
              </w:rPr>
            </w:pPr>
          </w:p>
        </w:tc>
        <w:tc>
          <w:tcPr>
            <w:tcW w:w="300" w:type="dxa"/>
            <w:vAlign w:val="bottom"/>
            <w:shd w:val="clear" w:color="auto" w:fill="98B0CF"/>
          </w:tcPr>
          <w:p>
            <w:pPr>
              <w:spacing w:after="0"/>
              <w:rPr>
                <w:sz w:val="12"/>
                <w:szCs w:val="12"/>
                <w:color w:val="auto"/>
              </w:rPr>
            </w:pPr>
          </w:p>
        </w:tc>
        <w:tc>
          <w:tcPr>
            <w:tcW w:w="320" w:type="dxa"/>
            <w:vAlign w:val="bottom"/>
            <w:shd w:val="clear" w:color="auto" w:fill="98B0CF"/>
          </w:tcPr>
          <w:p>
            <w:pPr>
              <w:spacing w:after="0"/>
              <w:rPr>
                <w:sz w:val="12"/>
                <w:szCs w:val="12"/>
                <w:color w:val="auto"/>
              </w:rPr>
            </w:pPr>
          </w:p>
        </w:tc>
        <w:tc>
          <w:tcPr>
            <w:tcW w:w="1160" w:type="dxa"/>
            <w:vAlign w:val="bottom"/>
            <w:shd w:val="clear" w:color="auto" w:fill="98B0CF"/>
          </w:tcPr>
          <w:p>
            <w:pPr>
              <w:spacing w:after="0"/>
              <w:rPr>
                <w:sz w:val="12"/>
                <w:szCs w:val="12"/>
                <w:color w:val="auto"/>
              </w:rPr>
            </w:pPr>
          </w:p>
        </w:tc>
        <w:tc>
          <w:tcPr>
            <w:tcW w:w="1700" w:type="dxa"/>
            <w:vAlign w:val="bottom"/>
            <w:shd w:val="clear" w:color="auto" w:fill="98B0CF"/>
          </w:tcPr>
          <w:p>
            <w:pPr>
              <w:jc w:val="center"/>
              <w:ind w:right="33"/>
              <w:spacing w:after="0" w:line="142" w:lineRule="exact"/>
              <w:rPr>
                <w:sz w:val="20"/>
                <w:szCs w:val="20"/>
                <w:color w:val="auto"/>
              </w:rPr>
            </w:pPr>
            <w:r>
              <w:rPr>
                <w:rFonts w:ascii="Arial" w:cs="Arial" w:eastAsia="Arial" w:hAnsi="Arial"/>
                <w:sz w:val="13"/>
                <w:szCs w:val="13"/>
                <w:b w:val="1"/>
                <w:bCs w:val="1"/>
                <w:color w:val="auto"/>
                <w:w w:val="97"/>
              </w:rPr>
              <w:t>shares purchased</w:t>
            </w:r>
          </w:p>
        </w:tc>
        <w:tc>
          <w:tcPr>
            <w:tcW w:w="1880" w:type="dxa"/>
            <w:vAlign w:val="bottom"/>
            <w:shd w:val="clear" w:color="auto" w:fill="98B0CF"/>
          </w:tcPr>
          <w:p>
            <w:pPr>
              <w:jc w:val="center"/>
              <w:spacing w:after="0" w:line="142" w:lineRule="exact"/>
              <w:rPr>
                <w:sz w:val="20"/>
                <w:szCs w:val="20"/>
                <w:color w:val="auto"/>
              </w:rPr>
            </w:pPr>
            <w:r>
              <w:rPr>
                <w:rFonts w:ascii="Arial" w:cs="Arial" w:eastAsia="Arial" w:hAnsi="Arial"/>
                <w:sz w:val="13"/>
                <w:szCs w:val="13"/>
                <w:b w:val="1"/>
                <w:bCs w:val="1"/>
                <w:color w:val="auto"/>
                <w:w w:val="95"/>
              </w:rPr>
              <w:t>of shares that may</w:t>
            </w:r>
          </w:p>
        </w:tc>
      </w:tr>
      <w:tr>
        <w:trPr>
          <w:trHeight w:val="142"/>
        </w:trPr>
        <w:tc>
          <w:tcPr>
            <w:tcW w:w="408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700" w:type="dxa"/>
            <w:vAlign w:val="bottom"/>
            <w:shd w:val="clear" w:color="auto" w:fill="98B0CF"/>
          </w:tcPr>
          <w:p>
            <w:pPr>
              <w:spacing w:after="0"/>
              <w:rPr>
                <w:sz w:val="12"/>
                <w:szCs w:val="12"/>
                <w:color w:val="auto"/>
              </w:rPr>
            </w:pPr>
          </w:p>
        </w:tc>
        <w:tc>
          <w:tcPr>
            <w:tcW w:w="300" w:type="dxa"/>
            <w:vAlign w:val="bottom"/>
            <w:shd w:val="clear" w:color="auto" w:fill="98B0CF"/>
          </w:tcPr>
          <w:p>
            <w:pPr>
              <w:spacing w:after="0"/>
              <w:rPr>
                <w:sz w:val="12"/>
                <w:szCs w:val="12"/>
                <w:color w:val="auto"/>
              </w:rPr>
            </w:pPr>
          </w:p>
        </w:tc>
        <w:tc>
          <w:tcPr>
            <w:tcW w:w="320" w:type="dxa"/>
            <w:vAlign w:val="bottom"/>
            <w:shd w:val="clear" w:color="auto" w:fill="98B0CF"/>
          </w:tcPr>
          <w:p>
            <w:pPr>
              <w:spacing w:after="0"/>
              <w:rPr>
                <w:sz w:val="12"/>
                <w:szCs w:val="12"/>
                <w:color w:val="auto"/>
              </w:rPr>
            </w:pPr>
          </w:p>
        </w:tc>
        <w:tc>
          <w:tcPr>
            <w:tcW w:w="1160" w:type="dxa"/>
            <w:vAlign w:val="bottom"/>
            <w:shd w:val="clear" w:color="auto" w:fill="98B0CF"/>
          </w:tcPr>
          <w:p>
            <w:pPr>
              <w:jc w:val="center"/>
              <w:ind w:right="352"/>
              <w:spacing w:after="0" w:line="142" w:lineRule="exact"/>
              <w:rPr>
                <w:sz w:val="20"/>
                <w:szCs w:val="20"/>
                <w:color w:val="auto"/>
              </w:rPr>
            </w:pPr>
            <w:r>
              <w:rPr>
                <w:rFonts w:ascii="Arial" w:cs="Arial" w:eastAsia="Arial" w:hAnsi="Arial"/>
                <w:sz w:val="13"/>
                <w:szCs w:val="13"/>
                <w:b w:val="1"/>
                <w:bCs w:val="1"/>
                <w:color w:val="auto"/>
                <w:w w:val="97"/>
              </w:rPr>
              <w:t>Average</w:t>
            </w:r>
          </w:p>
        </w:tc>
        <w:tc>
          <w:tcPr>
            <w:tcW w:w="1700" w:type="dxa"/>
            <w:vAlign w:val="bottom"/>
            <w:shd w:val="clear" w:color="auto" w:fill="98B0CF"/>
          </w:tcPr>
          <w:p>
            <w:pPr>
              <w:jc w:val="center"/>
              <w:ind w:right="33"/>
              <w:spacing w:after="0" w:line="142" w:lineRule="exact"/>
              <w:rPr>
                <w:sz w:val="20"/>
                <w:szCs w:val="20"/>
                <w:color w:val="auto"/>
              </w:rPr>
            </w:pPr>
            <w:r>
              <w:rPr>
                <w:rFonts w:ascii="Arial" w:cs="Arial" w:eastAsia="Arial" w:hAnsi="Arial"/>
                <w:sz w:val="13"/>
                <w:szCs w:val="13"/>
                <w:b w:val="1"/>
                <w:bCs w:val="1"/>
                <w:color w:val="auto"/>
                <w:w w:val="97"/>
              </w:rPr>
              <w:t>as part of publicly</w:t>
            </w:r>
          </w:p>
        </w:tc>
        <w:tc>
          <w:tcPr>
            <w:tcW w:w="1880" w:type="dxa"/>
            <w:vAlign w:val="bottom"/>
            <w:shd w:val="clear" w:color="auto" w:fill="98B0CF"/>
          </w:tcPr>
          <w:p>
            <w:pPr>
              <w:jc w:val="center"/>
              <w:spacing w:after="0" w:line="142" w:lineRule="exact"/>
              <w:rPr>
                <w:sz w:val="20"/>
                <w:szCs w:val="20"/>
                <w:color w:val="auto"/>
              </w:rPr>
            </w:pPr>
            <w:r>
              <w:rPr>
                <w:rFonts w:ascii="Arial" w:cs="Arial" w:eastAsia="Arial" w:hAnsi="Arial"/>
                <w:sz w:val="13"/>
                <w:szCs w:val="13"/>
                <w:b w:val="1"/>
                <w:bCs w:val="1"/>
                <w:color w:val="auto"/>
                <w:w w:val="95"/>
              </w:rPr>
              <w:t>yet be purchased</w:t>
            </w:r>
          </w:p>
        </w:tc>
      </w:tr>
      <w:tr>
        <w:trPr>
          <w:trHeight w:val="142"/>
        </w:trPr>
        <w:tc>
          <w:tcPr>
            <w:tcW w:w="408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700" w:type="dxa"/>
            <w:vAlign w:val="bottom"/>
            <w:shd w:val="clear" w:color="auto" w:fill="98B0CF"/>
          </w:tcPr>
          <w:p>
            <w:pPr>
              <w:jc w:val="right"/>
              <w:ind w:right="373"/>
              <w:spacing w:after="0" w:line="142" w:lineRule="exact"/>
              <w:rPr>
                <w:sz w:val="20"/>
                <w:szCs w:val="20"/>
                <w:color w:val="auto"/>
              </w:rPr>
            </w:pPr>
            <w:r>
              <w:rPr>
                <w:rFonts w:ascii="Arial" w:cs="Arial" w:eastAsia="Arial" w:hAnsi="Arial"/>
                <w:sz w:val="13"/>
                <w:szCs w:val="13"/>
                <w:b w:val="1"/>
                <w:bCs w:val="1"/>
                <w:color w:val="auto"/>
              </w:rPr>
              <w:t>Total number of</w:t>
            </w:r>
          </w:p>
        </w:tc>
        <w:tc>
          <w:tcPr>
            <w:tcW w:w="300" w:type="dxa"/>
            <w:vAlign w:val="bottom"/>
            <w:shd w:val="clear" w:color="auto" w:fill="98B0CF"/>
          </w:tcPr>
          <w:p>
            <w:pPr>
              <w:spacing w:after="0"/>
              <w:rPr>
                <w:sz w:val="12"/>
                <w:szCs w:val="12"/>
                <w:color w:val="auto"/>
              </w:rPr>
            </w:pPr>
          </w:p>
        </w:tc>
        <w:tc>
          <w:tcPr>
            <w:tcW w:w="320" w:type="dxa"/>
            <w:vAlign w:val="bottom"/>
            <w:shd w:val="clear" w:color="auto" w:fill="98B0CF"/>
          </w:tcPr>
          <w:p>
            <w:pPr>
              <w:spacing w:after="0"/>
              <w:rPr>
                <w:sz w:val="12"/>
                <w:szCs w:val="12"/>
                <w:color w:val="auto"/>
              </w:rPr>
            </w:pPr>
          </w:p>
        </w:tc>
        <w:tc>
          <w:tcPr>
            <w:tcW w:w="1160" w:type="dxa"/>
            <w:vAlign w:val="bottom"/>
            <w:shd w:val="clear" w:color="auto" w:fill="98B0CF"/>
          </w:tcPr>
          <w:p>
            <w:pPr>
              <w:jc w:val="center"/>
              <w:ind w:right="332"/>
              <w:spacing w:after="0" w:line="142" w:lineRule="exact"/>
              <w:rPr>
                <w:sz w:val="20"/>
                <w:szCs w:val="20"/>
                <w:color w:val="auto"/>
              </w:rPr>
            </w:pPr>
            <w:r>
              <w:rPr>
                <w:rFonts w:ascii="Arial" w:cs="Arial" w:eastAsia="Arial" w:hAnsi="Arial"/>
                <w:sz w:val="13"/>
                <w:szCs w:val="13"/>
                <w:b w:val="1"/>
                <w:bCs w:val="1"/>
                <w:color w:val="auto"/>
                <w:w w:val="97"/>
              </w:rPr>
              <w:t>price paid</w:t>
            </w:r>
          </w:p>
        </w:tc>
        <w:tc>
          <w:tcPr>
            <w:tcW w:w="1700" w:type="dxa"/>
            <w:vAlign w:val="bottom"/>
            <w:shd w:val="clear" w:color="auto" w:fill="98B0CF"/>
          </w:tcPr>
          <w:p>
            <w:pPr>
              <w:jc w:val="center"/>
              <w:ind w:right="33"/>
              <w:spacing w:after="0" w:line="142" w:lineRule="exact"/>
              <w:rPr>
                <w:sz w:val="20"/>
                <w:szCs w:val="20"/>
                <w:color w:val="auto"/>
              </w:rPr>
            </w:pPr>
            <w:r>
              <w:rPr>
                <w:rFonts w:ascii="Arial" w:cs="Arial" w:eastAsia="Arial" w:hAnsi="Arial"/>
                <w:sz w:val="13"/>
                <w:szCs w:val="13"/>
                <w:b w:val="1"/>
                <w:bCs w:val="1"/>
                <w:color w:val="auto"/>
                <w:w w:val="96"/>
              </w:rPr>
              <w:t>announced plan or</w:t>
            </w:r>
          </w:p>
        </w:tc>
        <w:tc>
          <w:tcPr>
            <w:tcW w:w="1880" w:type="dxa"/>
            <w:vAlign w:val="bottom"/>
            <w:shd w:val="clear" w:color="auto" w:fill="98B0CF"/>
          </w:tcPr>
          <w:p>
            <w:pPr>
              <w:jc w:val="center"/>
              <w:spacing w:after="0" w:line="142" w:lineRule="exact"/>
              <w:rPr>
                <w:sz w:val="20"/>
                <w:szCs w:val="20"/>
                <w:color w:val="auto"/>
              </w:rPr>
            </w:pPr>
            <w:r>
              <w:rPr>
                <w:rFonts w:ascii="Arial" w:cs="Arial" w:eastAsia="Arial" w:hAnsi="Arial"/>
                <w:sz w:val="13"/>
                <w:szCs w:val="13"/>
                <w:b w:val="1"/>
                <w:bCs w:val="1"/>
                <w:color w:val="auto"/>
                <w:w w:val="96"/>
              </w:rPr>
              <w:t>under the plan or</w:t>
            </w:r>
          </w:p>
        </w:tc>
      </w:tr>
      <w:tr>
        <w:trPr>
          <w:trHeight w:val="156"/>
        </w:trPr>
        <w:tc>
          <w:tcPr>
            <w:tcW w:w="4080" w:type="dxa"/>
            <w:vAlign w:val="bottom"/>
            <w:tcBorders>
              <w:bottom w:val="single" w:sz="8" w:color="auto"/>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1700" w:type="dxa"/>
            <w:vAlign w:val="bottom"/>
            <w:tcBorders>
              <w:bottom w:val="single" w:sz="8" w:color="auto"/>
            </w:tcBorders>
            <w:shd w:val="clear" w:color="auto" w:fill="98B0CF"/>
          </w:tcPr>
          <w:p>
            <w:pPr>
              <w:jc w:val="right"/>
              <w:ind w:right="293"/>
              <w:spacing w:after="0"/>
              <w:rPr>
                <w:sz w:val="20"/>
                <w:szCs w:val="20"/>
                <w:color w:val="auto"/>
              </w:rPr>
            </w:pPr>
            <w:r>
              <w:rPr>
                <w:rFonts w:ascii="Arial" w:cs="Arial" w:eastAsia="Arial" w:hAnsi="Arial"/>
                <w:sz w:val="13"/>
                <w:szCs w:val="13"/>
                <w:b w:val="1"/>
                <w:bCs w:val="1"/>
                <w:color w:val="auto"/>
              </w:rPr>
              <w:t>shares purchased</w:t>
            </w:r>
          </w:p>
        </w:tc>
        <w:tc>
          <w:tcPr>
            <w:tcW w:w="300" w:type="dxa"/>
            <w:vAlign w:val="bottom"/>
            <w:tcBorders>
              <w:bottom w:val="single" w:sz="8" w:color="auto"/>
            </w:tcBorders>
            <w:shd w:val="clear" w:color="auto" w:fill="98B0CF"/>
          </w:tcPr>
          <w:p>
            <w:pPr>
              <w:spacing w:after="0"/>
              <w:rPr>
                <w:sz w:val="13"/>
                <w:szCs w:val="13"/>
                <w:color w:val="auto"/>
              </w:rPr>
            </w:pPr>
          </w:p>
        </w:tc>
        <w:tc>
          <w:tcPr>
            <w:tcW w:w="320" w:type="dxa"/>
            <w:vAlign w:val="bottom"/>
            <w:tcBorders>
              <w:bottom w:val="single" w:sz="8" w:color="auto"/>
            </w:tcBorders>
            <w:shd w:val="clear" w:color="auto" w:fill="98B0CF"/>
          </w:tcPr>
          <w:p>
            <w:pPr>
              <w:spacing w:after="0"/>
              <w:rPr>
                <w:sz w:val="13"/>
                <w:szCs w:val="13"/>
                <w:color w:val="auto"/>
              </w:rPr>
            </w:pPr>
          </w:p>
        </w:tc>
        <w:tc>
          <w:tcPr>
            <w:tcW w:w="1160" w:type="dxa"/>
            <w:vAlign w:val="bottom"/>
            <w:tcBorders>
              <w:bottom w:val="single" w:sz="8" w:color="auto"/>
            </w:tcBorders>
            <w:shd w:val="clear" w:color="auto" w:fill="98B0CF"/>
          </w:tcPr>
          <w:p>
            <w:pPr>
              <w:jc w:val="center"/>
              <w:ind w:right="332"/>
              <w:spacing w:after="0"/>
              <w:rPr>
                <w:sz w:val="20"/>
                <w:szCs w:val="20"/>
                <w:color w:val="auto"/>
              </w:rPr>
            </w:pPr>
            <w:r>
              <w:rPr>
                <w:rFonts w:ascii="Arial" w:cs="Arial" w:eastAsia="Arial" w:hAnsi="Arial"/>
                <w:sz w:val="13"/>
                <w:szCs w:val="13"/>
                <w:b w:val="1"/>
                <w:bCs w:val="1"/>
                <w:color w:val="auto"/>
                <w:w w:val="95"/>
              </w:rPr>
              <w:t>per share</w:t>
            </w:r>
          </w:p>
        </w:tc>
        <w:tc>
          <w:tcPr>
            <w:tcW w:w="1700" w:type="dxa"/>
            <w:vAlign w:val="bottom"/>
            <w:tcBorders>
              <w:bottom w:val="single" w:sz="8" w:color="auto"/>
            </w:tcBorders>
            <w:shd w:val="clear" w:color="auto" w:fill="98B0CF"/>
          </w:tcPr>
          <w:p>
            <w:pPr>
              <w:jc w:val="center"/>
              <w:ind w:right="53"/>
              <w:spacing w:after="0"/>
              <w:rPr>
                <w:sz w:val="20"/>
                <w:szCs w:val="20"/>
                <w:color w:val="auto"/>
              </w:rPr>
            </w:pPr>
            <w:r>
              <w:rPr>
                <w:rFonts w:ascii="Arial" w:cs="Arial" w:eastAsia="Arial" w:hAnsi="Arial"/>
                <w:sz w:val="13"/>
                <w:szCs w:val="13"/>
                <w:b w:val="1"/>
                <w:bCs w:val="1"/>
                <w:color w:val="auto"/>
                <w:w w:val="96"/>
              </w:rPr>
              <w:t>programs</w:t>
            </w:r>
          </w:p>
        </w:tc>
        <w:tc>
          <w:tcPr>
            <w:tcW w:w="1880" w:type="dxa"/>
            <w:vAlign w:val="bottom"/>
            <w:tcBorders>
              <w:bottom w:val="single" w:sz="8" w:color="auto"/>
            </w:tcBorders>
            <w:shd w:val="clear" w:color="auto" w:fill="98B0CF"/>
          </w:tcPr>
          <w:p>
            <w:pPr>
              <w:jc w:val="center"/>
              <w:spacing w:after="0"/>
              <w:rPr>
                <w:sz w:val="20"/>
                <w:szCs w:val="20"/>
                <w:color w:val="auto"/>
              </w:rPr>
            </w:pPr>
            <w:r>
              <w:rPr>
                <w:rFonts w:ascii="Arial" w:cs="Arial" w:eastAsia="Arial" w:hAnsi="Arial"/>
                <w:sz w:val="13"/>
                <w:szCs w:val="13"/>
                <w:b w:val="1"/>
                <w:bCs w:val="1"/>
                <w:color w:val="auto"/>
                <w:w w:val="96"/>
              </w:rPr>
              <w:t>programs</w:t>
            </w:r>
          </w:p>
        </w:tc>
      </w:tr>
      <w:tr>
        <w:trPr>
          <w:trHeight w:val="187"/>
        </w:trPr>
        <w:tc>
          <w:tcPr>
            <w:tcW w:w="4080" w:type="dxa"/>
            <w:vAlign w:val="bottom"/>
            <w:shd w:val="clear" w:color="auto" w:fill="E2E8F1"/>
          </w:tcPr>
          <w:p>
            <w:pPr>
              <w:ind w:left="80"/>
              <w:spacing w:after="0"/>
              <w:rPr>
                <w:sz w:val="20"/>
                <w:szCs w:val="20"/>
                <w:color w:val="auto"/>
              </w:rPr>
            </w:pPr>
            <w:r>
              <w:rPr>
                <w:rFonts w:ascii="Arial" w:cs="Arial" w:eastAsia="Arial" w:hAnsi="Arial"/>
                <w:sz w:val="14"/>
                <w:szCs w:val="14"/>
                <w:color w:val="auto"/>
              </w:rPr>
              <w:t>October 1 - 31, 2024</w:t>
            </w:r>
          </w:p>
        </w:tc>
        <w:tc>
          <w:tcPr>
            <w:tcW w:w="1820" w:type="dxa"/>
            <w:vAlign w:val="bottom"/>
            <w:gridSpan w:val="2"/>
            <w:shd w:val="clear" w:color="auto" w:fill="E2E8F1"/>
          </w:tcPr>
          <w:p>
            <w:pPr>
              <w:jc w:val="right"/>
              <w:ind w:right="53"/>
              <w:spacing w:after="0"/>
              <w:rPr>
                <w:sz w:val="20"/>
                <w:szCs w:val="20"/>
                <w:color w:val="auto"/>
              </w:rPr>
            </w:pPr>
            <w:r>
              <w:rPr>
                <w:rFonts w:ascii="Arial" w:cs="Arial" w:eastAsia="Arial" w:hAnsi="Arial"/>
                <w:sz w:val="14"/>
                <w:szCs w:val="14"/>
                <w:color w:val="auto"/>
              </w:rPr>
              <w:t>254,386</w:t>
            </w:r>
          </w:p>
        </w:tc>
        <w:tc>
          <w:tcPr>
            <w:tcW w:w="300" w:type="dxa"/>
            <w:vAlign w:val="bottom"/>
            <w:shd w:val="clear" w:color="auto" w:fill="E2E8F1"/>
          </w:tcPr>
          <w:p>
            <w:pPr>
              <w:ind w:left="20"/>
              <w:spacing w:after="0"/>
              <w:rPr>
                <w:sz w:val="20"/>
                <w:szCs w:val="20"/>
                <w:color w:val="auto"/>
              </w:rPr>
            </w:pPr>
            <w:r>
              <w:rPr>
                <w:rFonts w:ascii="Arial" w:cs="Arial" w:eastAsia="Arial" w:hAnsi="Arial"/>
                <w:sz w:val="10"/>
                <w:szCs w:val="10"/>
                <w:color w:val="auto"/>
              </w:rPr>
              <w:t>(a)</w:t>
            </w:r>
          </w:p>
        </w:tc>
        <w:tc>
          <w:tcPr>
            <w:tcW w:w="32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E2E8F1"/>
          </w:tcPr>
          <w:p>
            <w:pPr>
              <w:jc w:val="right"/>
              <w:ind w:right="172"/>
              <w:spacing w:after="0"/>
              <w:rPr>
                <w:sz w:val="20"/>
                <w:szCs w:val="20"/>
                <w:color w:val="auto"/>
              </w:rPr>
            </w:pPr>
            <w:r>
              <w:rPr>
                <w:rFonts w:ascii="Arial" w:cs="Arial" w:eastAsia="Arial" w:hAnsi="Arial"/>
                <w:sz w:val="14"/>
                <w:szCs w:val="14"/>
                <w:color w:val="auto"/>
              </w:rPr>
              <w:t>63.09</w:t>
            </w:r>
          </w:p>
        </w:tc>
        <w:tc>
          <w:tcPr>
            <w:tcW w:w="1700" w:type="dxa"/>
            <w:vAlign w:val="bottom"/>
            <w:shd w:val="clear" w:color="auto" w:fill="E2E8F1"/>
          </w:tcPr>
          <w:p>
            <w:pPr>
              <w:jc w:val="right"/>
              <w:ind w:right="53"/>
              <w:spacing w:after="0"/>
              <w:rPr>
                <w:sz w:val="20"/>
                <w:szCs w:val="20"/>
                <w:color w:val="auto"/>
              </w:rPr>
            </w:pPr>
            <w:r>
              <w:rPr>
                <w:rFonts w:ascii="Arial" w:cs="Arial" w:eastAsia="Arial" w:hAnsi="Arial"/>
                <w:sz w:val="14"/>
                <w:szCs w:val="14"/>
                <w:color w:val="auto"/>
              </w:rPr>
              <w:t>253,605</w:t>
            </w:r>
          </w:p>
        </w:tc>
        <w:tc>
          <w:tcPr>
            <w:tcW w:w="1880" w:type="dxa"/>
            <w:vAlign w:val="bottom"/>
            <w:shd w:val="clear" w:color="auto" w:fill="E2E8F1"/>
          </w:tcPr>
          <w:p>
            <w:pPr>
              <w:jc w:val="right"/>
              <w:ind w:right="73"/>
              <w:spacing w:after="0"/>
              <w:rPr>
                <w:sz w:val="20"/>
                <w:szCs w:val="20"/>
                <w:color w:val="auto"/>
              </w:rPr>
            </w:pPr>
            <w:r>
              <w:rPr>
                <w:rFonts w:ascii="Arial" w:cs="Arial" w:eastAsia="Arial" w:hAnsi="Arial"/>
                <w:sz w:val="14"/>
                <w:szCs w:val="14"/>
                <w:color w:val="auto"/>
              </w:rPr>
              <w:t>2,893,160</w:t>
            </w:r>
          </w:p>
        </w:tc>
      </w:tr>
      <w:tr>
        <w:trPr>
          <w:trHeight w:val="233"/>
        </w:trPr>
        <w:tc>
          <w:tcPr>
            <w:tcW w:w="4080" w:type="dxa"/>
            <w:vAlign w:val="bottom"/>
          </w:tcPr>
          <w:p>
            <w:pPr>
              <w:ind w:left="80"/>
              <w:spacing w:after="0"/>
              <w:rPr>
                <w:sz w:val="20"/>
                <w:szCs w:val="20"/>
                <w:color w:val="auto"/>
              </w:rPr>
            </w:pPr>
            <w:r>
              <w:rPr>
                <w:rFonts w:ascii="Arial" w:cs="Arial" w:eastAsia="Arial" w:hAnsi="Arial"/>
                <w:sz w:val="14"/>
                <w:szCs w:val="14"/>
                <w:color w:val="auto"/>
              </w:rPr>
              <w:t>November 1 - 30, 2024</w:t>
            </w:r>
          </w:p>
        </w:tc>
        <w:tc>
          <w:tcPr>
            <w:tcW w:w="1820" w:type="dxa"/>
            <w:vAlign w:val="bottom"/>
            <w:gridSpan w:val="2"/>
          </w:tcPr>
          <w:p>
            <w:pPr>
              <w:jc w:val="right"/>
              <w:ind w:right="53"/>
              <w:spacing w:after="0"/>
              <w:rPr>
                <w:sz w:val="20"/>
                <w:szCs w:val="20"/>
                <w:color w:val="auto"/>
              </w:rPr>
            </w:pPr>
            <w:r>
              <w:rPr>
                <w:rFonts w:ascii="Arial" w:cs="Arial" w:eastAsia="Arial" w:hAnsi="Arial"/>
                <w:sz w:val="14"/>
                <w:szCs w:val="14"/>
                <w:color w:val="auto"/>
              </w:rPr>
              <w:t>142,747</w:t>
            </w:r>
          </w:p>
        </w:tc>
        <w:tc>
          <w:tcPr>
            <w:tcW w:w="300" w:type="dxa"/>
            <w:vAlign w:val="bottom"/>
          </w:tcPr>
          <w:p>
            <w:pPr>
              <w:ind w:left="20"/>
              <w:spacing w:after="0"/>
              <w:rPr>
                <w:sz w:val="20"/>
                <w:szCs w:val="20"/>
                <w:color w:val="auto"/>
              </w:rPr>
            </w:pPr>
            <w:r>
              <w:rPr>
                <w:rFonts w:ascii="Arial" w:cs="Arial" w:eastAsia="Arial" w:hAnsi="Arial"/>
                <w:sz w:val="10"/>
                <w:szCs w:val="10"/>
                <w:color w:val="auto"/>
              </w:rPr>
              <w:t>(b)</w:t>
            </w:r>
          </w:p>
        </w:tc>
        <w:tc>
          <w:tcPr>
            <w:tcW w:w="320" w:type="dxa"/>
            <w:vAlign w:val="bottom"/>
          </w:tcPr>
          <w:p>
            <w:pPr>
              <w:spacing w:after="0"/>
              <w:rPr>
                <w:sz w:val="20"/>
                <w:szCs w:val="20"/>
                <w:color w:val="auto"/>
              </w:rPr>
            </w:pPr>
          </w:p>
        </w:tc>
        <w:tc>
          <w:tcPr>
            <w:tcW w:w="1160" w:type="dxa"/>
            <w:vAlign w:val="bottom"/>
          </w:tcPr>
          <w:p>
            <w:pPr>
              <w:jc w:val="right"/>
              <w:ind w:right="172"/>
              <w:spacing w:after="0"/>
              <w:rPr>
                <w:sz w:val="20"/>
                <w:szCs w:val="20"/>
                <w:color w:val="auto"/>
              </w:rPr>
            </w:pPr>
            <w:r>
              <w:rPr>
                <w:rFonts w:ascii="Arial" w:cs="Arial" w:eastAsia="Arial" w:hAnsi="Arial"/>
                <w:sz w:val="14"/>
                <w:szCs w:val="14"/>
                <w:color w:val="auto"/>
              </w:rPr>
              <w:t>63.56</w:t>
            </w:r>
          </w:p>
        </w:tc>
        <w:tc>
          <w:tcPr>
            <w:tcW w:w="1700" w:type="dxa"/>
            <w:vAlign w:val="bottom"/>
          </w:tcPr>
          <w:p>
            <w:pPr>
              <w:jc w:val="right"/>
              <w:ind w:right="53"/>
              <w:spacing w:after="0"/>
              <w:rPr>
                <w:sz w:val="20"/>
                <w:szCs w:val="20"/>
                <w:color w:val="auto"/>
              </w:rPr>
            </w:pPr>
            <w:r>
              <w:rPr>
                <w:rFonts w:ascii="Arial" w:cs="Arial" w:eastAsia="Arial" w:hAnsi="Arial"/>
                <w:sz w:val="14"/>
                <w:szCs w:val="14"/>
                <w:color w:val="auto"/>
              </w:rPr>
              <w:t>141,602</w:t>
            </w:r>
          </w:p>
        </w:tc>
        <w:tc>
          <w:tcPr>
            <w:tcW w:w="1880" w:type="dxa"/>
            <w:vAlign w:val="bottom"/>
          </w:tcPr>
          <w:p>
            <w:pPr>
              <w:jc w:val="right"/>
              <w:ind w:right="73"/>
              <w:spacing w:after="0"/>
              <w:rPr>
                <w:sz w:val="20"/>
                <w:szCs w:val="20"/>
                <w:color w:val="auto"/>
              </w:rPr>
            </w:pPr>
            <w:r>
              <w:rPr>
                <w:rFonts w:ascii="Arial" w:cs="Arial" w:eastAsia="Arial" w:hAnsi="Arial"/>
                <w:sz w:val="14"/>
                <w:szCs w:val="14"/>
                <w:color w:val="auto"/>
              </w:rPr>
              <w:t>2,751,558</w:t>
            </w:r>
          </w:p>
        </w:tc>
      </w:tr>
      <w:tr>
        <w:trPr>
          <w:trHeight w:val="39"/>
        </w:trPr>
        <w:tc>
          <w:tcPr>
            <w:tcW w:w="4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53"/>
        </w:trPr>
        <w:tc>
          <w:tcPr>
            <w:tcW w:w="4080" w:type="dxa"/>
            <w:vAlign w:val="bottom"/>
            <w:tcBorders>
              <w:bottom w:val="single" w:sz="8" w:color="E2E8F1"/>
            </w:tcBorders>
            <w:shd w:val="clear" w:color="auto" w:fill="E2E8F1"/>
          </w:tcPr>
          <w:p>
            <w:pPr>
              <w:ind w:left="80"/>
              <w:spacing w:after="0"/>
              <w:rPr>
                <w:sz w:val="20"/>
                <w:szCs w:val="20"/>
                <w:color w:val="auto"/>
              </w:rPr>
            </w:pPr>
            <w:r>
              <w:rPr>
                <w:rFonts w:ascii="Arial" w:cs="Arial" w:eastAsia="Arial" w:hAnsi="Arial"/>
                <w:sz w:val="14"/>
                <w:szCs w:val="14"/>
                <w:color w:val="auto"/>
              </w:rPr>
              <w:t>December 1 - 31, 2024</w:t>
            </w:r>
          </w:p>
        </w:tc>
        <w:tc>
          <w:tcPr>
            <w:tcW w:w="120" w:type="dxa"/>
            <w:vAlign w:val="bottom"/>
            <w:tcBorders>
              <w:bottom w:val="single" w:sz="8" w:color="E2E8F1"/>
            </w:tcBorders>
            <w:shd w:val="clear" w:color="auto" w:fill="E2E8F1"/>
          </w:tcPr>
          <w:p>
            <w:pPr>
              <w:spacing w:after="0"/>
              <w:rPr>
                <w:sz w:val="21"/>
                <w:szCs w:val="21"/>
                <w:color w:val="auto"/>
              </w:rPr>
            </w:pPr>
          </w:p>
        </w:tc>
        <w:tc>
          <w:tcPr>
            <w:tcW w:w="1700" w:type="dxa"/>
            <w:vAlign w:val="bottom"/>
            <w:tcBorders>
              <w:bottom w:val="single" w:sz="8" w:color="E2E8F1"/>
            </w:tcBorders>
            <w:shd w:val="clear" w:color="auto" w:fill="E2E8F1"/>
          </w:tcPr>
          <w:p>
            <w:pPr>
              <w:jc w:val="right"/>
              <w:ind w:right="53"/>
              <w:spacing w:after="0"/>
              <w:rPr>
                <w:sz w:val="20"/>
                <w:szCs w:val="20"/>
                <w:color w:val="auto"/>
              </w:rPr>
            </w:pPr>
            <w:r>
              <w:rPr>
                <w:rFonts w:ascii="Arial" w:cs="Arial" w:eastAsia="Arial" w:hAnsi="Arial"/>
                <w:sz w:val="14"/>
                <w:szCs w:val="14"/>
                <w:color w:val="auto"/>
              </w:rPr>
              <w:t>156,631</w:t>
            </w:r>
          </w:p>
        </w:tc>
        <w:tc>
          <w:tcPr>
            <w:tcW w:w="300" w:type="dxa"/>
            <w:vAlign w:val="bottom"/>
            <w:tcBorders>
              <w:bottom w:val="single" w:sz="8" w:color="E2E8F1"/>
            </w:tcBorders>
            <w:shd w:val="clear" w:color="auto" w:fill="E2E8F1"/>
          </w:tcPr>
          <w:p>
            <w:pPr>
              <w:spacing w:after="0"/>
              <w:rPr>
                <w:sz w:val="21"/>
                <w:szCs w:val="21"/>
                <w:color w:val="auto"/>
              </w:rPr>
            </w:pPr>
          </w:p>
        </w:tc>
        <w:tc>
          <w:tcPr>
            <w:tcW w:w="320" w:type="dxa"/>
            <w:vAlign w:val="bottom"/>
            <w:tcBorders>
              <w:bottom w:val="single" w:sz="8" w:color="E2E8F1"/>
            </w:tcBorders>
            <w:shd w:val="clear" w:color="auto" w:fill="E2E8F1"/>
          </w:tcPr>
          <w:p>
            <w:pPr>
              <w:spacing w:after="0"/>
              <w:rPr>
                <w:sz w:val="21"/>
                <w:szCs w:val="21"/>
                <w:color w:val="auto"/>
              </w:rPr>
            </w:pPr>
          </w:p>
        </w:tc>
        <w:tc>
          <w:tcPr>
            <w:tcW w:w="1160" w:type="dxa"/>
            <w:vAlign w:val="bottom"/>
            <w:tcBorders>
              <w:bottom w:val="single" w:sz="8" w:color="E2E8F1"/>
            </w:tcBorders>
            <w:shd w:val="clear" w:color="auto" w:fill="E2E8F1"/>
          </w:tcPr>
          <w:p>
            <w:pPr>
              <w:jc w:val="right"/>
              <w:ind w:right="172"/>
              <w:spacing w:after="0"/>
              <w:rPr>
                <w:sz w:val="20"/>
                <w:szCs w:val="20"/>
                <w:color w:val="auto"/>
              </w:rPr>
            </w:pPr>
            <w:r>
              <w:rPr>
                <w:rFonts w:ascii="Arial" w:cs="Arial" w:eastAsia="Arial" w:hAnsi="Arial"/>
                <w:sz w:val="14"/>
                <w:szCs w:val="14"/>
                <w:color w:val="auto"/>
              </w:rPr>
              <w:t>57.46</w:t>
            </w:r>
          </w:p>
        </w:tc>
        <w:tc>
          <w:tcPr>
            <w:tcW w:w="1700" w:type="dxa"/>
            <w:vAlign w:val="bottom"/>
            <w:tcBorders>
              <w:bottom w:val="single" w:sz="8" w:color="E2E8F1"/>
            </w:tcBorders>
            <w:shd w:val="clear" w:color="auto" w:fill="E2E8F1"/>
          </w:tcPr>
          <w:p>
            <w:pPr>
              <w:jc w:val="right"/>
              <w:ind w:right="53"/>
              <w:spacing w:after="0"/>
              <w:rPr>
                <w:sz w:val="20"/>
                <w:szCs w:val="20"/>
                <w:color w:val="auto"/>
              </w:rPr>
            </w:pPr>
            <w:r>
              <w:rPr>
                <w:rFonts w:ascii="Arial" w:cs="Arial" w:eastAsia="Arial" w:hAnsi="Arial"/>
                <w:sz w:val="14"/>
                <w:szCs w:val="14"/>
                <w:color w:val="auto"/>
              </w:rPr>
              <w:t>156,631</w:t>
            </w:r>
          </w:p>
        </w:tc>
        <w:tc>
          <w:tcPr>
            <w:tcW w:w="1880" w:type="dxa"/>
            <w:vAlign w:val="bottom"/>
            <w:tcBorders>
              <w:bottom w:val="single" w:sz="8" w:color="E2E8F1"/>
            </w:tcBorders>
            <w:shd w:val="clear" w:color="auto" w:fill="E2E8F1"/>
          </w:tcPr>
          <w:p>
            <w:pPr>
              <w:jc w:val="right"/>
              <w:ind w:right="73"/>
              <w:spacing w:after="0"/>
              <w:rPr>
                <w:sz w:val="20"/>
                <w:szCs w:val="20"/>
                <w:color w:val="auto"/>
              </w:rPr>
            </w:pPr>
            <w:r>
              <w:rPr>
                <w:rFonts w:ascii="Arial" w:cs="Arial" w:eastAsia="Arial" w:hAnsi="Arial"/>
                <w:sz w:val="14"/>
                <w:szCs w:val="14"/>
                <w:color w:val="auto"/>
              </w:rPr>
              <w:t>2,594,927</w:t>
            </w:r>
          </w:p>
        </w:tc>
      </w:tr>
      <w:tr>
        <w:trPr>
          <w:trHeight w:val="215"/>
        </w:trPr>
        <w:tc>
          <w:tcPr>
            <w:tcW w:w="4080" w:type="dxa"/>
            <w:vAlign w:val="bottom"/>
            <w:tcBorders>
              <w:top w:val="single" w:sz="8" w:color="E2E8F1"/>
            </w:tcBorders>
          </w:tcPr>
          <w:p>
            <w:pPr>
              <w:ind w:left="2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E2E8F1"/>
            </w:tcBorders>
          </w:tcPr>
          <w:p>
            <w:pPr>
              <w:spacing w:after="0"/>
              <w:rPr>
                <w:sz w:val="18"/>
                <w:szCs w:val="18"/>
                <w:color w:val="auto"/>
              </w:rPr>
            </w:pPr>
          </w:p>
        </w:tc>
        <w:tc>
          <w:tcPr>
            <w:tcW w:w="1700" w:type="dxa"/>
            <w:vAlign w:val="bottom"/>
            <w:tcBorders>
              <w:top w:val="single" w:sz="8" w:color="231F20"/>
              <w:bottom w:val="single" w:sz="8" w:color="231F20"/>
            </w:tcBorders>
          </w:tcPr>
          <w:p>
            <w:pPr>
              <w:jc w:val="right"/>
              <w:ind w:right="53"/>
              <w:spacing w:after="0"/>
              <w:rPr>
                <w:sz w:val="20"/>
                <w:szCs w:val="20"/>
                <w:color w:val="auto"/>
              </w:rPr>
            </w:pPr>
            <w:r>
              <w:rPr>
                <w:rFonts w:ascii="Arial" w:cs="Arial" w:eastAsia="Arial" w:hAnsi="Arial"/>
                <w:sz w:val="14"/>
                <w:szCs w:val="14"/>
                <w:color w:val="auto"/>
              </w:rPr>
              <w:t>553,764</w:t>
            </w:r>
          </w:p>
        </w:tc>
        <w:tc>
          <w:tcPr>
            <w:tcW w:w="300" w:type="dxa"/>
            <w:vAlign w:val="bottom"/>
            <w:tcBorders>
              <w:top w:val="single" w:sz="8" w:color="E2E8F1"/>
            </w:tcBorders>
          </w:tcPr>
          <w:p>
            <w:pPr>
              <w:spacing w:after="0"/>
              <w:rPr>
                <w:sz w:val="18"/>
                <w:szCs w:val="18"/>
                <w:color w:val="auto"/>
              </w:rPr>
            </w:pPr>
          </w:p>
        </w:tc>
        <w:tc>
          <w:tcPr>
            <w:tcW w:w="320" w:type="dxa"/>
            <w:vAlign w:val="bottom"/>
            <w:tcBorders>
              <w:top w:val="single" w:sz="8" w:color="E2E8F1"/>
            </w:tcBorders>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E2E8F1"/>
            </w:tcBorders>
          </w:tcPr>
          <w:p>
            <w:pPr>
              <w:jc w:val="right"/>
              <w:ind w:right="172"/>
              <w:spacing w:after="0"/>
              <w:rPr>
                <w:sz w:val="20"/>
                <w:szCs w:val="20"/>
                <w:color w:val="auto"/>
              </w:rPr>
            </w:pPr>
            <w:r>
              <w:rPr>
                <w:rFonts w:ascii="Arial" w:cs="Arial" w:eastAsia="Arial" w:hAnsi="Arial"/>
                <w:sz w:val="14"/>
                <w:szCs w:val="14"/>
                <w:color w:val="auto"/>
              </w:rPr>
              <w:t>61.61</w:t>
            </w:r>
          </w:p>
        </w:tc>
        <w:tc>
          <w:tcPr>
            <w:tcW w:w="1700" w:type="dxa"/>
            <w:vAlign w:val="bottom"/>
            <w:tcBorders>
              <w:top w:val="single" w:sz="8" w:color="231F20"/>
              <w:bottom w:val="single" w:sz="8" w:color="231F20"/>
            </w:tcBorders>
          </w:tcPr>
          <w:p>
            <w:pPr>
              <w:jc w:val="right"/>
              <w:ind w:right="53"/>
              <w:spacing w:after="0"/>
              <w:rPr>
                <w:sz w:val="20"/>
                <w:szCs w:val="20"/>
                <w:color w:val="auto"/>
              </w:rPr>
            </w:pPr>
            <w:r>
              <w:rPr>
                <w:rFonts w:ascii="Arial" w:cs="Arial" w:eastAsia="Arial" w:hAnsi="Arial"/>
                <w:sz w:val="14"/>
                <w:szCs w:val="14"/>
                <w:color w:val="auto"/>
              </w:rPr>
              <w:t>551,838</w:t>
            </w:r>
          </w:p>
        </w:tc>
        <w:tc>
          <w:tcPr>
            <w:tcW w:w="1880" w:type="dxa"/>
            <w:vAlign w:val="bottom"/>
            <w:tcBorders>
              <w:top w:val="single" w:sz="8" w:color="E2E8F1"/>
            </w:tcBorders>
          </w:tcPr>
          <w:p>
            <w:pPr>
              <w:jc w:val="right"/>
              <w:ind w:right="73"/>
              <w:spacing w:after="0"/>
              <w:rPr>
                <w:sz w:val="20"/>
                <w:szCs w:val="20"/>
                <w:color w:val="auto"/>
              </w:rPr>
            </w:pPr>
            <w:r>
              <w:rPr>
                <w:rFonts w:ascii="Arial" w:cs="Arial" w:eastAsia="Arial" w:hAnsi="Arial"/>
                <w:sz w:val="14"/>
                <w:szCs w:val="14"/>
                <w:color w:val="auto"/>
              </w:rPr>
              <w:t>2,594,927</w:t>
            </w: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Borders>
              <w:bottom w:val="single" w:sz="8" w:color="231F20"/>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-172085</wp:posOffset>
            </wp:positionV>
            <wp:extent cx="2705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0510" cy="762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-172085</wp:posOffset>
            </wp:positionV>
            <wp:extent cx="9017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0170" cy="7620"/>
                    </a:xfrm>
                    <a:prstGeom prst="rect">
                      <a:avLst/>
                    </a:prstGeom>
                    <a:noFill/>
                  </pic:spPr>
                </pic:pic>
              </a:graphicData>
            </a:graphic>
          </wp:anchor>
        </w:drawing>
      </w:r>
    </w:p>
    <w:p>
      <w:pPr>
        <w:spacing w:after="0" w:line="37" w:lineRule="exact"/>
        <w:rPr>
          <w:sz w:val="20"/>
          <w:szCs w:val="20"/>
          <w:color w:val="auto"/>
        </w:rPr>
      </w:pPr>
    </w:p>
    <w:p>
      <w:pPr>
        <w:ind w:left="325" w:hanging="325"/>
        <w:spacing w:after="0"/>
        <w:tabs>
          <w:tab w:leader="none" w:pos="325" w:val="left"/>
        </w:tabs>
        <w:numPr>
          <w:ilvl w:val="0"/>
          <w:numId w:val="21"/>
        </w:numPr>
        <w:rPr>
          <w:rFonts w:ascii="Arial" w:cs="Arial" w:eastAsia="Arial" w:hAnsi="Arial"/>
          <w:sz w:val="17"/>
          <w:szCs w:val="17"/>
          <w:color w:val="231F20"/>
          <w:vertAlign w:val="superscript"/>
        </w:rPr>
      </w:pPr>
      <w:r>
        <w:rPr>
          <w:rFonts w:ascii="Arial" w:cs="Arial" w:eastAsia="Arial" w:hAnsi="Arial"/>
          <w:sz w:val="13"/>
          <w:szCs w:val="13"/>
          <w:color w:val="231F20"/>
        </w:rPr>
        <w:t>Includes 781 shares of common stock withheld by ManpowerGroup to satisfy tax withholding obligations on shares acquired by certain officers in settlement of restricted stock.</w:t>
      </w:r>
    </w:p>
    <w:p>
      <w:pPr>
        <w:ind w:left="325" w:hanging="325"/>
        <w:spacing w:after="0" w:line="189" w:lineRule="auto"/>
        <w:tabs>
          <w:tab w:leader="none" w:pos="325" w:val="left"/>
        </w:tabs>
        <w:numPr>
          <w:ilvl w:val="0"/>
          <w:numId w:val="21"/>
        </w:numPr>
        <w:rPr>
          <w:rFonts w:ascii="Arial" w:cs="Arial" w:eastAsia="Arial" w:hAnsi="Arial"/>
          <w:sz w:val="17"/>
          <w:szCs w:val="17"/>
          <w:color w:val="231F20"/>
          <w:vertAlign w:val="superscript"/>
        </w:rPr>
      </w:pPr>
      <w:r>
        <w:rPr>
          <w:rFonts w:ascii="Arial" w:cs="Arial" w:eastAsia="Arial" w:hAnsi="Arial"/>
          <w:sz w:val="13"/>
          <w:szCs w:val="13"/>
          <w:color w:val="231F20"/>
        </w:rPr>
        <w:t>Includes 1,145 shares of common stock withheld by ManpowerGroup to satisfy tax withholding obligations on shares acquired by certain officers in settlement of restricted stock.</w:t>
      </w:r>
    </w:p>
    <w:p>
      <w:pPr>
        <w:spacing w:after="0" w:line="15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29" w:name="page30"/>
    <w:bookmarkEnd w:id="29"/>
    <w:p>
      <w:pPr>
        <w:ind w:left="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5B89B4"/>
        </w:rPr>
        <w:t>Performance Graph</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Set forth below is a graph for the periods ending December 31, 2019-2024 comparing the cumulative total shareholder return on our common stock with the cumulative total return of companies in the Standard &amp; Poor’s 400 Midcap Stock Index and the Standard &amp; Poor’s 1500 Human Resources and Employment Services Sub-Industry Index. We are included in the Standard &amp; Poor’s 1500 Human Resources and Employment Services Sub-Industry Index and we estimate that we constituted 1% of the total market capitalization of the companies included in the index. The graph assumes a $100 investment on December 31, 2019 in our common stock, the Standard &amp; Poor’s 400 Midcap Stock Index and the Standard &amp; Poor’s 1500 Human Resources and Employment Services Sub-Industry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60325</wp:posOffset>
            </wp:positionV>
            <wp:extent cx="4205605" cy="1704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05605" cy="170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Borders>
              <w:top w:val="single" w:sz="8" w:color="231F20"/>
              <w:bottom w:val="single" w:sz="8" w:color="auto"/>
            </w:tcBorders>
            <w:shd w:val="clear" w:color="auto" w:fill="98B0CF"/>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top w:val="single" w:sz="8" w:color="231F20"/>
              <w:bottom w:val="single" w:sz="8" w:color="auto"/>
            </w:tcBorders>
            <w:shd w:val="clear" w:color="auto" w:fill="98B0CF"/>
          </w:tcPr>
          <w:p>
            <w:pPr>
              <w:jc w:val="right"/>
              <w:ind w:right="16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231F20"/>
              <w:bottom w:val="single" w:sz="8" w:color="auto"/>
            </w:tcBorders>
            <w:shd w:val="clear" w:color="auto" w:fill="98B0CF"/>
          </w:tcPr>
          <w:p>
            <w:pPr>
              <w:spacing w:after="0"/>
              <w:rPr>
                <w:sz w:val="19"/>
                <w:szCs w:val="19"/>
                <w:color w:val="auto"/>
              </w:rPr>
            </w:pPr>
          </w:p>
        </w:tc>
        <w:tc>
          <w:tcPr>
            <w:tcW w:w="580" w:type="dxa"/>
            <w:vAlign w:val="bottom"/>
            <w:tcBorders>
              <w:top w:val="single" w:sz="8" w:color="231F20"/>
              <w:bottom w:val="single" w:sz="8" w:color="auto"/>
            </w:tcBorders>
            <w:shd w:val="clear" w:color="auto" w:fill="98B0CF"/>
          </w:tcPr>
          <w:p>
            <w:pPr>
              <w:jc w:val="right"/>
              <w:ind w:right="189"/>
              <w:spacing w:after="0"/>
              <w:rPr>
                <w:sz w:val="20"/>
                <w:szCs w:val="20"/>
                <w:color w:val="auto"/>
              </w:rPr>
            </w:pPr>
            <w:r>
              <w:rPr>
                <w:rFonts w:ascii="Arial" w:cs="Arial" w:eastAsia="Arial" w:hAnsi="Arial"/>
                <w:sz w:val="14"/>
                <w:szCs w:val="14"/>
                <w:b w:val="1"/>
                <w:bCs w:val="1"/>
                <w:color w:val="auto"/>
                <w:w w:val="96"/>
              </w:rPr>
              <w:t>2020</w:t>
            </w:r>
          </w:p>
        </w:tc>
        <w:tc>
          <w:tcPr>
            <w:tcW w:w="820" w:type="dxa"/>
            <w:vAlign w:val="bottom"/>
            <w:tcBorders>
              <w:top w:val="single" w:sz="8" w:color="231F20"/>
              <w:bottom w:val="single" w:sz="8" w:color="auto"/>
            </w:tcBorders>
            <w:shd w:val="clear" w:color="auto" w:fill="98B0CF"/>
          </w:tcPr>
          <w:p>
            <w:pPr>
              <w:jc w:val="right"/>
              <w:ind w:right="18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231F20"/>
              <w:bottom w:val="single" w:sz="8" w:color="auto"/>
            </w:tcBorders>
            <w:shd w:val="clear" w:color="auto" w:fill="98B0CF"/>
          </w:tcPr>
          <w:p>
            <w:pPr>
              <w:spacing w:after="0"/>
              <w:rPr>
                <w:sz w:val="19"/>
                <w:szCs w:val="19"/>
                <w:color w:val="auto"/>
              </w:rPr>
            </w:pPr>
          </w:p>
        </w:tc>
        <w:tc>
          <w:tcPr>
            <w:tcW w:w="600" w:type="dxa"/>
            <w:vAlign w:val="bottom"/>
            <w:tcBorders>
              <w:top w:val="single" w:sz="8" w:color="231F20"/>
              <w:bottom w:val="single" w:sz="8" w:color="auto"/>
            </w:tcBorders>
            <w:shd w:val="clear" w:color="auto" w:fill="98B0CF"/>
          </w:tcPr>
          <w:p>
            <w:pPr>
              <w:jc w:val="right"/>
              <w:ind w:right="18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231F20"/>
              <w:bottom w:val="single" w:sz="8" w:color="auto"/>
            </w:tcBorders>
            <w:shd w:val="clear" w:color="auto" w:fill="98B0CF"/>
          </w:tcPr>
          <w:p>
            <w:pPr>
              <w:spacing w:after="0"/>
              <w:rPr>
                <w:sz w:val="19"/>
                <w:szCs w:val="19"/>
                <w:color w:val="auto"/>
              </w:rPr>
            </w:pPr>
          </w:p>
        </w:tc>
        <w:tc>
          <w:tcPr>
            <w:tcW w:w="580" w:type="dxa"/>
            <w:vAlign w:val="bottom"/>
            <w:tcBorders>
              <w:top w:val="single" w:sz="8" w:color="231F20"/>
              <w:bottom w:val="single" w:sz="8" w:color="auto"/>
            </w:tcBorders>
            <w:shd w:val="clear" w:color="auto" w:fill="98B0CF"/>
          </w:tcPr>
          <w:p>
            <w:pPr>
              <w:jc w:val="right"/>
              <w:ind w:right="189"/>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Borders>
              <w:top w:val="single" w:sz="8" w:color="231F20"/>
              <w:bottom w:val="single" w:sz="8" w:color="auto"/>
            </w:tcBorders>
            <w:shd w:val="clear" w:color="auto" w:fill="98B0CF"/>
          </w:tcPr>
          <w:p>
            <w:pPr>
              <w:spacing w:after="0"/>
              <w:rPr>
                <w:sz w:val="19"/>
                <w:szCs w:val="19"/>
                <w:color w:val="auto"/>
              </w:rPr>
            </w:pPr>
          </w:p>
        </w:tc>
        <w:tc>
          <w:tcPr>
            <w:tcW w:w="600" w:type="dxa"/>
            <w:vAlign w:val="bottom"/>
            <w:tcBorders>
              <w:top w:val="single" w:sz="8" w:color="231F20"/>
              <w:bottom w:val="single" w:sz="8" w:color="auto"/>
            </w:tcBorders>
            <w:shd w:val="clear" w:color="auto" w:fill="98B0CF"/>
          </w:tcPr>
          <w:p>
            <w:pPr>
              <w:jc w:val="right"/>
              <w:ind w:right="189"/>
              <w:spacing w:after="0"/>
              <w:rPr>
                <w:sz w:val="20"/>
                <w:szCs w:val="20"/>
                <w:color w:val="auto"/>
              </w:rPr>
            </w:pPr>
            <w:r>
              <w:rPr>
                <w:rFonts w:ascii="Arial" w:cs="Arial" w:eastAsia="Arial" w:hAnsi="Arial"/>
                <w:sz w:val="14"/>
                <w:szCs w:val="14"/>
                <w:b w:val="1"/>
                <w:bCs w:val="1"/>
                <w:color w:val="auto"/>
              </w:rPr>
              <w:t>2024</w:t>
            </w:r>
          </w:p>
        </w:tc>
      </w:tr>
      <w:tr>
        <w:trPr>
          <w:trHeight w:val="166"/>
        </w:trPr>
        <w:tc>
          <w:tcPr>
            <w:tcW w:w="6280" w:type="dxa"/>
            <w:vAlign w:val="bottom"/>
            <w:shd w:val="clear" w:color="auto" w:fill="E2E8F1"/>
          </w:tcPr>
          <w:p>
            <w:pPr>
              <w:ind w:left="80"/>
              <w:spacing w:after="0"/>
              <w:rPr>
                <w:sz w:val="20"/>
                <w:szCs w:val="20"/>
                <w:color w:val="auto"/>
              </w:rPr>
            </w:pPr>
            <w:r>
              <w:rPr>
                <w:rFonts w:ascii="Arial" w:cs="Arial" w:eastAsia="Arial" w:hAnsi="Arial"/>
                <w:sz w:val="14"/>
                <w:szCs w:val="14"/>
                <w:color w:val="auto"/>
              </w:rPr>
              <w:t>ManpowerGroup</w:t>
            </w:r>
          </w:p>
        </w:tc>
        <w:tc>
          <w:tcPr>
            <w:tcW w:w="8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auto"/>
              </w:rPr>
              <w:t>$   100</w:t>
            </w:r>
          </w:p>
        </w:tc>
        <w:tc>
          <w:tcPr>
            <w:tcW w:w="2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auto"/>
              </w:rPr>
              <w:t>93</w:t>
            </w:r>
          </w:p>
        </w:tc>
        <w:tc>
          <w:tcPr>
            <w:tcW w:w="82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auto"/>
              </w:rPr>
              <w:t>$   100</w:t>
            </w:r>
          </w:p>
        </w:tc>
        <w:tc>
          <w:tcPr>
            <w:tcW w:w="2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auto"/>
              </w:rPr>
              <w:t>86</w:t>
            </w:r>
          </w:p>
        </w:tc>
        <w:tc>
          <w:tcPr>
            <w:tcW w:w="2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auto"/>
              </w:rPr>
              <w:t>82</w:t>
            </w:r>
          </w:p>
        </w:tc>
        <w:tc>
          <w:tcPr>
            <w:tcW w:w="2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auto"/>
              </w:rPr>
              <w:t>59</w:t>
            </w:r>
          </w:p>
        </w:tc>
      </w:tr>
      <w:tr>
        <w:trPr>
          <w:trHeight w:val="166"/>
        </w:trPr>
        <w:tc>
          <w:tcPr>
            <w:tcW w:w="6280" w:type="dxa"/>
            <w:vAlign w:val="bottom"/>
          </w:tcPr>
          <w:p>
            <w:pPr>
              <w:ind w:left="80"/>
              <w:spacing w:after="0"/>
              <w:rPr>
                <w:sz w:val="20"/>
                <w:szCs w:val="20"/>
                <w:color w:val="auto"/>
              </w:rPr>
            </w:pPr>
            <w:r>
              <w:rPr>
                <w:rFonts w:ascii="Arial" w:cs="Arial" w:eastAsia="Arial" w:hAnsi="Arial"/>
                <w:sz w:val="14"/>
                <w:szCs w:val="14"/>
                <w:color w:val="auto"/>
              </w:rPr>
              <w:t>S&amp;P 400 Midcap Stock Index</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14"/>
                <w:szCs w:val="14"/>
                <w:color w:val="auto"/>
              </w:rPr>
            </w:pP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112</w:t>
            </w: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138</w:t>
            </w:r>
          </w:p>
        </w:tc>
        <w:tc>
          <w:tcPr>
            <w:tcW w:w="240" w:type="dxa"/>
            <w:vAlign w:val="bottom"/>
          </w:tcPr>
          <w:p>
            <w:pPr>
              <w:spacing w:after="0"/>
              <w:rPr>
                <w:sz w:val="14"/>
                <w:szCs w:val="14"/>
                <w:color w:val="auto"/>
              </w:rPr>
            </w:pPr>
          </w:p>
        </w:tc>
        <w:tc>
          <w:tcPr>
            <w:tcW w:w="600" w:type="dxa"/>
            <w:vAlign w:val="bottom"/>
          </w:tcPr>
          <w:p>
            <w:pPr>
              <w:jc w:val="right"/>
              <w:ind w:right="89"/>
              <w:spacing w:after="0"/>
              <w:rPr>
                <w:sz w:val="20"/>
                <w:szCs w:val="20"/>
                <w:color w:val="auto"/>
              </w:rPr>
            </w:pPr>
            <w:r>
              <w:rPr>
                <w:rFonts w:ascii="Arial" w:cs="Arial" w:eastAsia="Arial" w:hAnsi="Arial"/>
                <w:sz w:val="14"/>
                <w:szCs w:val="14"/>
                <w:color w:val="auto"/>
              </w:rPr>
              <w:t>118</w:t>
            </w:r>
          </w:p>
        </w:tc>
        <w:tc>
          <w:tcPr>
            <w:tcW w:w="240" w:type="dxa"/>
            <w:vAlign w:val="bottom"/>
          </w:tcPr>
          <w:p>
            <w:pPr>
              <w:spacing w:after="0"/>
              <w:rPr>
                <w:sz w:val="14"/>
                <w:szCs w:val="14"/>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135</w:t>
            </w:r>
          </w:p>
        </w:tc>
        <w:tc>
          <w:tcPr>
            <w:tcW w:w="240" w:type="dxa"/>
            <w:vAlign w:val="bottom"/>
          </w:tcPr>
          <w:p>
            <w:pPr>
              <w:spacing w:after="0"/>
              <w:rPr>
                <w:sz w:val="14"/>
                <w:szCs w:val="14"/>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151</w:t>
            </w:r>
          </w:p>
        </w:tc>
      </w:tr>
      <w:tr>
        <w:trPr>
          <w:trHeight w:val="153"/>
        </w:trPr>
        <w:tc>
          <w:tcPr>
            <w:tcW w:w="6280" w:type="dxa"/>
            <w:vAlign w:val="bottom"/>
            <w:shd w:val="clear" w:color="auto" w:fill="E2E8F1"/>
          </w:tcPr>
          <w:p>
            <w:pPr>
              <w:ind w:left="80"/>
              <w:spacing w:after="0" w:line="153" w:lineRule="exact"/>
              <w:rPr>
                <w:sz w:val="20"/>
                <w:szCs w:val="20"/>
                <w:color w:val="auto"/>
              </w:rPr>
            </w:pPr>
            <w:r>
              <w:rPr>
                <w:rFonts w:ascii="Arial" w:cs="Arial" w:eastAsia="Arial" w:hAnsi="Arial"/>
                <w:sz w:val="14"/>
                <w:szCs w:val="14"/>
                <w:color w:val="auto"/>
              </w:rPr>
              <w:t>S&amp;P 1500 Human Resources and Employment Services Sub-Industry</w:t>
            </w:r>
          </w:p>
        </w:tc>
        <w:tc>
          <w:tcPr>
            <w:tcW w:w="84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580" w:type="dxa"/>
            <w:vAlign w:val="bottom"/>
            <w:shd w:val="clear" w:color="auto" w:fill="E2E8F1"/>
          </w:tcPr>
          <w:p>
            <w:pPr>
              <w:spacing w:after="0"/>
              <w:rPr>
                <w:sz w:val="13"/>
                <w:szCs w:val="13"/>
                <w:color w:val="auto"/>
              </w:rPr>
            </w:pPr>
          </w:p>
        </w:tc>
        <w:tc>
          <w:tcPr>
            <w:tcW w:w="82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60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58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600" w:type="dxa"/>
            <w:vAlign w:val="bottom"/>
            <w:shd w:val="clear" w:color="auto" w:fill="E2E8F1"/>
          </w:tcPr>
          <w:p>
            <w:pPr>
              <w:spacing w:after="0"/>
              <w:rPr>
                <w:sz w:val="13"/>
                <w:szCs w:val="13"/>
                <w:color w:val="auto"/>
              </w:rPr>
            </w:pPr>
          </w:p>
        </w:tc>
      </w:tr>
      <w:tr>
        <w:trPr>
          <w:trHeight w:val="190"/>
        </w:trPr>
        <w:tc>
          <w:tcPr>
            <w:tcW w:w="6280" w:type="dxa"/>
            <w:vAlign w:val="bottom"/>
            <w:tcBorders>
              <w:bottom w:val="single" w:sz="8" w:color="231F20"/>
            </w:tcBorders>
            <w:shd w:val="clear" w:color="auto" w:fill="E2E8F1"/>
          </w:tcPr>
          <w:p>
            <w:pPr>
              <w:ind w:left="200"/>
              <w:spacing w:after="0"/>
              <w:rPr>
                <w:sz w:val="20"/>
                <w:szCs w:val="20"/>
                <w:color w:val="auto"/>
              </w:rPr>
            </w:pPr>
            <w:r>
              <w:rPr>
                <w:rFonts w:ascii="Arial" w:cs="Arial" w:eastAsia="Arial" w:hAnsi="Arial"/>
                <w:sz w:val="14"/>
                <w:szCs w:val="14"/>
                <w:color w:val="auto"/>
              </w:rPr>
              <w:t>Index</w:t>
            </w:r>
          </w:p>
        </w:tc>
        <w:tc>
          <w:tcPr>
            <w:tcW w:w="8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auto"/>
              </w:rPr>
              <w:t>100</w:t>
            </w:r>
          </w:p>
        </w:tc>
        <w:tc>
          <w:tcPr>
            <w:tcW w:w="24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auto"/>
              </w:rPr>
              <w:t>99</w:t>
            </w:r>
          </w:p>
        </w:tc>
        <w:tc>
          <w:tcPr>
            <w:tcW w:w="82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auto"/>
              </w:rPr>
              <w:t>148</w:t>
            </w:r>
          </w:p>
        </w:tc>
        <w:tc>
          <w:tcPr>
            <w:tcW w:w="240" w:type="dxa"/>
            <w:vAlign w:val="bottom"/>
            <w:tcBorders>
              <w:bottom w:val="single" w:sz="8" w:color="231F20"/>
            </w:tcBorders>
            <w:shd w:val="clear" w:color="auto" w:fill="E2E8F1"/>
          </w:tcPr>
          <w:p>
            <w:pPr>
              <w:spacing w:after="0"/>
              <w:rPr>
                <w:sz w:val="16"/>
                <w:szCs w:val="16"/>
                <w:color w:val="auto"/>
              </w:rPr>
            </w:pPr>
          </w:p>
        </w:tc>
        <w:tc>
          <w:tcPr>
            <w:tcW w:w="60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auto"/>
              </w:rPr>
              <w:t>109</w:t>
            </w:r>
          </w:p>
        </w:tc>
        <w:tc>
          <w:tcPr>
            <w:tcW w:w="24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auto"/>
              </w:rPr>
              <w:t>113</w:t>
            </w:r>
          </w:p>
        </w:tc>
        <w:tc>
          <w:tcPr>
            <w:tcW w:w="240" w:type="dxa"/>
            <w:vAlign w:val="bottom"/>
            <w:tcBorders>
              <w:bottom w:val="single" w:sz="8" w:color="231F20"/>
            </w:tcBorders>
            <w:shd w:val="clear" w:color="auto" w:fill="E2E8F1"/>
          </w:tcPr>
          <w:p>
            <w:pPr>
              <w:spacing w:after="0"/>
              <w:rPr>
                <w:sz w:val="16"/>
                <w:szCs w:val="16"/>
                <w:color w:val="auto"/>
              </w:rPr>
            </w:pPr>
          </w:p>
        </w:tc>
        <w:tc>
          <w:tcPr>
            <w:tcW w:w="60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auto"/>
              </w:rPr>
              <w:t>132</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Item 6. [Reserved]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30" w:name="page31"/>
    <w:bookmarkEnd w:id="30"/>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7. 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in millions, except share and per share data</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Financial Measures — Constant Currency And Organic Constant Currency</w:t>
      </w:r>
    </w:p>
    <w:p>
      <w:pPr>
        <w:spacing w:after="0" w:line="88"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6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including Argentina which operates in a hyperinflationary economy.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70"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ongoing business.</w:t>
      </w:r>
    </w:p>
    <w:p>
      <w:pPr>
        <w:spacing w:after="0" w:line="6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6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Constant currency and organic constant currency percent variances, along with a reconciliation of these amounts to certain of our reported results, are included in the Financial Measures section found in Item 7. "Management's Discussion and Analysis of Financial Condition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Results of Operations - For Years of Operation Ending December 31, 2024 and 2023</w:t>
      </w:r>
    </w:p>
    <w:p>
      <w:pPr>
        <w:spacing w:after="0" w:line="88" w:lineRule="exact"/>
        <w:rPr>
          <w:sz w:val="20"/>
          <w:szCs w:val="20"/>
          <w:color w:val="auto"/>
        </w:rPr>
      </w:pPr>
    </w:p>
    <w:p>
      <w:pPr>
        <w:jc w:val="both"/>
        <w:spacing w:after="0" w:line="260" w:lineRule="auto"/>
        <w:rPr>
          <w:rFonts w:ascii="Arial" w:cs="Arial" w:eastAsia="Arial" w:hAnsi="Arial"/>
          <w:sz w:val="16"/>
          <w:szCs w:val="16"/>
          <w:color w:val="0000FF"/>
        </w:rPr>
      </w:pPr>
      <w:hyperlink r:id="rId74">
        <w:r>
          <w:rPr>
            <w:rFonts w:ascii="Arial" w:cs="Arial" w:eastAsia="Arial" w:hAnsi="Arial"/>
            <w:sz w:val="16"/>
            <w:szCs w:val="16"/>
            <w:color w:val="231F20"/>
          </w:rPr>
          <w:t xml:space="preserve">The financial discussion that follows focuses on 2024 results compared to 2023. For a discussion of 2023 results compared to 2022, see the company’s </w:t>
        </w:r>
        <w:r>
          <w:rPr>
            <w:rFonts w:ascii="Arial" w:cs="Arial" w:eastAsia="Arial" w:hAnsi="Arial"/>
            <w:sz w:val="16"/>
            <w:szCs w:val="16"/>
            <w:u w:val="single" w:color="auto"/>
            <w:color w:val="0000FF"/>
          </w:rPr>
          <w:t>Annual</w:t>
        </w:r>
      </w:hyperlink>
      <w:r>
        <w:rPr>
          <w:rFonts w:ascii="Arial" w:cs="Arial" w:eastAsia="Arial" w:hAnsi="Arial"/>
          <w:sz w:val="16"/>
          <w:szCs w:val="16"/>
          <w:color w:val="231F20"/>
        </w:rPr>
        <w:t xml:space="preserve"> </w:t>
      </w:r>
      <w:hyperlink r:id="rId74">
        <w:r>
          <w:rPr>
            <w:rFonts w:ascii="Arial" w:cs="Arial" w:eastAsia="Arial" w:hAnsi="Arial"/>
            <w:sz w:val="16"/>
            <w:szCs w:val="16"/>
            <w:u w:val="single" w:color="auto"/>
            <w:color w:val="0000FF"/>
          </w:rPr>
          <w:t>Report on Form 10-K for the year ended December 31, 2023</w:t>
        </w:r>
        <w:r>
          <w:rPr>
            <w:rFonts w:ascii="Arial" w:cs="Arial" w:eastAsia="Arial" w:hAnsi="Arial"/>
            <w:sz w:val="16"/>
            <w:szCs w:val="16"/>
            <w:color w:val="231F2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6833870</wp:posOffset>
            </wp:positionH>
            <wp:positionV relativeFrom="paragraph">
              <wp:posOffset>-145415</wp:posOffset>
            </wp:positionV>
            <wp:extent cx="31178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117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-33020</wp:posOffset>
            </wp:positionV>
            <wp:extent cx="268732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687320" cy="7620"/>
                    </a:xfrm>
                    <a:prstGeom prst="rect">
                      <a:avLst/>
                    </a:prstGeom>
                    <a:noFill/>
                  </pic:spPr>
                </pic:pic>
              </a:graphicData>
            </a:graphic>
          </wp:anchor>
        </w:drawing>
      </w:r>
    </w:p>
    <w:p>
      <w:pPr>
        <w:spacing w:after="0" w:line="3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231F20"/>
        </w:rPr>
        <w:t>During 2024, revenues decreased -5.6% compared to 2023. Our 2024 results reflected the negative impact of economic uncertainty, particularly in Europe and North America, as we saw decreased demand for our staffing and permanent recruitment services, partially offset by increased demand for our Right Management outplacement services as well as increased demand in Asia Pacific and Latin America. As Europe represents a significant portion of our operations, we continue to monitor economic conditions in our Southern Europe and Northern Europe segments. Inflation has eased in Europe and the United States resulting in both markets reducing interest rates during the year. However, employers are continuing their cautious approach with many employers retaining their current workforce, delaying hiring decisions or reducing their demand for contingent labor as they remain focused on managing the macro-economic and geopolitical challenges impacting their businesses. Many employers are still hesitant to increase their spend and expand their workforce until they perceive a significant improvement in economic outlook. As a result of these factors, we expect the business environment will continue to be challenging, which could further negatively impact our operations in future periods.</w:t>
      </w:r>
    </w:p>
    <w:p>
      <w:pPr>
        <w:spacing w:after="0" w:line="7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During 2024, the United States dollar strengthened, on average, relative to the currencies in most of our markets, and overall had an unfavorable impact on our reported results. The changes in the foreign currency exchange rates had a -2.2% unfavorable impact on revenues from services and an approximately $0.15 per share unfavorable impact on net earnings per share – diluted in 2024. Substantially all of our subsidiaries derive revenues from services and incur expenses within the same local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31" w:name="page32"/>
    <w:bookmarkEnd w:id="31"/>
    <w:p>
      <w:pPr>
        <w:ind w:left="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During 2024, we experienced the following quarterly changes to our consolidated revenues compared to 2023: a -7.3% decrease in revenue in the first quarter due to softening demand for staffing services due to increased economic uncertainty, partially offset by an increase in demand for our Right Management outplacement services; a revenue decrease of -6.9% in the second quarter due to the continued softening demand for staffing and permanent recruitment services; a revenue decrease of -3.1% in the third quarter due to the continued softening demand for staffing services, partially offset by an increase in demand for our Right Management outplacement services; and ending the year with a -5.0% revenue decrease in the fourth quarter of 2024 due to the continuing decrease in demand for our staffing services.</w:t>
      </w:r>
    </w:p>
    <w:p>
      <w:pPr>
        <w:spacing w:after="0" w:line="6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231F20"/>
        </w:rPr>
        <w:t>During 2024 compared to 2023, most of our markets experienced revenue decreases due to softening demand for our staffing and permanent recruitment services and the strengthening of the dollar in certain markets, partially offset by increased demand for our Right Management outplacement services. We experienced a -4.3% revenue decrease in the Americas primarily driven by the unfavorable impact of currency exchange rates and a decrease in demand for our Experis interim services, partially offset by an increase in demand for our Manpower staffing services, an increase in demand for our Talent Based Outsourcing (TBO) business and an increase in demand for our Right Management outplacement services. We experienced a -3.5% revenue decrease in Southern Europe, primarily driven by a decrease in demand for our Manpower and Experis staffing/interim services and a decrease in demand for our permanent recruitment services, partially offset by an increase in demand for our Right Management outplacement services. We experienced a revenue decrease of -11.8% in Northern Europe, primarily due to decreased demand in our Manpower and Experis staffing/interim services, decreased demand in our permanent recruitment business and decreased demand for our Experis solutions services, partially offset by increased demand in our TAPFIN - Managed Service Provider (MSP) business and increased demand for our Right Management outplacement services. We experienced a -6.9% revenue decrease in APME, primarily driven by the unfavorable impact of currency exchange rates, decreased demand in our permanent recruitment business and a decrease in demand in our TBO business, partially offset by an increase in demand for our Manpower and Experis staffing/interim services.</w:t>
      </w:r>
    </w:p>
    <w:p>
      <w:pPr>
        <w:spacing w:after="0" w:line="7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From a brand perspective, we experienced a revenue decrease in Manpower, Experis and Talent Solutions during 2024 compared to 2023. The revenue decrease in our Manpower brand was due to decreased demand for our staffing services and the unfavorable impact of currency exchange rates. In our Experis brand, the revenue decrease was primarily due to decreased demand for our interim services and decreased demand for our Experis solutions services. The revenue decrease in our Talent Solutions brand, which includes Recruitment Process Outsourcing (RPO), TAPFIN - MSP, and our Right Management offerings, was driven primarily by decreased activity in our RPO permanent recruitment business, partially offset by increased demand for our Right Management outplacement services and increased demand in our MSP business.</w:t>
      </w:r>
    </w:p>
    <w:p>
      <w:pPr>
        <w:spacing w:after="0" w:line="6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In 2024 our gross profit margin decreased 50 basis points compared to 2023 primarily due to decreases in our permanent recruitment business, including Talent Solutions RPO, as permanent hiring demand continued to soften and experienced reduced levels from the prior year period and a decrease in staffing/interim margins due to mix shifts and lower volumes while pricing remained stable. The decrease was partially offset by increased career transition activity in Right Management as outplacement activity increased.</w:t>
      </w:r>
    </w:p>
    <w:p>
      <w:pPr>
        <w:spacing w:after="0" w:line="65"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In 2024 our operating profit increased 19.6% while our operating profit margin increased 30 basis points compared to 2023. The operating profit margin increased primarily due to a reduction in selling and administrative expenses, including wind down charges related to our Germany Proservia business and goodwill impairment charges in 2023, as a percent of revenue, partially offset by the overall decrease in our gross profit margin, as noted above.</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During the year, we initiated significant restructuring actions on businesses heavily impacted by the continuing decline in activity. With these actions, we expect our overall cost structure to decline. We expect to continue to monitor expenses closely to maintain the benefit of our efforts to optimize our organizational cost structures. At the same time, we plan to invest appropriately to enable the business to grow in the future and enhance our productivity, technology and digital capabilities. We are focused on managing costs as efficiently as possible in the short term while continuing to progress transformational actions aligned with our strategic priorities.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32" w:name="page33"/>
    <w:bookmarkEnd w:id="32"/>
    <w:p>
      <w:pPr>
        <w:ind w:left="107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u w:val="single" w:color="auto"/>
          <w:color w:val="5B89B4"/>
        </w:rPr>
        <w:t>Consolidated Results - 2024 compared to 2023</w:t>
      </w:r>
    </w:p>
    <w:p>
      <w:pPr>
        <w:spacing w:after="0" w:line="8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The following table presents selected consolidated financial data for 2024 as compared to 2023.</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252"/>
        </w:trPr>
        <w:tc>
          <w:tcPr>
            <w:tcW w:w="4340" w:type="dxa"/>
            <w:vAlign w:val="bottom"/>
            <w:tcBorders>
              <w:top w:val="single" w:sz="8" w:color="231F20"/>
            </w:tcBorders>
            <w:shd w:val="clear" w:color="auto" w:fill="98B0CF"/>
          </w:tcPr>
          <w:p>
            <w:pPr>
              <w:spacing w:after="0"/>
              <w:rPr>
                <w:sz w:val="21"/>
                <w:szCs w:val="21"/>
                <w:color w:val="auto"/>
              </w:rPr>
            </w:pPr>
          </w:p>
        </w:tc>
        <w:tc>
          <w:tcPr>
            <w:tcW w:w="420" w:type="dxa"/>
            <w:vAlign w:val="bottom"/>
            <w:tcBorders>
              <w:top w:val="single" w:sz="8" w:color="231F20"/>
            </w:tcBorders>
            <w:shd w:val="clear" w:color="auto" w:fill="98B0CF"/>
          </w:tcPr>
          <w:p>
            <w:pPr>
              <w:spacing w:after="0"/>
              <w:rPr>
                <w:sz w:val="21"/>
                <w:szCs w:val="21"/>
                <w:color w:val="auto"/>
              </w:rPr>
            </w:pPr>
          </w:p>
        </w:tc>
        <w:tc>
          <w:tcPr>
            <w:tcW w:w="1020" w:type="dxa"/>
            <w:vAlign w:val="bottom"/>
            <w:tcBorders>
              <w:top w:val="single" w:sz="8" w:color="231F20"/>
            </w:tcBorders>
            <w:shd w:val="clear" w:color="auto" w:fill="98B0CF"/>
          </w:tcPr>
          <w:p>
            <w:pPr>
              <w:spacing w:after="0"/>
              <w:rPr>
                <w:sz w:val="21"/>
                <w:szCs w:val="21"/>
                <w:color w:val="auto"/>
              </w:rPr>
            </w:pPr>
          </w:p>
        </w:tc>
        <w:tc>
          <w:tcPr>
            <w:tcW w:w="300" w:type="dxa"/>
            <w:vAlign w:val="bottom"/>
            <w:tcBorders>
              <w:top w:val="single" w:sz="8" w:color="231F20"/>
            </w:tcBorders>
            <w:shd w:val="clear" w:color="auto" w:fill="98B0CF"/>
          </w:tcPr>
          <w:p>
            <w:pPr>
              <w:spacing w:after="0"/>
              <w:rPr>
                <w:sz w:val="21"/>
                <w:szCs w:val="21"/>
                <w:color w:val="auto"/>
              </w:rPr>
            </w:pPr>
          </w:p>
        </w:tc>
        <w:tc>
          <w:tcPr>
            <w:tcW w:w="1100" w:type="dxa"/>
            <w:vAlign w:val="bottom"/>
            <w:tcBorders>
              <w:top w:val="single" w:sz="8" w:color="231F20"/>
            </w:tcBorders>
            <w:shd w:val="clear" w:color="auto" w:fill="98B0CF"/>
          </w:tcPr>
          <w:p>
            <w:pPr>
              <w:spacing w:after="0"/>
              <w:rPr>
                <w:sz w:val="21"/>
                <w:szCs w:val="21"/>
                <w:color w:val="auto"/>
              </w:rPr>
            </w:pPr>
          </w:p>
        </w:tc>
        <w:tc>
          <w:tcPr>
            <w:tcW w:w="1340" w:type="dxa"/>
            <w:vAlign w:val="bottom"/>
            <w:tcBorders>
              <w:top w:val="single" w:sz="8" w:color="231F20"/>
            </w:tcBorders>
            <w:shd w:val="clear" w:color="auto" w:fill="98B0CF"/>
          </w:tcPr>
          <w:p>
            <w:pPr>
              <w:spacing w:after="0"/>
              <w:rPr>
                <w:sz w:val="21"/>
                <w:szCs w:val="21"/>
                <w:color w:val="auto"/>
              </w:rPr>
            </w:pPr>
          </w:p>
        </w:tc>
        <w:tc>
          <w:tcPr>
            <w:tcW w:w="1440" w:type="dxa"/>
            <w:vAlign w:val="bottom"/>
            <w:tcBorders>
              <w:top w:val="single" w:sz="8" w:color="231F20"/>
            </w:tcBorders>
            <w:shd w:val="clear" w:color="auto" w:fill="98B0CF"/>
          </w:tcPr>
          <w:p>
            <w:pPr>
              <w:spacing w:after="0"/>
              <w:rPr>
                <w:sz w:val="21"/>
                <w:szCs w:val="21"/>
                <w:color w:val="auto"/>
              </w:rPr>
            </w:pPr>
          </w:p>
        </w:tc>
        <w:tc>
          <w:tcPr>
            <w:tcW w:w="1300" w:type="dxa"/>
            <w:vAlign w:val="bottom"/>
            <w:tcBorders>
              <w:top w:val="single" w:sz="8" w:color="231F20"/>
            </w:tcBorders>
            <w:shd w:val="clear" w:color="auto" w:fill="98B0CF"/>
          </w:tcPr>
          <w:p>
            <w:pPr>
              <w:jc w:val="center"/>
              <w:ind w:right="213"/>
              <w:spacing w:after="0"/>
              <w:rPr>
                <w:sz w:val="20"/>
                <w:szCs w:val="20"/>
                <w:color w:val="auto"/>
              </w:rPr>
            </w:pPr>
            <w:r>
              <w:rPr>
                <w:rFonts w:ascii="Arial" w:cs="Arial" w:eastAsia="Arial" w:hAnsi="Arial"/>
                <w:sz w:val="13"/>
                <w:szCs w:val="13"/>
                <w:b w:val="1"/>
                <w:bCs w:val="1"/>
                <w:color w:val="auto"/>
                <w:w w:val="95"/>
              </w:rPr>
              <w:t>Variance in</w:t>
            </w:r>
          </w:p>
        </w:tc>
        <w:tc>
          <w:tcPr>
            <w:tcW w:w="0" w:type="dxa"/>
            <w:vAlign w:val="bottom"/>
          </w:tcPr>
          <w:p>
            <w:pPr>
              <w:spacing w:after="0"/>
              <w:rPr>
                <w:sz w:val="1"/>
                <w:szCs w:val="1"/>
                <w:color w:val="auto"/>
              </w:rPr>
            </w:pPr>
          </w:p>
        </w:tc>
      </w:tr>
      <w:tr>
        <w:trPr>
          <w:trHeight w:val="142"/>
        </w:trPr>
        <w:tc>
          <w:tcPr>
            <w:tcW w:w="4340" w:type="dxa"/>
            <w:vAlign w:val="bottom"/>
            <w:shd w:val="clear" w:color="auto" w:fill="98B0CF"/>
          </w:tcPr>
          <w:p>
            <w:pPr>
              <w:spacing w:after="0"/>
              <w:rPr>
                <w:sz w:val="12"/>
                <w:szCs w:val="12"/>
                <w:color w:val="auto"/>
              </w:rPr>
            </w:pPr>
          </w:p>
        </w:tc>
        <w:tc>
          <w:tcPr>
            <w:tcW w:w="420" w:type="dxa"/>
            <w:vAlign w:val="bottom"/>
            <w:shd w:val="clear" w:color="auto" w:fill="98B0CF"/>
          </w:tcPr>
          <w:p>
            <w:pPr>
              <w:spacing w:after="0"/>
              <w:rPr>
                <w:sz w:val="12"/>
                <w:szCs w:val="12"/>
                <w:color w:val="auto"/>
              </w:rPr>
            </w:pPr>
          </w:p>
        </w:tc>
        <w:tc>
          <w:tcPr>
            <w:tcW w:w="1020" w:type="dxa"/>
            <w:vAlign w:val="bottom"/>
            <w:shd w:val="clear" w:color="auto" w:fill="98B0CF"/>
          </w:tcPr>
          <w:p>
            <w:pPr>
              <w:spacing w:after="0"/>
              <w:rPr>
                <w:sz w:val="12"/>
                <w:szCs w:val="12"/>
                <w:color w:val="auto"/>
              </w:rPr>
            </w:pPr>
          </w:p>
        </w:tc>
        <w:tc>
          <w:tcPr>
            <w:tcW w:w="300" w:type="dxa"/>
            <w:vAlign w:val="bottom"/>
            <w:shd w:val="clear" w:color="auto" w:fill="98B0CF"/>
          </w:tcPr>
          <w:p>
            <w:pPr>
              <w:spacing w:after="0"/>
              <w:rPr>
                <w:sz w:val="12"/>
                <w:szCs w:val="12"/>
                <w:color w:val="auto"/>
              </w:rPr>
            </w:pPr>
          </w:p>
        </w:tc>
        <w:tc>
          <w:tcPr>
            <w:tcW w:w="1100" w:type="dxa"/>
            <w:vAlign w:val="bottom"/>
            <w:shd w:val="clear" w:color="auto" w:fill="98B0CF"/>
          </w:tcPr>
          <w:p>
            <w:pPr>
              <w:spacing w:after="0"/>
              <w:rPr>
                <w:sz w:val="12"/>
                <w:szCs w:val="12"/>
                <w:color w:val="auto"/>
              </w:rPr>
            </w:pPr>
          </w:p>
        </w:tc>
        <w:tc>
          <w:tcPr>
            <w:tcW w:w="1340" w:type="dxa"/>
            <w:vAlign w:val="bottom"/>
            <w:shd w:val="clear" w:color="auto" w:fill="98B0CF"/>
          </w:tcPr>
          <w:p>
            <w:pPr>
              <w:spacing w:after="0"/>
              <w:rPr>
                <w:sz w:val="12"/>
                <w:szCs w:val="12"/>
                <w:color w:val="auto"/>
              </w:rPr>
            </w:pPr>
          </w:p>
        </w:tc>
        <w:tc>
          <w:tcPr>
            <w:tcW w:w="1440" w:type="dxa"/>
            <w:vAlign w:val="bottom"/>
            <w:shd w:val="clear" w:color="auto" w:fill="98B0CF"/>
          </w:tcPr>
          <w:p>
            <w:pPr>
              <w:jc w:val="right"/>
              <w:ind w:right="531"/>
              <w:spacing w:after="0" w:line="142" w:lineRule="exact"/>
              <w:rPr>
                <w:sz w:val="20"/>
                <w:szCs w:val="20"/>
                <w:color w:val="auto"/>
              </w:rPr>
            </w:pPr>
            <w:r>
              <w:rPr>
                <w:rFonts w:ascii="Arial" w:cs="Arial" w:eastAsia="Arial" w:hAnsi="Arial"/>
                <w:sz w:val="13"/>
                <w:szCs w:val="13"/>
                <w:b w:val="1"/>
                <w:bCs w:val="1"/>
                <w:color w:val="auto"/>
              </w:rPr>
              <w:t>Variance in</w:t>
            </w:r>
          </w:p>
        </w:tc>
        <w:tc>
          <w:tcPr>
            <w:tcW w:w="1300" w:type="dxa"/>
            <w:vAlign w:val="bottom"/>
            <w:shd w:val="clear" w:color="auto" w:fill="98B0CF"/>
          </w:tcPr>
          <w:p>
            <w:pPr>
              <w:jc w:val="center"/>
              <w:ind w:right="193"/>
              <w:spacing w:after="0" w:line="142" w:lineRule="exact"/>
              <w:rPr>
                <w:sz w:val="20"/>
                <w:szCs w:val="20"/>
                <w:color w:val="auto"/>
              </w:rPr>
            </w:pPr>
            <w:r>
              <w:rPr>
                <w:rFonts w:ascii="Arial" w:cs="Arial" w:eastAsia="Arial" w:hAnsi="Arial"/>
                <w:sz w:val="13"/>
                <w:szCs w:val="13"/>
                <w:b w:val="1"/>
                <w:bCs w:val="1"/>
                <w:color w:val="auto"/>
                <w:w w:val="97"/>
              </w:rPr>
              <w:t>Organic</w:t>
            </w:r>
          </w:p>
        </w:tc>
        <w:tc>
          <w:tcPr>
            <w:tcW w:w="0" w:type="dxa"/>
            <w:vAlign w:val="bottom"/>
          </w:tcPr>
          <w:p>
            <w:pPr>
              <w:spacing w:after="0"/>
              <w:rPr>
                <w:sz w:val="1"/>
                <w:szCs w:val="1"/>
                <w:color w:val="auto"/>
              </w:rPr>
            </w:pPr>
          </w:p>
        </w:tc>
      </w:tr>
      <w:tr>
        <w:trPr>
          <w:trHeight w:val="142"/>
        </w:trPr>
        <w:tc>
          <w:tcPr>
            <w:tcW w:w="4340" w:type="dxa"/>
            <w:vAlign w:val="bottom"/>
            <w:shd w:val="clear" w:color="auto" w:fill="98B0CF"/>
          </w:tcPr>
          <w:p>
            <w:pPr>
              <w:spacing w:after="0"/>
              <w:rPr>
                <w:sz w:val="12"/>
                <w:szCs w:val="12"/>
                <w:color w:val="auto"/>
              </w:rPr>
            </w:pPr>
          </w:p>
        </w:tc>
        <w:tc>
          <w:tcPr>
            <w:tcW w:w="420" w:type="dxa"/>
            <w:vAlign w:val="bottom"/>
            <w:shd w:val="clear" w:color="auto" w:fill="98B0CF"/>
          </w:tcPr>
          <w:p>
            <w:pPr>
              <w:spacing w:after="0"/>
              <w:rPr>
                <w:sz w:val="12"/>
                <w:szCs w:val="12"/>
                <w:color w:val="auto"/>
              </w:rPr>
            </w:pPr>
          </w:p>
        </w:tc>
        <w:tc>
          <w:tcPr>
            <w:tcW w:w="1020" w:type="dxa"/>
            <w:vAlign w:val="bottom"/>
            <w:shd w:val="clear" w:color="auto" w:fill="98B0CF"/>
          </w:tcPr>
          <w:p>
            <w:pPr>
              <w:spacing w:after="0"/>
              <w:rPr>
                <w:sz w:val="12"/>
                <w:szCs w:val="12"/>
                <w:color w:val="auto"/>
              </w:rPr>
            </w:pPr>
          </w:p>
        </w:tc>
        <w:tc>
          <w:tcPr>
            <w:tcW w:w="300" w:type="dxa"/>
            <w:vAlign w:val="bottom"/>
            <w:shd w:val="clear" w:color="auto" w:fill="98B0CF"/>
          </w:tcPr>
          <w:p>
            <w:pPr>
              <w:spacing w:after="0"/>
              <w:rPr>
                <w:sz w:val="12"/>
                <w:szCs w:val="12"/>
                <w:color w:val="auto"/>
              </w:rPr>
            </w:pPr>
          </w:p>
        </w:tc>
        <w:tc>
          <w:tcPr>
            <w:tcW w:w="1100" w:type="dxa"/>
            <w:vAlign w:val="bottom"/>
            <w:shd w:val="clear" w:color="auto" w:fill="98B0CF"/>
          </w:tcPr>
          <w:p>
            <w:pPr>
              <w:spacing w:after="0"/>
              <w:rPr>
                <w:sz w:val="12"/>
                <w:szCs w:val="12"/>
                <w:color w:val="auto"/>
              </w:rPr>
            </w:pPr>
          </w:p>
        </w:tc>
        <w:tc>
          <w:tcPr>
            <w:tcW w:w="1340" w:type="dxa"/>
            <w:vAlign w:val="bottom"/>
            <w:shd w:val="clear" w:color="auto" w:fill="98B0CF"/>
          </w:tcPr>
          <w:p>
            <w:pPr>
              <w:jc w:val="right"/>
              <w:ind w:right="530"/>
              <w:spacing w:after="0" w:line="142" w:lineRule="exact"/>
              <w:rPr>
                <w:sz w:val="20"/>
                <w:szCs w:val="20"/>
                <w:color w:val="auto"/>
              </w:rPr>
            </w:pPr>
            <w:r>
              <w:rPr>
                <w:rFonts w:ascii="Arial" w:cs="Arial" w:eastAsia="Arial" w:hAnsi="Arial"/>
                <w:sz w:val="13"/>
                <w:szCs w:val="13"/>
                <w:b w:val="1"/>
                <w:bCs w:val="1"/>
                <w:color w:val="auto"/>
              </w:rPr>
              <w:t>Reported</w:t>
            </w:r>
          </w:p>
        </w:tc>
        <w:tc>
          <w:tcPr>
            <w:tcW w:w="1440" w:type="dxa"/>
            <w:vAlign w:val="bottom"/>
            <w:shd w:val="clear" w:color="auto" w:fill="98B0CF"/>
          </w:tcPr>
          <w:p>
            <w:pPr>
              <w:jc w:val="right"/>
              <w:ind w:right="591"/>
              <w:spacing w:after="0" w:line="142" w:lineRule="exact"/>
              <w:rPr>
                <w:sz w:val="20"/>
                <w:szCs w:val="20"/>
                <w:color w:val="auto"/>
              </w:rPr>
            </w:pPr>
            <w:r>
              <w:rPr>
                <w:rFonts w:ascii="Arial" w:cs="Arial" w:eastAsia="Arial" w:hAnsi="Arial"/>
                <w:sz w:val="13"/>
                <w:szCs w:val="13"/>
                <w:b w:val="1"/>
                <w:bCs w:val="1"/>
                <w:color w:val="auto"/>
              </w:rPr>
              <w:t>Constant</w:t>
            </w:r>
          </w:p>
        </w:tc>
        <w:tc>
          <w:tcPr>
            <w:tcW w:w="1300" w:type="dxa"/>
            <w:vAlign w:val="bottom"/>
            <w:shd w:val="clear" w:color="auto" w:fill="98B0CF"/>
          </w:tcPr>
          <w:p>
            <w:pPr>
              <w:jc w:val="center"/>
              <w:ind w:right="213"/>
              <w:spacing w:after="0" w:line="142" w:lineRule="exact"/>
              <w:rPr>
                <w:sz w:val="20"/>
                <w:szCs w:val="20"/>
                <w:color w:val="auto"/>
              </w:rPr>
            </w:pPr>
            <w:r>
              <w:rPr>
                <w:rFonts w:ascii="Arial" w:cs="Arial" w:eastAsia="Arial" w:hAnsi="Arial"/>
                <w:sz w:val="13"/>
                <w:szCs w:val="13"/>
                <w:b w:val="1"/>
                <w:bCs w:val="1"/>
                <w:color w:val="auto"/>
                <w:w w:val="95"/>
              </w:rPr>
              <w:t>Constant</w:t>
            </w:r>
          </w:p>
        </w:tc>
        <w:tc>
          <w:tcPr>
            <w:tcW w:w="0" w:type="dxa"/>
            <w:vAlign w:val="bottom"/>
          </w:tcPr>
          <w:p>
            <w:pPr>
              <w:spacing w:after="0"/>
              <w:rPr>
                <w:sz w:val="1"/>
                <w:szCs w:val="1"/>
                <w:color w:val="auto"/>
              </w:rPr>
            </w:pPr>
          </w:p>
        </w:tc>
      </w:tr>
      <w:tr>
        <w:trPr>
          <w:trHeight w:val="156"/>
        </w:trPr>
        <w:tc>
          <w:tcPr>
            <w:tcW w:w="4340" w:type="dxa"/>
            <w:vAlign w:val="bottom"/>
            <w:tcBorders>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i w:val="1"/>
                <w:iCs w:val="1"/>
                <w:color w:val="auto"/>
              </w:rPr>
              <w:t>(in millions, except per share data)</w:t>
            </w:r>
          </w:p>
        </w:tc>
        <w:tc>
          <w:tcPr>
            <w:tcW w:w="420" w:type="dxa"/>
            <w:vAlign w:val="bottom"/>
            <w:tcBorders>
              <w:bottom w:val="single" w:sz="8" w:color="auto"/>
            </w:tcBorders>
            <w:shd w:val="clear" w:color="auto" w:fill="98B0CF"/>
          </w:tcPr>
          <w:p>
            <w:pPr>
              <w:spacing w:after="0"/>
              <w:rPr>
                <w:sz w:val="13"/>
                <w:szCs w:val="13"/>
                <w:color w:val="auto"/>
              </w:rPr>
            </w:pPr>
          </w:p>
        </w:tc>
        <w:tc>
          <w:tcPr>
            <w:tcW w:w="1020" w:type="dxa"/>
            <w:vAlign w:val="bottom"/>
            <w:tcBorders>
              <w:bottom w:val="single" w:sz="8" w:color="auto"/>
            </w:tcBorders>
            <w:shd w:val="clear" w:color="auto" w:fill="98B0CF"/>
          </w:tcPr>
          <w:p>
            <w:pPr>
              <w:jc w:val="right"/>
              <w:ind w:right="529"/>
              <w:spacing w:after="0"/>
              <w:rPr>
                <w:sz w:val="20"/>
                <w:szCs w:val="20"/>
                <w:color w:val="auto"/>
              </w:rPr>
            </w:pPr>
            <w:r>
              <w:rPr>
                <w:rFonts w:ascii="Arial" w:cs="Arial" w:eastAsia="Arial" w:hAnsi="Arial"/>
                <w:sz w:val="13"/>
                <w:szCs w:val="13"/>
                <w:b w:val="1"/>
                <w:bCs w:val="1"/>
                <w:color w:val="auto"/>
              </w:rPr>
              <w:t>2024</w:t>
            </w:r>
          </w:p>
        </w:tc>
        <w:tc>
          <w:tcPr>
            <w:tcW w:w="300" w:type="dxa"/>
            <w:vAlign w:val="bottom"/>
            <w:tcBorders>
              <w:bottom w:val="single" w:sz="8" w:color="auto"/>
            </w:tcBorders>
            <w:shd w:val="clear" w:color="auto" w:fill="98B0CF"/>
          </w:tcPr>
          <w:p>
            <w:pPr>
              <w:spacing w:after="0"/>
              <w:rPr>
                <w:sz w:val="13"/>
                <w:szCs w:val="13"/>
                <w:color w:val="auto"/>
              </w:rPr>
            </w:pPr>
          </w:p>
        </w:tc>
        <w:tc>
          <w:tcPr>
            <w:tcW w:w="1100" w:type="dxa"/>
            <w:vAlign w:val="bottom"/>
            <w:tcBorders>
              <w:bottom w:val="single" w:sz="8" w:color="auto"/>
            </w:tcBorders>
            <w:shd w:val="clear" w:color="auto" w:fill="98B0CF"/>
          </w:tcPr>
          <w:p>
            <w:pPr>
              <w:jc w:val="right"/>
              <w:ind w:right="629"/>
              <w:spacing w:after="0"/>
              <w:rPr>
                <w:sz w:val="20"/>
                <w:szCs w:val="20"/>
                <w:color w:val="auto"/>
              </w:rPr>
            </w:pPr>
            <w:r>
              <w:rPr>
                <w:rFonts w:ascii="Arial" w:cs="Arial" w:eastAsia="Arial" w:hAnsi="Arial"/>
                <w:sz w:val="13"/>
                <w:szCs w:val="13"/>
                <w:b w:val="1"/>
                <w:bCs w:val="1"/>
                <w:color w:val="auto"/>
              </w:rPr>
              <w:t>2023</w:t>
            </w:r>
          </w:p>
        </w:tc>
        <w:tc>
          <w:tcPr>
            <w:tcW w:w="1340" w:type="dxa"/>
            <w:vAlign w:val="bottom"/>
            <w:tcBorders>
              <w:bottom w:val="single" w:sz="8" w:color="auto"/>
            </w:tcBorders>
            <w:shd w:val="clear" w:color="auto" w:fill="98B0CF"/>
          </w:tcPr>
          <w:p>
            <w:pPr>
              <w:jc w:val="right"/>
              <w:ind w:right="550"/>
              <w:spacing w:after="0"/>
              <w:rPr>
                <w:sz w:val="20"/>
                <w:szCs w:val="20"/>
                <w:color w:val="auto"/>
              </w:rPr>
            </w:pPr>
            <w:r>
              <w:rPr>
                <w:rFonts w:ascii="Arial" w:cs="Arial" w:eastAsia="Arial" w:hAnsi="Arial"/>
                <w:sz w:val="13"/>
                <w:szCs w:val="13"/>
                <w:b w:val="1"/>
                <w:bCs w:val="1"/>
                <w:color w:val="auto"/>
              </w:rPr>
              <w:t>Variance</w:t>
            </w:r>
          </w:p>
        </w:tc>
        <w:tc>
          <w:tcPr>
            <w:tcW w:w="1440" w:type="dxa"/>
            <w:vAlign w:val="bottom"/>
            <w:tcBorders>
              <w:bottom w:val="single" w:sz="8" w:color="auto"/>
            </w:tcBorders>
            <w:shd w:val="clear" w:color="auto" w:fill="98B0CF"/>
          </w:tcPr>
          <w:p>
            <w:pPr>
              <w:jc w:val="right"/>
              <w:ind w:right="591"/>
              <w:spacing w:after="0"/>
              <w:rPr>
                <w:sz w:val="20"/>
                <w:szCs w:val="20"/>
                <w:color w:val="auto"/>
              </w:rPr>
            </w:pPr>
            <w:r>
              <w:rPr>
                <w:rFonts w:ascii="Arial" w:cs="Arial" w:eastAsia="Arial" w:hAnsi="Arial"/>
                <w:sz w:val="13"/>
                <w:szCs w:val="13"/>
                <w:b w:val="1"/>
                <w:bCs w:val="1"/>
                <w:color w:val="auto"/>
              </w:rPr>
              <w:t>Currency</w:t>
            </w:r>
          </w:p>
        </w:tc>
        <w:tc>
          <w:tcPr>
            <w:tcW w:w="1300" w:type="dxa"/>
            <w:vAlign w:val="bottom"/>
            <w:tcBorders>
              <w:bottom w:val="single" w:sz="8" w:color="auto"/>
            </w:tcBorders>
            <w:shd w:val="clear" w:color="auto" w:fill="98B0CF"/>
          </w:tcPr>
          <w:p>
            <w:pPr>
              <w:jc w:val="center"/>
              <w:ind w:right="193"/>
              <w:spacing w:after="0"/>
              <w:rPr>
                <w:sz w:val="20"/>
                <w:szCs w:val="20"/>
                <w:color w:val="auto"/>
              </w:rPr>
            </w:pPr>
            <w:r>
              <w:rPr>
                <w:rFonts w:ascii="Arial" w:cs="Arial" w:eastAsia="Arial" w:hAnsi="Arial"/>
                <w:sz w:val="13"/>
                <w:szCs w:val="13"/>
                <w:b w:val="1"/>
                <w:bCs w:val="1"/>
                <w:color w:val="auto"/>
                <w:w w:val="98"/>
              </w:rPr>
              <w:t>Currency</w:t>
            </w:r>
          </w:p>
        </w:tc>
        <w:tc>
          <w:tcPr>
            <w:tcW w:w="0" w:type="dxa"/>
            <w:vAlign w:val="bottom"/>
          </w:tcPr>
          <w:p>
            <w:pPr>
              <w:spacing w:after="0"/>
              <w:rPr>
                <w:sz w:val="1"/>
                <w:szCs w:val="1"/>
                <w:color w:val="auto"/>
              </w:rPr>
            </w:pPr>
          </w:p>
        </w:tc>
      </w:tr>
      <w:tr>
        <w:trPr>
          <w:trHeight w:val="187"/>
        </w:trPr>
        <w:tc>
          <w:tcPr>
            <w:tcW w:w="4340" w:type="dxa"/>
            <w:vAlign w:val="bottom"/>
            <w:shd w:val="clear" w:color="auto" w:fill="E2E8F1"/>
          </w:tcPr>
          <w:p>
            <w:pPr>
              <w:ind w:left="80"/>
              <w:spacing w:after="0"/>
              <w:rPr>
                <w:sz w:val="20"/>
                <w:szCs w:val="20"/>
                <w:color w:val="auto"/>
              </w:rPr>
            </w:pPr>
            <w:r>
              <w:rPr>
                <w:rFonts w:ascii="Arial" w:cs="Arial" w:eastAsia="Arial" w:hAnsi="Arial"/>
                <w:sz w:val="14"/>
                <w:szCs w:val="14"/>
                <w:color w:val="auto"/>
              </w:rPr>
              <w:t>Revenues from services</w:t>
            </w:r>
          </w:p>
        </w:tc>
        <w:tc>
          <w:tcPr>
            <w:tcW w:w="42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E2E8F1"/>
          </w:tcPr>
          <w:p>
            <w:pPr>
              <w:jc w:val="right"/>
              <w:ind w:right="169"/>
              <w:spacing w:after="0"/>
              <w:rPr>
                <w:sz w:val="20"/>
                <w:szCs w:val="20"/>
                <w:color w:val="auto"/>
              </w:rPr>
            </w:pPr>
            <w:r>
              <w:rPr>
                <w:rFonts w:ascii="Arial" w:cs="Arial" w:eastAsia="Arial" w:hAnsi="Arial"/>
                <w:sz w:val="14"/>
                <w:szCs w:val="14"/>
                <w:color w:val="auto"/>
              </w:rPr>
              <w:t>17,853.9</w:t>
            </w:r>
          </w:p>
        </w:tc>
        <w:tc>
          <w:tcPr>
            <w:tcW w:w="30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2E8F1"/>
          </w:tcPr>
          <w:p>
            <w:pPr>
              <w:jc w:val="right"/>
              <w:ind w:right="269"/>
              <w:spacing w:after="0"/>
              <w:rPr>
                <w:sz w:val="20"/>
                <w:szCs w:val="20"/>
                <w:color w:val="auto"/>
              </w:rPr>
            </w:pPr>
            <w:r>
              <w:rPr>
                <w:rFonts w:ascii="Arial" w:cs="Arial" w:eastAsia="Arial" w:hAnsi="Arial"/>
                <w:sz w:val="14"/>
                <w:szCs w:val="14"/>
                <w:color w:val="auto"/>
              </w:rPr>
              <w:t>18,914.5</w:t>
            </w:r>
          </w:p>
        </w:tc>
        <w:tc>
          <w:tcPr>
            <w:tcW w:w="134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(5.6 )%</w:t>
            </w:r>
          </w:p>
        </w:tc>
        <w:tc>
          <w:tcPr>
            <w:tcW w:w="1440" w:type="dxa"/>
            <w:vAlign w:val="bottom"/>
            <w:shd w:val="clear" w:color="auto" w:fill="E2E8F1"/>
          </w:tcPr>
          <w:p>
            <w:pPr>
              <w:jc w:val="right"/>
              <w:ind w:right="111"/>
              <w:spacing w:after="0"/>
              <w:rPr>
                <w:sz w:val="20"/>
                <w:szCs w:val="20"/>
                <w:color w:val="auto"/>
              </w:rPr>
            </w:pPr>
            <w:r>
              <w:rPr>
                <w:rFonts w:ascii="Arial" w:cs="Arial" w:eastAsia="Arial" w:hAnsi="Arial"/>
                <w:sz w:val="14"/>
                <w:szCs w:val="14"/>
                <w:color w:val="auto"/>
              </w:rPr>
              <w:t>(3.4 )%</w:t>
            </w:r>
          </w:p>
        </w:tc>
        <w:tc>
          <w:tcPr>
            <w:tcW w:w="13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auto"/>
              </w:rPr>
              <w:t>Cost of services</w:t>
            </w:r>
          </w:p>
        </w:tc>
        <w:tc>
          <w:tcPr>
            <w:tcW w:w="420" w:type="dxa"/>
            <w:vAlign w:val="bottom"/>
            <w:tcBorders>
              <w:bottom w:val="single" w:sz="8" w:color="231F20"/>
            </w:tcBorders>
          </w:tcPr>
          <w:p>
            <w:pPr>
              <w:spacing w:after="0"/>
              <w:rPr>
                <w:sz w:val="16"/>
                <w:szCs w:val="16"/>
                <w:color w:val="auto"/>
              </w:rPr>
            </w:pPr>
          </w:p>
        </w:tc>
        <w:tc>
          <w:tcPr>
            <w:tcW w:w="1020" w:type="dxa"/>
            <w:vAlign w:val="bottom"/>
            <w:tcBorders>
              <w:bottom w:val="single" w:sz="8" w:color="231F20"/>
            </w:tcBorders>
          </w:tcPr>
          <w:p>
            <w:pPr>
              <w:jc w:val="right"/>
              <w:ind w:right="169"/>
              <w:spacing w:after="0"/>
              <w:rPr>
                <w:sz w:val="20"/>
                <w:szCs w:val="20"/>
                <w:color w:val="auto"/>
              </w:rPr>
            </w:pPr>
            <w:r>
              <w:rPr>
                <w:rFonts w:ascii="Arial" w:cs="Arial" w:eastAsia="Arial" w:hAnsi="Arial"/>
                <w:sz w:val="14"/>
                <w:szCs w:val="14"/>
                <w:color w:val="auto"/>
              </w:rPr>
              <w:t>14,767.1</w:t>
            </w:r>
          </w:p>
        </w:tc>
        <w:tc>
          <w:tcPr>
            <w:tcW w:w="300" w:type="dxa"/>
            <w:vAlign w:val="bottom"/>
            <w:tcBorders>
              <w:bottom w:val="single" w:sz="8" w:color="231F20"/>
            </w:tcBorders>
          </w:tcPr>
          <w:p>
            <w:pPr>
              <w:spacing w:after="0"/>
              <w:rPr>
                <w:sz w:val="16"/>
                <w:szCs w:val="16"/>
                <w:color w:val="auto"/>
              </w:rPr>
            </w:pPr>
          </w:p>
        </w:tc>
        <w:tc>
          <w:tcPr>
            <w:tcW w:w="1100" w:type="dxa"/>
            <w:vAlign w:val="bottom"/>
            <w:tcBorders>
              <w:bottom w:val="single" w:sz="8" w:color="231F20"/>
            </w:tcBorders>
          </w:tcPr>
          <w:p>
            <w:pPr>
              <w:jc w:val="right"/>
              <w:ind w:right="269"/>
              <w:spacing w:after="0"/>
              <w:rPr>
                <w:sz w:val="20"/>
                <w:szCs w:val="20"/>
                <w:color w:val="auto"/>
              </w:rPr>
            </w:pPr>
            <w:r>
              <w:rPr>
                <w:rFonts w:ascii="Arial" w:cs="Arial" w:eastAsia="Arial" w:hAnsi="Arial"/>
                <w:sz w:val="14"/>
                <w:szCs w:val="14"/>
                <w:color w:val="auto"/>
              </w:rPr>
              <w:t>15,556.5</w:t>
            </w:r>
          </w:p>
        </w:tc>
        <w:tc>
          <w:tcPr>
            <w:tcW w:w="1340" w:type="dxa"/>
            <w:vAlign w:val="bottom"/>
            <w:tcBorders>
              <w:bottom w:val="single" w:sz="8" w:color="231F20"/>
            </w:tcBorders>
          </w:tcPr>
          <w:p>
            <w:pPr>
              <w:jc w:val="right"/>
              <w:ind w:right="230"/>
              <w:spacing w:after="0"/>
              <w:rPr>
                <w:sz w:val="20"/>
                <w:szCs w:val="20"/>
                <w:color w:val="auto"/>
              </w:rPr>
            </w:pPr>
            <w:r>
              <w:rPr>
                <w:rFonts w:ascii="Arial" w:cs="Arial" w:eastAsia="Arial" w:hAnsi="Arial"/>
                <w:sz w:val="14"/>
                <w:szCs w:val="14"/>
                <w:color w:val="auto"/>
              </w:rPr>
              <w:t>(5.1 )</w:t>
            </w:r>
          </w:p>
        </w:tc>
        <w:tc>
          <w:tcPr>
            <w:tcW w:w="1440" w:type="dxa"/>
            <w:vAlign w:val="bottom"/>
            <w:tcBorders>
              <w:bottom w:val="single" w:sz="8" w:color="231F20"/>
            </w:tcBorders>
          </w:tcPr>
          <w:p>
            <w:pPr>
              <w:jc w:val="right"/>
              <w:ind w:right="231"/>
              <w:spacing w:after="0"/>
              <w:rPr>
                <w:sz w:val="20"/>
                <w:szCs w:val="20"/>
                <w:color w:val="auto"/>
              </w:rPr>
            </w:pPr>
            <w:r>
              <w:rPr>
                <w:rFonts w:ascii="Arial" w:cs="Arial" w:eastAsia="Arial" w:hAnsi="Arial"/>
                <w:sz w:val="14"/>
                <w:szCs w:val="14"/>
                <w:color w:val="auto"/>
              </w:rPr>
              <w:t>(2.8 )</w:t>
            </w:r>
          </w:p>
        </w:tc>
        <w:tc>
          <w:tcPr>
            <w:tcW w:w="130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340" w:type="dxa"/>
            <w:vAlign w:val="bottom"/>
            <w:shd w:val="clear" w:color="auto" w:fill="E2E8F1"/>
          </w:tcPr>
          <w:p>
            <w:pPr>
              <w:ind w:left="80"/>
              <w:spacing w:after="0"/>
              <w:rPr>
                <w:sz w:val="20"/>
                <w:szCs w:val="20"/>
                <w:color w:val="auto"/>
              </w:rPr>
            </w:pPr>
            <w:r>
              <w:rPr>
                <w:rFonts w:ascii="Arial" w:cs="Arial" w:eastAsia="Arial" w:hAnsi="Arial"/>
                <w:sz w:val="14"/>
                <w:szCs w:val="14"/>
                <w:color w:val="auto"/>
              </w:rPr>
              <w:t>Gross profit</w:t>
            </w:r>
          </w:p>
        </w:tc>
        <w:tc>
          <w:tcPr>
            <w:tcW w:w="420" w:type="dxa"/>
            <w:vAlign w:val="bottom"/>
            <w:shd w:val="clear" w:color="auto" w:fill="E2E8F1"/>
          </w:tcPr>
          <w:p>
            <w:pPr>
              <w:spacing w:after="0"/>
              <w:rPr>
                <w:sz w:val="15"/>
                <w:szCs w:val="15"/>
                <w:color w:val="auto"/>
              </w:rPr>
            </w:pPr>
          </w:p>
        </w:tc>
        <w:tc>
          <w:tcPr>
            <w:tcW w:w="1020" w:type="dxa"/>
            <w:vAlign w:val="bottom"/>
            <w:shd w:val="clear" w:color="auto" w:fill="E2E8F1"/>
          </w:tcPr>
          <w:p>
            <w:pPr>
              <w:jc w:val="right"/>
              <w:ind w:right="169"/>
              <w:spacing w:after="0"/>
              <w:rPr>
                <w:sz w:val="20"/>
                <w:szCs w:val="20"/>
                <w:color w:val="auto"/>
              </w:rPr>
            </w:pPr>
            <w:r>
              <w:rPr>
                <w:rFonts w:ascii="Arial" w:cs="Arial" w:eastAsia="Arial" w:hAnsi="Arial"/>
                <w:sz w:val="14"/>
                <w:szCs w:val="14"/>
                <w:color w:val="auto"/>
              </w:rPr>
              <w:t>3,086.8</w:t>
            </w:r>
          </w:p>
        </w:tc>
        <w:tc>
          <w:tcPr>
            <w:tcW w:w="300" w:type="dxa"/>
            <w:vAlign w:val="bottom"/>
            <w:shd w:val="clear" w:color="auto" w:fill="E2E8F1"/>
          </w:tcPr>
          <w:p>
            <w:pPr>
              <w:spacing w:after="0"/>
              <w:rPr>
                <w:sz w:val="15"/>
                <w:szCs w:val="15"/>
                <w:color w:val="auto"/>
              </w:rPr>
            </w:pPr>
          </w:p>
        </w:tc>
        <w:tc>
          <w:tcPr>
            <w:tcW w:w="1100" w:type="dxa"/>
            <w:vAlign w:val="bottom"/>
            <w:shd w:val="clear" w:color="auto" w:fill="E2E8F1"/>
          </w:tcPr>
          <w:p>
            <w:pPr>
              <w:jc w:val="right"/>
              <w:ind w:right="269"/>
              <w:spacing w:after="0"/>
              <w:rPr>
                <w:sz w:val="20"/>
                <w:szCs w:val="20"/>
                <w:color w:val="auto"/>
              </w:rPr>
            </w:pPr>
            <w:r>
              <w:rPr>
                <w:rFonts w:ascii="Arial" w:cs="Arial" w:eastAsia="Arial" w:hAnsi="Arial"/>
                <w:sz w:val="14"/>
                <w:szCs w:val="14"/>
                <w:color w:val="auto"/>
              </w:rPr>
              <w:t>3,358.0</w:t>
            </w:r>
          </w:p>
        </w:tc>
        <w:tc>
          <w:tcPr>
            <w:tcW w:w="1340" w:type="dxa"/>
            <w:vAlign w:val="bottom"/>
            <w:shd w:val="clear" w:color="auto" w:fill="E2E8F1"/>
          </w:tcPr>
          <w:p>
            <w:pPr>
              <w:jc w:val="right"/>
              <w:ind w:right="230"/>
              <w:spacing w:after="0"/>
              <w:rPr>
                <w:sz w:val="20"/>
                <w:szCs w:val="20"/>
                <w:color w:val="auto"/>
              </w:rPr>
            </w:pPr>
            <w:r>
              <w:rPr>
                <w:rFonts w:ascii="Arial" w:cs="Arial" w:eastAsia="Arial" w:hAnsi="Arial"/>
                <w:sz w:val="14"/>
                <w:szCs w:val="14"/>
                <w:color w:val="auto"/>
              </w:rPr>
              <w:t>(8.1 )</w:t>
            </w:r>
          </w:p>
        </w:tc>
        <w:tc>
          <w:tcPr>
            <w:tcW w:w="1440" w:type="dxa"/>
            <w:vAlign w:val="bottom"/>
            <w:shd w:val="clear" w:color="auto" w:fill="E2E8F1"/>
          </w:tcPr>
          <w:p>
            <w:pPr>
              <w:jc w:val="right"/>
              <w:ind w:right="231"/>
              <w:spacing w:after="0"/>
              <w:rPr>
                <w:sz w:val="20"/>
                <w:szCs w:val="20"/>
                <w:color w:val="auto"/>
              </w:rPr>
            </w:pPr>
            <w:r>
              <w:rPr>
                <w:rFonts w:ascii="Arial" w:cs="Arial" w:eastAsia="Arial" w:hAnsi="Arial"/>
                <w:sz w:val="14"/>
                <w:szCs w:val="14"/>
                <w:color w:val="auto"/>
              </w:rPr>
              <w:t>(6.2 )</w:t>
            </w:r>
          </w:p>
        </w:tc>
        <w:tc>
          <w:tcPr>
            <w:tcW w:w="1300" w:type="dxa"/>
            <w:vAlign w:val="bottom"/>
            <w:shd w:val="clear" w:color="auto" w:fill="E2E8F1"/>
          </w:tcPr>
          <w:p>
            <w:pPr>
              <w:jc w:val="right"/>
              <w:ind w:right="73"/>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88"/>
        </w:trPr>
        <w:tc>
          <w:tcPr>
            <w:tcW w:w="4340" w:type="dxa"/>
            <w:vAlign w:val="bottom"/>
          </w:tcPr>
          <w:p>
            <w:pPr>
              <w:ind w:left="80"/>
              <w:spacing w:after="0"/>
              <w:rPr>
                <w:sz w:val="20"/>
                <w:szCs w:val="20"/>
                <w:color w:val="auto"/>
              </w:rPr>
            </w:pPr>
            <w:r>
              <w:rPr>
                <w:rFonts w:ascii="Arial" w:cs="Arial" w:eastAsia="Arial" w:hAnsi="Arial"/>
                <w:sz w:val="14"/>
                <w:szCs w:val="14"/>
                <w:i w:val="1"/>
                <w:iCs w:val="1"/>
                <w:color w:val="auto"/>
              </w:rPr>
              <w:t>Gross profit margin</w:t>
            </w:r>
          </w:p>
        </w:tc>
        <w:tc>
          <w:tcPr>
            <w:tcW w:w="4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i w:val="1"/>
                <w:iCs w:val="1"/>
                <w:color w:val="auto"/>
              </w:rPr>
              <w:t>17.3 %</w:t>
            </w:r>
          </w:p>
        </w:tc>
        <w:tc>
          <w:tcPr>
            <w:tcW w:w="30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i w:val="1"/>
                <w:iCs w:val="1"/>
                <w:color w:val="auto"/>
              </w:rPr>
              <w:t>17.8 %</w:t>
            </w: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340" w:type="dxa"/>
            <w:vAlign w:val="bottom"/>
            <w:shd w:val="clear" w:color="auto" w:fill="E2E8F1"/>
          </w:tcPr>
          <w:p>
            <w:pPr>
              <w:ind w:left="80"/>
              <w:spacing w:after="0" w:line="155" w:lineRule="exact"/>
              <w:rPr>
                <w:sz w:val="20"/>
                <w:szCs w:val="20"/>
                <w:color w:val="auto"/>
              </w:rPr>
            </w:pPr>
            <w:r>
              <w:rPr>
                <w:rFonts w:ascii="Arial" w:cs="Arial" w:eastAsia="Arial" w:hAnsi="Arial"/>
                <w:sz w:val="14"/>
                <w:szCs w:val="14"/>
                <w:color w:val="auto"/>
              </w:rPr>
              <w:t>Selling and administrative expenses, excluding goodwill</w:t>
            </w:r>
          </w:p>
        </w:tc>
        <w:tc>
          <w:tcPr>
            <w:tcW w:w="420" w:type="dxa"/>
            <w:vAlign w:val="bottom"/>
            <w:shd w:val="clear" w:color="auto" w:fill="E2E8F1"/>
          </w:tcPr>
          <w:p>
            <w:pPr>
              <w:spacing w:after="0"/>
              <w:rPr>
                <w:sz w:val="13"/>
                <w:szCs w:val="13"/>
                <w:color w:val="auto"/>
              </w:rPr>
            </w:pPr>
          </w:p>
        </w:tc>
        <w:tc>
          <w:tcPr>
            <w:tcW w:w="1020" w:type="dxa"/>
            <w:vAlign w:val="bottom"/>
            <w:vMerge w:val="restart"/>
            <w:shd w:val="clear" w:color="auto" w:fill="E2E8F1"/>
          </w:tcPr>
          <w:p>
            <w:pPr>
              <w:jc w:val="right"/>
              <w:ind w:right="169"/>
              <w:spacing w:after="0"/>
              <w:rPr>
                <w:sz w:val="20"/>
                <w:szCs w:val="20"/>
                <w:color w:val="auto"/>
              </w:rPr>
            </w:pPr>
            <w:r>
              <w:rPr>
                <w:rFonts w:ascii="Arial" w:cs="Arial" w:eastAsia="Arial" w:hAnsi="Arial"/>
                <w:sz w:val="14"/>
                <w:szCs w:val="14"/>
                <w:color w:val="auto"/>
              </w:rPr>
              <w:t>2,780.8</w:t>
            </w:r>
          </w:p>
        </w:tc>
        <w:tc>
          <w:tcPr>
            <w:tcW w:w="300" w:type="dxa"/>
            <w:vAlign w:val="bottom"/>
            <w:shd w:val="clear" w:color="auto" w:fill="E2E8F1"/>
          </w:tcPr>
          <w:p>
            <w:pPr>
              <w:spacing w:after="0"/>
              <w:rPr>
                <w:sz w:val="13"/>
                <w:szCs w:val="13"/>
                <w:color w:val="auto"/>
              </w:rPr>
            </w:pPr>
          </w:p>
        </w:tc>
        <w:tc>
          <w:tcPr>
            <w:tcW w:w="1100" w:type="dxa"/>
            <w:vAlign w:val="bottom"/>
            <w:vMerge w:val="restart"/>
            <w:shd w:val="clear" w:color="auto" w:fill="E2E8F1"/>
          </w:tcPr>
          <w:p>
            <w:pPr>
              <w:jc w:val="right"/>
              <w:ind w:right="269"/>
              <w:spacing w:after="0"/>
              <w:rPr>
                <w:sz w:val="20"/>
                <w:szCs w:val="20"/>
                <w:color w:val="auto"/>
              </w:rPr>
            </w:pPr>
            <w:r>
              <w:rPr>
                <w:rFonts w:ascii="Arial" w:cs="Arial" w:eastAsia="Arial" w:hAnsi="Arial"/>
                <w:sz w:val="14"/>
                <w:szCs w:val="14"/>
                <w:color w:val="auto"/>
              </w:rPr>
              <w:t>3,047.1</w:t>
            </w:r>
          </w:p>
        </w:tc>
        <w:tc>
          <w:tcPr>
            <w:tcW w:w="1340" w:type="dxa"/>
            <w:vAlign w:val="bottom"/>
            <w:vMerge w:val="restart"/>
            <w:shd w:val="clear" w:color="auto" w:fill="E2E8F1"/>
          </w:tcPr>
          <w:p>
            <w:pPr>
              <w:jc w:val="right"/>
              <w:ind w:right="230"/>
              <w:spacing w:after="0"/>
              <w:rPr>
                <w:sz w:val="20"/>
                <w:szCs w:val="20"/>
                <w:color w:val="auto"/>
              </w:rPr>
            </w:pPr>
            <w:r>
              <w:rPr>
                <w:rFonts w:ascii="Arial" w:cs="Arial" w:eastAsia="Arial" w:hAnsi="Arial"/>
                <w:sz w:val="14"/>
                <w:szCs w:val="14"/>
                <w:color w:val="auto"/>
              </w:rPr>
              <w:t>(8.7 )</w:t>
            </w:r>
          </w:p>
        </w:tc>
        <w:tc>
          <w:tcPr>
            <w:tcW w:w="1440" w:type="dxa"/>
            <w:vAlign w:val="bottom"/>
            <w:vMerge w:val="restart"/>
            <w:shd w:val="clear" w:color="auto" w:fill="E2E8F1"/>
          </w:tcPr>
          <w:p>
            <w:pPr>
              <w:jc w:val="right"/>
              <w:ind w:right="231"/>
              <w:spacing w:after="0"/>
              <w:rPr>
                <w:sz w:val="20"/>
                <w:szCs w:val="20"/>
                <w:color w:val="auto"/>
              </w:rPr>
            </w:pPr>
            <w:r>
              <w:rPr>
                <w:rFonts w:ascii="Arial" w:cs="Arial" w:eastAsia="Arial" w:hAnsi="Arial"/>
                <w:sz w:val="14"/>
                <w:szCs w:val="14"/>
                <w:color w:val="auto"/>
              </w:rPr>
              <w:t>(7.1 )</w:t>
            </w:r>
          </w:p>
        </w:tc>
        <w:tc>
          <w:tcPr>
            <w:tcW w:w="130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340" w:type="dxa"/>
            <w:vAlign w:val="bottom"/>
            <w:vMerge w:val="restart"/>
            <w:shd w:val="clear" w:color="auto" w:fill="E2E8F1"/>
          </w:tcPr>
          <w:p>
            <w:pPr>
              <w:ind w:left="80"/>
              <w:spacing w:after="0"/>
              <w:rPr>
                <w:sz w:val="20"/>
                <w:szCs w:val="20"/>
                <w:color w:val="auto"/>
              </w:rPr>
            </w:pPr>
            <w:r>
              <w:rPr>
                <w:rFonts w:ascii="Arial" w:cs="Arial" w:eastAsia="Arial" w:hAnsi="Arial"/>
                <w:sz w:val="14"/>
                <w:szCs w:val="14"/>
                <w:color w:val="auto"/>
              </w:rPr>
              <w:t>impairment charges</w:t>
            </w:r>
          </w:p>
        </w:tc>
        <w:tc>
          <w:tcPr>
            <w:tcW w:w="420" w:type="dxa"/>
            <w:vAlign w:val="bottom"/>
            <w:shd w:val="clear" w:color="auto" w:fill="E2E8F1"/>
          </w:tcPr>
          <w:p>
            <w:pPr>
              <w:spacing w:after="0"/>
              <w:rPr>
                <w:sz w:val="9"/>
                <w:szCs w:val="9"/>
                <w:color w:val="auto"/>
              </w:rPr>
            </w:pPr>
          </w:p>
        </w:tc>
        <w:tc>
          <w:tcPr>
            <w:tcW w:w="1020" w:type="dxa"/>
            <w:vAlign w:val="bottom"/>
            <w:vMerge w:val="continue"/>
            <w:shd w:val="clear" w:color="auto" w:fill="E2E8F1"/>
          </w:tcPr>
          <w:p>
            <w:pPr>
              <w:spacing w:after="0"/>
              <w:rPr>
                <w:sz w:val="9"/>
                <w:szCs w:val="9"/>
                <w:color w:val="auto"/>
              </w:rPr>
            </w:pPr>
          </w:p>
        </w:tc>
        <w:tc>
          <w:tcPr>
            <w:tcW w:w="300" w:type="dxa"/>
            <w:vAlign w:val="bottom"/>
            <w:shd w:val="clear" w:color="auto" w:fill="E2E8F1"/>
          </w:tcPr>
          <w:p>
            <w:pPr>
              <w:spacing w:after="0"/>
              <w:rPr>
                <w:sz w:val="9"/>
                <w:szCs w:val="9"/>
                <w:color w:val="auto"/>
              </w:rPr>
            </w:pPr>
          </w:p>
        </w:tc>
        <w:tc>
          <w:tcPr>
            <w:tcW w:w="1100" w:type="dxa"/>
            <w:vAlign w:val="bottom"/>
            <w:vMerge w:val="continue"/>
            <w:shd w:val="clear" w:color="auto" w:fill="E2E8F1"/>
          </w:tcPr>
          <w:p>
            <w:pPr>
              <w:spacing w:after="0"/>
              <w:rPr>
                <w:sz w:val="9"/>
                <w:szCs w:val="9"/>
                <w:color w:val="auto"/>
              </w:rPr>
            </w:pPr>
          </w:p>
        </w:tc>
        <w:tc>
          <w:tcPr>
            <w:tcW w:w="1340" w:type="dxa"/>
            <w:vAlign w:val="bottom"/>
            <w:vMerge w:val="continue"/>
            <w:shd w:val="clear" w:color="auto" w:fill="E2E8F1"/>
          </w:tcPr>
          <w:p>
            <w:pPr>
              <w:spacing w:after="0"/>
              <w:rPr>
                <w:sz w:val="9"/>
                <w:szCs w:val="9"/>
                <w:color w:val="auto"/>
              </w:rPr>
            </w:pPr>
          </w:p>
        </w:tc>
        <w:tc>
          <w:tcPr>
            <w:tcW w:w="1440" w:type="dxa"/>
            <w:vAlign w:val="bottom"/>
            <w:vMerge w:val="continue"/>
            <w:shd w:val="clear" w:color="auto" w:fill="E2E8F1"/>
          </w:tcPr>
          <w:p>
            <w:pPr>
              <w:spacing w:after="0"/>
              <w:rPr>
                <w:sz w:val="9"/>
                <w:szCs w:val="9"/>
                <w:color w:val="auto"/>
              </w:rPr>
            </w:pPr>
          </w:p>
        </w:tc>
        <w:tc>
          <w:tcPr>
            <w:tcW w:w="1300" w:type="dxa"/>
            <w:vAlign w:val="bottom"/>
            <w:shd w:val="clear" w:color="auto" w:fill="E2E8F1"/>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340" w:type="dxa"/>
            <w:vAlign w:val="bottom"/>
            <w:vMerge w:val="continue"/>
            <w:shd w:val="clear" w:color="auto" w:fill="E2E8F1"/>
          </w:tcPr>
          <w:p>
            <w:pPr>
              <w:spacing w:after="0"/>
              <w:rPr>
                <w:sz w:val="6"/>
                <w:szCs w:val="6"/>
                <w:color w:val="auto"/>
              </w:rPr>
            </w:pPr>
          </w:p>
        </w:tc>
        <w:tc>
          <w:tcPr>
            <w:tcW w:w="420" w:type="dxa"/>
            <w:vAlign w:val="bottom"/>
            <w:shd w:val="clear" w:color="auto" w:fill="E2E8F1"/>
          </w:tcPr>
          <w:p>
            <w:pPr>
              <w:spacing w:after="0"/>
              <w:rPr>
                <w:sz w:val="6"/>
                <w:szCs w:val="6"/>
                <w:color w:val="auto"/>
              </w:rPr>
            </w:pPr>
          </w:p>
        </w:tc>
        <w:tc>
          <w:tcPr>
            <w:tcW w:w="1020" w:type="dxa"/>
            <w:vAlign w:val="bottom"/>
            <w:shd w:val="clear" w:color="auto" w:fill="E2E8F1"/>
          </w:tcPr>
          <w:p>
            <w:pPr>
              <w:spacing w:after="0"/>
              <w:rPr>
                <w:sz w:val="6"/>
                <w:szCs w:val="6"/>
                <w:color w:val="auto"/>
              </w:rPr>
            </w:pPr>
          </w:p>
        </w:tc>
        <w:tc>
          <w:tcPr>
            <w:tcW w:w="300" w:type="dxa"/>
            <w:vAlign w:val="bottom"/>
            <w:shd w:val="clear" w:color="auto" w:fill="E2E8F1"/>
          </w:tcPr>
          <w:p>
            <w:pPr>
              <w:spacing w:after="0"/>
              <w:rPr>
                <w:sz w:val="6"/>
                <w:szCs w:val="6"/>
                <w:color w:val="auto"/>
              </w:rPr>
            </w:pPr>
          </w:p>
        </w:tc>
        <w:tc>
          <w:tcPr>
            <w:tcW w:w="1100" w:type="dxa"/>
            <w:vAlign w:val="bottom"/>
            <w:shd w:val="clear" w:color="auto" w:fill="E2E8F1"/>
          </w:tcPr>
          <w:p>
            <w:pPr>
              <w:spacing w:after="0"/>
              <w:rPr>
                <w:sz w:val="6"/>
                <w:szCs w:val="6"/>
                <w:color w:val="auto"/>
              </w:rPr>
            </w:pPr>
          </w:p>
        </w:tc>
        <w:tc>
          <w:tcPr>
            <w:tcW w:w="1340" w:type="dxa"/>
            <w:vAlign w:val="bottom"/>
            <w:shd w:val="clear" w:color="auto" w:fill="E2E8F1"/>
          </w:tcPr>
          <w:p>
            <w:pPr>
              <w:spacing w:after="0"/>
              <w:rPr>
                <w:sz w:val="6"/>
                <w:szCs w:val="6"/>
                <w:color w:val="auto"/>
              </w:rPr>
            </w:pPr>
          </w:p>
        </w:tc>
        <w:tc>
          <w:tcPr>
            <w:tcW w:w="1440" w:type="dxa"/>
            <w:vAlign w:val="bottom"/>
            <w:shd w:val="clear" w:color="auto" w:fill="E2E8F1"/>
          </w:tcPr>
          <w:p>
            <w:pPr>
              <w:spacing w:after="0"/>
              <w:rPr>
                <w:sz w:val="6"/>
                <w:szCs w:val="6"/>
                <w:color w:val="auto"/>
              </w:rPr>
            </w:pPr>
          </w:p>
        </w:tc>
        <w:tc>
          <w:tcPr>
            <w:tcW w:w="1300" w:type="dxa"/>
            <w:vAlign w:val="bottom"/>
            <w:shd w:val="clear" w:color="auto" w:fill="E2E8F1"/>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434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auto"/>
              </w:rPr>
              <w:t>Goodwill impairment charges</w:t>
            </w:r>
          </w:p>
        </w:tc>
        <w:tc>
          <w:tcPr>
            <w:tcW w:w="420" w:type="dxa"/>
            <w:vAlign w:val="bottom"/>
            <w:tcBorders>
              <w:bottom w:val="single" w:sz="8" w:color="231F20"/>
            </w:tcBorders>
          </w:tcPr>
          <w:p>
            <w:pPr>
              <w:spacing w:after="0"/>
              <w:rPr>
                <w:sz w:val="16"/>
                <w:szCs w:val="16"/>
                <w:color w:val="auto"/>
              </w:rPr>
            </w:pPr>
          </w:p>
        </w:tc>
        <w:tc>
          <w:tcPr>
            <w:tcW w:w="1020" w:type="dxa"/>
            <w:vAlign w:val="bottom"/>
            <w:tcBorders>
              <w:bottom w:val="single" w:sz="8" w:color="231F20"/>
            </w:tcBorders>
          </w:tcPr>
          <w:p>
            <w:pPr>
              <w:jc w:val="right"/>
              <w:ind w:right="16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231F20"/>
            </w:tcBorders>
          </w:tcPr>
          <w:p>
            <w:pPr>
              <w:spacing w:after="0"/>
              <w:rPr>
                <w:sz w:val="16"/>
                <w:szCs w:val="16"/>
                <w:color w:val="auto"/>
              </w:rPr>
            </w:pPr>
          </w:p>
        </w:tc>
        <w:tc>
          <w:tcPr>
            <w:tcW w:w="1100" w:type="dxa"/>
            <w:vAlign w:val="bottom"/>
            <w:tcBorders>
              <w:bottom w:val="single" w:sz="8" w:color="231F20"/>
            </w:tcBorders>
          </w:tcPr>
          <w:p>
            <w:pPr>
              <w:jc w:val="right"/>
              <w:ind w:right="269"/>
              <w:spacing w:after="0"/>
              <w:rPr>
                <w:sz w:val="20"/>
                <w:szCs w:val="20"/>
                <w:color w:val="auto"/>
              </w:rPr>
            </w:pPr>
            <w:r>
              <w:rPr>
                <w:rFonts w:ascii="Arial" w:cs="Arial" w:eastAsia="Arial" w:hAnsi="Arial"/>
                <w:sz w:val="14"/>
                <w:szCs w:val="14"/>
                <w:color w:val="auto"/>
              </w:rPr>
              <w:t>55.1</w:t>
            </w:r>
          </w:p>
        </w:tc>
        <w:tc>
          <w:tcPr>
            <w:tcW w:w="1340" w:type="dxa"/>
            <w:vAlign w:val="bottom"/>
            <w:tcBorders>
              <w:bottom w:val="single" w:sz="8" w:color="231F20"/>
            </w:tcBorders>
          </w:tcPr>
          <w:p>
            <w:pPr>
              <w:spacing w:after="0"/>
              <w:rPr>
                <w:sz w:val="16"/>
                <w:szCs w:val="16"/>
                <w:color w:val="auto"/>
              </w:rPr>
            </w:pPr>
          </w:p>
        </w:tc>
        <w:tc>
          <w:tcPr>
            <w:tcW w:w="1440" w:type="dxa"/>
            <w:vAlign w:val="bottom"/>
            <w:tcBorders>
              <w:bottom w:val="single" w:sz="8" w:color="231F20"/>
            </w:tcBorders>
          </w:tcPr>
          <w:p>
            <w:pPr>
              <w:spacing w:after="0"/>
              <w:rPr>
                <w:sz w:val="16"/>
                <w:szCs w:val="16"/>
                <w:color w:val="auto"/>
              </w:rPr>
            </w:pPr>
          </w:p>
        </w:tc>
        <w:tc>
          <w:tcPr>
            <w:tcW w:w="130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340" w:type="dxa"/>
            <w:vAlign w:val="bottom"/>
            <w:shd w:val="clear" w:color="auto" w:fill="E2E8F1"/>
          </w:tcPr>
          <w:p>
            <w:pPr>
              <w:ind w:left="80"/>
              <w:spacing w:after="0"/>
              <w:rPr>
                <w:sz w:val="20"/>
                <w:szCs w:val="20"/>
                <w:color w:val="auto"/>
              </w:rPr>
            </w:pPr>
            <w:r>
              <w:rPr>
                <w:rFonts w:ascii="Arial" w:cs="Arial" w:eastAsia="Arial" w:hAnsi="Arial"/>
                <w:sz w:val="14"/>
                <w:szCs w:val="14"/>
                <w:color w:val="auto"/>
              </w:rPr>
              <w:t>Selling and administrative expenses</w:t>
            </w:r>
          </w:p>
        </w:tc>
        <w:tc>
          <w:tcPr>
            <w:tcW w:w="420" w:type="dxa"/>
            <w:vAlign w:val="bottom"/>
            <w:shd w:val="clear" w:color="auto" w:fill="E2E8F1"/>
          </w:tcPr>
          <w:p>
            <w:pPr>
              <w:spacing w:after="0"/>
              <w:rPr>
                <w:sz w:val="15"/>
                <w:szCs w:val="15"/>
                <w:color w:val="auto"/>
              </w:rPr>
            </w:pPr>
          </w:p>
        </w:tc>
        <w:tc>
          <w:tcPr>
            <w:tcW w:w="1020" w:type="dxa"/>
            <w:vAlign w:val="bottom"/>
            <w:shd w:val="clear" w:color="auto" w:fill="E2E8F1"/>
          </w:tcPr>
          <w:p>
            <w:pPr>
              <w:jc w:val="right"/>
              <w:ind w:right="169"/>
              <w:spacing w:after="0"/>
              <w:rPr>
                <w:sz w:val="20"/>
                <w:szCs w:val="20"/>
                <w:color w:val="auto"/>
              </w:rPr>
            </w:pPr>
            <w:r>
              <w:rPr>
                <w:rFonts w:ascii="Arial" w:cs="Arial" w:eastAsia="Arial" w:hAnsi="Arial"/>
                <w:sz w:val="14"/>
                <w:szCs w:val="14"/>
                <w:color w:val="auto"/>
              </w:rPr>
              <w:t>2,780.8</w:t>
            </w:r>
          </w:p>
        </w:tc>
        <w:tc>
          <w:tcPr>
            <w:tcW w:w="300" w:type="dxa"/>
            <w:vAlign w:val="bottom"/>
            <w:shd w:val="clear" w:color="auto" w:fill="E2E8F1"/>
          </w:tcPr>
          <w:p>
            <w:pPr>
              <w:spacing w:after="0"/>
              <w:rPr>
                <w:sz w:val="15"/>
                <w:szCs w:val="15"/>
                <w:color w:val="auto"/>
              </w:rPr>
            </w:pPr>
          </w:p>
        </w:tc>
        <w:tc>
          <w:tcPr>
            <w:tcW w:w="1100" w:type="dxa"/>
            <w:vAlign w:val="bottom"/>
            <w:shd w:val="clear" w:color="auto" w:fill="E2E8F1"/>
          </w:tcPr>
          <w:p>
            <w:pPr>
              <w:jc w:val="right"/>
              <w:ind w:right="269"/>
              <w:spacing w:after="0"/>
              <w:rPr>
                <w:sz w:val="20"/>
                <w:szCs w:val="20"/>
                <w:color w:val="auto"/>
              </w:rPr>
            </w:pPr>
            <w:r>
              <w:rPr>
                <w:rFonts w:ascii="Arial" w:cs="Arial" w:eastAsia="Arial" w:hAnsi="Arial"/>
                <w:sz w:val="14"/>
                <w:szCs w:val="14"/>
                <w:color w:val="auto"/>
              </w:rPr>
              <w:t>3,102.2</w:t>
            </w:r>
          </w:p>
        </w:tc>
        <w:tc>
          <w:tcPr>
            <w:tcW w:w="1340" w:type="dxa"/>
            <w:vAlign w:val="bottom"/>
            <w:shd w:val="clear" w:color="auto" w:fill="E2E8F1"/>
          </w:tcPr>
          <w:p>
            <w:pPr>
              <w:jc w:val="right"/>
              <w:ind w:right="230"/>
              <w:spacing w:after="0"/>
              <w:rPr>
                <w:sz w:val="20"/>
                <w:szCs w:val="20"/>
                <w:color w:val="auto"/>
              </w:rPr>
            </w:pPr>
            <w:r>
              <w:rPr>
                <w:rFonts w:ascii="Arial" w:cs="Arial" w:eastAsia="Arial" w:hAnsi="Arial"/>
                <w:sz w:val="14"/>
                <w:szCs w:val="14"/>
                <w:color w:val="auto"/>
              </w:rPr>
              <w:t>(10.4 )</w:t>
            </w:r>
          </w:p>
        </w:tc>
        <w:tc>
          <w:tcPr>
            <w:tcW w:w="1440" w:type="dxa"/>
            <w:vAlign w:val="bottom"/>
            <w:shd w:val="clear" w:color="auto" w:fill="E2E8F1"/>
          </w:tcPr>
          <w:p>
            <w:pPr>
              <w:jc w:val="right"/>
              <w:ind w:right="231"/>
              <w:spacing w:after="0"/>
              <w:rPr>
                <w:sz w:val="20"/>
                <w:szCs w:val="20"/>
                <w:color w:val="auto"/>
              </w:rPr>
            </w:pPr>
            <w:r>
              <w:rPr>
                <w:rFonts w:ascii="Arial" w:cs="Arial" w:eastAsia="Arial" w:hAnsi="Arial"/>
                <w:sz w:val="14"/>
                <w:szCs w:val="14"/>
                <w:color w:val="auto"/>
              </w:rPr>
              <w:t>(8.8 )</w:t>
            </w:r>
          </w:p>
        </w:tc>
        <w:tc>
          <w:tcPr>
            <w:tcW w:w="1300" w:type="dxa"/>
            <w:vAlign w:val="bottom"/>
            <w:shd w:val="clear" w:color="auto" w:fill="E2E8F1"/>
          </w:tcPr>
          <w:p>
            <w:pPr>
              <w:jc w:val="right"/>
              <w:ind w:right="73"/>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231F20"/>
            </w:tcBorders>
          </w:tcPr>
          <w:p>
            <w:pPr>
              <w:ind w:left="80"/>
              <w:spacing w:after="0"/>
              <w:rPr>
                <w:sz w:val="20"/>
                <w:szCs w:val="20"/>
                <w:color w:val="auto"/>
              </w:rPr>
            </w:pPr>
            <w:r>
              <w:rPr>
                <w:rFonts w:ascii="Arial" w:cs="Arial" w:eastAsia="Arial" w:hAnsi="Arial"/>
                <w:sz w:val="14"/>
                <w:szCs w:val="14"/>
                <w:i w:val="1"/>
                <w:iCs w:val="1"/>
                <w:color w:val="auto"/>
              </w:rPr>
              <w:t>Selling and administrative expenses as a % of revenues</w:t>
            </w:r>
          </w:p>
        </w:tc>
        <w:tc>
          <w:tcPr>
            <w:tcW w:w="420" w:type="dxa"/>
            <w:vAlign w:val="bottom"/>
            <w:tcBorders>
              <w:bottom w:val="single" w:sz="8" w:color="231F20"/>
            </w:tcBorders>
          </w:tcPr>
          <w:p>
            <w:pPr>
              <w:spacing w:after="0"/>
              <w:rPr>
                <w:sz w:val="16"/>
                <w:szCs w:val="16"/>
                <w:color w:val="auto"/>
              </w:rPr>
            </w:pPr>
          </w:p>
        </w:tc>
        <w:tc>
          <w:tcPr>
            <w:tcW w:w="1020" w:type="dxa"/>
            <w:vAlign w:val="bottom"/>
            <w:tcBorders>
              <w:bottom w:val="single" w:sz="8" w:color="231F20"/>
            </w:tcBorders>
          </w:tcPr>
          <w:p>
            <w:pPr>
              <w:jc w:val="right"/>
              <w:ind w:right="9"/>
              <w:spacing w:after="0"/>
              <w:rPr>
                <w:sz w:val="20"/>
                <w:szCs w:val="20"/>
                <w:color w:val="auto"/>
              </w:rPr>
            </w:pPr>
            <w:r>
              <w:rPr>
                <w:rFonts w:ascii="Arial" w:cs="Arial" w:eastAsia="Arial" w:hAnsi="Arial"/>
                <w:sz w:val="14"/>
                <w:szCs w:val="14"/>
                <w:i w:val="1"/>
                <w:iCs w:val="1"/>
                <w:color w:val="auto"/>
              </w:rPr>
              <w:t>15.6 %</w:t>
            </w:r>
          </w:p>
        </w:tc>
        <w:tc>
          <w:tcPr>
            <w:tcW w:w="300" w:type="dxa"/>
            <w:vAlign w:val="bottom"/>
            <w:tcBorders>
              <w:bottom w:val="single" w:sz="8" w:color="231F20"/>
            </w:tcBorders>
          </w:tcPr>
          <w:p>
            <w:pPr>
              <w:spacing w:after="0"/>
              <w:rPr>
                <w:sz w:val="16"/>
                <w:szCs w:val="16"/>
                <w:color w:val="auto"/>
              </w:rPr>
            </w:pPr>
          </w:p>
        </w:tc>
        <w:tc>
          <w:tcPr>
            <w:tcW w:w="1100" w:type="dxa"/>
            <w:vAlign w:val="bottom"/>
            <w:tcBorders>
              <w:bottom w:val="single" w:sz="8" w:color="231F20"/>
            </w:tcBorders>
          </w:tcPr>
          <w:p>
            <w:pPr>
              <w:jc w:val="right"/>
              <w:ind w:right="109"/>
              <w:spacing w:after="0"/>
              <w:rPr>
                <w:sz w:val="20"/>
                <w:szCs w:val="20"/>
                <w:color w:val="auto"/>
              </w:rPr>
            </w:pPr>
            <w:r>
              <w:rPr>
                <w:rFonts w:ascii="Arial" w:cs="Arial" w:eastAsia="Arial" w:hAnsi="Arial"/>
                <w:sz w:val="14"/>
                <w:szCs w:val="14"/>
                <w:i w:val="1"/>
                <w:iCs w:val="1"/>
                <w:color w:val="auto"/>
              </w:rPr>
              <w:t>16.4 %</w:t>
            </w:r>
          </w:p>
        </w:tc>
        <w:tc>
          <w:tcPr>
            <w:tcW w:w="1340" w:type="dxa"/>
            <w:vAlign w:val="bottom"/>
            <w:tcBorders>
              <w:bottom w:val="single" w:sz="8" w:color="231F20"/>
            </w:tcBorders>
          </w:tcPr>
          <w:p>
            <w:pPr>
              <w:spacing w:after="0"/>
              <w:rPr>
                <w:sz w:val="16"/>
                <w:szCs w:val="16"/>
                <w:color w:val="auto"/>
              </w:rPr>
            </w:pPr>
          </w:p>
        </w:tc>
        <w:tc>
          <w:tcPr>
            <w:tcW w:w="1440" w:type="dxa"/>
            <w:vAlign w:val="bottom"/>
            <w:tcBorders>
              <w:bottom w:val="single" w:sz="8" w:color="231F20"/>
            </w:tcBorders>
          </w:tcPr>
          <w:p>
            <w:pPr>
              <w:spacing w:after="0"/>
              <w:rPr>
                <w:sz w:val="16"/>
                <w:szCs w:val="16"/>
                <w:color w:val="auto"/>
              </w:rPr>
            </w:pPr>
          </w:p>
        </w:tc>
        <w:tc>
          <w:tcPr>
            <w:tcW w:w="130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40" w:type="dxa"/>
            <w:vAlign w:val="bottom"/>
            <w:shd w:val="clear" w:color="auto" w:fill="E2E8F1"/>
          </w:tcPr>
          <w:p>
            <w:pPr>
              <w:ind w:left="80"/>
              <w:spacing w:after="0"/>
              <w:rPr>
                <w:sz w:val="20"/>
                <w:szCs w:val="20"/>
                <w:color w:val="auto"/>
              </w:rPr>
            </w:pPr>
            <w:r>
              <w:rPr>
                <w:rFonts w:ascii="Arial" w:cs="Arial" w:eastAsia="Arial" w:hAnsi="Arial"/>
                <w:sz w:val="14"/>
                <w:szCs w:val="14"/>
                <w:color w:val="auto"/>
              </w:rPr>
              <w:t>Operating profit</w:t>
            </w:r>
          </w:p>
        </w:tc>
        <w:tc>
          <w:tcPr>
            <w:tcW w:w="420" w:type="dxa"/>
            <w:vAlign w:val="bottom"/>
            <w:shd w:val="clear" w:color="auto" w:fill="E2E8F1"/>
          </w:tcPr>
          <w:p>
            <w:pPr>
              <w:spacing w:after="0"/>
              <w:rPr>
                <w:sz w:val="15"/>
                <w:szCs w:val="15"/>
                <w:color w:val="auto"/>
              </w:rPr>
            </w:pPr>
          </w:p>
        </w:tc>
        <w:tc>
          <w:tcPr>
            <w:tcW w:w="1020" w:type="dxa"/>
            <w:vAlign w:val="bottom"/>
            <w:shd w:val="clear" w:color="auto" w:fill="E2E8F1"/>
          </w:tcPr>
          <w:p>
            <w:pPr>
              <w:jc w:val="right"/>
              <w:ind w:right="169"/>
              <w:spacing w:after="0"/>
              <w:rPr>
                <w:sz w:val="20"/>
                <w:szCs w:val="20"/>
                <w:color w:val="auto"/>
              </w:rPr>
            </w:pPr>
            <w:r>
              <w:rPr>
                <w:rFonts w:ascii="Arial" w:cs="Arial" w:eastAsia="Arial" w:hAnsi="Arial"/>
                <w:sz w:val="14"/>
                <w:szCs w:val="14"/>
                <w:color w:val="auto"/>
              </w:rPr>
              <w:t>306.0</w:t>
            </w:r>
          </w:p>
        </w:tc>
        <w:tc>
          <w:tcPr>
            <w:tcW w:w="300" w:type="dxa"/>
            <w:vAlign w:val="bottom"/>
            <w:shd w:val="clear" w:color="auto" w:fill="E2E8F1"/>
          </w:tcPr>
          <w:p>
            <w:pPr>
              <w:spacing w:after="0"/>
              <w:rPr>
                <w:sz w:val="15"/>
                <w:szCs w:val="15"/>
                <w:color w:val="auto"/>
              </w:rPr>
            </w:pPr>
          </w:p>
        </w:tc>
        <w:tc>
          <w:tcPr>
            <w:tcW w:w="1100" w:type="dxa"/>
            <w:vAlign w:val="bottom"/>
            <w:shd w:val="clear" w:color="auto" w:fill="E2E8F1"/>
          </w:tcPr>
          <w:p>
            <w:pPr>
              <w:jc w:val="right"/>
              <w:ind w:right="269"/>
              <w:spacing w:after="0"/>
              <w:rPr>
                <w:sz w:val="20"/>
                <w:szCs w:val="20"/>
                <w:color w:val="auto"/>
              </w:rPr>
            </w:pPr>
            <w:r>
              <w:rPr>
                <w:rFonts w:ascii="Arial" w:cs="Arial" w:eastAsia="Arial" w:hAnsi="Arial"/>
                <w:sz w:val="14"/>
                <w:szCs w:val="14"/>
                <w:color w:val="auto"/>
              </w:rPr>
              <w:t>255.8</w:t>
            </w:r>
          </w:p>
        </w:tc>
        <w:tc>
          <w:tcPr>
            <w:tcW w:w="1340" w:type="dxa"/>
            <w:vAlign w:val="bottom"/>
            <w:shd w:val="clear" w:color="auto" w:fill="E2E8F1"/>
          </w:tcPr>
          <w:p>
            <w:pPr>
              <w:jc w:val="right"/>
              <w:ind w:right="310"/>
              <w:spacing w:after="0"/>
              <w:rPr>
                <w:sz w:val="20"/>
                <w:szCs w:val="20"/>
                <w:color w:val="auto"/>
              </w:rPr>
            </w:pPr>
            <w:r>
              <w:rPr>
                <w:rFonts w:ascii="Arial" w:cs="Arial" w:eastAsia="Arial" w:hAnsi="Arial"/>
                <w:sz w:val="14"/>
                <w:szCs w:val="14"/>
                <w:color w:val="auto"/>
              </w:rPr>
              <w:t>19.6</w:t>
            </w:r>
          </w:p>
        </w:tc>
        <w:tc>
          <w:tcPr>
            <w:tcW w:w="1440" w:type="dxa"/>
            <w:vAlign w:val="bottom"/>
            <w:shd w:val="clear" w:color="auto" w:fill="E2E8F1"/>
          </w:tcPr>
          <w:p>
            <w:pPr>
              <w:jc w:val="right"/>
              <w:ind w:right="311"/>
              <w:spacing w:after="0"/>
              <w:rPr>
                <w:sz w:val="20"/>
                <w:szCs w:val="20"/>
                <w:color w:val="auto"/>
              </w:rPr>
            </w:pPr>
            <w:r>
              <w:rPr>
                <w:rFonts w:ascii="Arial" w:cs="Arial" w:eastAsia="Arial" w:hAnsi="Arial"/>
                <w:sz w:val="14"/>
                <w:szCs w:val="14"/>
                <w:color w:val="auto"/>
              </w:rPr>
              <w:t>25.2</w:t>
            </w:r>
          </w:p>
        </w:tc>
        <w:tc>
          <w:tcPr>
            <w:tcW w:w="1300" w:type="dxa"/>
            <w:vAlign w:val="bottom"/>
            <w:shd w:val="clear" w:color="auto" w:fill="E2E8F1"/>
          </w:tcPr>
          <w:p>
            <w:pPr>
              <w:jc w:val="right"/>
              <w:ind w:right="153"/>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88"/>
        </w:trPr>
        <w:tc>
          <w:tcPr>
            <w:tcW w:w="4340" w:type="dxa"/>
            <w:vAlign w:val="bottom"/>
          </w:tcPr>
          <w:p>
            <w:pPr>
              <w:ind w:left="8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i w:val="1"/>
                <w:iCs w:val="1"/>
                <w:color w:val="auto"/>
              </w:rPr>
              <w:t>1.7 %</w:t>
            </w:r>
          </w:p>
        </w:tc>
        <w:tc>
          <w:tcPr>
            <w:tcW w:w="30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i w:val="1"/>
                <w:iCs w:val="1"/>
                <w:color w:val="auto"/>
              </w:rPr>
              <w:t>1.4 %</w:t>
            </w: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40" w:type="dxa"/>
            <w:vAlign w:val="bottom"/>
            <w:shd w:val="clear" w:color="auto" w:fill="E2E8F1"/>
          </w:tcPr>
          <w:p>
            <w:pPr>
              <w:ind w:left="160"/>
              <w:spacing w:after="0"/>
              <w:rPr>
                <w:sz w:val="20"/>
                <w:szCs w:val="20"/>
                <w:color w:val="auto"/>
              </w:rPr>
            </w:pPr>
            <w:r>
              <w:rPr>
                <w:rFonts w:ascii="Arial" w:cs="Arial" w:eastAsia="Arial" w:hAnsi="Arial"/>
                <w:sz w:val="14"/>
                <w:szCs w:val="14"/>
                <w:color w:val="auto"/>
              </w:rPr>
              <w:t>Net interest expense</w:t>
            </w:r>
          </w:p>
        </w:tc>
        <w:tc>
          <w:tcPr>
            <w:tcW w:w="420" w:type="dxa"/>
            <w:vAlign w:val="bottom"/>
            <w:shd w:val="clear" w:color="auto" w:fill="E2E8F1"/>
          </w:tcPr>
          <w:p>
            <w:pPr>
              <w:spacing w:after="0"/>
              <w:rPr>
                <w:sz w:val="16"/>
                <w:szCs w:val="16"/>
                <w:color w:val="auto"/>
              </w:rPr>
            </w:pPr>
          </w:p>
        </w:tc>
        <w:tc>
          <w:tcPr>
            <w:tcW w:w="1020" w:type="dxa"/>
            <w:vAlign w:val="bottom"/>
            <w:shd w:val="clear" w:color="auto" w:fill="E2E8F1"/>
          </w:tcPr>
          <w:p>
            <w:pPr>
              <w:jc w:val="right"/>
              <w:ind w:right="169"/>
              <w:spacing w:after="0"/>
              <w:rPr>
                <w:sz w:val="20"/>
                <w:szCs w:val="20"/>
                <w:color w:val="auto"/>
              </w:rPr>
            </w:pPr>
            <w:r>
              <w:rPr>
                <w:rFonts w:ascii="Arial" w:cs="Arial" w:eastAsia="Arial" w:hAnsi="Arial"/>
                <w:sz w:val="14"/>
                <w:szCs w:val="14"/>
                <w:color w:val="auto"/>
              </w:rPr>
              <w:t>56.7</w:t>
            </w:r>
          </w:p>
        </w:tc>
        <w:tc>
          <w:tcPr>
            <w:tcW w:w="300" w:type="dxa"/>
            <w:vAlign w:val="bottom"/>
            <w:shd w:val="clear" w:color="auto" w:fill="E2E8F1"/>
          </w:tcPr>
          <w:p>
            <w:pPr>
              <w:spacing w:after="0"/>
              <w:rPr>
                <w:sz w:val="16"/>
                <w:szCs w:val="16"/>
                <w:color w:val="auto"/>
              </w:rPr>
            </w:pPr>
          </w:p>
        </w:tc>
        <w:tc>
          <w:tcPr>
            <w:tcW w:w="1100" w:type="dxa"/>
            <w:vAlign w:val="bottom"/>
            <w:shd w:val="clear" w:color="auto" w:fill="E2E8F1"/>
          </w:tcPr>
          <w:p>
            <w:pPr>
              <w:jc w:val="right"/>
              <w:ind w:right="269"/>
              <w:spacing w:after="0"/>
              <w:rPr>
                <w:sz w:val="20"/>
                <w:szCs w:val="20"/>
                <w:color w:val="auto"/>
              </w:rPr>
            </w:pPr>
            <w:r>
              <w:rPr>
                <w:rFonts w:ascii="Arial" w:cs="Arial" w:eastAsia="Arial" w:hAnsi="Arial"/>
                <w:sz w:val="14"/>
                <w:szCs w:val="14"/>
                <w:color w:val="auto"/>
              </w:rPr>
              <w:t>45.5</w:t>
            </w:r>
          </w:p>
        </w:tc>
        <w:tc>
          <w:tcPr>
            <w:tcW w:w="1340" w:type="dxa"/>
            <w:vAlign w:val="bottom"/>
            <w:shd w:val="clear" w:color="auto" w:fill="E2E8F1"/>
          </w:tcPr>
          <w:p>
            <w:pPr>
              <w:spacing w:after="0"/>
              <w:rPr>
                <w:sz w:val="16"/>
                <w:szCs w:val="16"/>
                <w:color w:val="auto"/>
              </w:rPr>
            </w:pPr>
          </w:p>
        </w:tc>
        <w:tc>
          <w:tcPr>
            <w:tcW w:w="1440" w:type="dxa"/>
            <w:vAlign w:val="bottom"/>
            <w:shd w:val="clear" w:color="auto" w:fill="E2E8F1"/>
          </w:tcPr>
          <w:p>
            <w:pPr>
              <w:spacing w:after="0"/>
              <w:rPr>
                <w:sz w:val="16"/>
                <w:szCs w:val="16"/>
                <w:color w:val="auto"/>
              </w:rPr>
            </w:pPr>
          </w:p>
        </w:tc>
        <w:tc>
          <w:tcPr>
            <w:tcW w:w="1300" w:type="dxa"/>
            <w:vAlign w:val="bottom"/>
            <w:shd w:val="clear" w:color="auto" w:fill="E2E8F1"/>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40" w:type="dxa"/>
            <w:vAlign w:val="bottom"/>
            <w:tcBorders>
              <w:bottom w:val="single" w:sz="8" w:color="231F20"/>
            </w:tcBorders>
          </w:tcPr>
          <w:p>
            <w:pPr>
              <w:ind w:left="160"/>
              <w:spacing w:after="0"/>
              <w:rPr>
                <w:sz w:val="20"/>
                <w:szCs w:val="20"/>
                <w:color w:val="auto"/>
              </w:rPr>
            </w:pPr>
            <w:r>
              <w:rPr>
                <w:rFonts w:ascii="Arial" w:cs="Arial" w:eastAsia="Arial" w:hAnsi="Arial"/>
                <w:sz w:val="14"/>
                <w:szCs w:val="14"/>
                <w:color w:val="auto"/>
              </w:rPr>
              <w:t>Other expenses (income), net</w:t>
            </w:r>
          </w:p>
        </w:tc>
        <w:tc>
          <w:tcPr>
            <w:tcW w:w="420" w:type="dxa"/>
            <w:vAlign w:val="bottom"/>
            <w:tcBorders>
              <w:bottom w:val="single" w:sz="8" w:color="231F20"/>
            </w:tcBorders>
          </w:tcPr>
          <w:p>
            <w:pPr>
              <w:spacing w:after="0"/>
              <w:rPr>
                <w:sz w:val="16"/>
                <w:szCs w:val="16"/>
                <w:color w:val="auto"/>
              </w:rPr>
            </w:pPr>
          </w:p>
        </w:tc>
        <w:tc>
          <w:tcPr>
            <w:tcW w:w="1020" w:type="dxa"/>
            <w:vAlign w:val="bottom"/>
            <w:tcBorders>
              <w:bottom w:val="single" w:sz="8" w:color="231F20"/>
            </w:tcBorders>
          </w:tcPr>
          <w:p>
            <w:pPr>
              <w:jc w:val="right"/>
              <w:ind w:right="89"/>
              <w:spacing w:after="0"/>
              <w:rPr>
                <w:sz w:val="20"/>
                <w:szCs w:val="20"/>
                <w:color w:val="auto"/>
              </w:rPr>
            </w:pPr>
            <w:r>
              <w:rPr>
                <w:rFonts w:ascii="Arial" w:cs="Arial" w:eastAsia="Arial" w:hAnsi="Arial"/>
                <w:sz w:val="14"/>
                <w:szCs w:val="14"/>
                <w:color w:val="auto"/>
              </w:rPr>
              <w:t>(7.5 )</w:t>
            </w:r>
          </w:p>
        </w:tc>
        <w:tc>
          <w:tcPr>
            <w:tcW w:w="300" w:type="dxa"/>
            <w:vAlign w:val="bottom"/>
            <w:tcBorders>
              <w:bottom w:val="single" w:sz="8" w:color="231F20"/>
            </w:tcBorders>
          </w:tcPr>
          <w:p>
            <w:pPr>
              <w:spacing w:after="0"/>
              <w:rPr>
                <w:sz w:val="16"/>
                <w:szCs w:val="16"/>
                <w:color w:val="auto"/>
              </w:rPr>
            </w:pPr>
          </w:p>
        </w:tc>
        <w:tc>
          <w:tcPr>
            <w:tcW w:w="1100" w:type="dxa"/>
            <w:vAlign w:val="bottom"/>
            <w:tcBorders>
              <w:bottom w:val="single" w:sz="8" w:color="231F20"/>
            </w:tcBorders>
          </w:tcPr>
          <w:p>
            <w:pPr>
              <w:jc w:val="right"/>
              <w:ind w:right="269"/>
              <w:spacing w:after="0"/>
              <w:rPr>
                <w:sz w:val="20"/>
                <w:szCs w:val="20"/>
                <w:color w:val="auto"/>
              </w:rPr>
            </w:pPr>
            <w:r>
              <w:rPr>
                <w:rFonts w:ascii="Arial" w:cs="Arial" w:eastAsia="Arial" w:hAnsi="Arial"/>
                <w:sz w:val="14"/>
                <w:szCs w:val="14"/>
                <w:color w:val="auto"/>
              </w:rPr>
              <w:t>4.4</w:t>
            </w:r>
          </w:p>
        </w:tc>
        <w:tc>
          <w:tcPr>
            <w:tcW w:w="1340" w:type="dxa"/>
            <w:vAlign w:val="bottom"/>
            <w:tcBorders>
              <w:bottom w:val="single" w:sz="8" w:color="231F20"/>
            </w:tcBorders>
          </w:tcPr>
          <w:p>
            <w:pPr>
              <w:spacing w:after="0"/>
              <w:rPr>
                <w:sz w:val="16"/>
                <w:szCs w:val="16"/>
                <w:color w:val="auto"/>
              </w:rPr>
            </w:pPr>
          </w:p>
        </w:tc>
        <w:tc>
          <w:tcPr>
            <w:tcW w:w="1440" w:type="dxa"/>
            <w:vAlign w:val="bottom"/>
            <w:tcBorders>
              <w:bottom w:val="single" w:sz="8" w:color="231F20"/>
            </w:tcBorders>
          </w:tcPr>
          <w:p>
            <w:pPr>
              <w:spacing w:after="0"/>
              <w:rPr>
                <w:sz w:val="16"/>
                <w:szCs w:val="16"/>
                <w:color w:val="auto"/>
              </w:rPr>
            </w:pPr>
          </w:p>
        </w:tc>
        <w:tc>
          <w:tcPr>
            <w:tcW w:w="130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340" w:type="dxa"/>
            <w:vAlign w:val="bottom"/>
            <w:shd w:val="clear" w:color="auto" w:fill="E2E8F1"/>
          </w:tcPr>
          <w:p>
            <w:pPr>
              <w:ind w:left="80"/>
              <w:spacing w:after="0"/>
              <w:rPr>
                <w:sz w:val="20"/>
                <w:szCs w:val="20"/>
                <w:color w:val="auto"/>
              </w:rPr>
            </w:pPr>
            <w:r>
              <w:rPr>
                <w:rFonts w:ascii="Arial" w:cs="Arial" w:eastAsia="Arial" w:hAnsi="Arial"/>
                <w:sz w:val="14"/>
                <w:szCs w:val="14"/>
                <w:color w:val="auto"/>
              </w:rPr>
              <w:t>Earnings before income taxes</w:t>
            </w:r>
          </w:p>
        </w:tc>
        <w:tc>
          <w:tcPr>
            <w:tcW w:w="420" w:type="dxa"/>
            <w:vAlign w:val="bottom"/>
            <w:shd w:val="clear" w:color="auto" w:fill="E2E8F1"/>
          </w:tcPr>
          <w:p>
            <w:pPr>
              <w:spacing w:after="0"/>
              <w:rPr>
                <w:sz w:val="15"/>
                <w:szCs w:val="15"/>
                <w:color w:val="auto"/>
              </w:rPr>
            </w:pPr>
          </w:p>
        </w:tc>
        <w:tc>
          <w:tcPr>
            <w:tcW w:w="1020" w:type="dxa"/>
            <w:vAlign w:val="bottom"/>
            <w:shd w:val="clear" w:color="auto" w:fill="E2E8F1"/>
          </w:tcPr>
          <w:p>
            <w:pPr>
              <w:jc w:val="right"/>
              <w:ind w:right="169"/>
              <w:spacing w:after="0"/>
              <w:rPr>
                <w:sz w:val="20"/>
                <w:szCs w:val="20"/>
                <w:color w:val="auto"/>
              </w:rPr>
            </w:pPr>
            <w:r>
              <w:rPr>
                <w:rFonts w:ascii="Arial" w:cs="Arial" w:eastAsia="Arial" w:hAnsi="Arial"/>
                <w:sz w:val="14"/>
                <w:szCs w:val="14"/>
                <w:color w:val="auto"/>
              </w:rPr>
              <w:t>256.8</w:t>
            </w:r>
          </w:p>
        </w:tc>
        <w:tc>
          <w:tcPr>
            <w:tcW w:w="300" w:type="dxa"/>
            <w:vAlign w:val="bottom"/>
            <w:shd w:val="clear" w:color="auto" w:fill="E2E8F1"/>
          </w:tcPr>
          <w:p>
            <w:pPr>
              <w:spacing w:after="0"/>
              <w:rPr>
                <w:sz w:val="15"/>
                <w:szCs w:val="15"/>
                <w:color w:val="auto"/>
              </w:rPr>
            </w:pPr>
          </w:p>
        </w:tc>
        <w:tc>
          <w:tcPr>
            <w:tcW w:w="1100" w:type="dxa"/>
            <w:vAlign w:val="bottom"/>
            <w:shd w:val="clear" w:color="auto" w:fill="E2E8F1"/>
          </w:tcPr>
          <w:p>
            <w:pPr>
              <w:jc w:val="right"/>
              <w:ind w:right="269"/>
              <w:spacing w:after="0"/>
              <w:rPr>
                <w:sz w:val="20"/>
                <w:szCs w:val="20"/>
                <w:color w:val="auto"/>
              </w:rPr>
            </w:pPr>
            <w:r>
              <w:rPr>
                <w:rFonts w:ascii="Arial" w:cs="Arial" w:eastAsia="Arial" w:hAnsi="Arial"/>
                <w:sz w:val="14"/>
                <w:szCs w:val="14"/>
                <w:color w:val="auto"/>
              </w:rPr>
              <w:t>205.9</w:t>
            </w:r>
          </w:p>
        </w:tc>
        <w:tc>
          <w:tcPr>
            <w:tcW w:w="1340" w:type="dxa"/>
            <w:vAlign w:val="bottom"/>
            <w:shd w:val="clear" w:color="auto" w:fill="E2E8F1"/>
          </w:tcPr>
          <w:p>
            <w:pPr>
              <w:jc w:val="right"/>
              <w:ind w:right="310"/>
              <w:spacing w:after="0"/>
              <w:rPr>
                <w:sz w:val="20"/>
                <w:szCs w:val="20"/>
                <w:color w:val="auto"/>
              </w:rPr>
            </w:pPr>
            <w:r>
              <w:rPr>
                <w:rFonts w:ascii="Arial" w:cs="Arial" w:eastAsia="Arial" w:hAnsi="Arial"/>
                <w:sz w:val="14"/>
                <w:szCs w:val="14"/>
                <w:color w:val="auto"/>
              </w:rPr>
              <w:t>24.7</w:t>
            </w:r>
          </w:p>
        </w:tc>
        <w:tc>
          <w:tcPr>
            <w:tcW w:w="1440" w:type="dxa"/>
            <w:vAlign w:val="bottom"/>
            <w:shd w:val="clear" w:color="auto" w:fill="E2E8F1"/>
          </w:tcPr>
          <w:p>
            <w:pPr>
              <w:jc w:val="right"/>
              <w:ind w:right="311"/>
              <w:spacing w:after="0"/>
              <w:rPr>
                <w:sz w:val="20"/>
                <w:szCs w:val="20"/>
                <w:color w:val="auto"/>
              </w:rPr>
            </w:pPr>
            <w:r>
              <w:rPr>
                <w:rFonts w:ascii="Arial" w:cs="Arial" w:eastAsia="Arial" w:hAnsi="Arial"/>
                <w:sz w:val="14"/>
                <w:szCs w:val="14"/>
                <w:color w:val="auto"/>
              </w:rPr>
              <w:t>31.1</w:t>
            </w:r>
          </w:p>
        </w:tc>
        <w:tc>
          <w:tcPr>
            <w:tcW w:w="1300" w:type="dxa"/>
            <w:vAlign w:val="bottom"/>
            <w:shd w:val="clear" w:color="auto" w:fill="E2E8F1"/>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40" w:type="dxa"/>
            <w:vAlign w:val="bottom"/>
          </w:tcPr>
          <w:p>
            <w:pPr>
              <w:ind w:left="160"/>
              <w:spacing w:after="0"/>
              <w:rPr>
                <w:sz w:val="20"/>
                <w:szCs w:val="20"/>
                <w:color w:val="auto"/>
              </w:rPr>
            </w:pPr>
            <w:r>
              <w:rPr>
                <w:rFonts w:ascii="Arial" w:cs="Arial" w:eastAsia="Arial" w:hAnsi="Arial"/>
                <w:sz w:val="14"/>
                <w:szCs w:val="14"/>
                <w:color w:val="auto"/>
              </w:rPr>
              <w:t>Provision for income taxes</w:t>
            </w:r>
          </w:p>
        </w:tc>
        <w:tc>
          <w:tcPr>
            <w:tcW w:w="420" w:type="dxa"/>
            <w:vAlign w:val="bottom"/>
          </w:tcPr>
          <w:p>
            <w:pPr>
              <w:spacing w:after="0"/>
              <w:rPr>
                <w:sz w:val="16"/>
                <w:szCs w:val="16"/>
                <w:color w:val="auto"/>
              </w:rPr>
            </w:pPr>
          </w:p>
        </w:tc>
        <w:tc>
          <w:tcPr>
            <w:tcW w:w="1020" w:type="dxa"/>
            <w:vAlign w:val="bottom"/>
          </w:tcPr>
          <w:p>
            <w:pPr>
              <w:jc w:val="right"/>
              <w:ind w:right="169"/>
              <w:spacing w:after="0"/>
              <w:rPr>
                <w:sz w:val="20"/>
                <w:szCs w:val="20"/>
                <w:color w:val="auto"/>
              </w:rPr>
            </w:pPr>
            <w:r>
              <w:rPr>
                <w:rFonts w:ascii="Arial" w:cs="Arial" w:eastAsia="Arial" w:hAnsi="Arial"/>
                <w:sz w:val="14"/>
                <w:szCs w:val="14"/>
                <w:color w:val="auto"/>
              </w:rPr>
              <w:t>111.7</w:t>
            </w:r>
          </w:p>
        </w:tc>
        <w:tc>
          <w:tcPr>
            <w:tcW w:w="300" w:type="dxa"/>
            <w:vAlign w:val="bottom"/>
          </w:tcPr>
          <w:p>
            <w:pPr>
              <w:spacing w:after="0"/>
              <w:rPr>
                <w:sz w:val="16"/>
                <w:szCs w:val="16"/>
                <w:color w:val="auto"/>
              </w:rPr>
            </w:pP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117.1</w:t>
            </w:r>
          </w:p>
        </w:tc>
        <w:tc>
          <w:tcPr>
            <w:tcW w:w="1340" w:type="dxa"/>
            <w:vAlign w:val="bottom"/>
          </w:tcPr>
          <w:p>
            <w:pPr>
              <w:jc w:val="right"/>
              <w:ind w:right="230"/>
              <w:spacing w:after="0"/>
              <w:rPr>
                <w:sz w:val="20"/>
                <w:szCs w:val="20"/>
                <w:color w:val="auto"/>
              </w:rPr>
            </w:pPr>
            <w:r>
              <w:rPr>
                <w:rFonts w:ascii="Arial" w:cs="Arial" w:eastAsia="Arial" w:hAnsi="Arial"/>
                <w:sz w:val="14"/>
                <w:szCs w:val="14"/>
                <w:color w:val="auto"/>
              </w:rPr>
              <w:t>(4.6 )</w:t>
            </w: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tcBorders>
              <w:bottom w:val="single" w:sz="8" w:color="231F20"/>
            </w:tcBorders>
            <w:shd w:val="clear" w:color="auto" w:fill="E2E8F1"/>
          </w:tcPr>
          <w:p>
            <w:pPr>
              <w:ind w:left="160"/>
              <w:spacing w:after="0"/>
              <w:rPr>
                <w:sz w:val="20"/>
                <w:szCs w:val="20"/>
                <w:color w:val="auto"/>
              </w:rPr>
            </w:pPr>
            <w:r>
              <w:rPr>
                <w:rFonts w:ascii="Arial" w:cs="Arial" w:eastAsia="Arial" w:hAnsi="Arial"/>
                <w:sz w:val="14"/>
                <w:szCs w:val="14"/>
                <w:i w:val="1"/>
                <w:iCs w:val="1"/>
                <w:color w:val="auto"/>
              </w:rPr>
              <w:t>Effective income tax rate</w:t>
            </w:r>
          </w:p>
        </w:tc>
        <w:tc>
          <w:tcPr>
            <w:tcW w:w="420" w:type="dxa"/>
            <w:vAlign w:val="bottom"/>
            <w:tcBorders>
              <w:bottom w:val="single" w:sz="8" w:color="231F20"/>
            </w:tcBorders>
            <w:shd w:val="clear" w:color="auto" w:fill="E2E8F1"/>
          </w:tcPr>
          <w:p>
            <w:pPr>
              <w:spacing w:after="0"/>
              <w:rPr>
                <w:sz w:val="16"/>
                <w:szCs w:val="16"/>
                <w:color w:val="auto"/>
              </w:rPr>
            </w:pPr>
          </w:p>
        </w:tc>
        <w:tc>
          <w:tcPr>
            <w:tcW w:w="1020" w:type="dxa"/>
            <w:vAlign w:val="bottom"/>
            <w:tcBorders>
              <w:bottom w:val="single" w:sz="8" w:color="231F20"/>
            </w:tcBorders>
            <w:shd w:val="clear" w:color="auto" w:fill="E2E8F1"/>
          </w:tcPr>
          <w:p>
            <w:pPr>
              <w:jc w:val="right"/>
              <w:ind w:right="9"/>
              <w:spacing w:after="0"/>
              <w:rPr>
                <w:sz w:val="20"/>
                <w:szCs w:val="20"/>
                <w:color w:val="auto"/>
              </w:rPr>
            </w:pPr>
            <w:r>
              <w:rPr>
                <w:rFonts w:ascii="Arial" w:cs="Arial" w:eastAsia="Arial" w:hAnsi="Arial"/>
                <w:sz w:val="14"/>
                <w:szCs w:val="14"/>
                <w:i w:val="1"/>
                <w:iCs w:val="1"/>
                <w:color w:val="auto"/>
              </w:rPr>
              <w:t>43.5 %</w:t>
            </w:r>
          </w:p>
        </w:tc>
        <w:tc>
          <w:tcPr>
            <w:tcW w:w="300" w:type="dxa"/>
            <w:vAlign w:val="bottom"/>
            <w:tcBorders>
              <w:bottom w:val="single" w:sz="8" w:color="231F20"/>
            </w:tcBorders>
            <w:shd w:val="clear" w:color="auto" w:fill="E2E8F1"/>
          </w:tcPr>
          <w:p>
            <w:pPr>
              <w:spacing w:after="0"/>
              <w:rPr>
                <w:sz w:val="16"/>
                <w:szCs w:val="16"/>
                <w:color w:val="auto"/>
              </w:rPr>
            </w:pPr>
          </w:p>
        </w:tc>
        <w:tc>
          <w:tcPr>
            <w:tcW w:w="1100" w:type="dxa"/>
            <w:vAlign w:val="bottom"/>
            <w:tcBorders>
              <w:bottom w:val="single" w:sz="8" w:color="231F20"/>
            </w:tcBorders>
            <w:shd w:val="clear" w:color="auto" w:fill="E2E8F1"/>
          </w:tcPr>
          <w:p>
            <w:pPr>
              <w:jc w:val="right"/>
              <w:ind w:right="109"/>
              <w:spacing w:after="0"/>
              <w:rPr>
                <w:sz w:val="20"/>
                <w:szCs w:val="20"/>
                <w:color w:val="auto"/>
              </w:rPr>
            </w:pPr>
            <w:r>
              <w:rPr>
                <w:rFonts w:ascii="Arial" w:cs="Arial" w:eastAsia="Arial" w:hAnsi="Arial"/>
                <w:sz w:val="14"/>
                <w:szCs w:val="14"/>
                <w:i w:val="1"/>
                <w:iCs w:val="1"/>
                <w:color w:val="auto"/>
              </w:rPr>
              <w:t>56.9 %</w:t>
            </w:r>
          </w:p>
        </w:tc>
        <w:tc>
          <w:tcPr>
            <w:tcW w:w="1340" w:type="dxa"/>
            <w:vAlign w:val="bottom"/>
            <w:tcBorders>
              <w:bottom w:val="single" w:sz="8" w:color="231F20"/>
            </w:tcBorders>
            <w:shd w:val="clear" w:color="auto" w:fill="E2E8F1"/>
          </w:tcPr>
          <w:p>
            <w:pPr>
              <w:spacing w:after="0"/>
              <w:rPr>
                <w:sz w:val="16"/>
                <w:szCs w:val="16"/>
                <w:color w:val="auto"/>
              </w:rPr>
            </w:pPr>
          </w:p>
        </w:tc>
        <w:tc>
          <w:tcPr>
            <w:tcW w:w="1440" w:type="dxa"/>
            <w:vAlign w:val="bottom"/>
            <w:tcBorders>
              <w:bottom w:val="single" w:sz="8" w:color="231F20"/>
            </w:tcBorders>
            <w:shd w:val="clear" w:color="auto" w:fill="E2E8F1"/>
          </w:tcPr>
          <w:p>
            <w:pPr>
              <w:spacing w:after="0"/>
              <w:rPr>
                <w:sz w:val="16"/>
                <w:szCs w:val="16"/>
                <w:color w:val="auto"/>
              </w:rPr>
            </w:pPr>
          </w:p>
        </w:tc>
        <w:tc>
          <w:tcPr>
            <w:tcW w:w="1300" w:type="dxa"/>
            <w:vAlign w:val="bottom"/>
            <w:tcBorders>
              <w:bottom w:val="single" w:sz="8" w:color="231F20"/>
            </w:tcBorders>
            <w:shd w:val="clear" w:color="auto" w:fill="E2E8F1"/>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34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auto"/>
              </w:rPr>
              <w:t>Net earnings</w:t>
            </w:r>
          </w:p>
        </w:tc>
        <w:tc>
          <w:tcPr>
            <w:tcW w:w="42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31F20"/>
            </w:tcBorders>
          </w:tcPr>
          <w:p>
            <w:pPr>
              <w:jc w:val="right"/>
              <w:ind w:right="169"/>
              <w:spacing w:after="0"/>
              <w:rPr>
                <w:sz w:val="20"/>
                <w:szCs w:val="20"/>
                <w:color w:val="auto"/>
              </w:rPr>
            </w:pPr>
            <w:r>
              <w:rPr>
                <w:rFonts w:ascii="Arial" w:cs="Arial" w:eastAsia="Arial" w:hAnsi="Arial"/>
                <w:sz w:val="14"/>
                <w:szCs w:val="14"/>
                <w:color w:val="auto"/>
              </w:rPr>
              <w:t>145.1</w:t>
            </w:r>
          </w:p>
        </w:tc>
        <w:tc>
          <w:tcPr>
            <w:tcW w:w="30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231F20"/>
            </w:tcBorders>
          </w:tcPr>
          <w:p>
            <w:pPr>
              <w:jc w:val="right"/>
              <w:ind w:right="269"/>
              <w:spacing w:after="0"/>
              <w:rPr>
                <w:sz w:val="20"/>
                <w:szCs w:val="20"/>
                <w:color w:val="auto"/>
              </w:rPr>
            </w:pPr>
            <w:r>
              <w:rPr>
                <w:rFonts w:ascii="Arial" w:cs="Arial" w:eastAsia="Arial" w:hAnsi="Arial"/>
                <w:sz w:val="14"/>
                <w:szCs w:val="14"/>
                <w:color w:val="auto"/>
              </w:rPr>
              <w:t>88.8</w:t>
            </w:r>
          </w:p>
        </w:tc>
        <w:tc>
          <w:tcPr>
            <w:tcW w:w="1340" w:type="dxa"/>
            <w:vAlign w:val="bottom"/>
            <w:tcBorders>
              <w:bottom w:val="single" w:sz="8" w:color="231F20"/>
            </w:tcBorders>
          </w:tcPr>
          <w:p>
            <w:pPr>
              <w:jc w:val="right"/>
              <w:ind w:right="310"/>
              <w:spacing w:after="0"/>
              <w:rPr>
                <w:sz w:val="20"/>
                <w:szCs w:val="20"/>
                <w:color w:val="auto"/>
              </w:rPr>
            </w:pPr>
            <w:r>
              <w:rPr>
                <w:rFonts w:ascii="Arial" w:cs="Arial" w:eastAsia="Arial" w:hAnsi="Arial"/>
                <w:sz w:val="14"/>
                <w:szCs w:val="14"/>
                <w:color w:val="auto"/>
              </w:rPr>
              <w:t>63.5</w:t>
            </w:r>
          </w:p>
        </w:tc>
        <w:tc>
          <w:tcPr>
            <w:tcW w:w="1440" w:type="dxa"/>
            <w:vAlign w:val="bottom"/>
            <w:tcBorders>
              <w:bottom w:val="single" w:sz="8" w:color="231F20"/>
            </w:tcBorders>
          </w:tcPr>
          <w:p>
            <w:pPr>
              <w:jc w:val="right"/>
              <w:ind w:right="311"/>
              <w:spacing w:after="0"/>
              <w:rPr>
                <w:sz w:val="20"/>
                <w:szCs w:val="20"/>
                <w:color w:val="auto"/>
              </w:rPr>
            </w:pPr>
            <w:r>
              <w:rPr>
                <w:rFonts w:ascii="Arial" w:cs="Arial" w:eastAsia="Arial" w:hAnsi="Arial"/>
                <w:sz w:val="14"/>
                <w:szCs w:val="14"/>
                <w:color w:val="auto"/>
              </w:rPr>
              <w:t>71.8</w:t>
            </w:r>
          </w:p>
        </w:tc>
        <w:tc>
          <w:tcPr>
            <w:tcW w:w="130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34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auto"/>
              </w:rPr>
              <w:t>Net earnings per share - diluted</w:t>
            </w:r>
          </w:p>
        </w:tc>
        <w:tc>
          <w:tcPr>
            <w:tcW w:w="42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31F20"/>
            </w:tcBorders>
            <w:shd w:val="clear" w:color="auto" w:fill="E2E8F1"/>
          </w:tcPr>
          <w:p>
            <w:pPr>
              <w:jc w:val="right"/>
              <w:ind w:right="169"/>
              <w:spacing w:after="0"/>
              <w:rPr>
                <w:sz w:val="20"/>
                <w:szCs w:val="20"/>
                <w:color w:val="auto"/>
              </w:rPr>
            </w:pPr>
            <w:r>
              <w:rPr>
                <w:rFonts w:ascii="Arial" w:cs="Arial" w:eastAsia="Arial" w:hAnsi="Arial"/>
                <w:sz w:val="14"/>
                <w:szCs w:val="14"/>
                <w:color w:val="auto"/>
              </w:rPr>
              <w:t>3.01</w:t>
            </w:r>
          </w:p>
        </w:tc>
        <w:tc>
          <w:tcPr>
            <w:tcW w:w="30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231F20"/>
            </w:tcBorders>
            <w:shd w:val="clear" w:color="auto" w:fill="E2E8F1"/>
          </w:tcPr>
          <w:p>
            <w:pPr>
              <w:jc w:val="right"/>
              <w:ind w:right="269"/>
              <w:spacing w:after="0"/>
              <w:rPr>
                <w:sz w:val="20"/>
                <w:szCs w:val="20"/>
                <w:color w:val="auto"/>
              </w:rPr>
            </w:pPr>
            <w:r>
              <w:rPr>
                <w:rFonts w:ascii="Arial" w:cs="Arial" w:eastAsia="Arial" w:hAnsi="Arial"/>
                <w:sz w:val="14"/>
                <w:szCs w:val="14"/>
                <w:color w:val="auto"/>
              </w:rPr>
              <w:t>1.76</w:t>
            </w:r>
          </w:p>
        </w:tc>
        <w:tc>
          <w:tcPr>
            <w:tcW w:w="1340" w:type="dxa"/>
            <w:vAlign w:val="bottom"/>
            <w:tcBorders>
              <w:bottom w:val="single" w:sz="8" w:color="231F20"/>
            </w:tcBorders>
            <w:shd w:val="clear" w:color="auto" w:fill="E2E8F1"/>
          </w:tcPr>
          <w:p>
            <w:pPr>
              <w:jc w:val="right"/>
              <w:ind w:right="310"/>
              <w:spacing w:after="0"/>
              <w:rPr>
                <w:sz w:val="20"/>
                <w:szCs w:val="20"/>
                <w:color w:val="auto"/>
              </w:rPr>
            </w:pPr>
            <w:r>
              <w:rPr>
                <w:rFonts w:ascii="Arial" w:cs="Arial" w:eastAsia="Arial" w:hAnsi="Arial"/>
                <w:sz w:val="14"/>
                <w:szCs w:val="14"/>
                <w:color w:val="auto"/>
              </w:rPr>
              <w:t>70.6</w:t>
            </w:r>
          </w:p>
        </w:tc>
        <w:tc>
          <w:tcPr>
            <w:tcW w:w="1440" w:type="dxa"/>
            <w:vAlign w:val="bottom"/>
            <w:tcBorders>
              <w:bottom w:val="single" w:sz="8" w:color="231F20"/>
            </w:tcBorders>
            <w:shd w:val="clear" w:color="auto" w:fill="E2E8F1"/>
          </w:tcPr>
          <w:p>
            <w:pPr>
              <w:jc w:val="right"/>
              <w:ind w:right="311"/>
              <w:spacing w:after="0"/>
              <w:rPr>
                <w:sz w:val="20"/>
                <w:szCs w:val="20"/>
                <w:color w:val="auto"/>
              </w:rPr>
            </w:pPr>
            <w:r>
              <w:rPr>
                <w:rFonts w:ascii="Arial" w:cs="Arial" w:eastAsia="Arial" w:hAnsi="Arial"/>
                <w:sz w:val="14"/>
                <w:szCs w:val="14"/>
                <w:color w:val="auto"/>
              </w:rPr>
              <w:t>79.3</w:t>
            </w:r>
          </w:p>
        </w:tc>
        <w:tc>
          <w:tcPr>
            <w:tcW w:w="1300" w:type="dxa"/>
            <w:vAlign w:val="bottom"/>
            <w:tcBorders>
              <w:bottom w:val="single" w:sz="8" w:color="231F20"/>
            </w:tcBorders>
            <w:shd w:val="clear" w:color="auto" w:fill="E2E8F1"/>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34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auto"/>
              </w:rPr>
              <w:t>Weighted average shares - diluted</w:t>
            </w:r>
          </w:p>
        </w:tc>
        <w:tc>
          <w:tcPr>
            <w:tcW w:w="420" w:type="dxa"/>
            <w:vAlign w:val="bottom"/>
            <w:tcBorders>
              <w:bottom w:val="single" w:sz="8" w:color="231F20"/>
            </w:tcBorders>
          </w:tcPr>
          <w:p>
            <w:pPr>
              <w:spacing w:after="0"/>
              <w:rPr>
                <w:sz w:val="15"/>
                <w:szCs w:val="15"/>
                <w:color w:val="auto"/>
              </w:rPr>
            </w:pPr>
          </w:p>
        </w:tc>
        <w:tc>
          <w:tcPr>
            <w:tcW w:w="1020" w:type="dxa"/>
            <w:vAlign w:val="bottom"/>
            <w:tcBorders>
              <w:bottom w:val="single" w:sz="8" w:color="231F20"/>
            </w:tcBorders>
          </w:tcPr>
          <w:p>
            <w:pPr>
              <w:jc w:val="right"/>
              <w:ind w:right="169"/>
              <w:spacing w:after="0"/>
              <w:rPr>
                <w:sz w:val="20"/>
                <w:szCs w:val="20"/>
                <w:color w:val="auto"/>
              </w:rPr>
            </w:pPr>
            <w:r>
              <w:rPr>
                <w:rFonts w:ascii="Arial" w:cs="Arial" w:eastAsia="Arial" w:hAnsi="Arial"/>
                <w:sz w:val="14"/>
                <w:szCs w:val="14"/>
                <w:color w:val="auto"/>
              </w:rPr>
              <w:t>48.3</w:t>
            </w:r>
          </w:p>
        </w:tc>
        <w:tc>
          <w:tcPr>
            <w:tcW w:w="30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269"/>
              <w:spacing w:after="0"/>
              <w:rPr>
                <w:sz w:val="20"/>
                <w:szCs w:val="20"/>
                <w:color w:val="auto"/>
              </w:rPr>
            </w:pPr>
            <w:r>
              <w:rPr>
                <w:rFonts w:ascii="Arial" w:cs="Arial" w:eastAsia="Arial" w:hAnsi="Arial"/>
                <w:sz w:val="14"/>
                <w:szCs w:val="14"/>
                <w:color w:val="auto"/>
              </w:rPr>
              <w:t>50.4</w:t>
            </w:r>
          </w:p>
        </w:tc>
        <w:tc>
          <w:tcPr>
            <w:tcW w:w="1340" w:type="dxa"/>
            <w:vAlign w:val="bottom"/>
            <w:tcBorders>
              <w:bottom w:val="single" w:sz="8" w:color="231F20"/>
            </w:tcBorders>
          </w:tcPr>
          <w:p>
            <w:pPr>
              <w:jc w:val="right"/>
              <w:ind w:right="90"/>
              <w:spacing w:after="0"/>
              <w:rPr>
                <w:sz w:val="20"/>
                <w:szCs w:val="20"/>
                <w:color w:val="auto"/>
              </w:rPr>
            </w:pPr>
            <w:r>
              <w:rPr>
                <w:rFonts w:ascii="Arial" w:cs="Arial" w:eastAsia="Arial" w:hAnsi="Arial"/>
                <w:sz w:val="14"/>
                <w:szCs w:val="14"/>
                <w:color w:val="auto"/>
              </w:rPr>
              <w:t>(4.2 )%</w:t>
            </w:r>
          </w:p>
        </w:tc>
        <w:tc>
          <w:tcPr>
            <w:tcW w:w="1440" w:type="dxa"/>
            <w:vAlign w:val="bottom"/>
            <w:tcBorders>
              <w:bottom w:val="single" w:sz="8" w:color="231F20"/>
            </w:tcBorders>
          </w:tcPr>
          <w:p>
            <w:pPr>
              <w:spacing w:after="0"/>
              <w:rPr>
                <w:sz w:val="15"/>
                <w:szCs w:val="15"/>
                <w:color w:val="auto"/>
              </w:rPr>
            </w:pPr>
          </w:p>
        </w:tc>
        <w:tc>
          <w:tcPr>
            <w:tcW w:w="130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5"/>
        <w:spacing w:after="0"/>
        <w:rPr>
          <w:sz w:val="20"/>
          <w:szCs w:val="20"/>
          <w:color w:val="auto"/>
        </w:rPr>
      </w:pPr>
      <w:r>
        <w:rPr>
          <w:rFonts w:ascii="Arial" w:cs="Arial" w:eastAsia="Arial" w:hAnsi="Arial"/>
          <w:sz w:val="16"/>
          <w:szCs w:val="16"/>
          <w:color w:val="231F20"/>
        </w:rPr>
        <w:t>The year-over-year decrease in revenues from services of -5.6% (-3.4% in constant currency and -3.0% in organic constant currency) was attributed to:</w:t>
      </w:r>
    </w:p>
    <w:p>
      <w:pPr>
        <w:spacing w:after="0" w:line="64" w:lineRule="exact"/>
        <w:rPr>
          <w:sz w:val="20"/>
          <w:szCs w:val="20"/>
          <w:color w:val="auto"/>
        </w:rPr>
      </w:pPr>
    </w:p>
    <w:p>
      <w:pPr>
        <w:jc w:val="both"/>
        <w:ind w:left="365" w:hanging="365"/>
        <w:spacing w:after="0" w:line="237" w:lineRule="auto"/>
        <w:tabs>
          <w:tab w:leader="none" w:pos="365" w:val="left"/>
        </w:tabs>
        <w:numPr>
          <w:ilvl w:val="0"/>
          <w:numId w:val="22"/>
        </w:numPr>
        <w:rPr>
          <w:rFonts w:ascii="Times New Roman" w:cs="Times New Roman" w:eastAsia="Times New Roman" w:hAnsi="Times New Roman"/>
          <w:sz w:val="16"/>
          <w:szCs w:val="16"/>
          <w:color w:val="5B89B4"/>
        </w:rPr>
      </w:pPr>
      <w:r>
        <w:rPr>
          <w:rFonts w:ascii="Arial" w:cs="Arial" w:eastAsia="Arial" w:hAnsi="Arial"/>
          <w:sz w:val="16"/>
          <w:szCs w:val="16"/>
          <w:color w:val="231F20"/>
        </w:rPr>
        <w:t>a revenue decrease in the Americas of -4.3% (increase of 3.1% in constant currency) primarily driven by the $325.8 unfavorable impact of currency exchange rates and a $144.8 decrease in demand for our Experis interim services, partially offset by a $248.8 increase in demand for our Manpower staffing services, a $24.4 increase in demand for TBO and a $9.3 increase in demand for our Right Management outplacement services. The United States, our largest market in the Americas, experienced a revenue decrease of -3.5% primarily driven by a $105.4 decrease in demand for our Manpower and Experis staffing/interim services and a $6.7 decrease in demand for our permanent recruitment services, partially offset by a $7.9 increase in demand for our Right Management outplacement services;</w:t>
      </w:r>
    </w:p>
    <w:p>
      <w:pPr>
        <w:spacing w:after="0" w:line="56" w:lineRule="exact"/>
        <w:rPr>
          <w:rFonts w:ascii="Times New Roman" w:cs="Times New Roman" w:eastAsia="Times New Roman" w:hAnsi="Times New Roman"/>
          <w:sz w:val="16"/>
          <w:szCs w:val="16"/>
          <w:color w:val="5B89B4"/>
        </w:rPr>
      </w:pPr>
    </w:p>
    <w:p>
      <w:pPr>
        <w:jc w:val="both"/>
        <w:ind w:left="365" w:hanging="365"/>
        <w:spacing w:after="0" w:line="236" w:lineRule="auto"/>
        <w:tabs>
          <w:tab w:leader="none" w:pos="365" w:val="left"/>
        </w:tabs>
        <w:numPr>
          <w:ilvl w:val="0"/>
          <w:numId w:val="22"/>
        </w:numPr>
        <w:rPr>
          <w:rFonts w:ascii="Times New Roman" w:cs="Times New Roman" w:eastAsia="Times New Roman" w:hAnsi="Times New Roman"/>
          <w:sz w:val="16"/>
          <w:szCs w:val="16"/>
          <w:color w:val="5B89B4"/>
        </w:rPr>
      </w:pPr>
      <w:r>
        <w:rPr>
          <w:rFonts w:ascii="Arial" w:cs="Arial" w:eastAsia="Arial" w:hAnsi="Arial"/>
          <w:sz w:val="16"/>
          <w:szCs w:val="16"/>
          <w:color w:val="231F20"/>
        </w:rPr>
        <w:t>a revenue decrease in Southern Europe of -3.5% (-3.3% in constant currency and -3.1% in organic constant currency) primarily driven by a $273.0 decrease in demand for our Manpower and Experis staffing/interim services and a $23.9 decrease in demand for our permanent recruitment services, partially offset by a $14.6 increase in demand for our Right Management outplacement services. France, the largest market in Southern Europe, experienced a revenue decrease of -5.1% (-5.1% in constant currency) primarily driven by a $248.2 decrease in demand for our Manpower staffing services, partially offset by a $12.6 increase in demand for our Right Management outplacement services. Italy, our second-largest market in Southern Europe, experienced a revenue decrease of -1.9% (-1.8% in constant currency) primarily driven by a $24.7 decrease in demand for our Manpower staffing services and a $7.0 decrease in demand for our permanent recruitment services;</w:t>
      </w:r>
    </w:p>
    <w:p>
      <w:pPr>
        <w:spacing w:after="0" w:line="57" w:lineRule="exact"/>
        <w:rPr>
          <w:rFonts w:ascii="Times New Roman" w:cs="Times New Roman" w:eastAsia="Times New Roman" w:hAnsi="Times New Roman"/>
          <w:sz w:val="16"/>
          <w:szCs w:val="16"/>
          <w:color w:val="5B89B4"/>
        </w:rPr>
      </w:pPr>
    </w:p>
    <w:p>
      <w:pPr>
        <w:jc w:val="both"/>
        <w:ind w:left="365" w:right="20" w:hanging="365"/>
        <w:spacing w:after="0" w:line="237" w:lineRule="auto"/>
        <w:tabs>
          <w:tab w:leader="none" w:pos="365" w:val="left"/>
        </w:tabs>
        <w:numPr>
          <w:ilvl w:val="0"/>
          <w:numId w:val="22"/>
        </w:numPr>
        <w:rPr>
          <w:rFonts w:ascii="Times New Roman" w:cs="Times New Roman" w:eastAsia="Times New Roman" w:hAnsi="Times New Roman"/>
          <w:sz w:val="16"/>
          <w:szCs w:val="16"/>
          <w:color w:val="5B89B4"/>
        </w:rPr>
      </w:pPr>
      <w:r>
        <w:rPr>
          <w:rFonts w:ascii="Arial" w:cs="Arial" w:eastAsia="Arial" w:hAnsi="Arial"/>
          <w:sz w:val="16"/>
          <w:szCs w:val="16"/>
          <w:color w:val="231F20"/>
        </w:rPr>
        <w:t>a revenue decrease in Northern Europe of -11.8% (-12.9% in constant currency), primarily due to decreased demand of $390.1 for our Manpower and Experis staffing/interim services, decreased demand of $33.7 in our permanent recruitment business and decreased demand of $78.7 for our Experis solutions services, partially offset by the $39.5 favorable impact of currency exchange rates, increased demand of $11.9 within our MSP business and increased demand of $6.2 for our Right Management outplacement services. Within our Northern Europe segment, we experienced revenue decreases in the United Kingdom of $157.3, the Nordics of $175.2, Germany of $84.5, the Netherlands of $6.7 and Belgium of $10.9, which represented revenue decreases of -12.1%, -21.8%, -15.1%, -1.8% and -3.4%, respectively (-14.5%, -21.2%, -15.2%, -1.8% and -3.4%, respectively, in constant currency); and</w:t>
      </w:r>
    </w:p>
    <w:p>
      <w:pPr>
        <w:spacing w:after="0" w:line="16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33" w:name="page34"/>
    <w:bookmarkEnd w:id="33"/>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63" w:lineRule="exact"/>
        <w:rPr>
          <w:sz w:val="20"/>
          <w:szCs w:val="20"/>
          <w:color w:val="auto"/>
        </w:rPr>
      </w:pPr>
    </w:p>
    <w:p>
      <w:pPr>
        <w:jc w:val="both"/>
        <w:ind w:left="365" w:right="20" w:hanging="365"/>
        <w:spacing w:after="0" w:line="245" w:lineRule="auto"/>
        <w:tabs>
          <w:tab w:leader="none" w:pos="365" w:val="left"/>
        </w:tabs>
        <w:numPr>
          <w:ilvl w:val="0"/>
          <w:numId w:val="23"/>
        </w:numPr>
        <w:rPr>
          <w:rFonts w:ascii="Times New Roman" w:cs="Times New Roman" w:eastAsia="Times New Roman" w:hAnsi="Times New Roman"/>
          <w:sz w:val="16"/>
          <w:szCs w:val="16"/>
          <w:color w:val="5B89B4"/>
        </w:rPr>
      </w:pPr>
      <w:r>
        <w:rPr>
          <w:rFonts w:ascii="Arial" w:cs="Arial" w:eastAsia="Arial" w:hAnsi="Arial"/>
          <w:sz w:val="16"/>
          <w:szCs w:val="16"/>
          <w:color w:val="231F20"/>
        </w:rPr>
        <w:t>a revenue decrease in APME of -6.9% (-2.3% in constant currency and an increase of 1.2% in organic constant currency) primarily driven by the $107.4 unfavorable impact of currency exchange rates, a $53.9 decrease in demand for our permanent recruitment services and a $44.3 decrease in demand in our TBO business, partially offset by a $46.3 increase in demand for our Manpower and Experis staffing/interim services.</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6"/>
          <w:szCs w:val="16"/>
          <w:color w:val="231F20"/>
        </w:rPr>
        <w:t>The year-over-year 50 basis point decrease in gross profit margin was primarily attributed to:</w:t>
      </w:r>
    </w:p>
    <w:p>
      <w:pPr>
        <w:spacing w:after="0" w:line="88" w:lineRule="exact"/>
        <w:rPr>
          <w:sz w:val="20"/>
          <w:szCs w:val="20"/>
          <w:color w:val="auto"/>
        </w:rPr>
      </w:pPr>
    </w:p>
    <w:p>
      <w:pPr>
        <w:ind w:left="365" w:right="20" w:hanging="365"/>
        <w:spacing w:after="0" w:line="260" w:lineRule="auto"/>
        <w:tabs>
          <w:tab w:leader="none" w:pos="365" w:val="left"/>
        </w:tabs>
        <w:numPr>
          <w:ilvl w:val="0"/>
          <w:numId w:val="24"/>
        </w:numPr>
        <w:rPr>
          <w:rFonts w:ascii="Times New Roman" w:cs="Times New Roman" w:eastAsia="Times New Roman" w:hAnsi="Times New Roman"/>
          <w:sz w:val="16"/>
          <w:szCs w:val="16"/>
          <w:color w:val="5B89B4"/>
        </w:rPr>
      </w:pPr>
      <w:r>
        <w:rPr>
          <w:rFonts w:ascii="Arial" w:cs="Arial" w:eastAsia="Arial" w:hAnsi="Arial"/>
          <w:sz w:val="16"/>
          <w:szCs w:val="16"/>
          <w:color w:val="231F20"/>
        </w:rPr>
        <w:t>a 40 basis point unfavorable impact due to decreases in permanent recruitment, including Talent Solutions RPO, as permanent hiring demand continued to soften and experienced reduced levels from the prior year period; and</w:t>
      </w:r>
    </w:p>
    <w:p>
      <w:pPr>
        <w:spacing w:after="0" w:line="50" w:lineRule="exact"/>
        <w:rPr>
          <w:rFonts w:ascii="Times New Roman" w:cs="Times New Roman" w:eastAsia="Times New Roman" w:hAnsi="Times New Roman"/>
          <w:sz w:val="16"/>
          <w:szCs w:val="16"/>
          <w:color w:val="5B89B4"/>
        </w:rPr>
      </w:pPr>
    </w:p>
    <w:p>
      <w:pPr>
        <w:ind w:left="365" w:hanging="365"/>
        <w:spacing w:after="0" w:line="260" w:lineRule="auto"/>
        <w:tabs>
          <w:tab w:leader="none" w:pos="365" w:val="left"/>
        </w:tabs>
        <w:numPr>
          <w:ilvl w:val="0"/>
          <w:numId w:val="24"/>
        </w:numPr>
        <w:rPr>
          <w:rFonts w:ascii="Times New Roman" w:cs="Times New Roman" w:eastAsia="Times New Roman" w:hAnsi="Times New Roman"/>
          <w:sz w:val="16"/>
          <w:szCs w:val="16"/>
          <w:color w:val="5B89B4"/>
        </w:rPr>
      </w:pPr>
      <w:r>
        <w:rPr>
          <w:rFonts w:ascii="Arial" w:cs="Arial" w:eastAsia="Arial" w:hAnsi="Arial"/>
          <w:sz w:val="16"/>
          <w:szCs w:val="16"/>
          <w:color w:val="231F20"/>
        </w:rPr>
        <w:t>a 20 basis point unfavorable impact from the decrease in staffing/interim margins due to mix shifts and lower volumes while pricing remained stable; partially offset by</w:t>
      </w:r>
    </w:p>
    <w:p>
      <w:pPr>
        <w:spacing w:after="0" w:line="50" w:lineRule="exact"/>
        <w:rPr>
          <w:rFonts w:ascii="Times New Roman" w:cs="Times New Roman" w:eastAsia="Times New Roman" w:hAnsi="Times New Roman"/>
          <w:sz w:val="16"/>
          <w:szCs w:val="16"/>
          <w:color w:val="5B89B4"/>
        </w:rPr>
      </w:pPr>
    </w:p>
    <w:p>
      <w:pPr>
        <w:ind w:left="365" w:hanging="365"/>
        <w:spacing w:after="0"/>
        <w:tabs>
          <w:tab w:leader="none" w:pos="365" w:val="left"/>
        </w:tabs>
        <w:numPr>
          <w:ilvl w:val="0"/>
          <w:numId w:val="24"/>
        </w:numPr>
        <w:rPr>
          <w:rFonts w:ascii="Times New Roman" w:cs="Times New Roman" w:eastAsia="Times New Roman" w:hAnsi="Times New Roman"/>
          <w:sz w:val="16"/>
          <w:szCs w:val="16"/>
          <w:color w:val="5B89B4"/>
        </w:rPr>
      </w:pPr>
      <w:r>
        <w:rPr>
          <w:rFonts w:ascii="Arial" w:cs="Arial" w:eastAsia="Arial" w:hAnsi="Arial"/>
          <w:sz w:val="16"/>
          <w:szCs w:val="16"/>
          <w:color w:val="231F20"/>
        </w:rPr>
        <w:t>a 10 basis point favorable impact from increased career transition activity in Right Management as outplacement activity increased.</w:t>
      </w:r>
    </w:p>
    <w:p>
      <w:pPr>
        <w:spacing w:after="0" w:line="99" w:lineRule="exact"/>
        <w:rPr>
          <w:sz w:val="20"/>
          <w:szCs w:val="20"/>
          <w:color w:val="auto"/>
        </w:rPr>
      </w:pPr>
    </w:p>
    <w:p>
      <w:pPr>
        <w:ind w:left="5"/>
        <w:spacing w:after="0" w:line="260" w:lineRule="auto"/>
        <w:rPr>
          <w:sz w:val="20"/>
          <w:szCs w:val="20"/>
          <w:color w:val="auto"/>
        </w:rPr>
      </w:pPr>
      <w:r>
        <w:rPr>
          <w:rFonts w:ascii="Arial" w:cs="Arial" w:eastAsia="Arial" w:hAnsi="Arial"/>
          <w:sz w:val="16"/>
          <w:szCs w:val="16"/>
          <w:color w:val="231F20"/>
        </w:rPr>
        <w:t>The -10.4% decrease in selling and administrative expenses in the year ended December 31, 2024 (-8.8% in constant currency; -8.5% in organic constant currency) was primarily attributed to:</w:t>
      </w:r>
    </w:p>
    <w:p>
      <w:pPr>
        <w:spacing w:after="0" w:line="51" w:lineRule="exact"/>
        <w:rPr>
          <w:sz w:val="20"/>
          <w:szCs w:val="20"/>
          <w:color w:val="auto"/>
        </w:rPr>
      </w:pPr>
    </w:p>
    <w:p>
      <w:pPr>
        <w:jc w:val="both"/>
        <w:ind w:left="365" w:hanging="365"/>
        <w:spacing w:after="0" w:line="245" w:lineRule="auto"/>
        <w:tabs>
          <w:tab w:leader="none" w:pos="365" w:val="left"/>
        </w:tabs>
        <w:numPr>
          <w:ilvl w:val="0"/>
          <w:numId w:val="25"/>
        </w:numPr>
        <w:rPr>
          <w:rFonts w:ascii="Times New Roman" w:cs="Times New Roman" w:eastAsia="Times New Roman" w:hAnsi="Times New Roman"/>
          <w:sz w:val="16"/>
          <w:szCs w:val="16"/>
          <w:color w:val="5B89B4"/>
        </w:rPr>
      </w:pPr>
      <w:r>
        <w:rPr>
          <w:rFonts w:ascii="Arial" w:cs="Arial" w:eastAsia="Arial" w:hAnsi="Arial"/>
          <w:sz w:val="16"/>
          <w:szCs w:val="16"/>
          <w:color w:val="231F20"/>
        </w:rPr>
        <w:t>a $72.8, or -5.3% decrease (-3.7% in constant currency and -3.4% in organic constant currency) in personnel costs primarily due to a $42.2 decrease in salary costs, a $15.7 decrease in bonuses and sales commissions and a $14.9 decrease in other personnel costs as we saw the effects of restructuring actions taken in 2023;</w:t>
      </w:r>
    </w:p>
    <w:p>
      <w:pPr>
        <w:spacing w:after="0" w:line="62" w:lineRule="exact"/>
        <w:rPr>
          <w:rFonts w:ascii="Times New Roman" w:cs="Times New Roman" w:eastAsia="Times New Roman" w:hAnsi="Times New Roman"/>
          <w:sz w:val="16"/>
          <w:szCs w:val="16"/>
          <w:color w:val="5B89B4"/>
        </w:rPr>
      </w:pPr>
    </w:p>
    <w:p>
      <w:pPr>
        <w:ind w:left="365" w:hanging="365"/>
        <w:spacing w:after="0"/>
        <w:tabs>
          <w:tab w:leader="none" w:pos="365" w:val="left"/>
        </w:tabs>
        <w:numPr>
          <w:ilvl w:val="0"/>
          <w:numId w:val="25"/>
        </w:numPr>
        <w:rPr>
          <w:rFonts w:ascii="Times New Roman" w:cs="Times New Roman" w:eastAsia="Times New Roman" w:hAnsi="Times New Roman"/>
          <w:sz w:val="16"/>
          <w:szCs w:val="16"/>
          <w:color w:val="5B89B4"/>
        </w:rPr>
      </w:pPr>
      <w:r>
        <w:rPr>
          <w:rFonts w:ascii="Arial" w:cs="Arial" w:eastAsia="Arial" w:hAnsi="Arial"/>
          <w:sz w:val="16"/>
          <w:szCs w:val="16"/>
          <w:color w:val="231F20"/>
        </w:rPr>
        <w:t>a $55.1 decrease in goodwill impairment charges as no impairment was recorded in 2024;</w:t>
      </w:r>
    </w:p>
    <w:p>
      <w:pPr>
        <w:spacing w:after="0" w:line="99" w:lineRule="exact"/>
        <w:rPr>
          <w:rFonts w:ascii="Times New Roman" w:cs="Times New Roman" w:eastAsia="Times New Roman" w:hAnsi="Times New Roman"/>
          <w:sz w:val="16"/>
          <w:szCs w:val="16"/>
          <w:color w:val="5B89B4"/>
        </w:rPr>
      </w:pPr>
    </w:p>
    <w:p>
      <w:pPr>
        <w:ind w:left="365" w:hanging="365"/>
        <w:spacing w:after="0"/>
        <w:tabs>
          <w:tab w:leader="none" w:pos="365" w:val="left"/>
        </w:tabs>
        <w:numPr>
          <w:ilvl w:val="0"/>
          <w:numId w:val="25"/>
        </w:numPr>
        <w:rPr>
          <w:rFonts w:ascii="Times New Roman" w:cs="Times New Roman" w:eastAsia="Times New Roman" w:hAnsi="Times New Roman"/>
          <w:sz w:val="16"/>
          <w:szCs w:val="16"/>
          <w:color w:val="5B89B4"/>
        </w:rPr>
      </w:pPr>
      <w:r>
        <w:rPr>
          <w:rFonts w:ascii="Arial" w:cs="Arial" w:eastAsia="Arial" w:hAnsi="Arial"/>
          <w:sz w:val="16"/>
          <w:szCs w:val="16"/>
          <w:color w:val="231F20"/>
        </w:rPr>
        <w:t>restructuring costs of $53.6 in 2024 compared to $149.2 incurred in 2023;</w:t>
      </w:r>
    </w:p>
    <w:p>
      <w:pPr>
        <w:spacing w:after="0" w:line="99" w:lineRule="exact"/>
        <w:rPr>
          <w:rFonts w:ascii="Times New Roman" w:cs="Times New Roman" w:eastAsia="Times New Roman" w:hAnsi="Times New Roman"/>
          <w:sz w:val="16"/>
          <w:szCs w:val="16"/>
          <w:color w:val="5B89B4"/>
        </w:rPr>
      </w:pPr>
    </w:p>
    <w:p>
      <w:pPr>
        <w:ind w:left="365" w:hanging="365"/>
        <w:spacing w:after="0"/>
        <w:tabs>
          <w:tab w:leader="none" w:pos="365" w:val="left"/>
        </w:tabs>
        <w:numPr>
          <w:ilvl w:val="0"/>
          <w:numId w:val="25"/>
        </w:numPr>
        <w:rPr>
          <w:rFonts w:ascii="Times New Roman" w:cs="Times New Roman" w:eastAsia="Times New Roman" w:hAnsi="Times New Roman"/>
          <w:sz w:val="16"/>
          <w:szCs w:val="16"/>
          <w:color w:val="5B89B4"/>
        </w:rPr>
      </w:pPr>
      <w:r>
        <w:rPr>
          <w:rFonts w:ascii="Arial" w:cs="Arial" w:eastAsia="Arial" w:hAnsi="Arial"/>
          <w:sz w:val="16"/>
          <w:szCs w:val="16"/>
          <w:color w:val="231F20"/>
        </w:rPr>
        <w:t>a $49.9, or -1.6% decrease due to the impact of changes in currency exchange rates; and</w:t>
      </w:r>
    </w:p>
    <w:p>
      <w:pPr>
        <w:spacing w:after="0" w:line="99" w:lineRule="exact"/>
        <w:rPr>
          <w:rFonts w:ascii="Times New Roman" w:cs="Times New Roman" w:eastAsia="Times New Roman" w:hAnsi="Times New Roman"/>
          <w:sz w:val="16"/>
          <w:szCs w:val="16"/>
          <w:color w:val="5B89B4"/>
        </w:rPr>
      </w:pPr>
    </w:p>
    <w:p>
      <w:pPr>
        <w:ind w:left="365" w:hanging="365"/>
        <w:spacing w:after="0" w:line="260" w:lineRule="auto"/>
        <w:tabs>
          <w:tab w:leader="none" w:pos="365" w:val="left"/>
        </w:tabs>
        <w:numPr>
          <w:ilvl w:val="0"/>
          <w:numId w:val="25"/>
        </w:numPr>
        <w:rPr>
          <w:rFonts w:ascii="Times New Roman" w:cs="Times New Roman" w:eastAsia="Times New Roman" w:hAnsi="Times New Roman"/>
          <w:sz w:val="16"/>
          <w:szCs w:val="16"/>
          <w:color w:val="5B89B4"/>
        </w:rPr>
      </w:pPr>
      <w:r>
        <w:rPr>
          <w:rFonts w:ascii="Arial" w:cs="Arial" w:eastAsia="Arial" w:hAnsi="Arial"/>
          <w:sz w:val="16"/>
          <w:szCs w:val="16"/>
          <w:color w:val="231F20"/>
        </w:rPr>
        <w:t>a $24.7, or -4.0% decrease (-2.8% in constant currency and -2.4% in organic constant currency) in non-personnel costs, primarily due to a $15.1 decrease in office lease and other office costs and a $14.6 decrease in consulting and outside services costs.</w:t>
      </w:r>
    </w:p>
    <w:p>
      <w:pPr>
        <w:spacing w:after="0" w:line="50" w:lineRule="exact"/>
        <w:rPr>
          <w:sz w:val="20"/>
          <w:szCs w:val="20"/>
          <w:color w:val="auto"/>
        </w:rPr>
      </w:pPr>
    </w:p>
    <w:p>
      <w:pPr>
        <w:ind w:left="5"/>
        <w:spacing w:after="0"/>
        <w:rPr>
          <w:sz w:val="20"/>
          <w:szCs w:val="20"/>
          <w:color w:val="auto"/>
        </w:rPr>
      </w:pPr>
      <w:r>
        <w:rPr>
          <w:rFonts w:ascii="Arial" w:cs="Arial" w:eastAsia="Arial" w:hAnsi="Arial"/>
          <w:sz w:val="16"/>
          <w:szCs w:val="16"/>
          <w:color w:val="231F20"/>
        </w:rPr>
        <w:t>Selling and administrative expenses as a percent of revenues decreased 80 basis points in the year ended December 31, 2024 compared to the year ended</w:t>
      </w:r>
    </w:p>
    <w:p>
      <w:pPr>
        <w:spacing w:after="0" w:line="7" w:lineRule="exact"/>
        <w:rPr>
          <w:sz w:val="20"/>
          <w:szCs w:val="20"/>
          <w:color w:val="auto"/>
        </w:rPr>
      </w:pPr>
    </w:p>
    <w:p>
      <w:pPr>
        <w:ind w:left="5"/>
        <w:spacing w:after="0"/>
        <w:rPr>
          <w:sz w:val="20"/>
          <w:szCs w:val="20"/>
          <w:color w:val="auto"/>
        </w:rPr>
      </w:pPr>
      <w:r>
        <w:rPr>
          <w:rFonts w:ascii="Arial" w:cs="Arial" w:eastAsia="Arial" w:hAnsi="Arial"/>
          <w:sz w:val="16"/>
          <w:szCs w:val="16"/>
          <w:color w:val="231F20"/>
        </w:rPr>
        <w:t>December 31, 2023 due primarily to:</w:t>
      </w:r>
    </w:p>
    <w:p>
      <w:pPr>
        <w:spacing w:after="0" w:line="74" w:lineRule="exact"/>
        <w:rPr>
          <w:sz w:val="20"/>
          <w:szCs w:val="20"/>
          <w:color w:val="auto"/>
        </w:rPr>
      </w:pPr>
    </w:p>
    <w:p>
      <w:pPr>
        <w:ind w:left="365" w:hanging="365"/>
        <w:spacing w:after="0"/>
        <w:tabs>
          <w:tab w:leader="none" w:pos="365" w:val="left"/>
        </w:tabs>
        <w:numPr>
          <w:ilvl w:val="0"/>
          <w:numId w:val="26"/>
        </w:numPr>
        <w:rPr>
          <w:rFonts w:ascii="Times New Roman" w:cs="Times New Roman" w:eastAsia="Times New Roman" w:hAnsi="Times New Roman"/>
          <w:sz w:val="16"/>
          <w:szCs w:val="16"/>
          <w:color w:val="5B89B4"/>
        </w:rPr>
      </w:pPr>
      <w:r>
        <w:rPr>
          <w:rFonts w:ascii="Arial" w:cs="Arial" w:eastAsia="Arial" w:hAnsi="Arial"/>
          <w:sz w:val="16"/>
          <w:szCs w:val="16"/>
          <w:color w:val="231F20"/>
        </w:rPr>
        <w:t>a 50 basis point favorable impact as a result of lower restructuring costs incurred in 2024 compared to 2023; and</w:t>
      </w:r>
    </w:p>
    <w:p>
      <w:pPr>
        <w:spacing w:after="0" w:line="99" w:lineRule="exact"/>
        <w:rPr>
          <w:rFonts w:ascii="Times New Roman" w:cs="Times New Roman" w:eastAsia="Times New Roman" w:hAnsi="Times New Roman"/>
          <w:sz w:val="16"/>
          <w:szCs w:val="16"/>
          <w:color w:val="5B89B4"/>
        </w:rPr>
      </w:pPr>
    </w:p>
    <w:p>
      <w:pPr>
        <w:ind w:left="365" w:hanging="365"/>
        <w:spacing w:after="0"/>
        <w:tabs>
          <w:tab w:leader="none" w:pos="365" w:val="left"/>
        </w:tabs>
        <w:numPr>
          <w:ilvl w:val="0"/>
          <w:numId w:val="26"/>
        </w:numPr>
        <w:rPr>
          <w:rFonts w:ascii="Times New Roman" w:cs="Times New Roman" w:eastAsia="Times New Roman" w:hAnsi="Times New Roman"/>
          <w:sz w:val="16"/>
          <w:szCs w:val="16"/>
          <w:color w:val="5B89B4"/>
        </w:rPr>
      </w:pPr>
      <w:r>
        <w:rPr>
          <w:rFonts w:ascii="Arial" w:cs="Arial" w:eastAsia="Arial" w:hAnsi="Arial"/>
          <w:sz w:val="16"/>
          <w:szCs w:val="16"/>
          <w:color w:val="231F20"/>
        </w:rPr>
        <w:t>a 30 basis point favorable impact as we anniversaried the impact of goodwill impairment charges in 2023.</w:t>
      </w:r>
    </w:p>
    <w:p>
      <w:pPr>
        <w:spacing w:after="0" w:line="277" w:lineRule="exact"/>
        <w:rPr>
          <w:sz w:val="20"/>
          <w:szCs w:val="20"/>
          <w:color w:val="auto"/>
        </w:rPr>
      </w:pPr>
    </w:p>
    <w:p>
      <w:pPr>
        <w:ind w:left="5" w:right="40"/>
        <w:spacing w:after="0" w:line="241" w:lineRule="auto"/>
        <w:rPr>
          <w:sz w:val="20"/>
          <w:szCs w:val="20"/>
          <w:color w:val="auto"/>
        </w:rPr>
      </w:pPr>
      <w:r>
        <w:rPr>
          <w:rFonts w:ascii="Arial" w:cs="Arial" w:eastAsia="Arial" w:hAnsi="Arial"/>
          <w:sz w:val="16"/>
          <w:szCs w:val="16"/>
          <w:color w:val="231F20"/>
        </w:rPr>
        <w:t>Interest and other expenses, net is comprised of interest, foreign exchange gains and losses and other miscellaneous non-operating income and expenses, including those associated with noncontrolling interests. Interest expense, net was $56.7 in 2024 compared to $45.5 in 2023 primarily due to increased revolver and other short-term borrowings at a higher interest rate during the period. Foreign exchange loss, net was $6.2 in 2024 compared to $21.8 in 2023 primarily due to a reduction in foreign currency exchange losses in Argentina. Miscellaneous income, net was $13.7 in 2024 compared to $17.4 in 2023.</w:t>
      </w:r>
    </w:p>
    <w:p>
      <w:pPr>
        <w:spacing w:after="0" w:line="65" w:lineRule="exact"/>
        <w:rPr>
          <w:sz w:val="20"/>
          <w:szCs w:val="20"/>
          <w:color w:val="auto"/>
        </w:rPr>
      </w:pPr>
    </w:p>
    <w:p>
      <w:pPr>
        <w:jc w:val="both"/>
        <w:ind w:left="5"/>
        <w:spacing w:after="0" w:line="239" w:lineRule="auto"/>
        <w:rPr>
          <w:sz w:val="20"/>
          <w:szCs w:val="20"/>
          <w:color w:val="auto"/>
        </w:rPr>
      </w:pPr>
      <w:r>
        <w:rPr>
          <w:rFonts w:ascii="Arial" w:cs="Arial" w:eastAsia="Arial" w:hAnsi="Arial"/>
          <w:sz w:val="16"/>
          <w:szCs w:val="16"/>
          <w:color w:val="231F20"/>
        </w:rPr>
        <w:t>We recorded income tax expense at an effective rate of 43.5% for 2024, as compared to an effective rate of 56.9% for 2023. The 2024 rate was lower than the 2023 rate primarily due to a higher level of pre-tax earnings with a more beneficial mix driven by fewer restructuring costs in certain countries for which we did not recognize a corresponding tax benefit due to valuation allowances and the Netherlands non-deductible goodwill impairment charge recorded in 2023. The 43.5% effective tax rate for 2024 was higher than the United States Federal statutory rate of 21% primarily due to restructuring costs in certain countries for which we did not recognize a corresponding tax benefit due to valuation allowances, the French business tax and the overall mix of earnings.</w:t>
      </w:r>
    </w:p>
    <w:p>
      <w:pPr>
        <w:spacing w:after="0" w:line="66" w:lineRule="exact"/>
        <w:rPr>
          <w:sz w:val="20"/>
          <w:szCs w:val="20"/>
          <w:color w:val="auto"/>
        </w:rPr>
      </w:pPr>
    </w:p>
    <w:p>
      <w:pPr>
        <w:jc w:val="both"/>
        <w:ind w:left="5"/>
        <w:spacing w:after="0" w:line="256" w:lineRule="auto"/>
        <w:rPr>
          <w:sz w:val="20"/>
          <w:szCs w:val="20"/>
          <w:color w:val="auto"/>
        </w:rPr>
      </w:pPr>
      <w:r>
        <w:rPr>
          <w:rFonts w:ascii="Arial" w:cs="Arial" w:eastAsia="Arial" w:hAnsi="Arial"/>
          <w:sz w:val="15"/>
          <w:szCs w:val="15"/>
          <w:color w:val="231F20"/>
        </w:rPr>
        <w:t>Net earnings per share - diluted was $3.01 in 2024 compared to $1.76 in 2023. Restructuring costs recorded in 2024 and 2023 negatively impacted net earnings per share - diluted by approximately $1.10 and $2.74 per share, net of tax, in 2024 and 2023, respectively. Losses related to our Proservia Germany wind down in 2024 unfavorably impacted net earnings per share - diluted by approximately $0.19, net of tax, in 2024. Foreign currency exchange rates in 2024 unfavorably impacted net earnings per share - diluted by approximately $0.15 per share, net of tax, in 2024. The pension settlement expense recorded in 2024 and 2023 negatively impacted net earnings per share - diluted by approximately $0.08 and $0.12, net of tax, in 2024 and 2023, respectively. Goodwill and other impairment charges recorded in 2023 negatively impacted net earnings per share - diluted by approximately $1.13 per share, net of tax, in 2023, respectively.</w:t>
      </w:r>
    </w:p>
    <w:p>
      <w:pPr>
        <w:spacing w:after="0" w:line="55"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231F20"/>
        </w:rPr>
        <w:t>Weighted average shares - diluted decreased to 48.3 million in 2024 from 50.4 million in 2023. This decrease was due to the impact of share repurchases completed in 2024, partially offset by grants of share-based awards.</w:t>
      </w:r>
    </w:p>
    <w:p>
      <w:pPr>
        <w:spacing w:after="0" w:line="14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34" w:name="page35"/>
    <w:bookmarkEnd w:id="34"/>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Segment Results</w:t>
      </w:r>
    </w:p>
    <w:p>
      <w:pPr>
        <w:spacing w:after="0" w:line="88"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We evaluate performance based on operating unit profit (“OUP”), which is equal to segment revenues less direct costs and branch and national headquarters operating costs. This profit measure does not include goodwill and intangible asset impairment charges or amortization of intangible assets related to acquisitions, corporate expenses, interest and other income and expense amounts or income taxes.</w:t>
      </w:r>
    </w:p>
    <w:p>
      <w:pPr>
        <w:spacing w:after="0" w:line="8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5B89B4"/>
        </w:rPr>
        <w:t>Americas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231F20"/>
        </w:rPr>
        <w:t>In the Americas, revenues from services decreased -4.3% (increase of 3.1% in constant currency) in 2024 compared to 2023. In the United States, revenues from services decreased -3.5% in 2024 compared to 2023, primarily driven by a $ 105.4 decrease in demand for our Manpower and Experis staffing/interim services and a $6.7 decrease in demand for our permanent recruitment services, partially offset by a $7.9 increase in demand for our Right Management outplacement services. In Other Americas, revenues from services decreased -5.8% (increase of 15.2% in constant currency) in 2024 compared to 2023 primarily driven by the $325.8 unfavorable impact of foreign currency exchange rates, partially offset by a $202.1 increase in demand for our Manpower and Experis staffing/interim services and a $24.6 increase in demand for our TBO business. The constant currency increase in Other Americas was primarily due to inflation in Argentina. Within our Other Americas segment, we experienced decreases in Argentina and Canada of $60.6, or -32.4%, and $43.1, or -12.1%, respectively (125.3% and -10.8%, respectively, in constant currency), partially offset by a revenue increase in Mexico of $3.9, or 1.6% (4.5% in constant currency).</w:t>
      </w:r>
    </w:p>
    <w:p>
      <w:pPr>
        <w:spacing w:after="0" w:line="5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Gross profit margin decreased 50 basis points in 2024 compared to 2023. This decrease was primarily due to decreased margins in our Experis interim services, which contributed 120 basis points to the decrease. These decreases were partially offset by favorable impacts of currency exchange rates, which had a 50 basis point impact and increased margins in our Right Management outplacement business, which had a 20 basis point impact.</w:t>
      </w:r>
    </w:p>
    <w:p>
      <w:pPr>
        <w:spacing w:after="0" w:line="61"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231F20"/>
        </w:rPr>
        <w:t>Selling and administrative expenses decreased -4.9% (increase of 0.1% in constant currency) in 2024 compared to 2023, primarily driven by the $43.1 favorable impact of currency exchange rates and a $9.5 decrease in consulting and outside services costs, partially offset by an $11.6 increase in salary related costs.</w:t>
      </w:r>
    </w:p>
    <w:p>
      <w:pPr>
        <w:spacing w:after="0" w:line="27"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OUP decreased -14.5% (-8.9% in constant currency) in 2024, which represents a 3.4% OUP margin, a decrease from 3.8% in 2023. This decrease was primarily due to decreased profitability in our United States business of $16.7, which experienced decreased activity in our higher-margin permanent recruitment business, as noted above, partially offset by decreases to selling and administrative expenses as a percent of revenue. In the United States, OUP margin decreased to 2.8% in 2024 from 3.3% in 2023 primarily due to decreased activity in our higher-margin permanent recruitment and Manpower and Experis staffing/interim businesses, as noted above, partially offset by a decrease in our selling and administrative expenses as a percent of revenue. Other Americas OUP margin decreased to 4.4% in 2024 from 4.6% in 2023 primarily due to an increase in our selling and administrative expenses as a percent of revenue and decreased gross profit margins across our staffing and interim services.</w:t>
      </w:r>
    </w:p>
    <w:p>
      <w:pPr>
        <w:spacing w:after="0" w:line="10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5B89B4"/>
        </w:rPr>
        <w:t>Southern Europe</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231F20"/>
        </w:rPr>
        <w:t>In Southern Europe, revenues from services decreased -3.5% (-3.3% in constant currency and -3.1% in organic constant currency) in 2024 compared to 2023. In France, revenues from services decreased -5.1% (-5.1% in constant currency) in 2024 compared to 2023, primarily driven by a $248.2 decrease in demand for our Manpower staffing services, partially offset by a $12.6 increase in demand for our Right Management outplacement services. In Italy, revenues from services decreased -1.9% (-1.8% in constant currency) in 2024 compared to 2023, primarily driven by a $24.7 decrease in demand for our Manpower staffing services and a $7.0 decrease in demand for our permanent recruitment services. In Other Southern Europe, revenues from services decreased -0.9% (flat in constant currency and increase of 0.6% in organic constant currency) in 2024 compared to 2023, primarily driven by the $ 16.2 unfavorable impact of currency exchange rates and an $18.9 decrease in demand for our Experis solutions services, partially offset by a $13.5 increase in demand in our TBO business and an $8.8 increase in demand for our Manpower and Experis staffing/interim services. Within our Other Southern Europe segment, we experienced revenue decreases in Switzerland of $50.4, or -10.4% (-12.2% in constant currency), partially offset by a revenue increase in Spain of $18.1, or 3.7% (3.7% in constant currency).</w:t>
      </w:r>
    </w:p>
    <w:p>
      <w:pPr>
        <w:spacing w:after="0" w:line="6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Gross profit margin decreased 50 basis points in 2024 compared to 2023. This decrease was primarily due to decreased activity in our higher margin Manpower staffing services, which contributed 30 basis points to the decrease, a decrease of activity in our permanent recruitment services, which contributed 20 basis points to the decrease and decreases across our Experis solutions services, which contributed 10 basis points to the decrease. These contributions were partially offset by increased demand in our higher-margin Right Management outplacement business which had a 10 basis point impact.</w:t>
      </w:r>
    </w:p>
    <w:p>
      <w:pPr>
        <w:spacing w:after="0" w:line="6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Selling and administrative expenses decreased -3.7% (-3.6% in constant currency and -3.3% in organic constant currency) during 2024 compared to 2023 primarily due to a $12.6 decrease in salary-related costs, a $7.5 decrease in restructuring related expenses, a $6.8 decrease in bonuses and sales commissions and a $4.3 decrease in consulting and outside services costs.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35" w:name="page36"/>
    <w:bookmarkEnd w:id="35"/>
    <w:p>
      <w:pPr>
        <w:ind w:left="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ind w:right="20"/>
        <w:spacing w:after="0" w:line="256" w:lineRule="auto"/>
        <w:rPr>
          <w:sz w:val="20"/>
          <w:szCs w:val="20"/>
          <w:color w:val="auto"/>
        </w:rPr>
      </w:pPr>
      <w:r>
        <w:rPr>
          <w:rFonts w:ascii="Arial" w:cs="Arial" w:eastAsia="Arial" w:hAnsi="Arial"/>
          <w:sz w:val="15"/>
          <w:szCs w:val="15"/>
          <w:color w:val="231F20"/>
        </w:rPr>
        <w:t>OUP decreased -15.0% (-14.8% in constant currency and -15.2% in organic constant currency) in 2024, which represents a 3.7% OUP margin, a decrease from 4.2% in 2023. This OUP decrease was primarily due to decreased profitability in the France reporting unit of $36.4. In France, the OUP margin decreased to</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231F20"/>
        </w:rPr>
        <w:t>3.3% in 2024 compared to 3.9% in 2023 primarily driven by an increase in selling and administrative expenses as a percent of revenue and a decrease in our higher-margin permanent recruitment business. In Italy, the OUP margin decreased to 6.7% in 2024 from 7.3% in 2023 primarily driven by an increase in selling and administrative expenses as a percent of revenue and a decrease in our higher-margin permanent recruitment business. In Other Southern Europe, the OUP margin decreased to 2.0% in 2024 from 2.3% in 2023 primarily due to a decrease in gross profit margin as we saw decreased activity in higher-margin Experis solutions services, as noted above, partially offset by a decrease in selling and administrative expenses as a percent of revenue.</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5B89B4"/>
        </w:rPr>
        <w:t>Northern Europe</w:t>
      </w:r>
    </w:p>
    <w:p>
      <w:pPr>
        <w:spacing w:after="0" w:line="8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In Northern Europe, the largest country operations include the United Kingdom, the Nordics, Germany, the Netherlands and Belgium (comprising 35%, 19%, 14%, 11% and 9%, respectively, of Northern Europe’s revenues). In the Northern Europe region, revenues from services decreased -11.8% (-12.9% in constant currency) in 2024 compared to 2023, primarily due to decreased demand of $390.1 for our Manpower and Experis staffing/interim services, decreased demand of $33.7 in our permanent recruitment business and decreased demand of $78.7 for our Experis solutions services, partially offset by the $39.5 favorable impact of currency exchange rates, increased demand of $11.9 within our MSP business and increased demand of $6.2 for our Right Management outplacement services. Within our Northern Europe segment, we experienced revenue decreases in the United Kingdom of $157.3, the Nordics of $175.2, Germany of $84.5, the Netherlands of $6.7 and Belgium of $10.9, which represented revenue decreases of -12.1%, -21.8%, -15.1%, -1.8% and -3.4%, respectively (-14.5%, -21.2%, -15.2%, -1.8% and -3.4%, respectively, in constant currency).</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Gross profit margin increased by 10 basis points in 2024 compared to 2023 primarily due to increased activity in our MSP business, which contributed 40 basis points to the increase, a shift in business mix towards our higher-margin Right Management outplacement services, which contributed 30 basis points to the increase, and the wind down of our lower margin Germany Proservia business in 2023. These contributions were partially offset by decreased activity in our permanent recruitment business, which had a 40 basis point unfavorable impact and decreased activity in our higher margin Manpower staffing services, which had a 20 basis point unfavorable impact.</w:t>
      </w:r>
    </w:p>
    <w:p>
      <w:pPr>
        <w:spacing w:after="0" w:line="66"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Selling and administrative expenses decreased -18.9% (-19.7% in constant currency) in 2024 compared to 2023. The decrease is primarily driven by a $45.3 decrease in total personnel costs as we experience the impacts of significant restructuring actions taken in 2023 and $30.6 in restructuring costs incurred in 2024 compared to $120.4 in 2023.</w:t>
      </w:r>
    </w:p>
    <w:p>
      <w:pPr>
        <w:spacing w:after="0" w:line="6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OUP in Northern Europe improved 61.8% (60.9% in constant currency) in 2024, which represents a -1.3% OUP margin, an increase from -3.1% in 2023. The OUP improvement was driven by an OUP improvement in Germany of $92.9, partially offset by a decrease in profitability in the Nordics, which experienced an aggregate decrease of $12.5. The OUP improvement was also driven by a decrease in selling and administrative expenses as we saw the effects of restructuring actions taken in the prior year period, as noted above.</w:t>
      </w:r>
    </w:p>
    <w:p>
      <w:pPr>
        <w:spacing w:after="0" w:line="89"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5B89B4"/>
        </w:rPr>
        <w:t>APME</w:t>
      </w:r>
    </w:p>
    <w:p>
      <w:pPr>
        <w:spacing w:after="0" w:line="8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Revenues from services decreased -6.9% (-2.3% in constant currency and an increase of 1.2% in organic constant currency) in 2024 compared to 2023. In Japan, revenues from services increased 0.5% (8.4% in constant currency) primarily driven by a $94.1 increase in demand for our Manpower and Experis staffing/interim services, partially offset by the $89.1 unfavorable impact of currency exchange rates. In Australia, revenues from services decreased -39.3% (-38.9% in constant currency), primarily driven by a $57.0 decrease in our permanent recruitment business driven by the non-recurrence of a Talent Solutions RPO government contract from the prior year period and a $27.3 decrease in demand for our Manpower and Experis staffing/interim services.</w:t>
      </w:r>
    </w:p>
    <w:p>
      <w:pPr>
        <w:spacing w:after="0" w:line="6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Gross profit margin decreased 70 basis points in 2024 compared to 2023 primarily due to decreased activity in our permanent recruitment business, particularly Talent Solutions RPO, which contributed 140 basis points to the decrease, and a decrease in activity across our higher-margin outplacement services, which contributed 20 basis points to the decrease. These contributions were partially offset by improvement in our staffing/interim margins, which had a 90 basis point impact.</w:t>
      </w:r>
    </w:p>
    <w:p>
      <w:pPr>
        <w:spacing w:after="0" w:line="6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Selling and administrative expenses decreased -11.0% (-6.7% in constant currency and -4.3% in organic constant currency) in 2024 compared 2023. The decrease is primarily driven by the $12.5 favorable impact of currency exchange rates, an $11.6 decrease in salary related costs from a reduction in headcount and a $9.3 decrease in office lease costs and other office related costs and a $4.4 decrease in consulting and outside services costs.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OUP in APME decreased -9.7% (-4.0% in constant currency and -1.4% in organic constant currency), in 2024, which represents a 3.9% OUP margin, a decrease from 4.0% in 2023. This OUP decrease was primarily driven by the decreased activity in our permanent recruitment business, partially offset by a decrease in selling and administrative expenses, as noted above.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36" w:name="page37"/>
    <w:bookmarkEnd w:id="36"/>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5B89B4"/>
        </w:rPr>
        <w:t>Financial Measures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Constant Currency And Organic Constant Currency Reconciliation</w:t>
      </w:r>
    </w:p>
    <w:p>
      <w:pPr>
        <w:spacing w:after="0" w:line="88"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Certain constant currency and organic constant currency percent variances are discussed throughout this report. A reconciliation of these Non-GAAP percent variances to the percent variances calculated based on our annual GAAP financial results is provided below. (See Financial Measures - Constant Currency and Organic Constant Currency on page 31 for information.)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840" w:type="dxa"/>
            <w:vAlign w:val="bottom"/>
            <w:tcBorders>
              <w:top w:val="single" w:sz="8" w:color="auto"/>
            </w:tcBorders>
            <w:shd w:val="clear" w:color="auto" w:fill="98B0CF"/>
          </w:tcPr>
          <w:p>
            <w:pPr>
              <w:spacing w:after="0"/>
              <w:rPr>
                <w:sz w:val="10"/>
                <w:szCs w:val="10"/>
                <w:color w:val="auto"/>
              </w:rPr>
            </w:pPr>
          </w:p>
        </w:tc>
        <w:tc>
          <w:tcPr>
            <w:tcW w:w="200" w:type="dxa"/>
            <w:vAlign w:val="bottom"/>
            <w:tcBorders>
              <w:top w:val="single" w:sz="8" w:color="auto"/>
            </w:tcBorders>
            <w:shd w:val="clear" w:color="auto" w:fill="98B0CF"/>
          </w:tcPr>
          <w:p>
            <w:pPr>
              <w:spacing w:after="0"/>
              <w:rPr>
                <w:sz w:val="10"/>
                <w:szCs w:val="10"/>
                <w:color w:val="auto"/>
              </w:rPr>
            </w:pPr>
          </w:p>
        </w:tc>
        <w:tc>
          <w:tcPr>
            <w:tcW w:w="980" w:type="dxa"/>
            <w:vAlign w:val="bottom"/>
            <w:tcBorders>
              <w:top w:val="single" w:sz="8" w:color="auto"/>
            </w:tcBorders>
            <w:shd w:val="clear" w:color="auto" w:fill="98B0CF"/>
          </w:tcPr>
          <w:p>
            <w:pPr>
              <w:spacing w:after="0"/>
              <w:rPr>
                <w:sz w:val="10"/>
                <w:szCs w:val="10"/>
                <w:color w:val="auto"/>
              </w:rPr>
            </w:pPr>
          </w:p>
        </w:tc>
        <w:tc>
          <w:tcPr>
            <w:tcW w:w="1220" w:type="dxa"/>
            <w:vAlign w:val="bottom"/>
            <w:tcBorders>
              <w:top w:val="single" w:sz="8" w:color="auto"/>
            </w:tcBorders>
            <w:shd w:val="clear" w:color="auto" w:fill="98B0CF"/>
          </w:tcPr>
          <w:p>
            <w:pPr>
              <w:spacing w:after="0"/>
              <w:rPr>
                <w:sz w:val="10"/>
                <w:szCs w:val="10"/>
                <w:color w:val="auto"/>
              </w:rPr>
            </w:pPr>
          </w:p>
        </w:tc>
        <w:tc>
          <w:tcPr>
            <w:tcW w:w="1160" w:type="dxa"/>
            <w:vAlign w:val="bottom"/>
            <w:tcBorders>
              <w:top w:val="single" w:sz="8" w:color="auto"/>
            </w:tcBorders>
            <w:shd w:val="clear" w:color="auto" w:fill="98B0CF"/>
          </w:tcPr>
          <w:p>
            <w:pPr>
              <w:spacing w:after="0"/>
              <w:rPr>
                <w:sz w:val="10"/>
                <w:szCs w:val="10"/>
                <w:color w:val="auto"/>
              </w:rPr>
            </w:pPr>
          </w:p>
        </w:tc>
        <w:tc>
          <w:tcPr>
            <w:tcW w:w="1160" w:type="dxa"/>
            <w:vAlign w:val="bottom"/>
            <w:tcBorders>
              <w:top w:val="single" w:sz="8" w:color="auto"/>
            </w:tcBorders>
            <w:shd w:val="clear" w:color="auto" w:fill="98B0CF"/>
          </w:tcPr>
          <w:p>
            <w:pPr>
              <w:spacing w:after="0"/>
              <w:rPr>
                <w:sz w:val="10"/>
                <w:szCs w:val="10"/>
                <w:color w:val="auto"/>
              </w:rPr>
            </w:pPr>
          </w:p>
        </w:tc>
        <w:tc>
          <w:tcPr>
            <w:tcW w:w="1500" w:type="dxa"/>
            <w:vAlign w:val="bottom"/>
            <w:tcBorders>
              <w:top w:val="single" w:sz="8" w:color="auto"/>
            </w:tcBorders>
            <w:shd w:val="clear" w:color="auto" w:fill="98B0CF"/>
          </w:tcPr>
          <w:p>
            <w:pPr>
              <w:jc w:val="center"/>
              <w:ind w:right="240"/>
              <w:spacing w:after="0"/>
              <w:rPr>
                <w:sz w:val="20"/>
                <w:szCs w:val="20"/>
                <w:color w:val="auto"/>
              </w:rPr>
            </w:pPr>
            <w:r>
              <w:rPr>
                <w:rFonts w:ascii="Arial" w:cs="Arial" w:eastAsia="Arial" w:hAnsi="Arial"/>
                <w:sz w:val="10"/>
                <w:szCs w:val="10"/>
                <w:b w:val="1"/>
                <w:bCs w:val="1"/>
                <w:color w:val="231F20"/>
                <w:w w:val="98"/>
              </w:rPr>
              <w:t>Impact of</w:t>
            </w:r>
          </w:p>
        </w:tc>
        <w:tc>
          <w:tcPr>
            <w:tcW w:w="1200" w:type="dxa"/>
            <w:vAlign w:val="bottom"/>
            <w:tcBorders>
              <w:top w:val="single" w:sz="8" w:color="auto"/>
            </w:tcBorders>
            <w:shd w:val="clear" w:color="auto" w:fill="98B0CF"/>
          </w:tcPr>
          <w:p>
            <w:pPr>
              <w:spacing w:after="0"/>
              <w:rPr>
                <w:sz w:val="10"/>
                <w:szCs w:val="10"/>
                <w:color w:val="auto"/>
              </w:rPr>
            </w:pPr>
          </w:p>
        </w:tc>
      </w:tr>
      <w:tr>
        <w:trPr>
          <w:trHeight w:val="118"/>
        </w:trPr>
        <w:tc>
          <w:tcPr>
            <w:tcW w:w="3840" w:type="dxa"/>
            <w:vAlign w:val="bottom"/>
            <w:shd w:val="clear" w:color="auto" w:fill="98B0CF"/>
          </w:tcPr>
          <w:p>
            <w:pPr>
              <w:spacing w:after="0"/>
              <w:rPr>
                <w:sz w:val="10"/>
                <w:szCs w:val="10"/>
                <w:color w:val="auto"/>
              </w:rPr>
            </w:pPr>
          </w:p>
        </w:tc>
        <w:tc>
          <w:tcPr>
            <w:tcW w:w="200" w:type="dxa"/>
            <w:vAlign w:val="bottom"/>
            <w:shd w:val="clear" w:color="auto" w:fill="98B0CF"/>
          </w:tcPr>
          <w:p>
            <w:pPr>
              <w:spacing w:after="0"/>
              <w:rPr>
                <w:sz w:val="10"/>
                <w:szCs w:val="10"/>
                <w:color w:val="auto"/>
              </w:rPr>
            </w:pPr>
          </w:p>
        </w:tc>
        <w:tc>
          <w:tcPr>
            <w:tcW w:w="980" w:type="dxa"/>
            <w:vAlign w:val="bottom"/>
            <w:shd w:val="clear" w:color="auto" w:fill="98B0CF"/>
          </w:tcPr>
          <w:p>
            <w:pPr>
              <w:spacing w:after="0"/>
              <w:rPr>
                <w:sz w:val="10"/>
                <w:szCs w:val="10"/>
                <w:color w:val="auto"/>
              </w:rPr>
            </w:pPr>
          </w:p>
        </w:tc>
        <w:tc>
          <w:tcPr>
            <w:tcW w:w="1220" w:type="dxa"/>
            <w:vAlign w:val="bottom"/>
            <w:shd w:val="clear" w:color="auto" w:fill="98B0CF"/>
          </w:tcPr>
          <w:p>
            <w:pPr>
              <w:spacing w:after="0"/>
              <w:rPr>
                <w:sz w:val="10"/>
                <w:szCs w:val="10"/>
                <w:color w:val="auto"/>
              </w:rPr>
            </w:pPr>
          </w:p>
        </w:tc>
        <w:tc>
          <w:tcPr>
            <w:tcW w:w="1160" w:type="dxa"/>
            <w:vAlign w:val="bottom"/>
            <w:shd w:val="clear" w:color="auto" w:fill="98B0CF"/>
          </w:tcPr>
          <w:p>
            <w:pPr>
              <w:spacing w:after="0"/>
              <w:rPr>
                <w:sz w:val="10"/>
                <w:szCs w:val="10"/>
                <w:color w:val="auto"/>
              </w:rPr>
            </w:pPr>
          </w:p>
        </w:tc>
        <w:tc>
          <w:tcPr>
            <w:tcW w:w="1160" w:type="dxa"/>
            <w:vAlign w:val="bottom"/>
            <w:shd w:val="clear" w:color="auto" w:fill="98B0CF"/>
          </w:tcPr>
          <w:p>
            <w:pPr>
              <w:spacing w:after="0"/>
              <w:rPr>
                <w:sz w:val="10"/>
                <w:szCs w:val="10"/>
                <w:color w:val="auto"/>
              </w:rPr>
            </w:pPr>
          </w:p>
        </w:tc>
        <w:tc>
          <w:tcPr>
            <w:tcW w:w="1500" w:type="dxa"/>
            <w:vAlign w:val="bottom"/>
            <w:shd w:val="clear" w:color="auto" w:fill="98B0CF"/>
          </w:tcPr>
          <w:p>
            <w:pPr>
              <w:jc w:val="center"/>
              <w:ind w:right="240"/>
              <w:spacing w:after="0"/>
              <w:rPr>
                <w:sz w:val="20"/>
                <w:szCs w:val="20"/>
                <w:color w:val="auto"/>
              </w:rPr>
            </w:pPr>
            <w:r>
              <w:rPr>
                <w:rFonts w:ascii="Arial" w:cs="Arial" w:eastAsia="Arial" w:hAnsi="Arial"/>
                <w:sz w:val="10"/>
                <w:szCs w:val="10"/>
                <w:b w:val="1"/>
                <w:bCs w:val="1"/>
                <w:color w:val="231F20"/>
                <w:w w:val="99"/>
              </w:rPr>
              <w:t>Acquisitions</w:t>
            </w:r>
          </w:p>
        </w:tc>
        <w:tc>
          <w:tcPr>
            <w:tcW w:w="1200" w:type="dxa"/>
            <w:vAlign w:val="bottom"/>
            <w:shd w:val="clear" w:color="auto" w:fill="98B0CF"/>
          </w:tcPr>
          <w:p>
            <w:pPr>
              <w:spacing w:after="0"/>
              <w:rPr>
                <w:sz w:val="10"/>
                <w:szCs w:val="10"/>
                <w:color w:val="auto"/>
              </w:rPr>
            </w:pPr>
          </w:p>
        </w:tc>
      </w:tr>
      <w:tr>
        <w:trPr>
          <w:trHeight w:val="118"/>
        </w:trPr>
        <w:tc>
          <w:tcPr>
            <w:tcW w:w="3840" w:type="dxa"/>
            <w:vAlign w:val="bottom"/>
            <w:shd w:val="clear" w:color="auto" w:fill="98B0CF"/>
          </w:tcPr>
          <w:p>
            <w:pPr>
              <w:spacing w:after="0"/>
              <w:rPr>
                <w:sz w:val="10"/>
                <w:szCs w:val="10"/>
                <w:color w:val="auto"/>
              </w:rPr>
            </w:pPr>
          </w:p>
        </w:tc>
        <w:tc>
          <w:tcPr>
            <w:tcW w:w="200" w:type="dxa"/>
            <w:vAlign w:val="bottom"/>
            <w:shd w:val="clear" w:color="auto" w:fill="98B0CF"/>
          </w:tcPr>
          <w:p>
            <w:pPr>
              <w:spacing w:after="0"/>
              <w:rPr>
                <w:sz w:val="10"/>
                <w:szCs w:val="10"/>
                <w:color w:val="auto"/>
              </w:rPr>
            </w:pPr>
          </w:p>
        </w:tc>
        <w:tc>
          <w:tcPr>
            <w:tcW w:w="980" w:type="dxa"/>
            <w:vAlign w:val="bottom"/>
            <w:shd w:val="clear" w:color="auto" w:fill="98B0CF"/>
          </w:tcPr>
          <w:p>
            <w:pPr>
              <w:spacing w:after="0"/>
              <w:rPr>
                <w:sz w:val="10"/>
                <w:szCs w:val="10"/>
                <w:color w:val="auto"/>
              </w:rPr>
            </w:pPr>
          </w:p>
        </w:tc>
        <w:tc>
          <w:tcPr>
            <w:tcW w:w="1220" w:type="dxa"/>
            <w:vAlign w:val="bottom"/>
            <w:shd w:val="clear" w:color="auto" w:fill="98B0CF"/>
          </w:tcPr>
          <w:p>
            <w:pPr>
              <w:spacing w:after="0"/>
              <w:rPr>
                <w:sz w:val="10"/>
                <w:szCs w:val="10"/>
                <w:color w:val="auto"/>
              </w:rPr>
            </w:pPr>
          </w:p>
        </w:tc>
        <w:tc>
          <w:tcPr>
            <w:tcW w:w="1160" w:type="dxa"/>
            <w:vAlign w:val="bottom"/>
            <w:shd w:val="clear" w:color="auto" w:fill="98B0CF"/>
          </w:tcPr>
          <w:p>
            <w:pPr>
              <w:spacing w:after="0"/>
              <w:rPr>
                <w:sz w:val="10"/>
                <w:szCs w:val="10"/>
                <w:color w:val="auto"/>
              </w:rPr>
            </w:pPr>
          </w:p>
        </w:tc>
        <w:tc>
          <w:tcPr>
            <w:tcW w:w="1160" w:type="dxa"/>
            <w:vAlign w:val="bottom"/>
            <w:shd w:val="clear" w:color="auto" w:fill="98B0CF"/>
          </w:tcPr>
          <w:p>
            <w:pPr>
              <w:spacing w:after="0"/>
              <w:rPr>
                <w:sz w:val="10"/>
                <w:szCs w:val="10"/>
                <w:color w:val="auto"/>
              </w:rPr>
            </w:pPr>
          </w:p>
        </w:tc>
        <w:tc>
          <w:tcPr>
            <w:tcW w:w="1500" w:type="dxa"/>
            <w:vAlign w:val="bottom"/>
            <w:shd w:val="clear" w:color="auto" w:fill="98B0CF"/>
          </w:tcPr>
          <w:p>
            <w:pPr>
              <w:jc w:val="center"/>
              <w:ind w:right="260"/>
              <w:spacing w:after="0"/>
              <w:rPr>
                <w:sz w:val="20"/>
                <w:szCs w:val="20"/>
                <w:color w:val="auto"/>
              </w:rPr>
            </w:pPr>
            <w:r>
              <w:rPr>
                <w:rFonts w:ascii="Arial" w:cs="Arial" w:eastAsia="Arial" w:hAnsi="Arial"/>
                <w:sz w:val="10"/>
                <w:szCs w:val="10"/>
                <w:b w:val="1"/>
                <w:bCs w:val="1"/>
                <w:color w:val="231F20"/>
              </w:rPr>
              <w:t>and</w:t>
            </w:r>
          </w:p>
        </w:tc>
        <w:tc>
          <w:tcPr>
            <w:tcW w:w="1200" w:type="dxa"/>
            <w:vAlign w:val="bottom"/>
            <w:shd w:val="clear" w:color="auto" w:fill="98B0CF"/>
          </w:tcPr>
          <w:p>
            <w:pPr>
              <w:jc w:val="center"/>
              <w:ind w:right="259"/>
              <w:spacing w:after="0"/>
              <w:rPr>
                <w:sz w:val="20"/>
                <w:szCs w:val="20"/>
                <w:color w:val="auto"/>
              </w:rPr>
            </w:pPr>
            <w:r>
              <w:rPr>
                <w:rFonts w:ascii="Arial" w:cs="Arial" w:eastAsia="Arial" w:hAnsi="Arial"/>
                <w:sz w:val="10"/>
                <w:szCs w:val="10"/>
                <w:b w:val="1"/>
                <w:bCs w:val="1"/>
                <w:color w:val="231F20"/>
              </w:rPr>
              <w:t>Organic</w:t>
            </w:r>
          </w:p>
        </w:tc>
      </w:tr>
      <w:tr>
        <w:trPr>
          <w:trHeight w:val="118"/>
        </w:trPr>
        <w:tc>
          <w:tcPr>
            <w:tcW w:w="3840" w:type="dxa"/>
            <w:vAlign w:val="bottom"/>
            <w:shd w:val="clear" w:color="auto" w:fill="98B0CF"/>
          </w:tcPr>
          <w:p>
            <w:pPr>
              <w:ind w:left="80"/>
              <w:spacing w:after="0"/>
              <w:rPr>
                <w:sz w:val="20"/>
                <w:szCs w:val="20"/>
                <w:color w:val="auto"/>
              </w:rPr>
            </w:pPr>
            <w:r>
              <w:rPr>
                <w:rFonts w:ascii="Arial" w:cs="Arial" w:eastAsia="Arial" w:hAnsi="Arial"/>
                <w:sz w:val="10"/>
                <w:szCs w:val="10"/>
                <w:b w:val="1"/>
                <w:bCs w:val="1"/>
                <w:i w:val="1"/>
                <w:iCs w:val="1"/>
                <w:color w:val="231F20"/>
              </w:rPr>
              <w:t>Amounts represent 2024</w:t>
            </w:r>
          </w:p>
        </w:tc>
        <w:tc>
          <w:tcPr>
            <w:tcW w:w="200" w:type="dxa"/>
            <w:vAlign w:val="bottom"/>
            <w:shd w:val="clear" w:color="auto" w:fill="98B0CF"/>
          </w:tcPr>
          <w:p>
            <w:pPr>
              <w:spacing w:after="0"/>
              <w:rPr>
                <w:sz w:val="10"/>
                <w:szCs w:val="10"/>
                <w:color w:val="auto"/>
              </w:rPr>
            </w:pPr>
          </w:p>
        </w:tc>
        <w:tc>
          <w:tcPr>
            <w:tcW w:w="980" w:type="dxa"/>
            <w:vAlign w:val="bottom"/>
            <w:shd w:val="clear" w:color="auto" w:fill="98B0CF"/>
          </w:tcPr>
          <w:p>
            <w:pPr>
              <w:jc w:val="center"/>
              <w:ind w:right="278"/>
              <w:spacing w:after="0"/>
              <w:rPr>
                <w:sz w:val="20"/>
                <w:szCs w:val="20"/>
                <w:color w:val="auto"/>
              </w:rPr>
            </w:pPr>
            <w:r>
              <w:rPr>
                <w:rFonts w:ascii="Arial" w:cs="Arial" w:eastAsia="Arial" w:hAnsi="Arial"/>
                <w:sz w:val="10"/>
                <w:szCs w:val="10"/>
                <w:b w:val="1"/>
                <w:bCs w:val="1"/>
                <w:color w:val="231F20"/>
              </w:rPr>
              <w:t>Reported</w:t>
            </w:r>
          </w:p>
        </w:tc>
        <w:tc>
          <w:tcPr>
            <w:tcW w:w="1220" w:type="dxa"/>
            <w:vAlign w:val="bottom"/>
            <w:shd w:val="clear" w:color="auto" w:fill="98B0CF"/>
          </w:tcPr>
          <w:p>
            <w:pPr>
              <w:spacing w:after="0"/>
              <w:rPr>
                <w:sz w:val="10"/>
                <w:szCs w:val="10"/>
                <w:color w:val="auto"/>
              </w:rPr>
            </w:pPr>
          </w:p>
        </w:tc>
        <w:tc>
          <w:tcPr>
            <w:tcW w:w="1160" w:type="dxa"/>
            <w:vAlign w:val="bottom"/>
            <w:shd w:val="clear" w:color="auto" w:fill="98B0CF"/>
          </w:tcPr>
          <w:p>
            <w:pPr>
              <w:spacing w:after="0"/>
              <w:rPr>
                <w:sz w:val="10"/>
                <w:szCs w:val="10"/>
                <w:color w:val="auto"/>
              </w:rPr>
            </w:pPr>
          </w:p>
        </w:tc>
        <w:tc>
          <w:tcPr>
            <w:tcW w:w="1160" w:type="dxa"/>
            <w:vAlign w:val="bottom"/>
            <w:shd w:val="clear" w:color="auto" w:fill="98B0CF"/>
          </w:tcPr>
          <w:p>
            <w:pPr>
              <w:jc w:val="right"/>
              <w:ind w:right="338"/>
              <w:spacing w:after="0"/>
              <w:rPr>
                <w:sz w:val="20"/>
                <w:szCs w:val="20"/>
                <w:color w:val="auto"/>
              </w:rPr>
            </w:pPr>
            <w:r>
              <w:rPr>
                <w:rFonts w:ascii="Arial" w:cs="Arial" w:eastAsia="Arial" w:hAnsi="Arial"/>
                <w:sz w:val="10"/>
                <w:szCs w:val="10"/>
                <w:b w:val="1"/>
                <w:bCs w:val="1"/>
                <w:color w:val="231F20"/>
              </w:rPr>
              <w:t>Variance in</w:t>
            </w:r>
          </w:p>
        </w:tc>
        <w:tc>
          <w:tcPr>
            <w:tcW w:w="1500" w:type="dxa"/>
            <w:vAlign w:val="bottom"/>
            <w:shd w:val="clear" w:color="auto" w:fill="98B0CF"/>
          </w:tcPr>
          <w:p>
            <w:pPr>
              <w:jc w:val="center"/>
              <w:ind w:right="240"/>
              <w:spacing w:after="0"/>
              <w:rPr>
                <w:sz w:val="20"/>
                <w:szCs w:val="20"/>
                <w:color w:val="auto"/>
              </w:rPr>
            </w:pPr>
            <w:r>
              <w:rPr>
                <w:rFonts w:ascii="Arial" w:cs="Arial" w:eastAsia="Arial" w:hAnsi="Arial"/>
                <w:sz w:val="10"/>
                <w:szCs w:val="10"/>
                <w:b w:val="1"/>
                <w:bCs w:val="1"/>
                <w:color w:val="231F20"/>
                <w:w w:val="99"/>
              </w:rPr>
              <w:t>Dispositions</w:t>
            </w:r>
          </w:p>
        </w:tc>
        <w:tc>
          <w:tcPr>
            <w:tcW w:w="1200" w:type="dxa"/>
            <w:vAlign w:val="bottom"/>
            <w:shd w:val="clear" w:color="auto" w:fill="98B0CF"/>
          </w:tcPr>
          <w:p>
            <w:pPr>
              <w:jc w:val="center"/>
              <w:ind w:right="259"/>
              <w:spacing w:after="0"/>
              <w:rPr>
                <w:sz w:val="20"/>
                <w:szCs w:val="20"/>
                <w:color w:val="auto"/>
              </w:rPr>
            </w:pPr>
            <w:r>
              <w:rPr>
                <w:rFonts w:ascii="Arial" w:cs="Arial" w:eastAsia="Arial" w:hAnsi="Arial"/>
                <w:sz w:val="10"/>
                <w:szCs w:val="10"/>
                <w:b w:val="1"/>
                <w:bCs w:val="1"/>
                <w:color w:val="231F20"/>
              </w:rPr>
              <w:t>Constant</w:t>
            </w:r>
          </w:p>
        </w:tc>
      </w:tr>
      <w:tr>
        <w:trPr>
          <w:trHeight w:val="118"/>
        </w:trPr>
        <w:tc>
          <w:tcPr>
            <w:tcW w:w="3840" w:type="dxa"/>
            <w:vAlign w:val="bottom"/>
            <w:shd w:val="clear" w:color="auto" w:fill="98B0CF"/>
          </w:tcPr>
          <w:p>
            <w:pPr>
              <w:ind w:left="80"/>
              <w:spacing w:after="0"/>
              <w:rPr>
                <w:sz w:val="20"/>
                <w:szCs w:val="20"/>
                <w:color w:val="auto"/>
              </w:rPr>
            </w:pPr>
            <w:r>
              <w:rPr>
                <w:rFonts w:ascii="Arial" w:cs="Arial" w:eastAsia="Arial" w:hAnsi="Arial"/>
                <w:sz w:val="10"/>
                <w:szCs w:val="10"/>
                <w:b w:val="1"/>
                <w:bCs w:val="1"/>
                <w:i w:val="1"/>
                <w:iCs w:val="1"/>
                <w:color w:val="231F20"/>
              </w:rPr>
              <w:t>Percentages represent 2024 compared</w:t>
            </w:r>
          </w:p>
        </w:tc>
        <w:tc>
          <w:tcPr>
            <w:tcW w:w="200" w:type="dxa"/>
            <w:vAlign w:val="bottom"/>
            <w:shd w:val="clear" w:color="auto" w:fill="98B0CF"/>
          </w:tcPr>
          <w:p>
            <w:pPr>
              <w:spacing w:after="0"/>
              <w:rPr>
                <w:sz w:val="10"/>
                <w:szCs w:val="10"/>
                <w:color w:val="auto"/>
              </w:rPr>
            </w:pPr>
          </w:p>
        </w:tc>
        <w:tc>
          <w:tcPr>
            <w:tcW w:w="980" w:type="dxa"/>
            <w:vAlign w:val="bottom"/>
            <w:shd w:val="clear" w:color="auto" w:fill="98B0CF"/>
          </w:tcPr>
          <w:p>
            <w:pPr>
              <w:jc w:val="center"/>
              <w:ind w:right="278"/>
              <w:spacing w:after="0"/>
              <w:rPr>
                <w:sz w:val="20"/>
                <w:szCs w:val="20"/>
                <w:color w:val="auto"/>
              </w:rPr>
            </w:pPr>
            <w:r>
              <w:rPr>
                <w:rFonts w:ascii="Arial" w:cs="Arial" w:eastAsia="Arial" w:hAnsi="Arial"/>
                <w:sz w:val="10"/>
                <w:szCs w:val="10"/>
                <w:b w:val="1"/>
                <w:bCs w:val="1"/>
                <w:color w:val="231F20"/>
              </w:rPr>
              <w:t>Amount</w:t>
            </w:r>
          </w:p>
        </w:tc>
        <w:tc>
          <w:tcPr>
            <w:tcW w:w="1220" w:type="dxa"/>
            <w:vAlign w:val="bottom"/>
            <w:shd w:val="clear" w:color="auto" w:fill="98B0CF"/>
          </w:tcPr>
          <w:p>
            <w:pPr>
              <w:jc w:val="right"/>
              <w:ind w:right="518"/>
              <w:spacing w:after="0"/>
              <w:rPr>
                <w:sz w:val="20"/>
                <w:szCs w:val="20"/>
                <w:color w:val="auto"/>
              </w:rPr>
            </w:pPr>
            <w:r>
              <w:rPr>
                <w:rFonts w:ascii="Arial" w:cs="Arial" w:eastAsia="Arial" w:hAnsi="Arial"/>
                <w:sz w:val="10"/>
                <w:szCs w:val="10"/>
                <w:b w:val="1"/>
                <w:bCs w:val="1"/>
                <w:color w:val="231F20"/>
              </w:rPr>
              <w:t>Reported</w:t>
            </w:r>
          </w:p>
        </w:tc>
        <w:tc>
          <w:tcPr>
            <w:tcW w:w="1160" w:type="dxa"/>
            <w:vAlign w:val="bottom"/>
            <w:shd w:val="clear" w:color="auto" w:fill="98B0CF"/>
          </w:tcPr>
          <w:p>
            <w:pPr>
              <w:jc w:val="right"/>
              <w:ind w:right="478"/>
              <w:spacing w:after="0"/>
              <w:rPr>
                <w:sz w:val="20"/>
                <w:szCs w:val="20"/>
                <w:color w:val="auto"/>
              </w:rPr>
            </w:pPr>
            <w:r>
              <w:rPr>
                <w:rFonts w:ascii="Arial" w:cs="Arial" w:eastAsia="Arial" w:hAnsi="Arial"/>
                <w:sz w:val="10"/>
                <w:szCs w:val="10"/>
                <w:b w:val="1"/>
                <w:bCs w:val="1"/>
                <w:color w:val="231F20"/>
              </w:rPr>
              <w:t>Impact of</w:t>
            </w:r>
          </w:p>
        </w:tc>
        <w:tc>
          <w:tcPr>
            <w:tcW w:w="1160" w:type="dxa"/>
            <w:vAlign w:val="bottom"/>
            <w:shd w:val="clear" w:color="auto" w:fill="98B0CF"/>
          </w:tcPr>
          <w:p>
            <w:pPr>
              <w:jc w:val="right"/>
              <w:ind w:right="398"/>
              <w:spacing w:after="0"/>
              <w:rPr>
                <w:sz w:val="20"/>
                <w:szCs w:val="20"/>
                <w:color w:val="auto"/>
              </w:rPr>
            </w:pPr>
            <w:r>
              <w:rPr>
                <w:rFonts w:ascii="Arial" w:cs="Arial" w:eastAsia="Arial" w:hAnsi="Arial"/>
                <w:sz w:val="10"/>
                <w:szCs w:val="10"/>
                <w:b w:val="1"/>
                <w:bCs w:val="1"/>
                <w:color w:val="231F20"/>
              </w:rPr>
              <w:t>Constant</w:t>
            </w:r>
          </w:p>
        </w:tc>
        <w:tc>
          <w:tcPr>
            <w:tcW w:w="1500" w:type="dxa"/>
            <w:vAlign w:val="bottom"/>
            <w:shd w:val="clear" w:color="auto" w:fill="98B0CF"/>
          </w:tcPr>
          <w:p>
            <w:pPr>
              <w:jc w:val="center"/>
              <w:ind w:right="240"/>
              <w:spacing w:after="0"/>
              <w:rPr>
                <w:sz w:val="20"/>
                <w:szCs w:val="20"/>
                <w:color w:val="auto"/>
              </w:rPr>
            </w:pPr>
            <w:r>
              <w:rPr>
                <w:rFonts w:ascii="Arial" w:cs="Arial" w:eastAsia="Arial" w:hAnsi="Arial"/>
                <w:sz w:val="10"/>
                <w:szCs w:val="10"/>
                <w:b w:val="1"/>
                <w:bCs w:val="1"/>
                <w:color w:val="231F20"/>
              </w:rPr>
              <w:t>(in Constant</w:t>
            </w:r>
          </w:p>
        </w:tc>
        <w:tc>
          <w:tcPr>
            <w:tcW w:w="1200" w:type="dxa"/>
            <w:vAlign w:val="bottom"/>
            <w:shd w:val="clear" w:color="auto" w:fill="98B0CF"/>
          </w:tcPr>
          <w:p>
            <w:pPr>
              <w:jc w:val="center"/>
              <w:ind w:right="259"/>
              <w:spacing w:after="0"/>
              <w:rPr>
                <w:sz w:val="20"/>
                <w:szCs w:val="20"/>
                <w:color w:val="auto"/>
              </w:rPr>
            </w:pPr>
            <w:r>
              <w:rPr>
                <w:rFonts w:ascii="Arial" w:cs="Arial" w:eastAsia="Arial" w:hAnsi="Arial"/>
                <w:sz w:val="10"/>
                <w:szCs w:val="10"/>
                <w:b w:val="1"/>
                <w:bCs w:val="1"/>
                <w:color w:val="231F20"/>
              </w:rPr>
              <w:t>Currency</w:t>
            </w:r>
          </w:p>
        </w:tc>
      </w:tr>
      <w:tr>
        <w:trPr>
          <w:trHeight w:val="132"/>
        </w:trPr>
        <w:tc>
          <w:tcPr>
            <w:tcW w:w="3840" w:type="dxa"/>
            <w:vAlign w:val="bottom"/>
            <w:tcBorders>
              <w:bottom w:val="single" w:sz="8" w:color="auto"/>
            </w:tcBorders>
            <w:shd w:val="clear" w:color="auto" w:fill="98B0CF"/>
          </w:tcPr>
          <w:p>
            <w:pPr>
              <w:ind w:left="80"/>
              <w:spacing w:after="0"/>
              <w:rPr>
                <w:sz w:val="20"/>
                <w:szCs w:val="20"/>
                <w:color w:val="auto"/>
              </w:rPr>
            </w:pPr>
            <w:r>
              <w:rPr>
                <w:rFonts w:ascii="Arial" w:cs="Arial" w:eastAsia="Arial" w:hAnsi="Arial"/>
                <w:sz w:val="10"/>
                <w:szCs w:val="10"/>
                <w:b w:val="1"/>
                <w:bCs w:val="1"/>
                <w:i w:val="1"/>
                <w:iCs w:val="1"/>
                <w:color w:val="231F20"/>
              </w:rPr>
              <w:t>to 2023</w:t>
            </w:r>
          </w:p>
        </w:tc>
        <w:tc>
          <w:tcPr>
            <w:tcW w:w="200" w:type="dxa"/>
            <w:vAlign w:val="bottom"/>
            <w:tcBorders>
              <w:bottom w:val="single" w:sz="8" w:color="auto"/>
            </w:tcBorders>
            <w:shd w:val="clear" w:color="auto" w:fill="98B0CF"/>
          </w:tcPr>
          <w:p>
            <w:pPr>
              <w:spacing w:after="0"/>
              <w:rPr>
                <w:sz w:val="11"/>
                <w:szCs w:val="11"/>
                <w:color w:val="auto"/>
              </w:rPr>
            </w:pPr>
          </w:p>
        </w:tc>
        <w:tc>
          <w:tcPr>
            <w:tcW w:w="980" w:type="dxa"/>
            <w:vAlign w:val="bottom"/>
            <w:tcBorders>
              <w:bottom w:val="single" w:sz="8" w:color="auto"/>
            </w:tcBorders>
            <w:shd w:val="clear" w:color="auto" w:fill="98B0CF"/>
          </w:tcPr>
          <w:p>
            <w:pPr>
              <w:jc w:val="center"/>
              <w:ind w:right="278"/>
              <w:spacing w:after="0"/>
              <w:rPr>
                <w:sz w:val="20"/>
                <w:szCs w:val="20"/>
                <w:color w:val="auto"/>
              </w:rPr>
            </w:pPr>
            <w:r>
              <w:rPr>
                <w:rFonts w:ascii="Arial" w:cs="Arial" w:eastAsia="Arial" w:hAnsi="Arial"/>
                <w:sz w:val="10"/>
                <w:szCs w:val="10"/>
                <w:b w:val="1"/>
                <w:bCs w:val="1"/>
                <w:color w:val="231F20"/>
                <w:w w:val="99"/>
              </w:rPr>
              <w:t>(in millions)</w:t>
            </w:r>
          </w:p>
        </w:tc>
        <w:tc>
          <w:tcPr>
            <w:tcW w:w="1220" w:type="dxa"/>
            <w:vAlign w:val="bottom"/>
            <w:tcBorders>
              <w:bottom w:val="single" w:sz="8" w:color="auto"/>
            </w:tcBorders>
            <w:shd w:val="clear" w:color="auto" w:fill="98B0CF"/>
          </w:tcPr>
          <w:p>
            <w:pPr>
              <w:jc w:val="right"/>
              <w:ind w:right="518"/>
              <w:spacing w:after="0"/>
              <w:rPr>
                <w:sz w:val="20"/>
                <w:szCs w:val="20"/>
                <w:color w:val="auto"/>
              </w:rPr>
            </w:pPr>
            <w:r>
              <w:rPr>
                <w:rFonts w:ascii="Arial" w:cs="Arial" w:eastAsia="Arial" w:hAnsi="Arial"/>
                <w:sz w:val="10"/>
                <w:szCs w:val="10"/>
                <w:b w:val="1"/>
                <w:bCs w:val="1"/>
                <w:color w:val="231F20"/>
              </w:rPr>
              <w:t>Variance</w:t>
            </w:r>
          </w:p>
        </w:tc>
        <w:tc>
          <w:tcPr>
            <w:tcW w:w="1160" w:type="dxa"/>
            <w:vAlign w:val="bottom"/>
            <w:tcBorders>
              <w:bottom w:val="single" w:sz="8" w:color="auto"/>
            </w:tcBorders>
            <w:shd w:val="clear" w:color="auto" w:fill="98B0CF"/>
          </w:tcPr>
          <w:p>
            <w:pPr>
              <w:jc w:val="right"/>
              <w:ind w:right="478"/>
              <w:spacing w:after="0"/>
              <w:rPr>
                <w:sz w:val="20"/>
                <w:szCs w:val="20"/>
                <w:color w:val="auto"/>
              </w:rPr>
            </w:pPr>
            <w:r>
              <w:rPr>
                <w:rFonts w:ascii="Arial" w:cs="Arial" w:eastAsia="Arial" w:hAnsi="Arial"/>
                <w:sz w:val="10"/>
                <w:szCs w:val="10"/>
                <w:b w:val="1"/>
                <w:bCs w:val="1"/>
                <w:color w:val="231F20"/>
              </w:rPr>
              <w:t>Currency</w:t>
            </w:r>
          </w:p>
        </w:tc>
        <w:tc>
          <w:tcPr>
            <w:tcW w:w="1160" w:type="dxa"/>
            <w:vAlign w:val="bottom"/>
            <w:tcBorders>
              <w:bottom w:val="single" w:sz="8" w:color="auto"/>
            </w:tcBorders>
            <w:shd w:val="clear" w:color="auto" w:fill="98B0CF"/>
          </w:tcPr>
          <w:p>
            <w:pPr>
              <w:jc w:val="right"/>
              <w:ind w:right="398"/>
              <w:spacing w:after="0"/>
              <w:rPr>
                <w:sz w:val="20"/>
                <w:szCs w:val="20"/>
                <w:color w:val="auto"/>
              </w:rPr>
            </w:pPr>
            <w:r>
              <w:rPr>
                <w:rFonts w:ascii="Arial" w:cs="Arial" w:eastAsia="Arial" w:hAnsi="Arial"/>
                <w:sz w:val="10"/>
                <w:szCs w:val="10"/>
                <w:b w:val="1"/>
                <w:bCs w:val="1"/>
                <w:color w:val="231F20"/>
              </w:rPr>
              <w:t>Currency</w:t>
            </w:r>
          </w:p>
        </w:tc>
        <w:tc>
          <w:tcPr>
            <w:tcW w:w="1500" w:type="dxa"/>
            <w:vAlign w:val="bottom"/>
            <w:tcBorders>
              <w:bottom w:val="single" w:sz="8" w:color="auto"/>
            </w:tcBorders>
            <w:shd w:val="clear" w:color="auto" w:fill="98B0CF"/>
          </w:tcPr>
          <w:p>
            <w:pPr>
              <w:jc w:val="center"/>
              <w:ind w:right="240"/>
              <w:spacing w:after="0"/>
              <w:rPr>
                <w:sz w:val="20"/>
                <w:szCs w:val="20"/>
                <w:color w:val="auto"/>
              </w:rPr>
            </w:pPr>
            <w:r>
              <w:rPr>
                <w:rFonts w:ascii="Arial" w:cs="Arial" w:eastAsia="Arial" w:hAnsi="Arial"/>
                <w:sz w:val="10"/>
                <w:szCs w:val="10"/>
                <w:b w:val="1"/>
                <w:bCs w:val="1"/>
                <w:color w:val="231F20"/>
              </w:rPr>
              <w:t>Currency)</w:t>
            </w:r>
          </w:p>
        </w:tc>
        <w:tc>
          <w:tcPr>
            <w:tcW w:w="1200" w:type="dxa"/>
            <w:vAlign w:val="bottom"/>
            <w:tcBorders>
              <w:bottom w:val="single" w:sz="8" w:color="auto"/>
            </w:tcBorders>
            <w:shd w:val="clear" w:color="auto" w:fill="98B0CF"/>
          </w:tcPr>
          <w:p>
            <w:pPr>
              <w:jc w:val="center"/>
              <w:ind w:right="259"/>
              <w:spacing w:after="0"/>
              <w:rPr>
                <w:sz w:val="20"/>
                <w:szCs w:val="20"/>
                <w:color w:val="auto"/>
              </w:rPr>
            </w:pPr>
            <w:r>
              <w:rPr>
                <w:rFonts w:ascii="Arial" w:cs="Arial" w:eastAsia="Arial" w:hAnsi="Arial"/>
                <w:sz w:val="10"/>
                <w:szCs w:val="10"/>
                <w:b w:val="1"/>
                <w:bCs w:val="1"/>
                <w:color w:val="231F20"/>
              </w:rPr>
              <w:t>Variance</w:t>
            </w:r>
          </w:p>
        </w:tc>
      </w:tr>
      <w:tr>
        <w:trPr>
          <w:trHeight w:val="175"/>
        </w:trPr>
        <w:tc>
          <w:tcPr>
            <w:tcW w:w="3840" w:type="dxa"/>
            <w:vAlign w:val="bottom"/>
            <w:shd w:val="clear" w:color="auto" w:fill="E2E8F1"/>
          </w:tcPr>
          <w:p>
            <w:pPr>
              <w:ind w:left="80"/>
              <w:spacing w:after="0"/>
              <w:rPr>
                <w:sz w:val="20"/>
                <w:szCs w:val="20"/>
                <w:color w:val="auto"/>
              </w:rPr>
            </w:pPr>
            <w:r>
              <w:rPr>
                <w:rFonts w:ascii="Arial" w:cs="Arial" w:eastAsia="Arial" w:hAnsi="Arial"/>
                <w:sz w:val="13"/>
                <w:szCs w:val="13"/>
                <w:b w:val="1"/>
                <w:bCs w:val="1"/>
                <w:color w:val="231F20"/>
              </w:rPr>
              <w:t>Revenues from Services</w:t>
            </w:r>
          </w:p>
        </w:tc>
        <w:tc>
          <w:tcPr>
            <w:tcW w:w="200" w:type="dxa"/>
            <w:vAlign w:val="bottom"/>
            <w:shd w:val="clear" w:color="auto" w:fill="E2E8F1"/>
          </w:tcPr>
          <w:p>
            <w:pPr>
              <w:spacing w:after="0"/>
              <w:rPr>
                <w:sz w:val="15"/>
                <w:szCs w:val="15"/>
                <w:color w:val="auto"/>
              </w:rPr>
            </w:pPr>
          </w:p>
        </w:tc>
        <w:tc>
          <w:tcPr>
            <w:tcW w:w="980" w:type="dxa"/>
            <w:vAlign w:val="bottom"/>
            <w:shd w:val="clear" w:color="auto" w:fill="E2E8F1"/>
          </w:tcPr>
          <w:p>
            <w:pPr>
              <w:spacing w:after="0"/>
              <w:rPr>
                <w:sz w:val="15"/>
                <w:szCs w:val="15"/>
                <w:color w:val="auto"/>
              </w:rPr>
            </w:pPr>
          </w:p>
        </w:tc>
        <w:tc>
          <w:tcPr>
            <w:tcW w:w="1220" w:type="dxa"/>
            <w:vAlign w:val="bottom"/>
            <w:shd w:val="clear" w:color="auto" w:fill="E2E8F1"/>
          </w:tcPr>
          <w:p>
            <w:pPr>
              <w:spacing w:after="0"/>
              <w:rPr>
                <w:sz w:val="15"/>
                <w:szCs w:val="15"/>
                <w:color w:val="auto"/>
              </w:rPr>
            </w:pPr>
          </w:p>
        </w:tc>
        <w:tc>
          <w:tcPr>
            <w:tcW w:w="1160" w:type="dxa"/>
            <w:vAlign w:val="bottom"/>
            <w:shd w:val="clear" w:color="auto" w:fill="E2E8F1"/>
          </w:tcPr>
          <w:p>
            <w:pPr>
              <w:spacing w:after="0"/>
              <w:rPr>
                <w:sz w:val="15"/>
                <w:szCs w:val="15"/>
                <w:color w:val="auto"/>
              </w:rPr>
            </w:pPr>
          </w:p>
        </w:tc>
        <w:tc>
          <w:tcPr>
            <w:tcW w:w="1160" w:type="dxa"/>
            <w:vAlign w:val="bottom"/>
            <w:shd w:val="clear" w:color="auto" w:fill="E2E8F1"/>
          </w:tcPr>
          <w:p>
            <w:pPr>
              <w:spacing w:after="0"/>
              <w:rPr>
                <w:sz w:val="15"/>
                <w:szCs w:val="15"/>
                <w:color w:val="auto"/>
              </w:rPr>
            </w:pPr>
          </w:p>
        </w:tc>
        <w:tc>
          <w:tcPr>
            <w:tcW w:w="1500" w:type="dxa"/>
            <w:vAlign w:val="bottom"/>
            <w:shd w:val="clear" w:color="auto" w:fill="E2E8F1"/>
          </w:tcPr>
          <w:p>
            <w:pPr>
              <w:spacing w:after="0"/>
              <w:rPr>
                <w:sz w:val="15"/>
                <w:szCs w:val="15"/>
                <w:color w:val="auto"/>
              </w:rPr>
            </w:pPr>
          </w:p>
        </w:tc>
        <w:tc>
          <w:tcPr>
            <w:tcW w:w="1200" w:type="dxa"/>
            <w:vAlign w:val="bottom"/>
            <w:shd w:val="clear" w:color="auto" w:fill="E2E8F1"/>
          </w:tcPr>
          <w:p>
            <w:pPr>
              <w:spacing w:after="0"/>
              <w:rPr>
                <w:sz w:val="15"/>
                <w:szCs w:val="15"/>
                <w:color w:val="auto"/>
              </w:rPr>
            </w:pPr>
          </w:p>
        </w:tc>
      </w:tr>
      <w:tr>
        <w:trPr>
          <w:trHeight w:val="174"/>
        </w:trPr>
        <w:tc>
          <w:tcPr>
            <w:tcW w:w="3840" w:type="dxa"/>
            <w:vAlign w:val="bottom"/>
          </w:tcPr>
          <w:p>
            <w:pPr>
              <w:ind w:left="240"/>
              <w:spacing w:after="0"/>
              <w:rPr>
                <w:sz w:val="20"/>
                <w:szCs w:val="20"/>
                <w:color w:val="auto"/>
              </w:rPr>
            </w:pPr>
            <w:r>
              <w:rPr>
                <w:rFonts w:ascii="Arial" w:cs="Arial" w:eastAsia="Arial" w:hAnsi="Arial"/>
                <w:sz w:val="13"/>
                <w:szCs w:val="13"/>
                <w:color w:val="231F20"/>
              </w:rPr>
              <w:t>Americas: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1"/>
        </w:trPr>
        <w:tc>
          <w:tcPr>
            <w:tcW w:w="3840" w:type="dxa"/>
            <w:vAlign w:val="bottom"/>
            <w:shd w:val="clear" w:color="auto" w:fill="E2E8F1"/>
          </w:tcPr>
          <w:p>
            <w:pPr>
              <w:ind w:left="400"/>
              <w:spacing w:after="0"/>
              <w:rPr>
                <w:sz w:val="20"/>
                <w:szCs w:val="20"/>
                <w:color w:val="auto"/>
              </w:rPr>
            </w:pPr>
            <w:r>
              <w:rPr>
                <w:rFonts w:ascii="Arial" w:cs="Arial" w:eastAsia="Arial" w:hAnsi="Arial"/>
                <w:sz w:val="13"/>
                <w:szCs w:val="13"/>
                <w:color w:val="231F20"/>
              </w:rPr>
              <w:t>United States</w:t>
            </w:r>
          </w:p>
        </w:tc>
        <w:tc>
          <w:tcPr>
            <w:tcW w:w="200" w:type="dxa"/>
            <w:vAlign w:val="bottom"/>
            <w:shd w:val="clear" w:color="auto" w:fill="E2E8F1"/>
          </w:tcPr>
          <w:p>
            <w:pPr>
              <w:jc w:val="right"/>
              <w:spacing w:after="0"/>
              <w:rPr>
                <w:sz w:val="20"/>
                <w:szCs w:val="20"/>
                <w:color w:val="auto"/>
              </w:rPr>
            </w:pPr>
            <w:r>
              <w:rPr>
                <w:rFonts w:ascii="Arial" w:cs="Arial" w:eastAsia="Arial" w:hAnsi="Arial"/>
                <w:sz w:val="13"/>
                <w:szCs w:val="13"/>
                <w:color w:val="231F20"/>
              </w:rPr>
              <w:t>$</w:t>
            </w:r>
          </w:p>
        </w:tc>
        <w:tc>
          <w:tcPr>
            <w:tcW w:w="980" w:type="dxa"/>
            <w:vAlign w:val="bottom"/>
            <w:shd w:val="clear" w:color="auto" w:fill="E2E8F1"/>
          </w:tcPr>
          <w:p>
            <w:pPr>
              <w:jc w:val="right"/>
              <w:ind w:right="198"/>
              <w:spacing w:after="0"/>
              <w:rPr>
                <w:sz w:val="20"/>
                <w:szCs w:val="20"/>
                <w:color w:val="auto"/>
              </w:rPr>
            </w:pPr>
            <w:r>
              <w:rPr>
                <w:rFonts w:ascii="Arial" w:cs="Arial" w:eastAsia="Arial" w:hAnsi="Arial"/>
                <w:sz w:val="13"/>
                <w:szCs w:val="13"/>
                <w:color w:val="231F20"/>
              </w:rPr>
              <w:t>2,766.6</w:t>
            </w:r>
          </w:p>
        </w:tc>
        <w:tc>
          <w:tcPr>
            <w:tcW w:w="1220" w:type="dxa"/>
            <w:vAlign w:val="bottom"/>
            <w:shd w:val="clear" w:color="auto" w:fill="E2E8F1"/>
          </w:tcPr>
          <w:p>
            <w:pPr>
              <w:jc w:val="right"/>
              <w:ind w:right="118"/>
              <w:spacing w:after="0"/>
              <w:rPr>
                <w:sz w:val="20"/>
                <w:szCs w:val="20"/>
                <w:color w:val="auto"/>
              </w:rPr>
            </w:pPr>
            <w:r>
              <w:rPr>
                <w:rFonts w:ascii="Arial" w:cs="Arial" w:eastAsia="Arial" w:hAnsi="Arial"/>
                <w:sz w:val="13"/>
                <w:szCs w:val="13"/>
                <w:color w:val="231F20"/>
              </w:rPr>
              <w:t>(3.5 )%</w:t>
            </w:r>
          </w:p>
        </w:tc>
        <w:tc>
          <w:tcPr>
            <w:tcW w:w="1160" w:type="dxa"/>
            <w:vAlign w:val="bottom"/>
            <w:shd w:val="clear" w:color="auto" w:fill="E2E8F1"/>
          </w:tcPr>
          <w:p>
            <w:pPr>
              <w:jc w:val="right"/>
              <w:ind w:right="258"/>
              <w:spacing w:after="0"/>
              <w:rPr>
                <w:sz w:val="20"/>
                <w:szCs w:val="20"/>
                <w:color w:val="auto"/>
              </w:rPr>
            </w:pPr>
            <w:r>
              <w:rPr>
                <w:rFonts w:ascii="Arial" w:cs="Arial" w:eastAsia="Arial" w:hAnsi="Arial"/>
                <w:sz w:val="13"/>
                <w:szCs w:val="13"/>
                <w:color w:val="231F20"/>
              </w:rPr>
              <w:t>—</w:t>
            </w:r>
          </w:p>
        </w:tc>
        <w:tc>
          <w:tcPr>
            <w:tcW w:w="1160" w:type="dxa"/>
            <w:vAlign w:val="bottom"/>
            <w:shd w:val="clear" w:color="auto" w:fill="E2E8F1"/>
          </w:tcPr>
          <w:p>
            <w:pPr>
              <w:jc w:val="right"/>
              <w:spacing w:after="0"/>
              <w:rPr>
                <w:sz w:val="20"/>
                <w:szCs w:val="20"/>
                <w:color w:val="auto"/>
              </w:rPr>
            </w:pPr>
            <w:r>
              <w:rPr>
                <w:rFonts w:ascii="Arial" w:cs="Arial" w:eastAsia="Arial" w:hAnsi="Arial"/>
                <w:sz w:val="13"/>
                <w:szCs w:val="13"/>
                <w:color w:val="231F20"/>
              </w:rPr>
              <w:t>(3.5 )%</w:t>
            </w:r>
          </w:p>
        </w:tc>
        <w:tc>
          <w:tcPr>
            <w:tcW w:w="1500" w:type="dxa"/>
            <w:vAlign w:val="bottom"/>
            <w:shd w:val="clear" w:color="auto" w:fill="E2E8F1"/>
          </w:tcPr>
          <w:p>
            <w:pPr>
              <w:jc w:val="right"/>
              <w:ind w:right="360"/>
              <w:spacing w:after="0"/>
              <w:rPr>
                <w:sz w:val="20"/>
                <w:szCs w:val="20"/>
                <w:color w:val="auto"/>
              </w:rPr>
            </w:pPr>
            <w:r>
              <w:rPr>
                <w:rFonts w:ascii="Arial" w:cs="Arial" w:eastAsia="Arial" w:hAnsi="Arial"/>
                <w:sz w:val="13"/>
                <w:szCs w:val="13"/>
                <w:color w:val="231F20"/>
              </w:rPr>
              <w:t>—</w:t>
            </w:r>
          </w:p>
        </w:tc>
        <w:tc>
          <w:tcPr>
            <w:tcW w:w="1200" w:type="dxa"/>
            <w:vAlign w:val="bottom"/>
            <w:shd w:val="clear" w:color="auto" w:fill="E2E8F1"/>
          </w:tcPr>
          <w:p>
            <w:pPr>
              <w:jc w:val="right"/>
              <w:spacing w:after="0"/>
              <w:rPr>
                <w:sz w:val="20"/>
                <w:szCs w:val="20"/>
                <w:color w:val="auto"/>
              </w:rPr>
            </w:pPr>
            <w:r>
              <w:rPr>
                <w:rFonts w:ascii="Arial" w:cs="Arial" w:eastAsia="Arial" w:hAnsi="Arial"/>
                <w:sz w:val="13"/>
                <w:szCs w:val="13"/>
                <w:color w:val="231F20"/>
              </w:rPr>
              <w:t>(3.5 )%</w:t>
            </w:r>
          </w:p>
        </w:tc>
      </w:tr>
      <w:tr>
        <w:trPr>
          <w:trHeight w:val="174"/>
        </w:trPr>
        <w:tc>
          <w:tcPr>
            <w:tcW w:w="3840" w:type="dxa"/>
            <w:vAlign w:val="bottom"/>
            <w:tcBorders>
              <w:bottom w:val="single" w:sz="8" w:color="231F20"/>
            </w:tcBorders>
          </w:tcPr>
          <w:p>
            <w:pPr>
              <w:ind w:left="400"/>
              <w:spacing w:after="0"/>
              <w:rPr>
                <w:sz w:val="20"/>
                <w:szCs w:val="20"/>
                <w:color w:val="auto"/>
              </w:rPr>
            </w:pPr>
            <w:r>
              <w:rPr>
                <w:rFonts w:ascii="Arial" w:cs="Arial" w:eastAsia="Arial" w:hAnsi="Arial"/>
                <w:sz w:val="13"/>
                <w:szCs w:val="13"/>
                <w:color w:val="231F20"/>
              </w:rPr>
              <w:t>Other Americas</w:t>
            </w:r>
          </w:p>
        </w:tc>
        <w:tc>
          <w:tcPr>
            <w:tcW w:w="200" w:type="dxa"/>
            <w:vAlign w:val="bottom"/>
            <w:tcBorders>
              <w:bottom w:val="single" w:sz="8" w:color="231F20"/>
            </w:tcBorders>
          </w:tcPr>
          <w:p>
            <w:pPr>
              <w:spacing w:after="0"/>
              <w:rPr>
                <w:sz w:val="15"/>
                <w:szCs w:val="15"/>
                <w:color w:val="auto"/>
              </w:rPr>
            </w:pPr>
          </w:p>
        </w:tc>
        <w:tc>
          <w:tcPr>
            <w:tcW w:w="980" w:type="dxa"/>
            <w:vAlign w:val="bottom"/>
            <w:tcBorders>
              <w:bottom w:val="single" w:sz="8" w:color="231F20"/>
            </w:tcBorders>
          </w:tcPr>
          <w:p>
            <w:pPr>
              <w:jc w:val="right"/>
              <w:ind w:right="198"/>
              <w:spacing w:after="0"/>
              <w:rPr>
                <w:sz w:val="20"/>
                <w:szCs w:val="20"/>
                <w:color w:val="auto"/>
              </w:rPr>
            </w:pPr>
            <w:r>
              <w:rPr>
                <w:rFonts w:ascii="Arial" w:cs="Arial" w:eastAsia="Arial" w:hAnsi="Arial"/>
                <w:sz w:val="13"/>
                <w:szCs w:val="13"/>
                <w:color w:val="231F20"/>
              </w:rPr>
              <w:t>1,458.3</w:t>
            </w:r>
          </w:p>
        </w:tc>
        <w:tc>
          <w:tcPr>
            <w:tcW w:w="1220" w:type="dxa"/>
            <w:vAlign w:val="bottom"/>
            <w:tcBorders>
              <w:bottom w:val="single" w:sz="8" w:color="231F20"/>
            </w:tcBorders>
          </w:tcPr>
          <w:p>
            <w:pPr>
              <w:jc w:val="right"/>
              <w:ind w:right="238"/>
              <w:spacing w:after="0"/>
              <w:rPr>
                <w:sz w:val="20"/>
                <w:szCs w:val="20"/>
                <w:color w:val="auto"/>
              </w:rPr>
            </w:pPr>
            <w:r>
              <w:rPr>
                <w:rFonts w:ascii="Arial" w:cs="Arial" w:eastAsia="Arial" w:hAnsi="Arial"/>
                <w:sz w:val="13"/>
                <w:szCs w:val="13"/>
                <w:color w:val="231F20"/>
              </w:rPr>
              <w:t>(5.8 )</w:t>
            </w:r>
          </w:p>
        </w:tc>
        <w:tc>
          <w:tcPr>
            <w:tcW w:w="1160" w:type="dxa"/>
            <w:vAlign w:val="bottom"/>
            <w:tcBorders>
              <w:bottom w:val="single" w:sz="8" w:color="231F20"/>
            </w:tcBorders>
          </w:tcPr>
          <w:p>
            <w:pPr>
              <w:jc w:val="right"/>
              <w:ind w:right="178"/>
              <w:spacing w:after="0"/>
              <w:rPr>
                <w:sz w:val="20"/>
                <w:szCs w:val="20"/>
                <w:color w:val="auto"/>
              </w:rPr>
            </w:pPr>
            <w:r>
              <w:rPr>
                <w:rFonts w:ascii="Arial" w:cs="Arial" w:eastAsia="Arial" w:hAnsi="Arial"/>
                <w:sz w:val="13"/>
                <w:szCs w:val="13"/>
                <w:color w:val="231F20"/>
              </w:rPr>
              <w:t>(21.0 )</w:t>
            </w:r>
          </w:p>
        </w:tc>
        <w:tc>
          <w:tcPr>
            <w:tcW w:w="1160" w:type="dxa"/>
            <w:vAlign w:val="bottom"/>
            <w:tcBorders>
              <w:bottom w:val="single" w:sz="8" w:color="231F20"/>
            </w:tcBorders>
          </w:tcPr>
          <w:p>
            <w:pPr>
              <w:jc w:val="right"/>
              <w:ind w:right="138"/>
              <w:spacing w:after="0"/>
              <w:rPr>
                <w:sz w:val="20"/>
                <w:szCs w:val="20"/>
                <w:color w:val="auto"/>
              </w:rPr>
            </w:pPr>
            <w:r>
              <w:rPr>
                <w:rFonts w:ascii="Arial" w:cs="Arial" w:eastAsia="Arial" w:hAnsi="Arial"/>
                <w:sz w:val="13"/>
                <w:szCs w:val="13"/>
                <w:color w:val="231F20"/>
              </w:rPr>
              <w:t>15.2</w:t>
            </w:r>
          </w:p>
        </w:tc>
        <w:tc>
          <w:tcPr>
            <w:tcW w:w="1500" w:type="dxa"/>
            <w:vAlign w:val="bottom"/>
            <w:tcBorders>
              <w:bottom w:val="single" w:sz="8" w:color="231F20"/>
            </w:tcBorders>
          </w:tcPr>
          <w:p>
            <w:pPr>
              <w:jc w:val="right"/>
              <w:ind w:right="360"/>
              <w:spacing w:after="0"/>
              <w:rPr>
                <w:sz w:val="20"/>
                <w:szCs w:val="20"/>
                <w:color w:val="auto"/>
              </w:rPr>
            </w:pPr>
            <w:r>
              <w:rPr>
                <w:rFonts w:ascii="Arial" w:cs="Arial" w:eastAsia="Arial" w:hAnsi="Arial"/>
                <w:sz w:val="13"/>
                <w:szCs w:val="13"/>
                <w:color w:val="231F20"/>
              </w:rPr>
              <w:t>—</w:t>
            </w:r>
          </w:p>
        </w:tc>
        <w:tc>
          <w:tcPr>
            <w:tcW w:w="1200" w:type="dxa"/>
            <w:vAlign w:val="bottom"/>
            <w:tcBorders>
              <w:bottom w:val="single" w:sz="8" w:color="231F20"/>
            </w:tcBorders>
          </w:tcPr>
          <w:p>
            <w:pPr>
              <w:jc w:val="right"/>
              <w:ind w:right="159"/>
              <w:spacing w:after="0"/>
              <w:rPr>
                <w:sz w:val="20"/>
                <w:szCs w:val="20"/>
                <w:color w:val="auto"/>
              </w:rPr>
            </w:pPr>
            <w:r>
              <w:rPr>
                <w:rFonts w:ascii="Arial" w:cs="Arial" w:eastAsia="Arial" w:hAnsi="Arial"/>
                <w:sz w:val="13"/>
                <w:szCs w:val="13"/>
                <w:color w:val="231F20"/>
              </w:rPr>
              <w:t>15.2</w:t>
            </w:r>
          </w:p>
        </w:tc>
      </w:tr>
      <w:tr>
        <w:trPr>
          <w:trHeight w:val="169"/>
        </w:trPr>
        <w:tc>
          <w:tcPr>
            <w:tcW w:w="3840" w:type="dxa"/>
            <w:vAlign w:val="bottom"/>
            <w:tcBorders>
              <w:bottom w:val="single" w:sz="8" w:color="231F20"/>
            </w:tcBorders>
            <w:shd w:val="clear" w:color="auto" w:fill="E2E8F1"/>
          </w:tcPr>
          <w:p>
            <w:pPr>
              <w:spacing w:after="0"/>
              <w:rPr>
                <w:sz w:val="14"/>
                <w:szCs w:val="14"/>
                <w:color w:val="auto"/>
              </w:rPr>
            </w:pPr>
          </w:p>
        </w:tc>
        <w:tc>
          <w:tcPr>
            <w:tcW w:w="200" w:type="dxa"/>
            <w:vAlign w:val="bottom"/>
            <w:tcBorders>
              <w:bottom w:val="single" w:sz="8" w:color="231F20"/>
            </w:tcBorders>
            <w:shd w:val="clear" w:color="auto" w:fill="E2E8F1"/>
          </w:tcPr>
          <w:p>
            <w:pPr>
              <w:spacing w:after="0"/>
              <w:rPr>
                <w:sz w:val="14"/>
                <w:szCs w:val="14"/>
                <w:color w:val="auto"/>
              </w:rPr>
            </w:pPr>
          </w:p>
        </w:tc>
        <w:tc>
          <w:tcPr>
            <w:tcW w:w="980" w:type="dxa"/>
            <w:vAlign w:val="bottom"/>
            <w:tcBorders>
              <w:bottom w:val="single" w:sz="8" w:color="231F20"/>
            </w:tcBorders>
            <w:shd w:val="clear" w:color="auto" w:fill="E2E8F1"/>
          </w:tcPr>
          <w:p>
            <w:pPr>
              <w:jc w:val="right"/>
              <w:ind w:right="198"/>
              <w:spacing w:after="0"/>
              <w:rPr>
                <w:sz w:val="20"/>
                <w:szCs w:val="20"/>
                <w:color w:val="auto"/>
              </w:rPr>
            </w:pPr>
            <w:r>
              <w:rPr>
                <w:rFonts w:ascii="Arial" w:cs="Arial" w:eastAsia="Arial" w:hAnsi="Arial"/>
                <w:sz w:val="13"/>
                <w:szCs w:val="13"/>
                <w:color w:val="231F20"/>
              </w:rPr>
              <w:t>4,224.9</w:t>
            </w:r>
          </w:p>
        </w:tc>
        <w:tc>
          <w:tcPr>
            <w:tcW w:w="1220" w:type="dxa"/>
            <w:vAlign w:val="bottom"/>
            <w:tcBorders>
              <w:bottom w:val="single" w:sz="8" w:color="231F20"/>
            </w:tcBorders>
            <w:shd w:val="clear" w:color="auto" w:fill="E2E8F1"/>
          </w:tcPr>
          <w:p>
            <w:pPr>
              <w:jc w:val="right"/>
              <w:ind w:right="238"/>
              <w:spacing w:after="0"/>
              <w:rPr>
                <w:sz w:val="20"/>
                <w:szCs w:val="20"/>
                <w:color w:val="auto"/>
              </w:rPr>
            </w:pPr>
            <w:r>
              <w:rPr>
                <w:rFonts w:ascii="Arial" w:cs="Arial" w:eastAsia="Arial" w:hAnsi="Arial"/>
                <w:sz w:val="13"/>
                <w:szCs w:val="13"/>
                <w:color w:val="231F20"/>
              </w:rPr>
              <w:t>(4.3 )</w:t>
            </w:r>
          </w:p>
        </w:tc>
        <w:tc>
          <w:tcPr>
            <w:tcW w:w="1160" w:type="dxa"/>
            <w:vAlign w:val="bottom"/>
            <w:tcBorders>
              <w:bottom w:val="single" w:sz="8" w:color="231F20"/>
            </w:tcBorders>
            <w:shd w:val="clear" w:color="auto" w:fill="E2E8F1"/>
          </w:tcPr>
          <w:p>
            <w:pPr>
              <w:jc w:val="right"/>
              <w:ind w:right="178"/>
              <w:spacing w:after="0"/>
              <w:rPr>
                <w:sz w:val="20"/>
                <w:szCs w:val="20"/>
                <w:color w:val="auto"/>
              </w:rPr>
            </w:pPr>
            <w:r>
              <w:rPr>
                <w:rFonts w:ascii="Arial" w:cs="Arial" w:eastAsia="Arial" w:hAnsi="Arial"/>
                <w:sz w:val="13"/>
                <w:szCs w:val="13"/>
                <w:color w:val="231F20"/>
              </w:rPr>
              <w:t>(7.4 )</w:t>
            </w:r>
          </w:p>
        </w:tc>
        <w:tc>
          <w:tcPr>
            <w:tcW w:w="1160" w:type="dxa"/>
            <w:vAlign w:val="bottom"/>
            <w:tcBorders>
              <w:bottom w:val="single" w:sz="8" w:color="231F20"/>
            </w:tcBorders>
            <w:shd w:val="clear" w:color="auto" w:fill="E2E8F1"/>
          </w:tcPr>
          <w:p>
            <w:pPr>
              <w:jc w:val="right"/>
              <w:ind w:right="138"/>
              <w:spacing w:after="0"/>
              <w:rPr>
                <w:sz w:val="20"/>
                <w:szCs w:val="20"/>
                <w:color w:val="auto"/>
              </w:rPr>
            </w:pPr>
            <w:r>
              <w:rPr>
                <w:rFonts w:ascii="Arial" w:cs="Arial" w:eastAsia="Arial" w:hAnsi="Arial"/>
                <w:sz w:val="13"/>
                <w:szCs w:val="13"/>
                <w:color w:val="231F20"/>
              </w:rPr>
              <w:t>3.1</w:t>
            </w:r>
          </w:p>
        </w:tc>
        <w:tc>
          <w:tcPr>
            <w:tcW w:w="1500" w:type="dxa"/>
            <w:vAlign w:val="bottom"/>
            <w:tcBorders>
              <w:bottom w:val="single" w:sz="8" w:color="231F20"/>
            </w:tcBorders>
            <w:shd w:val="clear" w:color="auto" w:fill="E2E8F1"/>
          </w:tcPr>
          <w:p>
            <w:pPr>
              <w:jc w:val="right"/>
              <w:ind w:right="360"/>
              <w:spacing w:after="0"/>
              <w:rPr>
                <w:sz w:val="20"/>
                <w:szCs w:val="20"/>
                <w:color w:val="auto"/>
              </w:rPr>
            </w:pPr>
            <w:r>
              <w:rPr>
                <w:rFonts w:ascii="Arial" w:cs="Arial" w:eastAsia="Arial" w:hAnsi="Arial"/>
                <w:sz w:val="13"/>
                <w:szCs w:val="13"/>
                <w:color w:val="231F20"/>
              </w:rPr>
              <w:t>—</w:t>
            </w:r>
          </w:p>
        </w:tc>
        <w:tc>
          <w:tcPr>
            <w:tcW w:w="1200" w:type="dxa"/>
            <w:vAlign w:val="bottom"/>
            <w:tcBorders>
              <w:bottom w:val="single" w:sz="8" w:color="231F20"/>
            </w:tcBorders>
            <w:shd w:val="clear" w:color="auto" w:fill="E2E8F1"/>
          </w:tcPr>
          <w:p>
            <w:pPr>
              <w:jc w:val="right"/>
              <w:ind w:right="159"/>
              <w:spacing w:after="0"/>
              <w:rPr>
                <w:sz w:val="20"/>
                <w:szCs w:val="20"/>
                <w:color w:val="auto"/>
              </w:rPr>
            </w:pPr>
            <w:r>
              <w:rPr>
                <w:rFonts w:ascii="Arial" w:cs="Arial" w:eastAsia="Arial" w:hAnsi="Arial"/>
                <w:sz w:val="13"/>
                <w:szCs w:val="13"/>
                <w:color w:val="231F20"/>
              </w:rPr>
              <w:t>3.1</w:t>
            </w:r>
          </w:p>
        </w:tc>
      </w:tr>
      <w:tr>
        <w:trPr>
          <w:trHeight w:val="169"/>
        </w:trPr>
        <w:tc>
          <w:tcPr>
            <w:tcW w:w="3840" w:type="dxa"/>
            <w:vAlign w:val="bottom"/>
          </w:tcPr>
          <w:p>
            <w:pPr>
              <w:ind w:left="240"/>
              <w:spacing w:after="0"/>
              <w:rPr>
                <w:sz w:val="20"/>
                <w:szCs w:val="20"/>
                <w:color w:val="auto"/>
              </w:rPr>
            </w:pPr>
            <w:r>
              <w:rPr>
                <w:rFonts w:ascii="Arial" w:cs="Arial" w:eastAsia="Arial" w:hAnsi="Arial"/>
                <w:sz w:val="13"/>
                <w:szCs w:val="13"/>
                <w:color w:val="231F20"/>
              </w:rPr>
              <w:t>Southern Europe:</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1"/>
        </w:trPr>
        <w:tc>
          <w:tcPr>
            <w:tcW w:w="3840" w:type="dxa"/>
            <w:vAlign w:val="bottom"/>
            <w:shd w:val="clear" w:color="auto" w:fill="E2E8F1"/>
          </w:tcPr>
          <w:p>
            <w:pPr>
              <w:ind w:left="400"/>
              <w:spacing w:after="0"/>
              <w:rPr>
                <w:sz w:val="20"/>
                <w:szCs w:val="20"/>
                <w:color w:val="auto"/>
              </w:rPr>
            </w:pPr>
            <w:r>
              <w:rPr>
                <w:rFonts w:ascii="Arial" w:cs="Arial" w:eastAsia="Arial" w:hAnsi="Arial"/>
                <w:sz w:val="13"/>
                <w:szCs w:val="13"/>
                <w:color w:val="231F20"/>
              </w:rPr>
              <w:t>France</w:t>
            </w:r>
          </w:p>
        </w:tc>
        <w:tc>
          <w:tcPr>
            <w:tcW w:w="200" w:type="dxa"/>
            <w:vAlign w:val="bottom"/>
            <w:shd w:val="clear" w:color="auto" w:fill="E2E8F1"/>
          </w:tcPr>
          <w:p>
            <w:pPr>
              <w:spacing w:after="0"/>
              <w:rPr>
                <w:sz w:val="15"/>
                <w:szCs w:val="15"/>
                <w:color w:val="auto"/>
              </w:rPr>
            </w:pPr>
          </w:p>
        </w:tc>
        <w:tc>
          <w:tcPr>
            <w:tcW w:w="980" w:type="dxa"/>
            <w:vAlign w:val="bottom"/>
            <w:shd w:val="clear" w:color="auto" w:fill="E2E8F1"/>
          </w:tcPr>
          <w:p>
            <w:pPr>
              <w:jc w:val="right"/>
              <w:ind w:right="198"/>
              <w:spacing w:after="0"/>
              <w:rPr>
                <w:sz w:val="20"/>
                <w:szCs w:val="20"/>
                <w:color w:val="auto"/>
              </w:rPr>
            </w:pPr>
            <w:r>
              <w:rPr>
                <w:rFonts w:ascii="Arial" w:cs="Arial" w:eastAsia="Arial" w:hAnsi="Arial"/>
                <w:sz w:val="13"/>
                <w:szCs w:val="13"/>
                <w:color w:val="231F20"/>
              </w:rPr>
              <w:t>4,618.4</w:t>
            </w:r>
          </w:p>
        </w:tc>
        <w:tc>
          <w:tcPr>
            <w:tcW w:w="1220" w:type="dxa"/>
            <w:vAlign w:val="bottom"/>
            <w:shd w:val="clear" w:color="auto" w:fill="E2E8F1"/>
          </w:tcPr>
          <w:p>
            <w:pPr>
              <w:jc w:val="right"/>
              <w:ind w:right="238"/>
              <w:spacing w:after="0"/>
              <w:rPr>
                <w:sz w:val="20"/>
                <w:szCs w:val="20"/>
                <w:color w:val="auto"/>
              </w:rPr>
            </w:pPr>
            <w:r>
              <w:rPr>
                <w:rFonts w:ascii="Arial" w:cs="Arial" w:eastAsia="Arial" w:hAnsi="Arial"/>
                <w:sz w:val="13"/>
                <w:szCs w:val="13"/>
                <w:color w:val="231F20"/>
              </w:rPr>
              <w:t>(5.1 )</w:t>
            </w:r>
          </w:p>
        </w:tc>
        <w:tc>
          <w:tcPr>
            <w:tcW w:w="1160" w:type="dxa"/>
            <w:vAlign w:val="bottom"/>
            <w:shd w:val="clear" w:color="auto" w:fill="E2E8F1"/>
          </w:tcPr>
          <w:p>
            <w:pPr>
              <w:jc w:val="right"/>
              <w:ind w:right="258"/>
              <w:spacing w:after="0"/>
              <w:rPr>
                <w:sz w:val="20"/>
                <w:szCs w:val="20"/>
                <w:color w:val="auto"/>
              </w:rPr>
            </w:pPr>
            <w:r>
              <w:rPr>
                <w:rFonts w:ascii="Arial" w:cs="Arial" w:eastAsia="Arial" w:hAnsi="Arial"/>
                <w:sz w:val="13"/>
                <w:szCs w:val="13"/>
                <w:color w:val="231F20"/>
              </w:rPr>
              <w:t>—</w:t>
            </w:r>
          </w:p>
        </w:tc>
        <w:tc>
          <w:tcPr>
            <w:tcW w:w="1160" w:type="dxa"/>
            <w:vAlign w:val="bottom"/>
            <w:shd w:val="clear" w:color="auto" w:fill="E2E8F1"/>
          </w:tcPr>
          <w:p>
            <w:pPr>
              <w:jc w:val="right"/>
              <w:ind w:right="58"/>
              <w:spacing w:after="0"/>
              <w:rPr>
                <w:sz w:val="20"/>
                <w:szCs w:val="20"/>
                <w:color w:val="auto"/>
              </w:rPr>
            </w:pPr>
            <w:r>
              <w:rPr>
                <w:rFonts w:ascii="Arial" w:cs="Arial" w:eastAsia="Arial" w:hAnsi="Arial"/>
                <w:sz w:val="13"/>
                <w:szCs w:val="13"/>
                <w:color w:val="231F20"/>
              </w:rPr>
              <w:t>(5.1 )</w:t>
            </w:r>
          </w:p>
        </w:tc>
        <w:tc>
          <w:tcPr>
            <w:tcW w:w="1500" w:type="dxa"/>
            <w:vAlign w:val="bottom"/>
            <w:shd w:val="clear" w:color="auto" w:fill="E2E8F1"/>
          </w:tcPr>
          <w:p>
            <w:pPr>
              <w:jc w:val="right"/>
              <w:ind w:right="360"/>
              <w:spacing w:after="0"/>
              <w:rPr>
                <w:sz w:val="20"/>
                <w:szCs w:val="20"/>
                <w:color w:val="auto"/>
              </w:rPr>
            </w:pPr>
            <w:r>
              <w:rPr>
                <w:rFonts w:ascii="Arial" w:cs="Arial" w:eastAsia="Arial" w:hAnsi="Arial"/>
                <w:sz w:val="13"/>
                <w:szCs w:val="13"/>
                <w:color w:val="231F20"/>
              </w:rPr>
              <w:t>—</w:t>
            </w:r>
          </w:p>
        </w:tc>
        <w:tc>
          <w:tcPr>
            <w:tcW w:w="1200" w:type="dxa"/>
            <w:vAlign w:val="bottom"/>
            <w:shd w:val="clear" w:color="auto" w:fill="E2E8F1"/>
          </w:tcPr>
          <w:p>
            <w:pPr>
              <w:jc w:val="right"/>
              <w:ind w:right="79"/>
              <w:spacing w:after="0"/>
              <w:rPr>
                <w:sz w:val="20"/>
                <w:szCs w:val="20"/>
                <w:color w:val="auto"/>
              </w:rPr>
            </w:pPr>
            <w:r>
              <w:rPr>
                <w:rFonts w:ascii="Arial" w:cs="Arial" w:eastAsia="Arial" w:hAnsi="Arial"/>
                <w:sz w:val="13"/>
                <w:szCs w:val="13"/>
                <w:color w:val="231F20"/>
              </w:rPr>
              <w:t>(5.1 )</w:t>
            </w:r>
          </w:p>
        </w:tc>
      </w:tr>
      <w:tr>
        <w:trPr>
          <w:trHeight w:val="174"/>
        </w:trPr>
        <w:tc>
          <w:tcPr>
            <w:tcW w:w="3840" w:type="dxa"/>
            <w:vAlign w:val="bottom"/>
          </w:tcPr>
          <w:p>
            <w:pPr>
              <w:ind w:left="400"/>
              <w:spacing w:after="0"/>
              <w:rPr>
                <w:sz w:val="20"/>
                <w:szCs w:val="20"/>
                <w:color w:val="auto"/>
              </w:rPr>
            </w:pPr>
            <w:r>
              <w:rPr>
                <w:rFonts w:ascii="Arial" w:cs="Arial" w:eastAsia="Arial" w:hAnsi="Arial"/>
                <w:sz w:val="13"/>
                <w:szCs w:val="13"/>
                <w:color w:val="231F20"/>
              </w:rPr>
              <w:t>Italy</w:t>
            </w:r>
          </w:p>
        </w:tc>
        <w:tc>
          <w:tcPr>
            <w:tcW w:w="200" w:type="dxa"/>
            <w:vAlign w:val="bottom"/>
          </w:tcPr>
          <w:p>
            <w:pPr>
              <w:spacing w:after="0"/>
              <w:rPr>
                <w:sz w:val="15"/>
                <w:szCs w:val="15"/>
                <w:color w:val="auto"/>
              </w:rPr>
            </w:pPr>
          </w:p>
        </w:tc>
        <w:tc>
          <w:tcPr>
            <w:tcW w:w="980" w:type="dxa"/>
            <w:vAlign w:val="bottom"/>
          </w:tcPr>
          <w:p>
            <w:pPr>
              <w:jc w:val="right"/>
              <w:ind w:right="198"/>
              <w:spacing w:after="0"/>
              <w:rPr>
                <w:sz w:val="20"/>
                <w:szCs w:val="20"/>
                <w:color w:val="auto"/>
              </w:rPr>
            </w:pPr>
            <w:r>
              <w:rPr>
                <w:rFonts w:ascii="Arial" w:cs="Arial" w:eastAsia="Arial" w:hAnsi="Arial"/>
                <w:sz w:val="13"/>
                <w:szCs w:val="13"/>
                <w:color w:val="231F20"/>
              </w:rPr>
              <w:t>1,677.0</w:t>
            </w:r>
          </w:p>
        </w:tc>
        <w:tc>
          <w:tcPr>
            <w:tcW w:w="1220" w:type="dxa"/>
            <w:vAlign w:val="bottom"/>
          </w:tcPr>
          <w:p>
            <w:pPr>
              <w:jc w:val="right"/>
              <w:ind w:right="238"/>
              <w:spacing w:after="0"/>
              <w:rPr>
                <w:sz w:val="20"/>
                <w:szCs w:val="20"/>
                <w:color w:val="auto"/>
              </w:rPr>
            </w:pPr>
            <w:r>
              <w:rPr>
                <w:rFonts w:ascii="Arial" w:cs="Arial" w:eastAsia="Arial" w:hAnsi="Arial"/>
                <w:sz w:val="13"/>
                <w:szCs w:val="13"/>
                <w:color w:val="231F20"/>
              </w:rPr>
              <w:t>(1.9 )</w:t>
            </w:r>
          </w:p>
        </w:tc>
        <w:tc>
          <w:tcPr>
            <w:tcW w:w="1160" w:type="dxa"/>
            <w:vAlign w:val="bottom"/>
          </w:tcPr>
          <w:p>
            <w:pPr>
              <w:jc w:val="right"/>
              <w:ind w:right="178"/>
              <w:spacing w:after="0"/>
              <w:rPr>
                <w:sz w:val="20"/>
                <w:szCs w:val="20"/>
                <w:color w:val="auto"/>
              </w:rPr>
            </w:pPr>
            <w:r>
              <w:rPr>
                <w:rFonts w:ascii="Arial" w:cs="Arial" w:eastAsia="Arial" w:hAnsi="Arial"/>
                <w:sz w:val="13"/>
                <w:szCs w:val="13"/>
                <w:color w:val="231F20"/>
              </w:rPr>
              <w:t>(0.1 )</w:t>
            </w:r>
          </w:p>
        </w:tc>
        <w:tc>
          <w:tcPr>
            <w:tcW w:w="1160" w:type="dxa"/>
            <w:vAlign w:val="bottom"/>
          </w:tcPr>
          <w:p>
            <w:pPr>
              <w:jc w:val="right"/>
              <w:ind w:right="58"/>
              <w:spacing w:after="0"/>
              <w:rPr>
                <w:sz w:val="20"/>
                <w:szCs w:val="20"/>
                <w:color w:val="auto"/>
              </w:rPr>
            </w:pPr>
            <w:r>
              <w:rPr>
                <w:rFonts w:ascii="Arial" w:cs="Arial" w:eastAsia="Arial" w:hAnsi="Arial"/>
                <w:sz w:val="13"/>
                <w:szCs w:val="13"/>
                <w:color w:val="231F20"/>
              </w:rPr>
              <w:t>(1.8 )</w:t>
            </w:r>
          </w:p>
        </w:tc>
        <w:tc>
          <w:tcPr>
            <w:tcW w:w="1500" w:type="dxa"/>
            <w:vAlign w:val="bottom"/>
          </w:tcPr>
          <w:p>
            <w:pPr>
              <w:jc w:val="right"/>
              <w:ind w:right="360"/>
              <w:spacing w:after="0"/>
              <w:rPr>
                <w:sz w:val="20"/>
                <w:szCs w:val="20"/>
                <w:color w:val="auto"/>
              </w:rPr>
            </w:pPr>
            <w:r>
              <w:rPr>
                <w:rFonts w:ascii="Arial" w:cs="Arial" w:eastAsia="Arial" w:hAnsi="Arial"/>
                <w:sz w:val="13"/>
                <w:szCs w:val="13"/>
                <w:color w:val="231F20"/>
              </w:rPr>
              <w:t>—</w:t>
            </w:r>
          </w:p>
        </w:tc>
        <w:tc>
          <w:tcPr>
            <w:tcW w:w="1200" w:type="dxa"/>
            <w:vAlign w:val="bottom"/>
          </w:tcPr>
          <w:p>
            <w:pPr>
              <w:jc w:val="right"/>
              <w:ind w:right="79"/>
              <w:spacing w:after="0"/>
              <w:rPr>
                <w:sz w:val="20"/>
                <w:szCs w:val="20"/>
                <w:color w:val="auto"/>
              </w:rPr>
            </w:pPr>
            <w:r>
              <w:rPr>
                <w:rFonts w:ascii="Arial" w:cs="Arial" w:eastAsia="Arial" w:hAnsi="Arial"/>
                <w:sz w:val="13"/>
                <w:szCs w:val="13"/>
                <w:color w:val="231F20"/>
              </w:rPr>
              <w:t>(1.8 )</w:t>
            </w:r>
          </w:p>
        </w:tc>
      </w:tr>
      <w:tr>
        <w:trPr>
          <w:trHeight w:val="177"/>
        </w:trPr>
        <w:tc>
          <w:tcPr>
            <w:tcW w:w="3840" w:type="dxa"/>
            <w:vAlign w:val="bottom"/>
            <w:tcBorders>
              <w:bottom w:val="single" w:sz="8" w:color="231F20"/>
            </w:tcBorders>
            <w:shd w:val="clear" w:color="auto" w:fill="E2E8F1"/>
          </w:tcPr>
          <w:p>
            <w:pPr>
              <w:ind w:left="400"/>
              <w:spacing w:after="0"/>
              <w:rPr>
                <w:sz w:val="20"/>
                <w:szCs w:val="20"/>
                <w:color w:val="auto"/>
              </w:rPr>
            </w:pPr>
            <w:r>
              <w:rPr>
                <w:rFonts w:ascii="Arial" w:cs="Arial" w:eastAsia="Arial" w:hAnsi="Arial"/>
                <w:sz w:val="13"/>
                <w:szCs w:val="13"/>
                <w:color w:val="231F20"/>
              </w:rPr>
              <w:t>Other Southern Europe</w:t>
            </w:r>
          </w:p>
        </w:tc>
        <w:tc>
          <w:tcPr>
            <w:tcW w:w="200" w:type="dxa"/>
            <w:vAlign w:val="bottom"/>
            <w:tcBorders>
              <w:bottom w:val="single" w:sz="8" w:color="231F20"/>
            </w:tcBorders>
            <w:shd w:val="clear" w:color="auto" w:fill="E2E8F1"/>
          </w:tcPr>
          <w:p>
            <w:pPr>
              <w:spacing w:after="0"/>
              <w:rPr>
                <w:sz w:val="15"/>
                <w:szCs w:val="15"/>
                <w:color w:val="auto"/>
              </w:rPr>
            </w:pPr>
          </w:p>
        </w:tc>
        <w:tc>
          <w:tcPr>
            <w:tcW w:w="980" w:type="dxa"/>
            <w:vAlign w:val="bottom"/>
            <w:tcBorders>
              <w:bottom w:val="single" w:sz="8" w:color="231F20"/>
            </w:tcBorders>
            <w:shd w:val="clear" w:color="auto" w:fill="E2E8F1"/>
          </w:tcPr>
          <w:p>
            <w:pPr>
              <w:jc w:val="right"/>
              <w:ind w:right="198"/>
              <w:spacing w:after="0"/>
              <w:rPr>
                <w:sz w:val="20"/>
                <w:szCs w:val="20"/>
                <w:color w:val="auto"/>
              </w:rPr>
            </w:pPr>
            <w:r>
              <w:rPr>
                <w:rFonts w:ascii="Arial" w:cs="Arial" w:eastAsia="Arial" w:hAnsi="Arial"/>
                <w:sz w:val="13"/>
                <w:szCs w:val="13"/>
                <w:color w:val="231F20"/>
              </w:rPr>
              <w:t>1,922.9</w:t>
            </w:r>
          </w:p>
        </w:tc>
        <w:tc>
          <w:tcPr>
            <w:tcW w:w="1220" w:type="dxa"/>
            <w:vAlign w:val="bottom"/>
            <w:tcBorders>
              <w:bottom w:val="single" w:sz="8" w:color="231F20"/>
            </w:tcBorders>
            <w:shd w:val="clear" w:color="auto" w:fill="E2E8F1"/>
          </w:tcPr>
          <w:p>
            <w:pPr>
              <w:jc w:val="right"/>
              <w:ind w:right="238"/>
              <w:spacing w:after="0"/>
              <w:rPr>
                <w:sz w:val="20"/>
                <w:szCs w:val="20"/>
                <w:color w:val="auto"/>
              </w:rPr>
            </w:pPr>
            <w:r>
              <w:rPr>
                <w:rFonts w:ascii="Arial" w:cs="Arial" w:eastAsia="Arial" w:hAnsi="Arial"/>
                <w:sz w:val="13"/>
                <w:szCs w:val="13"/>
                <w:color w:val="231F20"/>
              </w:rPr>
              <w:t>(0.9 )</w:t>
            </w:r>
          </w:p>
        </w:tc>
        <w:tc>
          <w:tcPr>
            <w:tcW w:w="1160" w:type="dxa"/>
            <w:vAlign w:val="bottom"/>
            <w:tcBorders>
              <w:bottom w:val="single" w:sz="8" w:color="231F20"/>
            </w:tcBorders>
            <w:shd w:val="clear" w:color="auto" w:fill="E2E8F1"/>
          </w:tcPr>
          <w:p>
            <w:pPr>
              <w:jc w:val="right"/>
              <w:ind w:right="178"/>
              <w:spacing w:after="0"/>
              <w:rPr>
                <w:sz w:val="20"/>
                <w:szCs w:val="20"/>
                <w:color w:val="auto"/>
              </w:rPr>
            </w:pPr>
            <w:r>
              <w:rPr>
                <w:rFonts w:ascii="Arial" w:cs="Arial" w:eastAsia="Arial" w:hAnsi="Arial"/>
                <w:sz w:val="13"/>
                <w:szCs w:val="13"/>
                <w:color w:val="231F20"/>
              </w:rPr>
              <w:t>(0.9 )</w:t>
            </w:r>
          </w:p>
        </w:tc>
        <w:tc>
          <w:tcPr>
            <w:tcW w:w="1160" w:type="dxa"/>
            <w:vAlign w:val="bottom"/>
            <w:tcBorders>
              <w:bottom w:val="single" w:sz="8" w:color="231F20"/>
            </w:tcBorders>
            <w:shd w:val="clear" w:color="auto" w:fill="E2E8F1"/>
          </w:tcPr>
          <w:p>
            <w:pPr>
              <w:jc w:val="right"/>
              <w:ind w:right="138"/>
              <w:spacing w:after="0"/>
              <w:rPr>
                <w:sz w:val="20"/>
                <w:szCs w:val="20"/>
                <w:color w:val="auto"/>
              </w:rPr>
            </w:pPr>
            <w:r>
              <w:rPr>
                <w:rFonts w:ascii="Arial" w:cs="Arial" w:eastAsia="Arial" w:hAnsi="Arial"/>
                <w:sz w:val="13"/>
                <w:szCs w:val="13"/>
                <w:color w:val="231F20"/>
              </w:rPr>
              <w:t>—</w:t>
            </w:r>
          </w:p>
        </w:tc>
        <w:tc>
          <w:tcPr>
            <w:tcW w:w="1500" w:type="dxa"/>
            <w:vAlign w:val="bottom"/>
            <w:tcBorders>
              <w:bottom w:val="single" w:sz="8" w:color="231F20"/>
            </w:tcBorders>
            <w:shd w:val="clear" w:color="auto" w:fill="E2E8F1"/>
          </w:tcPr>
          <w:p>
            <w:pPr>
              <w:jc w:val="right"/>
              <w:ind w:right="280"/>
              <w:spacing w:after="0"/>
              <w:rPr>
                <w:sz w:val="20"/>
                <w:szCs w:val="20"/>
                <w:color w:val="auto"/>
              </w:rPr>
            </w:pPr>
            <w:r>
              <w:rPr>
                <w:rFonts w:ascii="Arial" w:cs="Arial" w:eastAsia="Arial" w:hAnsi="Arial"/>
                <w:sz w:val="13"/>
                <w:szCs w:val="13"/>
                <w:color w:val="231F20"/>
              </w:rPr>
              <w:t>(0.6 )</w:t>
            </w:r>
          </w:p>
        </w:tc>
        <w:tc>
          <w:tcPr>
            <w:tcW w:w="1200" w:type="dxa"/>
            <w:vAlign w:val="bottom"/>
            <w:tcBorders>
              <w:bottom w:val="single" w:sz="8" w:color="231F20"/>
            </w:tcBorders>
            <w:shd w:val="clear" w:color="auto" w:fill="E2E8F1"/>
          </w:tcPr>
          <w:p>
            <w:pPr>
              <w:jc w:val="right"/>
              <w:ind w:right="159"/>
              <w:spacing w:after="0"/>
              <w:rPr>
                <w:sz w:val="20"/>
                <w:szCs w:val="20"/>
                <w:color w:val="auto"/>
              </w:rPr>
            </w:pPr>
            <w:r>
              <w:rPr>
                <w:rFonts w:ascii="Arial" w:cs="Arial" w:eastAsia="Arial" w:hAnsi="Arial"/>
                <w:sz w:val="13"/>
                <w:szCs w:val="13"/>
                <w:color w:val="231F20"/>
              </w:rPr>
              <w:t>0.6</w:t>
            </w:r>
          </w:p>
        </w:tc>
      </w:tr>
      <w:tr>
        <w:trPr>
          <w:trHeight w:val="169"/>
        </w:trPr>
        <w:tc>
          <w:tcPr>
            <w:tcW w:w="3840" w:type="dxa"/>
            <w:vAlign w:val="bottom"/>
            <w:tcBorders>
              <w:bottom w:val="single" w:sz="8" w:color="231F20"/>
            </w:tcBorders>
          </w:tcPr>
          <w:p>
            <w:pPr>
              <w:spacing w:after="0"/>
              <w:rPr>
                <w:sz w:val="14"/>
                <w:szCs w:val="14"/>
                <w:color w:val="auto"/>
              </w:rPr>
            </w:pPr>
          </w:p>
        </w:tc>
        <w:tc>
          <w:tcPr>
            <w:tcW w:w="200" w:type="dxa"/>
            <w:vAlign w:val="bottom"/>
            <w:tcBorders>
              <w:bottom w:val="single" w:sz="8" w:color="231F20"/>
            </w:tcBorders>
          </w:tcPr>
          <w:p>
            <w:pPr>
              <w:spacing w:after="0"/>
              <w:rPr>
                <w:sz w:val="14"/>
                <w:szCs w:val="14"/>
                <w:color w:val="auto"/>
              </w:rPr>
            </w:pPr>
          </w:p>
        </w:tc>
        <w:tc>
          <w:tcPr>
            <w:tcW w:w="980" w:type="dxa"/>
            <w:vAlign w:val="bottom"/>
            <w:tcBorders>
              <w:bottom w:val="single" w:sz="8" w:color="231F20"/>
            </w:tcBorders>
          </w:tcPr>
          <w:p>
            <w:pPr>
              <w:jc w:val="right"/>
              <w:ind w:right="198"/>
              <w:spacing w:after="0"/>
              <w:rPr>
                <w:sz w:val="20"/>
                <w:szCs w:val="20"/>
                <w:color w:val="auto"/>
              </w:rPr>
            </w:pPr>
            <w:r>
              <w:rPr>
                <w:rFonts w:ascii="Arial" w:cs="Arial" w:eastAsia="Arial" w:hAnsi="Arial"/>
                <w:sz w:val="13"/>
                <w:szCs w:val="13"/>
                <w:color w:val="231F20"/>
              </w:rPr>
              <w:t>8,218.3</w:t>
            </w:r>
          </w:p>
        </w:tc>
        <w:tc>
          <w:tcPr>
            <w:tcW w:w="1220" w:type="dxa"/>
            <w:vAlign w:val="bottom"/>
            <w:tcBorders>
              <w:bottom w:val="single" w:sz="8" w:color="231F20"/>
            </w:tcBorders>
          </w:tcPr>
          <w:p>
            <w:pPr>
              <w:jc w:val="right"/>
              <w:ind w:right="238"/>
              <w:spacing w:after="0"/>
              <w:rPr>
                <w:sz w:val="20"/>
                <w:szCs w:val="20"/>
                <w:color w:val="auto"/>
              </w:rPr>
            </w:pPr>
            <w:r>
              <w:rPr>
                <w:rFonts w:ascii="Arial" w:cs="Arial" w:eastAsia="Arial" w:hAnsi="Arial"/>
                <w:sz w:val="13"/>
                <w:szCs w:val="13"/>
                <w:color w:val="231F20"/>
              </w:rPr>
              <w:t>(3.5 )</w:t>
            </w:r>
          </w:p>
        </w:tc>
        <w:tc>
          <w:tcPr>
            <w:tcW w:w="1160" w:type="dxa"/>
            <w:vAlign w:val="bottom"/>
            <w:tcBorders>
              <w:bottom w:val="single" w:sz="8" w:color="231F20"/>
            </w:tcBorders>
          </w:tcPr>
          <w:p>
            <w:pPr>
              <w:jc w:val="right"/>
              <w:ind w:right="178"/>
              <w:spacing w:after="0"/>
              <w:rPr>
                <w:sz w:val="20"/>
                <w:szCs w:val="20"/>
                <w:color w:val="auto"/>
              </w:rPr>
            </w:pPr>
            <w:r>
              <w:rPr>
                <w:rFonts w:ascii="Arial" w:cs="Arial" w:eastAsia="Arial" w:hAnsi="Arial"/>
                <w:sz w:val="13"/>
                <w:szCs w:val="13"/>
                <w:color w:val="231F20"/>
              </w:rPr>
              <w:t>(0.2 )</w:t>
            </w:r>
          </w:p>
        </w:tc>
        <w:tc>
          <w:tcPr>
            <w:tcW w:w="1160" w:type="dxa"/>
            <w:vAlign w:val="bottom"/>
            <w:tcBorders>
              <w:bottom w:val="single" w:sz="8" w:color="231F20"/>
            </w:tcBorders>
          </w:tcPr>
          <w:p>
            <w:pPr>
              <w:jc w:val="right"/>
              <w:ind w:right="58"/>
              <w:spacing w:after="0"/>
              <w:rPr>
                <w:sz w:val="20"/>
                <w:szCs w:val="20"/>
                <w:color w:val="auto"/>
              </w:rPr>
            </w:pPr>
            <w:r>
              <w:rPr>
                <w:rFonts w:ascii="Arial" w:cs="Arial" w:eastAsia="Arial" w:hAnsi="Arial"/>
                <w:sz w:val="13"/>
                <w:szCs w:val="13"/>
                <w:color w:val="231F20"/>
              </w:rPr>
              <w:t>(3.3 )</w:t>
            </w:r>
          </w:p>
        </w:tc>
        <w:tc>
          <w:tcPr>
            <w:tcW w:w="1500" w:type="dxa"/>
            <w:vAlign w:val="bottom"/>
            <w:tcBorders>
              <w:bottom w:val="single" w:sz="8" w:color="231F20"/>
            </w:tcBorders>
          </w:tcPr>
          <w:p>
            <w:pPr>
              <w:jc w:val="right"/>
              <w:ind w:right="280"/>
              <w:spacing w:after="0"/>
              <w:rPr>
                <w:sz w:val="20"/>
                <w:szCs w:val="20"/>
                <w:color w:val="auto"/>
              </w:rPr>
            </w:pPr>
            <w:r>
              <w:rPr>
                <w:rFonts w:ascii="Arial" w:cs="Arial" w:eastAsia="Arial" w:hAnsi="Arial"/>
                <w:sz w:val="13"/>
                <w:szCs w:val="13"/>
                <w:color w:val="231F20"/>
              </w:rPr>
              <w:t>(0.2 )</w:t>
            </w:r>
          </w:p>
        </w:tc>
        <w:tc>
          <w:tcPr>
            <w:tcW w:w="1200" w:type="dxa"/>
            <w:vAlign w:val="bottom"/>
            <w:tcBorders>
              <w:bottom w:val="single" w:sz="8" w:color="231F20"/>
            </w:tcBorders>
          </w:tcPr>
          <w:p>
            <w:pPr>
              <w:jc w:val="right"/>
              <w:ind w:right="79"/>
              <w:spacing w:after="0"/>
              <w:rPr>
                <w:sz w:val="20"/>
                <w:szCs w:val="20"/>
                <w:color w:val="auto"/>
              </w:rPr>
            </w:pPr>
            <w:r>
              <w:rPr>
                <w:rFonts w:ascii="Arial" w:cs="Arial" w:eastAsia="Arial" w:hAnsi="Arial"/>
                <w:sz w:val="13"/>
                <w:szCs w:val="13"/>
                <w:color w:val="231F20"/>
              </w:rPr>
              <w:t>(3.1 )</w:t>
            </w:r>
          </w:p>
        </w:tc>
      </w:tr>
      <w:tr>
        <w:trPr>
          <w:trHeight w:val="173"/>
        </w:trPr>
        <w:tc>
          <w:tcPr>
            <w:tcW w:w="3840" w:type="dxa"/>
            <w:vAlign w:val="bottom"/>
            <w:shd w:val="clear" w:color="auto" w:fill="E2E8F1"/>
          </w:tcPr>
          <w:p>
            <w:pPr>
              <w:ind w:left="240"/>
              <w:spacing w:after="0"/>
              <w:rPr>
                <w:sz w:val="20"/>
                <w:szCs w:val="20"/>
                <w:color w:val="auto"/>
              </w:rPr>
            </w:pPr>
            <w:r>
              <w:rPr>
                <w:rFonts w:ascii="Arial" w:cs="Arial" w:eastAsia="Arial" w:hAnsi="Arial"/>
                <w:sz w:val="13"/>
                <w:szCs w:val="13"/>
                <w:color w:val="231F20"/>
              </w:rPr>
              <w:t>Northern Europe</w:t>
            </w:r>
          </w:p>
        </w:tc>
        <w:tc>
          <w:tcPr>
            <w:tcW w:w="200" w:type="dxa"/>
            <w:vAlign w:val="bottom"/>
            <w:shd w:val="clear" w:color="auto" w:fill="E2E8F1"/>
          </w:tcPr>
          <w:p>
            <w:pPr>
              <w:spacing w:after="0"/>
              <w:rPr>
                <w:sz w:val="15"/>
                <w:szCs w:val="15"/>
                <w:color w:val="auto"/>
              </w:rPr>
            </w:pPr>
          </w:p>
        </w:tc>
        <w:tc>
          <w:tcPr>
            <w:tcW w:w="980" w:type="dxa"/>
            <w:vAlign w:val="bottom"/>
            <w:shd w:val="clear" w:color="auto" w:fill="E2E8F1"/>
          </w:tcPr>
          <w:p>
            <w:pPr>
              <w:jc w:val="right"/>
              <w:ind w:right="198"/>
              <w:spacing w:after="0"/>
              <w:rPr>
                <w:sz w:val="20"/>
                <w:szCs w:val="20"/>
                <w:color w:val="auto"/>
              </w:rPr>
            </w:pPr>
            <w:r>
              <w:rPr>
                <w:rFonts w:ascii="Arial" w:cs="Arial" w:eastAsia="Arial" w:hAnsi="Arial"/>
                <w:sz w:val="13"/>
                <w:szCs w:val="13"/>
                <w:color w:val="231F20"/>
              </w:rPr>
              <w:t>3,304.3</w:t>
            </w:r>
          </w:p>
        </w:tc>
        <w:tc>
          <w:tcPr>
            <w:tcW w:w="1220" w:type="dxa"/>
            <w:vAlign w:val="bottom"/>
            <w:shd w:val="clear" w:color="auto" w:fill="E2E8F1"/>
          </w:tcPr>
          <w:p>
            <w:pPr>
              <w:jc w:val="right"/>
              <w:ind w:right="238"/>
              <w:spacing w:after="0"/>
              <w:rPr>
                <w:sz w:val="20"/>
                <w:szCs w:val="20"/>
                <w:color w:val="auto"/>
              </w:rPr>
            </w:pPr>
            <w:r>
              <w:rPr>
                <w:rFonts w:ascii="Arial" w:cs="Arial" w:eastAsia="Arial" w:hAnsi="Arial"/>
                <w:sz w:val="13"/>
                <w:szCs w:val="13"/>
                <w:color w:val="231F20"/>
              </w:rPr>
              <w:t>(11.8 )</w:t>
            </w:r>
          </w:p>
        </w:tc>
        <w:tc>
          <w:tcPr>
            <w:tcW w:w="1160" w:type="dxa"/>
            <w:vAlign w:val="bottom"/>
            <w:shd w:val="clear" w:color="auto" w:fill="E2E8F1"/>
          </w:tcPr>
          <w:p>
            <w:pPr>
              <w:jc w:val="right"/>
              <w:ind w:right="258"/>
              <w:spacing w:after="0"/>
              <w:rPr>
                <w:sz w:val="20"/>
                <w:szCs w:val="20"/>
                <w:color w:val="auto"/>
              </w:rPr>
            </w:pPr>
            <w:r>
              <w:rPr>
                <w:rFonts w:ascii="Arial" w:cs="Arial" w:eastAsia="Arial" w:hAnsi="Arial"/>
                <w:sz w:val="13"/>
                <w:szCs w:val="13"/>
                <w:color w:val="231F20"/>
              </w:rPr>
              <w:t>1.1</w:t>
            </w:r>
          </w:p>
        </w:tc>
        <w:tc>
          <w:tcPr>
            <w:tcW w:w="1160" w:type="dxa"/>
            <w:vAlign w:val="bottom"/>
            <w:shd w:val="clear" w:color="auto" w:fill="E2E8F1"/>
          </w:tcPr>
          <w:p>
            <w:pPr>
              <w:jc w:val="right"/>
              <w:ind w:right="58"/>
              <w:spacing w:after="0"/>
              <w:rPr>
                <w:sz w:val="20"/>
                <w:szCs w:val="20"/>
                <w:color w:val="auto"/>
              </w:rPr>
            </w:pPr>
            <w:r>
              <w:rPr>
                <w:rFonts w:ascii="Arial" w:cs="Arial" w:eastAsia="Arial" w:hAnsi="Arial"/>
                <w:sz w:val="13"/>
                <w:szCs w:val="13"/>
                <w:color w:val="231F20"/>
              </w:rPr>
              <w:t>(12.9 )</w:t>
            </w:r>
          </w:p>
        </w:tc>
        <w:tc>
          <w:tcPr>
            <w:tcW w:w="1500" w:type="dxa"/>
            <w:vAlign w:val="bottom"/>
            <w:shd w:val="clear" w:color="auto" w:fill="E2E8F1"/>
          </w:tcPr>
          <w:p>
            <w:pPr>
              <w:jc w:val="right"/>
              <w:ind w:right="360"/>
              <w:spacing w:after="0"/>
              <w:rPr>
                <w:sz w:val="20"/>
                <w:szCs w:val="20"/>
                <w:color w:val="auto"/>
              </w:rPr>
            </w:pPr>
            <w:r>
              <w:rPr>
                <w:rFonts w:ascii="Arial" w:cs="Arial" w:eastAsia="Arial" w:hAnsi="Arial"/>
                <w:sz w:val="13"/>
                <w:szCs w:val="13"/>
                <w:color w:val="231F20"/>
              </w:rPr>
              <w:t>—</w:t>
            </w:r>
          </w:p>
        </w:tc>
        <w:tc>
          <w:tcPr>
            <w:tcW w:w="1200" w:type="dxa"/>
            <w:vAlign w:val="bottom"/>
            <w:shd w:val="clear" w:color="auto" w:fill="E2E8F1"/>
          </w:tcPr>
          <w:p>
            <w:pPr>
              <w:jc w:val="right"/>
              <w:ind w:right="79"/>
              <w:spacing w:after="0"/>
              <w:rPr>
                <w:sz w:val="20"/>
                <w:szCs w:val="20"/>
                <w:color w:val="auto"/>
              </w:rPr>
            </w:pPr>
            <w:r>
              <w:rPr>
                <w:rFonts w:ascii="Arial" w:cs="Arial" w:eastAsia="Arial" w:hAnsi="Arial"/>
                <w:sz w:val="13"/>
                <w:szCs w:val="13"/>
                <w:color w:val="231F20"/>
              </w:rPr>
              <w:t>(12.9 )</w:t>
            </w:r>
          </w:p>
        </w:tc>
      </w:tr>
      <w:tr>
        <w:trPr>
          <w:trHeight w:val="174"/>
        </w:trPr>
        <w:tc>
          <w:tcPr>
            <w:tcW w:w="3840" w:type="dxa"/>
            <w:vAlign w:val="bottom"/>
            <w:tcBorders>
              <w:bottom w:val="single" w:sz="8" w:color="231F20"/>
            </w:tcBorders>
          </w:tcPr>
          <w:p>
            <w:pPr>
              <w:ind w:left="240"/>
              <w:spacing w:after="0"/>
              <w:rPr>
                <w:sz w:val="20"/>
                <w:szCs w:val="20"/>
                <w:color w:val="auto"/>
              </w:rPr>
            </w:pPr>
            <w:r>
              <w:rPr>
                <w:rFonts w:ascii="Arial" w:cs="Arial" w:eastAsia="Arial" w:hAnsi="Arial"/>
                <w:sz w:val="13"/>
                <w:szCs w:val="13"/>
                <w:color w:val="231F20"/>
              </w:rPr>
              <w:t>APME</w:t>
            </w:r>
          </w:p>
        </w:tc>
        <w:tc>
          <w:tcPr>
            <w:tcW w:w="200" w:type="dxa"/>
            <w:vAlign w:val="bottom"/>
            <w:tcBorders>
              <w:bottom w:val="single" w:sz="8" w:color="231F20"/>
            </w:tcBorders>
          </w:tcPr>
          <w:p>
            <w:pPr>
              <w:spacing w:after="0"/>
              <w:rPr>
                <w:sz w:val="15"/>
                <w:szCs w:val="15"/>
                <w:color w:val="auto"/>
              </w:rPr>
            </w:pPr>
          </w:p>
        </w:tc>
        <w:tc>
          <w:tcPr>
            <w:tcW w:w="980" w:type="dxa"/>
            <w:vAlign w:val="bottom"/>
            <w:tcBorders>
              <w:bottom w:val="single" w:sz="8" w:color="231F20"/>
            </w:tcBorders>
          </w:tcPr>
          <w:p>
            <w:pPr>
              <w:jc w:val="right"/>
              <w:ind w:right="198"/>
              <w:spacing w:after="0"/>
              <w:rPr>
                <w:sz w:val="20"/>
                <w:szCs w:val="20"/>
                <w:color w:val="auto"/>
              </w:rPr>
            </w:pPr>
            <w:r>
              <w:rPr>
                <w:rFonts w:ascii="Arial" w:cs="Arial" w:eastAsia="Arial" w:hAnsi="Arial"/>
                <w:sz w:val="13"/>
                <w:szCs w:val="13"/>
                <w:color w:val="231F20"/>
              </w:rPr>
              <w:t>2,161.3</w:t>
            </w:r>
          </w:p>
        </w:tc>
        <w:tc>
          <w:tcPr>
            <w:tcW w:w="1220" w:type="dxa"/>
            <w:vAlign w:val="bottom"/>
            <w:tcBorders>
              <w:bottom w:val="single" w:sz="8" w:color="231F20"/>
            </w:tcBorders>
          </w:tcPr>
          <w:p>
            <w:pPr>
              <w:jc w:val="right"/>
              <w:ind w:right="238"/>
              <w:spacing w:after="0"/>
              <w:rPr>
                <w:sz w:val="20"/>
                <w:szCs w:val="20"/>
                <w:color w:val="auto"/>
              </w:rPr>
            </w:pPr>
            <w:r>
              <w:rPr>
                <w:rFonts w:ascii="Arial" w:cs="Arial" w:eastAsia="Arial" w:hAnsi="Arial"/>
                <w:sz w:val="13"/>
                <w:szCs w:val="13"/>
                <w:color w:val="231F20"/>
              </w:rPr>
              <w:t>(6.9 )</w:t>
            </w:r>
          </w:p>
        </w:tc>
        <w:tc>
          <w:tcPr>
            <w:tcW w:w="1160" w:type="dxa"/>
            <w:vAlign w:val="bottom"/>
            <w:tcBorders>
              <w:bottom w:val="single" w:sz="8" w:color="231F20"/>
            </w:tcBorders>
          </w:tcPr>
          <w:p>
            <w:pPr>
              <w:jc w:val="right"/>
              <w:ind w:right="178"/>
              <w:spacing w:after="0"/>
              <w:rPr>
                <w:sz w:val="20"/>
                <w:szCs w:val="20"/>
                <w:color w:val="auto"/>
              </w:rPr>
            </w:pPr>
            <w:r>
              <w:rPr>
                <w:rFonts w:ascii="Arial" w:cs="Arial" w:eastAsia="Arial" w:hAnsi="Arial"/>
                <w:sz w:val="13"/>
                <w:szCs w:val="13"/>
                <w:color w:val="231F20"/>
              </w:rPr>
              <w:t>(4.6 )</w:t>
            </w:r>
          </w:p>
        </w:tc>
        <w:tc>
          <w:tcPr>
            <w:tcW w:w="1160" w:type="dxa"/>
            <w:vAlign w:val="bottom"/>
            <w:tcBorders>
              <w:bottom w:val="single" w:sz="8" w:color="231F20"/>
            </w:tcBorders>
          </w:tcPr>
          <w:p>
            <w:pPr>
              <w:jc w:val="right"/>
              <w:ind w:right="58"/>
              <w:spacing w:after="0"/>
              <w:rPr>
                <w:sz w:val="20"/>
                <w:szCs w:val="20"/>
                <w:color w:val="auto"/>
              </w:rPr>
            </w:pPr>
            <w:r>
              <w:rPr>
                <w:rFonts w:ascii="Arial" w:cs="Arial" w:eastAsia="Arial" w:hAnsi="Arial"/>
                <w:sz w:val="13"/>
                <w:szCs w:val="13"/>
                <w:color w:val="231F20"/>
              </w:rPr>
              <w:t>(2.3 )</w:t>
            </w:r>
          </w:p>
        </w:tc>
        <w:tc>
          <w:tcPr>
            <w:tcW w:w="1500" w:type="dxa"/>
            <w:vAlign w:val="bottom"/>
            <w:tcBorders>
              <w:bottom w:val="single" w:sz="8" w:color="231F20"/>
            </w:tcBorders>
          </w:tcPr>
          <w:p>
            <w:pPr>
              <w:jc w:val="right"/>
              <w:ind w:right="280"/>
              <w:spacing w:after="0"/>
              <w:rPr>
                <w:sz w:val="20"/>
                <w:szCs w:val="20"/>
                <w:color w:val="auto"/>
              </w:rPr>
            </w:pPr>
            <w:r>
              <w:rPr>
                <w:rFonts w:ascii="Arial" w:cs="Arial" w:eastAsia="Arial" w:hAnsi="Arial"/>
                <w:sz w:val="13"/>
                <w:szCs w:val="13"/>
                <w:color w:val="231F20"/>
              </w:rPr>
              <w:t>(3.5 )</w:t>
            </w:r>
          </w:p>
        </w:tc>
        <w:tc>
          <w:tcPr>
            <w:tcW w:w="1200" w:type="dxa"/>
            <w:vAlign w:val="bottom"/>
            <w:tcBorders>
              <w:bottom w:val="single" w:sz="8" w:color="231F20"/>
            </w:tcBorders>
          </w:tcPr>
          <w:p>
            <w:pPr>
              <w:jc w:val="right"/>
              <w:ind w:right="159"/>
              <w:spacing w:after="0"/>
              <w:rPr>
                <w:sz w:val="20"/>
                <w:szCs w:val="20"/>
                <w:color w:val="auto"/>
              </w:rPr>
            </w:pPr>
            <w:r>
              <w:rPr>
                <w:rFonts w:ascii="Arial" w:cs="Arial" w:eastAsia="Arial" w:hAnsi="Arial"/>
                <w:sz w:val="13"/>
                <w:szCs w:val="13"/>
                <w:color w:val="231F20"/>
              </w:rPr>
              <w:t>1.2</w:t>
            </w:r>
          </w:p>
        </w:tc>
      </w:tr>
      <w:tr>
        <w:trPr>
          <w:trHeight w:val="169"/>
        </w:trPr>
        <w:tc>
          <w:tcPr>
            <w:tcW w:w="3840" w:type="dxa"/>
            <w:vAlign w:val="bottom"/>
            <w:tcBorders>
              <w:bottom w:val="single" w:sz="8" w:color="231F20"/>
            </w:tcBorders>
            <w:shd w:val="clear" w:color="auto" w:fill="E2E8F1"/>
          </w:tcPr>
          <w:p>
            <w:pPr>
              <w:spacing w:after="0"/>
              <w:rPr>
                <w:sz w:val="14"/>
                <w:szCs w:val="14"/>
                <w:color w:val="auto"/>
              </w:rPr>
            </w:pPr>
          </w:p>
        </w:tc>
        <w:tc>
          <w:tcPr>
            <w:tcW w:w="200" w:type="dxa"/>
            <w:vAlign w:val="bottom"/>
            <w:tcBorders>
              <w:bottom w:val="single" w:sz="8" w:color="231F20"/>
            </w:tcBorders>
            <w:shd w:val="clear" w:color="auto" w:fill="E2E8F1"/>
          </w:tcPr>
          <w:p>
            <w:pPr>
              <w:spacing w:after="0"/>
              <w:rPr>
                <w:sz w:val="14"/>
                <w:szCs w:val="14"/>
                <w:color w:val="auto"/>
              </w:rPr>
            </w:pPr>
          </w:p>
        </w:tc>
        <w:tc>
          <w:tcPr>
            <w:tcW w:w="980" w:type="dxa"/>
            <w:vAlign w:val="bottom"/>
            <w:tcBorders>
              <w:bottom w:val="single" w:sz="8" w:color="231F20"/>
            </w:tcBorders>
            <w:shd w:val="clear" w:color="auto" w:fill="E2E8F1"/>
          </w:tcPr>
          <w:p>
            <w:pPr>
              <w:jc w:val="right"/>
              <w:ind w:right="198"/>
              <w:spacing w:after="0"/>
              <w:rPr>
                <w:sz w:val="20"/>
                <w:szCs w:val="20"/>
                <w:color w:val="auto"/>
              </w:rPr>
            </w:pPr>
            <w:r>
              <w:rPr>
                <w:rFonts w:ascii="Arial" w:cs="Arial" w:eastAsia="Arial" w:hAnsi="Arial"/>
                <w:sz w:val="13"/>
                <w:szCs w:val="13"/>
                <w:color w:val="231F20"/>
              </w:rPr>
              <w:t>17,908.8</w:t>
            </w:r>
          </w:p>
        </w:tc>
        <w:tc>
          <w:tcPr>
            <w:tcW w:w="1220" w:type="dxa"/>
            <w:vAlign w:val="bottom"/>
            <w:tcBorders>
              <w:bottom w:val="single" w:sz="8" w:color="231F20"/>
            </w:tcBorders>
            <w:shd w:val="clear" w:color="auto" w:fill="E2E8F1"/>
          </w:tcPr>
          <w:p>
            <w:pPr>
              <w:spacing w:after="0"/>
              <w:rPr>
                <w:sz w:val="14"/>
                <w:szCs w:val="14"/>
                <w:color w:val="auto"/>
              </w:rPr>
            </w:pPr>
          </w:p>
        </w:tc>
        <w:tc>
          <w:tcPr>
            <w:tcW w:w="1160" w:type="dxa"/>
            <w:vAlign w:val="bottom"/>
            <w:tcBorders>
              <w:bottom w:val="single" w:sz="8" w:color="231F20"/>
            </w:tcBorders>
            <w:shd w:val="clear" w:color="auto" w:fill="E2E8F1"/>
          </w:tcPr>
          <w:p>
            <w:pPr>
              <w:spacing w:after="0"/>
              <w:rPr>
                <w:sz w:val="14"/>
                <w:szCs w:val="14"/>
                <w:color w:val="auto"/>
              </w:rPr>
            </w:pPr>
          </w:p>
        </w:tc>
        <w:tc>
          <w:tcPr>
            <w:tcW w:w="1160" w:type="dxa"/>
            <w:vAlign w:val="bottom"/>
            <w:tcBorders>
              <w:bottom w:val="single" w:sz="8" w:color="231F20"/>
            </w:tcBorders>
            <w:shd w:val="clear" w:color="auto" w:fill="E2E8F1"/>
          </w:tcPr>
          <w:p>
            <w:pPr>
              <w:spacing w:after="0"/>
              <w:rPr>
                <w:sz w:val="14"/>
                <w:szCs w:val="14"/>
                <w:color w:val="auto"/>
              </w:rPr>
            </w:pPr>
          </w:p>
        </w:tc>
        <w:tc>
          <w:tcPr>
            <w:tcW w:w="1500" w:type="dxa"/>
            <w:vAlign w:val="bottom"/>
            <w:tcBorders>
              <w:bottom w:val="single" w:sz="8" w:color="231F20"/>
            </w:tcBorders>
            <w:shd w:val="clear" w:color="auto" w:fill="E2E8F1"/>
          </w:tcPr>
          <w:p>
            <w:pPr>
              <w:spacing w:after="0"/>
              <w:rPr>
                <w:sz w:val="14"/>
                <w:szCs w:val="14"/>
                <w:color w:val="auto"/>
              </w:rPr>
            </w:pPr>
          </w:p>
        </w:tc>
        <w:tc>
          <w:tcPr>
            <w:tcW w:w="1200" w:type="dxa"/>
            <w:vAlign w:val="bottom"/>
            <w:tcBorders>
              <w:bottom w:val="single" w:sz="8" w:color="231F20"/>
            </w:tcBorders>
            <w:shd w:val="clear" w:color="auto" w:fill="E2E8F1"/>
          </w:tcPr>
          <w:p>
            <w:pPr>
              <w:spacing w:after="0"/>
              <w:rPr>
                <w:sz w:val="14"/>
                <w:szCs w:val="14"/>
                <w:color w:val="auto"/>
              </w:rPr>
            </w:pPr>
          </w:p>
        </w:tc>
      </w:tr>
      <w:tr>
        <w:trPr>
          <w:trHeight w:val="169"/>
        </w:trPr>
        <w:tc>
          <w:tcPr>
            <w:tcW w:w="3840" w:type="dxa"/>
            <w:vAlign w:val="bottom"/>
            <w:tcBorders>
              <w:bottom w:val="single" w:sz="8" w:color="231F20"/>
            </w:tcBorders>
          </w:tcPr>
          <w:p>
            <w:pPr>
              <w:ind w:left="240"/>
              <w:spacing w:after="0"/>
              <w:rPr>
                <w:sz w:val="20"/>
                <w:szCs w:val="20"/>
                <w:color w:val="auto"/>
              </w:rPr>
            </w:pPr>
            <w:r>
              <w:rPr>
                <w:rFonts w:ascii="Arial" w:cs="Arial" w:eastAsia="Arial" w:hAnsi="Arial"/>
                <w:sz w:val="13"/>
                <w:szCs w:val="13"/>
                <w:color w:val="231F20"/>
              </w:rPr>
              <w:t>Intercompany Eliminations</w:t>
            </w:r>
          </w:p>
        </w:tc>
        <w:tc>
          <w:tcPr>
            <w:tcW w:w="200" w:type="dxa"/>
            <w:vAlign w:val="bottom"/>
            <w:tcBorders>
              <w:bottom w:val="single" w:sz="8" w:color="231F20"/>
            </w:tcBorders>
          </w:tcPr>
          <w:p>
            <w:pPr>
              <w:spacing w:after="0"/>
              <w:rPr>
                <w:sz w:val="14"/>
                <w:szCs w:val="14"/>
                <w:color w:val="auto"/>
              </w:rPr>
            </w:pPr>
          </w:p>
        </w:tc>
        <w:tc>
          <w:tcPr>
            <w:tcW w:w="980" w:type="dxa"/>
            <w:vAlign w:val="bottom"/>
            <w:tcBorders>
              <w:bottom w:val="single" w:sz="8" w:color="231F20"/>
            </w:tcBorders>
          </w:tcPr>
          <w:p>
            <w:pPr>
              <w:jc w:val="right"/>
              <w:ind w:right="118"/>
              <w:spacing w:after="0"/>
              <w:rPr>
                <w:sz w:val="20"/>
                <w:szCs w:val="20"/>
                <w:color w:val="auto"/>
              </w:rPr>
            </w:pPr>
            <w:r>
              <w:rPr>
                <w:rFonts w:ascii="Arial" w:cs="Arial" w:eastAsia="Arial" w:hAnsi="Arial"/>
                <w:sz w:val="13"/>
                <w:szCs w:val="13"/>
                <w:color w:val="231F20"/>
              </w:rPr>
              <w:t>(54.9 )</w:t>
            </w:r>
          </w:p>
        </w:tc>
        <w:tc>
          <w:tcPr>
            <w:tcW w:w="1220" w:type="dxa"/>
            <w:vAlign w:val="bottom"/>
            <w:tcBorders>
              <w:bottom w:val="single" w:sz="8" w:color="231F20"/>
            </w:tcBorders>
          </w:tcPr>
          <w:p>
            <w:pPr>
              <w:spacing w:after="0"/>
              <w:rPr>
                <w:sz w:val="14"/>
                <w:szCs w:val="14"/>
                <w:color w:val="auto"/>
              </w:rPr>
            </w:pPr>
          </w:p>
        </w:tc>
        <w:tc>
          <w:tcPr>
            <w:tcW w:w="1160" w:type="dxa"/>
            <w:vAlign w:val="bottom"/>
            <w:tcBorders>
              <w:bottom w:val="single" w:sz="8" w:color="231F20"/>
            </w:tcBorders>
          </w:tcPr>
          <w:p>
            <w:pPr>
              <w:spacing w:after="0"/>
              <w:rPr>
                <w:sz w:val="14"/>
                <w:szCs w:val="14"/>
                <w:color w:val="auto"/>
              </w:rPr>
            </w:pPr>
          </w:p>
        </w:tc>
        <w:tc>
          <w:tcPr>
            <w:tcW w:w="1160" w:type="dxa"/>
            <w:vAlign w:val="bottom"/>
            <w:tcBorders>
              <w:bottom w:val="single" w:sz="8" w:color="231F20"/>
            </w:tcBorders>
          </w:tcPr>
          <w:p>
            <w:pPr>
              <w:spacing w:after="0"/>
              <w:rPr>
                <w:sz w:val="14"/>
                <w:szCs w:val="14"/>
                <w:color w:val="auto"/>
              </w:rPr>
            </w:pPr>
          </w:p>
        </w:tc>
        <w:tc>
          <w:tcPr>
            <w:tcW w:w="1500" w:type="dxa"/>
            <w:vAlign w:val="bottom"/>
            <w:tcBorders>
              <w:bottom w:val="single" w:sz="8" w:color="231F20"/>
            </w:tcBorders>
          </w:tcPr>
          <w:p>
            <w:pPr>
              <w:spacing w:after="0"/>
              <w:rPr>
                <w:sz w:val="14"/>
                <w:szCs w:val="14"/>
                <w:color w:val="auto"/>
              </w:rPr>
            </w:pPr>
          </w:p>
        </w:tc>
        <w:tc>
          <w:tcPr>
            <w:tcW w:w="1200" w:type="dxa"/>
            <w:vAlign w:val="bottom"/>
            <w:tcBorders>
              <w:bottom w:val="single" w:sz="8" w:color="231F20"/>
            </w:tcBorders>
          </w:tcPr>
          <w:p>
            <w:pPr>
              <w:spacing w:after="0"/>
              <w:rPr>
                <w:sz w:val="14"/>
                <w:szCs w:val="14"/>
                <w:color w:val="auto"/>
              </w:rPr>
            </w:pPr>
          </w:p>
        </w:tc>
      </w:tr>
      <w:tr>
        <w:trPr>
          <w:trHeight w:val="169"/>
        </w:trPr>
        <w:tc>
          <w:tcPr>
            <w:tcW w:w="384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3"/>
                <w:szCs w:val="13"/>
                <w:color w:val="231F20"/>
              </w:rPr>
              <w:t>ManpowerGroup</w:t>
            </w:r>
          </w:p>
        </w:tc>
        <w:tc>
          <w:tcPr>
            <w:tcW w:w="2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1F20"/>
            </w:tcBorders>
            <w:shd w:val="clear" w:color="auto" w:fill="E2E8F1"/>
          </w:tcPr>
          <w:p>
            <w:pPr>
              <w:jc w:val="right"/>
              <w:ind w:right="198"/>
              <w:spacing w:after="0"/>
              <w:rPr>
                <w:sz w:val="20"/>
                <w:szCs w:val="20"/>
                <w:color w:val="auto"/>
              </w:rPr>
            </w:pPr>
            <w:r>
              <w:rPr>
                <w:rFonts w:ascii="Arial" w:cs="Arial" w:eastAsia="Arial" w:hAnsi="Arial"/>
                <w:sz w:val="13"/>
                <w:szCs w:val="13"/>
                <w:color w:val="231F20"/>
              </w:rPr>
              <w:t>17,853.9</w:t>
            </w:r>
          </w:p>
        </w:tc>
        <w:tc>
          <w:tcPr>
            <w:tcW w:w="1220" w:type="dxa"/>
            <w:vAlign w:val="bottom"/>
            <w:tcBorders>
              <w:bottom w:val="single" w:sz="8" w:color="231F20"/>
            </w:tcBorders>
            <w:shd w:val="clear" w:color="auto" w:fill="E2E8F1"/>
          </w:tcPr>
          <w:p>
            <w:pPr>
              <w:jc w:val="right"/>
              <w:ind w:right="118"/>
              <w:spacing w:after="0"/>
              <w:rPr>
                <w:sz w:val="20"/>
                <w:szCs w:val="20"/>
                <w:color w:val="auto"/>
              </w:rPr>
            </w:pPr>
            <w:r>
              <w:rPr>
                <w:rFonts w:ascii="Arial" w:cs="Arial" w:eastAsia="Arial" w:hAnsi="Arial"/>
                <w:sz w:val="13"/>
                <w:szCs w:val="13"/>
                <w:color w:val="231F20"/>
              </w:rPr>
              <w:t>(5.6 )%</w:t>
            </w:r>
          </w:p>
        </w:tc>
        <w:tc>
          <w:tcPr>
            <w:tcW w:w="1160" w:type="dxa"/>
            <w:vAlign w:val="bottom"/>
            <w:tcBorders>
              <w:bottom w:val="single" w:sz="8" w:color="231F20"/>
            </w:tcBorders>
            <w:shd w:val="clear" w:color="auto" w:fill="E2E8F1"/>
          </w:tcPr>
          <w:p>
            <w:pPr>
              <w:jc w:val="right"/>
              <w:ind w:right="78"/>
              <w:spacing w:after="0"/>
              <w:rPr>
                <w:sz w:val="20"/>
                <w:szCs w:val="20"/>
                <w:color w:val="auto"/>
              </w:rPr>
            </w:pPr>
            <w:r>
              <w:rPr>
                <w:rFonts w:ascii="Arial" w:cs="Arial" w:eastAsia="Arial" w:hAnsi="Arial"/>
                <w:sz w:val="13"/>
                <w:szCs w:val="13"/>
                <w:color w:val="231F20"/>
              </w:rPr>
              <w:t>(2.2 )%</w:t>
            </w:r>
          </w:p>
        </w:tc>
        <w:tc>
          <w:tcPr>
            <w:tcW w:w="11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231F20"/>
              </w:rPr>
              <w:t>(3.4 )%</w:t>
            </w:r>
          </w:p>
        </w:tc>
        <w:tc>
          <w:tcPr>
            <w:tcW w:w="1500" w:type="dxa"/>
            <w:vAlign w:val="bottom"/>
            <w:tcBorders>
              <w:bottom w:val="single" w:sz="8" w:color="231F20"/>
            </w:tcBorders>
            <w:shd w:val="clear" w:color="auto" w:fill="E2E8F1"/>
          </w:tcPr>
          <w:p>
            <w:pPr>
              <w:jc w:val="right"/>
              <w:ind w:right="180"/>
              <w:spacing w:after="0"/>
              <w:rPr>
                <w:sz w:val="20"/>
                <w:szCs w:val="20"/>
                <w:color w:val="auto"/>
              </w:rPr>
            </w:pPr>
            <w:r>
              <w:rPr>
                <w:rFonts w:ascii="Arial" w:cs="Arial" w:eastAsia="Arial" w:hAnsi="Arial"/>
                <w:sz w:val="13"/>
                <w:szCs w:val="13"/>
                <w:color w:val="231F20"/>
              </w:rPr>
              <w:t>(0.4 )%</w:t>
            </w:r>
          </w:p>
        </w:tc>
        <w:tc>
          <w:tcPr>
            <w:tcW w:w="12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231F20"/>
              </w:rPr>
              <w:t>(3.0 )%</w:t>
            </w:r>
          </w:p>
        </w:tc>
      </w:tr>
      <w:tr>
        <w:trPr>
          <w:trHeight w:val="172"/>
        </w:trPr>
        <w:tc>
          <w:tcPr>
            <w:tcW w:w="3840" w:type="dxa"/>
            <w:vAlign w:val="bottom"/>
          </w:tcPr>
          <w:p>
            <w:pPr>
              <w:ind w:left="80"/>
              <w:spacing w:after="0"/>
              <w:rPr>
                <w:sz w:val="20"/>
                <w:szCs w:val="20"/>
                <w:color w:val="auto"/>
              </w:rPr>
            </w:pPr>
            <w:r>
              <w:rPr>
                <w:rFonts w:ascii="Arial" w:cs="Arial" w:eastAsia="Arial" w:hAnsi="Arial"/>
                <w:sz w:val="13"/>
                <w:szCs w:val="13"/>
                <w:b w:val="1"/>
                <w:bCs w:val="1"/>
                <w:color w:val="231F20"/>
              </w:rPr>
              <w:t>Gross Profit - ManpowerGroup</w:t>
            </w:r>
          </w:p>
        </w:tc>
        <w:tc>
          <w:tcPr>
            <w:tcW w:w="200" w:type="dxa"/>
            <w:vAlign w:val="bottom"/>
          </w:tcPr>
          <w:p>
            <w:pPr>
              <w:jc w:val="right"/>
              <w:spacing w:after="0"/>
              <w:rPr>
                <w:sz w:val="20"/>
                <w:szCs w:val="20"/>
                <w:color w:val="auto"/>
              </w:rPr>
            </w:pPr>
            <w:r>
              <w:rPr>
                <w:rFonts w:ascii="Arial" w:cs="Arial" w:eastAsia="Arial" w:hAnsi="Arial"/>
                <w:sz w:val="13"/>
                <w:szCs w:val="13"/>
                <w:color w:val="231F20"/>
              </w:rPr>
              <w:t>$</w:t>
            </w:r>
          </w:p>
        </w:tc>
        <w:tc>
          <w:tcPr>
            <w:tcW w:w="980" w:type="dxa"/>
            <w:vAlign w:val="bottom"/>
          </w:tcPr>
          <w:p>
            <w:pPr>
              <w:jc w:val="right"/>
              <w:ind w:right="198"/>
              <w:spacing w:after="0"/>
              <w:rPr>
                <w:sz w:val="20"/>
                <w:szCs w:val="20"/>
                <w:color w:val="auto"/>
              </w:rPr>
            </w:pPr>
            <w:r>
              <w:rPr>
                <w:rFonts w:ascii="Arial" w:cs="Arial" w:eastAsia="Arial" w:hAnsi="Arial"/>
                <w:sz w:val="13"/>
                <w:szCs w:val="13"/>
                <w:color w:val="231F20"/>
              </w:rPr>
              <w:t>3,086.8</w:t>
            </w:r>
          </w:p>
        </w:tc>
        <w:tc>
          <w:tcPr>
            <w:tcW w:w="1220" w:type="dxa"/>
            <w:vAlign w:val="bottom"/>
          </w:tcPr>
          <w:p>
            <w:pPr>
              <w:jc w:val="right"/>
              <w:ind w:right="118"/>
              <w:spacing w:after="0"/>
              <w:rPr>
                <w:sz w:val="20"/>
                <w:szCs w:val="20"/>
                <w:color w:val="auto"/>
              </w:rPr>
            </w:pPr>
            <w:r>
              <w:rPr>
                <w:rFonts w:ascii="Arial" w:cs="Arial" w:eastAsia="Arial" w:hAnsi="Arial"/>
                <w:sz w:val="13"/>
                <w:szCs w:val="13"/>
                <w:color w:val="231F20"/>
              </w:rPr>
              <w:t>(8.1 )%</w:t>
            </w:r>
          </w:p>
        </w:tc>
        <w:tc>
          <w:tcPr>
            <w:tcW w:w="1160" w:type="dxa"/>
            <w:vAlign w:val="bottom"/>
          </w:tcPr>
          <w:p>
            <w:pPr>
              <w:jc w:val="right"/>
              <w:ind w:right="78"/>
              <w:spacing w:after="0"/>
              <w:rPr>
                <w:sz w:val="20"/>
                <w:szCs w:val="20"/>
                <w:color w:val="auto"/>
              </w:rPr>
            </w:pPr>
            <w:r>
              <w:rPr>
                <w:rFonts w:ascii="Arial" w:cs="Arial" w:eastAsia="Arial" w:hAnsi="Arial"/>
                <w:sz w:val="13"/>
                <w:szCs w:val="13"/>
                <w:color w:val="231F20"/>
              </w:rPr>
              <w:t>(1.9 )%</w:t>
            </w:r>
          </w:p>
        </w:tc>
        <w:tc>
          <w:tcPr>
            <w:tcW w:w="1160" w:type="dxa"/>
            <w:vAlign w:val="bottom"/>
          </w:tcPr>
          <w:p>
            <w:pPr>
              <w:jc w:val="right"/>
              <w:spacing w:after="0"/>
              <w:rPr>
                <w:sz w:val="20"/>
                <w:szCs w:val="20"/>
                <w:color w:val="auto"/>
              </w:rPr>
            </w:pPr>
            <w:r>
              <w:rPr>
                <w:rFonts w:ascii="Arial" w:cs="Arial" w:eastAsia="Arial" w:hAnsi="Arial"/>
                <w:sz w:val="13"/>
                <w:szCs w:val="13"/>
                <w:color w:val="231F20"/>
              </w:rPr>
              <w:t>(6.2 )%</w:t>
            </w:r>
          </w:p>
        </w:tc>
        <w:tc>
          <w:tcPr>
            <w:tcW w:w="1500" w:type="dxa"/>
            <w:vAlign w:val="bottom"/>
          </w:tcPr>
          <w:p>
            <w:pPr>
              <w:jc w:val="right"/>
              <w:ind w:right="180"/>
              <w:spacing w:after="0"/>
              <w:rPr>
                <w:sz w:val="20"/>
                <w:szCs w:val="20"/>
                <w:color w:val="auto"/>
              </w:rPr>
            </w:pPr>
            <w:r>
              <w:rPr>
                <w:rFonts w:ascii="Arial" w:cs="Arial" w:eastAsia="Arial" w:hAnsi="Arial"/>
                <w:sz w:val="13"/>
                <w:szCs w:val="13"/>
                <w:color w:val="231F20"/>
              </w:rPr>
              <w:t>(0.3 )%</w:t>
            </w:r>
          </w:p>
        </w:tc>
        <w:tc>
          <w:tcPr>
            <w:tcW w:w="1200" w:type="dxa"/>
            <w:vAlign w:val="bottom"/>
          </w:tcPr>
          <w:p>
            <w:pPr>
              <w:jc w:val="right"/>
              <w:spacing w:after="0"/>
              <w:rPr>
                <w:sz w:val="20"/>
                <w:szCs w:val="20"/>
                <w:color w:val="auto"/>
              </w:rPr>
            </w:pPr>
            <w:r>
              <w:rPr>
                <w:rFonts w:ascii="Arial" w:cs="Arial" w:eastAsia="Arial" w:hAnsi="Arial"/>
                <w:sz w:val="13"/>
                <w:szCs w:val="13"/>
                <w:color w:val="231F20"/>
              </w:rPr>
              <w:t>(5.9 )%</w:t>
            </w:r>
          </w:p>
        </w:tc>
      </w:tr>
      <w:tr>
        <w:trPr>
          <w:trHeight w:val="178"/>
        </w:trPr>
        <w:tc>
          <w:tcPr>
            <w:tcW w:w="3840" w:type="dxa"/>
            <w:vAlign w:val="bottom"/>
            <w:shd w:val="clear" w:color="auto" w:fill="E2E8F1"/>
          </w:tcPr>
          <w:p>
            <w:pPr>
              <w:ind w:left="80"/>
              <w:spacing w:after="0"/>
              <w:rPr>
                <w:sz w:val="20"/>
                <w:szCs w:val="20"/>
                <w:color w:val="auto"/>
              </w:rPr>
            </w:pPr>
            <w:r>
              <w:rPr>
                <w:rFonts w:ascii="Arial" w:cs="Arial" w:eastAsia="Arial" w:hAnsi="Arial"/>
                <w:sz w:val="13"/>
                <w:szCs w:val="13"/>
                <w:b w:val="1"/>
                <w:bCs w:val="1"/>
                <w:color w:val="231F20"/>
              </w:rPr>
              <w:t>Operating Unit Profit (Loss)</w:t>
            </w:r>
          </w:p>
        </w:tc>
        <w:tc>
          <w:tcPr>
            <w:tcW w:w="200" w:type="dxa"/>
            <w:vAlign w:val="bottom"/>
            <w:shd w:val="clear" w:color="auto" w:fill="E2E8F1"/>
          </w:tcPr>
          <w:p>
            <w:pPr>
              <w:spacing w:after="0"/>
              <w:rPr>
                <w:sz w:val="15"/>
                <w:szCs w:val="15"/>
                <w:color w:val="auto"/>
              </w:rPr>
            </w:pPr>
          </w:p>
        </w:tc>
        <w:tc>
          <w:tcPr>
            <w:tcW w:w="980" w:type="dxa"/>
            <w:vAlign w:val="bottom"/>
            <w:shd w:val="clear" w:color="auto" w:fill="E2E8F1"/>
          </w:tcPr>
          <w:p>
            <w:pPr>
              <w:spacing w:after="0"/>
              <w:rPr>
                <w:sz w:val="15"/>
                <w:szCs w:val="15"/>
                <w:color w:val="auto"/>
              </w:rPr>
            </w:pPr>
          </w:p>
        </w:tc>
        <w:tc>
          <w:tcPr>
            <w:tcW w:w="1220" w:type="dxa"/>
            <w:vAlign w:val="bottom"/>
            <w:shd w:val="clear" w:color="auto" w:fill="E2E8F1"/>
          </w:tcPr>
          <w:p>
            <w:pPr>
              <w:spacing w:after="0"/>
              <w:rPr>
                <w:sz w:val="15"/>
                <w:szCs w:val="15"/>
                <w:color w:val="auto"/>
              </w:rPr>
            </w:pPr>
          </w:p>
        </w:tc>
        <w:tc>
          <w:tcPr>
            <w:tcW w:w="1160" w:type="dxa"/>
            <w:vAlign w:val="bottom"/>
            <w:shd w:val="clear" w:color="auto" w:fill="E2E8F1"/>
          </w:tcPr>
          <w:p>
            <w:pPr>
              <w:spacing w:after="0"/>
              <w:rPr>
                <w:sz w:val="15"/>
                <w:szCs w:val="15"/>
                <w:color w:val="auto"/>
              </w:rPr>
            </w:pPr>
          </w:p>
        </w:tc>
        <w:tc>
          <w:tcPr>
            <w:tcW w:w="1160" w:type="dxa"/>
            <w:vAlign w:val="bottom"/>
            <w:shd w:val="clear" w:color="auto" w:fill="E2E8F1"/>
          </w:tcPr>
          <w:p>
            <w:pPr>
              <w:spacing w:after="0"/>
              <w:rPr>
                <w:sz w:val="15"/>
                <w:szCs w:val="15"/>
                <w:color w:val="auto"/>
              </w:rPr>
            </w:pPr>
          </w:p>
        </w:tc>
        <w:tc>
          <w:tcPr>
            <w:tcW w:w="1500" w:type="dxa"/>
            <w:vAlign w:val="bottom"/>
            <w:shd w:val="clear" w:color="auto" w:fill="E2E8F1"/>
          </w:tcPr>
          <w:p>
            <w:pPr>
              <w:spacing w:after="0"/>
              <w:rPr>
                <w:sz w:val="15"/>
                <w:szCs w:val="15"/>
                <w:color w:val="auto"/>
              </w:rPr>
            </w:pPr>
          </w:p>
        </w:tc>
        <w:tc>
          <w:tcPr>
            <w:tcW w:w="1200" w:type="dxa"/>
            <w:vAlign w:val="bottom"/>
            <w:shd w:val="clear" w:color="auto" w:fill="E2E8F1"/>
          </w:tcPr>
          <w:p>
            <w:pPr>
              <w:spacing w:after="0"/>
              <w:rPr>
                <w:sz w:val="15"/>
                <w:szCs w:val="15"/>
                <w:color w:val="auto"/>
              </w:rPr>
            </w:pPr>
          </w:p>
        </w:tc>
      </w:tr>
      <w:tr>
        <w:trPr>
          <w:trHeight w:val="174"/>
        </w:trPr>
        <w:tc>
          <w:tcPr>
            <w:tcW w:w="3840" w:type="dxa"/>
            <w:vAlign w:val="bottom"/>
          </w:tcPr>
          <w:p>
            <w:pPr>
              <w:ind w:left="240"/>
              <w:spacing w:after="0"/>
              <w:rPr>
                <w:sz w:val="20"/>
                <w:szCs w:val="20"/>
                <w:color w:val="auto"/>
              </w:rPr>
            </w:pPr>
            <w:r>
              <w:rPr>
                <w:rFonts w:ascii="Arial" w:cs="Arial" w:eastAsia="Arial" w:hAnsi="Arial"/>
                <w:sz w:val="13"/>
                <w:szCs w:val="13"/>
                <w:color w:val="231F20"/>
              </w:rPr>
              <w:t>Americas: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1"/>
        </w:trPr>
        <w:tc>
          <w:tcPr>
            <w:tcW w:w="3840" w:type="dxa"/>
            <w:vAlign w:val="bottom"/>
            <w:shd w:val="clear" w:color="auto" w:fill="E2E8F1"/>
          </w:tcPr>
          <w:p>
            <w:pPr>
              <w:ind w:left="400"/>
              <w:spacing w:after="0"/>
              <w:rPr>
                <w:sz w:val="20"/>
                <w:szCs w:val="20"/>
                <w:color w:val="auto"/>
              </w:rPr>
            </w:pPr>
            <w:r>
              <w:rPr>
                <w:rFonts w:ascii="Arial" w:cs="Arial" w:eastAsia="Arial" w:hAnsi="Arial"/>
                <w:sz w:val="13"/>
                <w:szCs w:val="13"/>
                <w:color w:val="231F20"/>
              </w:rPr>
              <w:t>United States</w:t>
            </w:r>
          </w:p>
        </w:tc>
        <w:tc>
          <w:tcPr>
            <w:tcW w:w="200" w:type="dxa"/>
            <w:vAlign w:val="bottom"/>
            <w:shd w:val="clear" w:color="auto" w:fill="E2E8F1"/>
          </w:tcPr>
          <w:p>
            <w:pPr>
              <w:jc w:val="right"/>
              <w:spacing w:after="0"/>
              <w:rPr>
                <w:sz w:val="20"/>
                <w:szCs w:val="20"/>
                <w:color w:val="auto"/>
              </w:rPr>
            </w:pPr>
            <w:r>
              <w:rPr>
                <w:rFonts w:ascii="Arial" w:cs="Arial" w:eastAsia="Arial" w:hAnsi="Arial"/>
                <w:sz w:val="13"/>
                <w:szCs w:val="13"/>
                <w:color w:val="231F20"/>
              </w:rPr>
              <w:t>$</w:t>
            </w:r>
          </w:p>
        </w:tc>
        <w:tc>
          <w:tcPr>
            <w:tcW w:w="980" w:type="dxa"/>
            <w:vAlign w:val="bottom"/>
            <w:shd w:val="clear" w:color="auto" w:fill="E2E8F1"/>
          </w:tcPr>
          <w:p>
            <w:pPr>
              <w:jc w:val="right"/>
              <w:ind w:right="198"/>
              <w:spacing w:after="0"/>
              <w:rPr>
                <w:sz w:val="20"/>
                <w:szCs w:val="20"/>
                <w:color w:val="auto"/>
              </w:rPr>
            </w:pPr>
            <w:r>
              <w:rPr>
                <w:rFonts w:ascii="Arial" w:cs="Arial" w:eastAsia="Arial" w:hAnsi="Arial"/>
                <w:sz w:val="13"/>
                <w:szCs w:val="13"/>
                <w:color w:val="231F20"/>
              </w:rPr>
              <w:t>77.7</w:t>
            </w:r>
          </w:p>
        </w:tc>
        <w:tc>
          <w:tcPr>
            <w:tcW w:w="1220" w:type="dxa"/>
            <w:vAlign w:val="bottom"/>
            <w:shd w:val="clear" w:color="auto" w:fill="E2E8F1"/>
          </w:tcPr>
          <w:p>
            <w:pPr>
              <w:jc w:val="right"/>
              <w:ind w:right="118"/>
              <w:spacing w:after="0"/>
              <w:rPr>
                <w:sz w:val="20"/>
                <w:szCs w:val="20"/>
                <w:color w:val="auto"/>
              </w:rPr>
            </w:pPr>
            <w:r>
              <w:rPr>
                <w:rFonts w:ascii="Arial" w:cs="Arial" w:eastAsia="Arial" w:hAnsi="Arial"/>
                <w:sz w:val="13"/>
                <w:szCs w:val="13"/>
                <w:color w:val="231F20"/>
              </w:rPr>
              <w:t>(17.6 )%</w:t>
            </w:r>
          </w:p>
        </w:tc>
        <w:tc>
          <w:tcPr>
            <w:tcW w:w="1160" w:type="dxa"/>
            <w:vAlign w:val="bottom"/>
            <w:shd w:val="clear" w:color="auto" w:fill="E2E8F1"/>
          </w:tcPr>
          <w:p>
            <w:pPr>
              <w:jc w:val="right"/>
              <w:ind w:right="258"/>
              <w:spacing w:after="0"/>
              <w:rPr>
                <w:sz w:val="20"/>
                <w:szCs w:val="20"/>
                <w:color w:val="auto"/>
              </w:rPr>
            </w:pPr>
            <w:r>
              <w:rPr>
                <w:rFonts w:ascii="Arial" w:cs="Arial" w:eastAsia="Arial" w:hAnsi="Arial"/>
                <w:sz w:val="13"/>
                <w:szCs w:val="13"/>
                <w:color w:val="231F20"/>
              </w:rPr>
              <w:t>—</w:t>
            </w:r>
          </w:p>
        </w:tc>
        <w:tc>
          <w:tcPr>
            <w:tcW w:w="1160" w:type="dxa"/>
            <w:vAlign w:val="bottom"/>
            <w:shd w:val="clear" w:color="auto" w:fill="E2E8F1"/>
          </w:tcPr>
          <w:p>
            <w:pPr>
              <w:jc w:val="right"/>
              <w:spacing w:after="0"/>
              <w:rPr>
                <w:sz w:val="20"/>
                <w:szCs w:val="20"/>
                <w:color w:val="auto"/>
              </w:rPr>
            </w:pPr>
            <w:r>
              <w:rPr>
                <w:rFonts w:ascii="Arial" w:cs="Arial" w:eastAsia="Arial" w:hAnsi="Arial"/>
                <w:sz w:val="13"/>
                <w:szCs w:val="13"/>
                <w:color w:val="231F20"/>
              </w:rPr>
              <w:t>(17.6 )%</w:t>
            </w:r>
          </w:p>
        </w:tc>
        <w:tc>
          <w:tcPr>
            <w:tcW w:w="1500" w:type="dxa"/>
            <w:vAlign w:val="bottom"/>
            <w:shd w:val="clear" w:color="auto" w:fill="E2E8F1"/>
          </w:tcPr>
          <w:p>
            <w:pPr>
              <w:jc w:val="right"/>
              <w:ind w:right="360"/>
              <w:spacing w:after="0"/>
              <w:rPr>
                <w:sz w:val="20"/>
                <w:szCs w:val="20"/>
                <w:color w:val="auto"/>
              </w:rPr>
            </w:pPr>
            <w:r>
              <w:rPr>
                <w:rFonts w:ascii="Arial" w:cs="Arial" w:eastAsia="Arial" w:hAnsi="Arial"/>
                <w:sz w:val="13"/>
                <w:szCs w:val="13"/>
                <w:color w:val="231F20"/>
              </w:rPr>
              <w:t>—</w:t>
            </w:r>
          </w:p>
        </w:tc>
        <w:tc>
          <w:tcPr>
            <w:tcW w:w="1200" w:type="dxa"/>
            <w:vAlign w:val="bottom"/>
            <w:shd w:val="clear" w:color="auto" w:fill="E2E8F1"/>
          </w:tcPr>
          <w:p>
            <w:pPr>
              <w:jc w:val="right"/>
              <w:spacing w:after="0"/>
              <w:rPr>
                <w:sz w:val="20"/>
                <w:szCs w:val="20"/>
                <w:color w:val="auto"/>
              </w:rPr>
            </w:pPr>
            <w:r>
              <w:rPr>
                <w:rFonts w:ascii="Arial" w:cs="Arial" w:eastAsia="Arial" w:hAnsi="Arial"/>
                <w:sz w:val="13"/>
                <w:szCs w:val="13"/>
                <w:color w:val="231F20"/>
              </w:rPr>
              <w:t>(17.6 )%</w:t>
            </w:r>
          </w:p>
        </w:tc>
      </w:tr>
      <w:tr>
        <w:trPr>
          <w:trHeight w:val="174"/>
        </w:trPr>
        <w:tc>
          <w:tcPr>
            <w:tcW w:w="3840" w:type="dxa"/>
            <w:vAlign w:val="bottom"/>
            <w:tcBorders>
              <w:bottom w:val="single" w:sz="8" w:color="231F20"/>
            </w:tcBorders>
          </w:tcPr>
          <w:p>
            <w:pPr>
              <w:ind w:left="400"/>
              <w:spacing w:after="0"/>
              <w:rPr>
                <w:sz w:val="20"/>
                <w:szCs w:val="20"/>
                <w:color w:val="auto"/>
              </w:rPr>
            </w:pPr>
            <w:r>
              <w:rPr>
                <w:rFonts w:ascii="Arial" w:cs="Arial" w:eastAsia="Arial" w:hAnsi="Arial"/>
                <w:sz w:val="13"/>
                <w:szCs w:val="13"/>
                <w:color w:val="231F20"/>
              </w:rPr>
              <w:t>Other Americas</w:t>
            </w:r>
          </w:p>
        </w:tc>
        <w:tc>
          <w:tcPr>
            <w:tcW w:w="200" w:type="dxa"/>
            <w:vAlign w:val="bottom"/>
            <w:tcBorders>
              <w:bottom w:val="single" w:sz="8" w:color="231F20"/>
            </w:tcBorders>
          </w:tcPr>
          <w:p>
            <w:pPr>
              <w:spacing w:after="0"/>
              <w:rPr>
                <w:sz w:val="15"/>
                <w:szCs w:val="15"/>
                <w:color w:val="auto"/>
              </w:rPr>
            </w:pPr>
          </w:p>
        </w:tc>
        <w:tc>
          <w:tcPr>
            <w:tcW w:w="980" w:type="dxa"/>
            <w:vAlign w:val="bottom"/>
            <w:tcBorders>
              <w:bottom w:val="single" w:sz="8" w:color="231F20"/>
            </w:tcBorders>
          </w:tcPr>
          <w:p>
            <w:pPr>
              <w:jc w:val="right"/>
              <w:ind w:right="198"/>
              <w:spacing w:after="0"/>
              <w:rPr>
                <w:sz w:val="20"/>
                <w:szCs w:val="20"/>
                <w:color w:val="auto"/>
              </w:rPr>
            </w:pPr>
            <w:r>
              <w:rPr>
                <w:rFonts w:ascii="Arial" w:cs="Arial" w:eastAsia="Arial" w:hAnsi="Arial"/>
                <w:sz w:val="13"/>
                <w:szCs w:val="13"/>
                <w:color w:val="231F20"/>
              </w:rPr>
              <w:t>63.9</w:t>
            </w:r>
          </w:p>
        </w:tc>
        <w:tc>
          <w:tcPr>
            <w:tcW w:w="1220" w:type="dxa"/>
            <w:vAlign w:val="bottom"/>
            <w:tcBorders>
              <w:bottom w:val="single" w:sz="8" w:color="231F20"/>
            </w:tcBorders>
          </w:tcPr>
          <w:p>
            <w:pPr>
              <w:jc w:val="right"/>
              <w:ind w:right="238"/>
              <w:spacing w:after="0"/>
              <w:rPr>
                <w:sz w:val="20"/>
                <w:szCs w:val="20"/>
                <w:color w:val="auto"/>
              </w:rPr>
            </w:pPr>
            <w:r>
              <w:rPr>
                <w:rFonts w:ascii="Arial" w:cs="Arial" w:eastAsia="Arial" w:hAnsi="Arial"/>
                <w:sz w:val="13"/>
                <w:szCs w:val="13"/>
                <w:color w:val="231F20"/>
              </w:rPr>
              <w:t>(10.3 )</w:t>
            </w:r>
          </w:p>
        </w:tc>
        <w:tc>
          <w:tcPr>
            <w:tcW w:w="1160" w:type="dxa"/>
            <w:vAlign w:val="bottom"/>
            <w:tcBorders>
              <w:bottom w:val="single" w:sz="8" w:color="231F20"/>
            </w:tcBorders>
          </w:tcPr>
          <w:p>
            <w:pPr>
              <w:jc w:val="right"/>
              <w:ind w:right="178"/>
              <w:spacing w:after="0"/>
              <w:rPr>
                <w:sz w:val="20"/>
                <w:szCs w:val="20"/>
                <w:color w:val="auto"/>
              </w:rPr>
            </w:pPr>
            <w:r>
              <w:rPr>
                <w:rFonts w:ascii="Arial" w:cs="Arial" w:eastAsia="Arial" w:hAnsi="Arial"/>
                <w:sz w:val="13"/>
                <w:szCs w:val="13"/>
                <w:color w:val="231F20"/>
              </w:rPr>
              <w:t>(12.9 )</w:t>
            </w:r>
          </w:p>
        </w:tc>
        <w:tc>
          <w:tcPr>
            <w:tcW w:w="1160" w:type="dxa"/>
            <w:vAlign w:val="bottom"/>
            <w:tcBorders>
              <w:bottom w:val="single" w:sz="8" w:color="231F20"/>
            </w:tcBorders>
          </w:tcPr>
          <w:p>
            <w:pPr>
              <w:jc w:val="right"/>
              <w:ind w:right="138"/>
              <w:spacing w:after="0"/>
              <w:rPr>
                <w:sz w:val="20"/>
                <w:szCs w:val="20"/>
                <w:color w:val="auto"/>
              </w:rPr>
            </w:pPr>
            <w:r>
              <w:rPr>
                <w:rFonts w:ascii="Arial" w:cs="Arial" w:eastAsia="Arial" w:hAnsi="Arial"/>
                <w:sz w:val="13"/>
                <w:szCs w:val="13"/>
                <w:color w:val="231F20"/>
              </w:rPr>
              <w:t>2.6</w:t>
            </w:r>
          </w:p>
        </w:tc>
        <w:tc>
          <w:tcPr>
            <w:tcW w:w="1500" w:type="dxa"/>
            <w:vAlign w:val="bottom"/>
            <w:tcBorders>
              <w:bottom w:val="single" w:sz="8" w:color="231F20"/>
            </w:tcBorders>
          </w:tcPr>
          <w:p>
            <w:pPr>
              <w:jc w:val="right"/>
              <w:ind w:right="360"/>
              <w:spacing w:after="0"/>
              <w:rPr>
                <w:sz w:val="20"/>
                <w:szCs w:val="20"/>
                <w:color w:val="auto"/>
              </w:rPr>
            </w:pPr>
            <w:r>
              <w:rPr>
                <w:rFonts w:ascii="Arial" w:cs="Arial" w:eastAsia="Arial" w:hAnsi="Arial"/>
                <w:sz w:val="13"/>
                <w:szCs w:val="13"/>
                <w:color w:val="231F20"/>
              </w:rPr>
              <w:t>—</w:t>
            </w:r>
          </w:p>
        </w:tc>
        <w:tc>
          <w:tcPr>
            <w:tcW w:w="1200" w:type="dxa"/>
            <w:vAlign w:val="bottom"/>
            <w:tcBorders>
              <w:bottom w:val="single" w:sz="8" w:color="231F20"/>
            </w:tcBorders>
          </w:tcPr>
          <w:p>
            <w:pPr>
              <w:jc w:val="right"/>
              <w:ind w:right="159"/>
              <w:spacing w:after="0"/>
              <w:rPr>
                <w:sz w:val="20"/>
                <w:szCs w:val="20"/>
                <w:color w:val="auto"/>
              </w:rPr>
            </w:pPr>
            <w:r>
              <w:rPr>
                <w:rFonts w:ascii="Arial" w:cs="Arial" w:eastAsia="Arial" w:hAnsi="Arial"/>
                <w:sz w:val="13"/>
                <w:szCs w:val="13"/>
                <w:color w:val="231F20"/>
              </w:rPr>
              <w:t>2.6</w:t>
            </w:r>
          </w:p>
        </w:tc>
      </w:tr>
      <w:tr>
        <w:trPr>
          <w:trHeight w:val="169"/>
        </w:trPr>
        <w:tc>
          <w:tcPr>
            <w:tcW w:w="3840" w:type="dxa"/>
            <w:vAlign w:val="bottom"/>
            <w:tcBorders>
              <w:bottom w:val="single" w:sz="8" w:color="231F20"/>
            </w:tcBorders>
            <w:shd w:val="clear" w:color="auto" w:fill="E2E8F1"/>
          </w:tcPr>
          <w:p>
            <w:pPr>
              <w:spacing w:after="0"/>
              <w:rPr>
                <w:sz w:val="14"/>
                <w:szCs w:val="14"/>
                <w:color w:val="auto"/>
              </w:rPr>
            </w:pPr>
          </w:p>
        </w:tc>
        <w:tc>
          <w:tcPr>
            <w:tcW w:w="200" w:type="dxa"/>
            <w:vAlign w:val="bottom"/>
            <w:tcBorders>
              <w:bottom w:val="single" w:sz="8" w:color="231F20"/>
            </w:tcBorders>
            <w:shd w:val="clear" w:color="auto" w:fill="E2E8F1"/>
          </w:tcPr>
          <w:p>
            <w:pPr>
              <w:spacing w:after="0"/>
              <w:rPr>
                <w:sz w:val="14"/>
                <w:szCs w:val="14"/>
                <w:color w:val="auto"/>
              </w:rPr>
            </w:pPr>
          </w:p>
        </w:tc>
        <w:tc>
          <w:tcPr>
            <w:tcW w:w="980" w:type="dxa"/>
            <w:vAlign w:val="bottom"/>
            <w:tcBorders>
              <w:bottom w:val="single" w:sz="8" w:color="231F20"/>
            </w:tcBorders>
            <w:shd w:val="clear" w:color="auto" w:fill="E2E8F1"/>
          </w:tcPr>
          <w:p>
            <w:pPr>
              <w:jc w:val="right"/>
              <w:ind w:right="198"/>
              <w:spacing w:after="0"/>
              <w:rPr>
                <w:sz w:val="20"/>
                <w:szCs w:val="20"/>
                <w:color w:val="auto"/>
              </w:rPr>
            </w:pPr>
            <w:r>
              <w:rPr>
                <w:rFonts w:ascii="Arial" w:cs="Arial" w:eastAsia="Arial" w:hAnsi="Arial"/>
                <w:sz w:val="13"/>
                <w:szCs w:val="13"/>
                <w:color w:val="231F20"/>
              </w:rPr>
              <w:t>141.6</w:t>
            </w:r>
          </w:p>
        </w:tc>
        <w:tc>
          <w:tcPr>
            <w:tcW w:w="1220" w:type="dxa"/>
            <w:vAlign w:val="bottom"/>
            <w:tcBorders>
              <w:bottom w:val="single" w:sz="8" w:color="231F20"/>
            </w:tcBorders>
            <w:shd w:val="clear" w:color="auto" w:fill="E2E8F1"/>
          </w:tcPr>
          <w:p>
            <w:pPr>
              <w:jc w:val="right"/>
              <w:ind w:right="238"/>
              <w:spacing w:after="0"/>
              <w:rPr>
                <w:sz w:val="20"/>
                <w:szCs w:val="20"/>
                <w:color w:val="auto"/>
              </w:rPr>
            </w:pPr>
            <w:r>
              <w:rPr>
                <w:rFonts w:ascii="Arial" w:cs="Arial" w:eastAsia="Arial" w:hAnsi="Arial"/>
                <w:sz w:val="13"/>
                <w:szCs w:val="13"/>
                <w:color w:val="231F20"/>
              </w:rPr>
              <w:t>(14.5 )</w:t>
            </w:r>
          </w:p>
        </w:tc>
        <w:tc>
          <w:tcPr>
            <w:tcW w:w="1160" w:type="dxa"/>
            <w:vAlign w:val="bottom"/>
            <w:tcBorders>
              <w:bottom w:val="single" w:sz="8" w:color="231F20"/>
            </w:tcBorders>
            <w:shd w:val="clear" w:color="auto" w:fill="E2E8F1"/>
          </w:tcPr>
          <w:p>
            <w:pPr>
              <w:jc w:val="right"/>
              <w:ind w:right="178"/>
              <w:spacing w:after="0"/>
              <w:rPr>
                <w:sz w:val="20"/>
                <w:szCs w:val="20"/>
                <w:color w:val="auto"/>
              </w:rPr>
            </w:pPr>
            <w:r>
              <w:rPr>
                <w:rFonts w:ascii="Arial" w:cs="Arial" w:eastAsia="Arial" w:hAnsi="Arial"/>
                <w:sz w:val="13"/>
                <w:szCs w:val="13"/>
                <w:color w:val="231F20"/>
              </w:rPr>
              <w:t>(5.6 )</w:t>
            </w:r>
          </w:p>
        </w:tc>
        <w:tc>
          <w:tcPr>
            <w:tcW w:w="1160" w:type="dxa"/>
            <w:vAlign w:val="bottom"/>
            <w:tcBorders>
              <w:bottom w:val="single" w:sz="8" w:color="231F20"/>
            </w:tcBorders>
            <w:shd w:val="clear" w:color="auto" w:fill="E2E8F1"/>
          </w:tcPr>
          <w:p>
            <w:pPr>
              <w:jc w:val="right"/>
              <w:ind w:right="58"/>
              <w:spacing w:after="0"/>
              <w:rPr>
                <w:sz w:val="20"/>
                <w:szCs w:val="20"/>
                <w:color w:val="auto"/>
              </w:rPr>
            </w:pPr>
            <w:r>
              <w:rPr>
                <w:rFonts w:ascii="Arial" w:cs="Arial" w:eastAsia="Arial" w:hAnsi="Arial"/>
                <w:sz w:val="13"/>
                <w:szCs w:val="13"/>
                <w:color w:val="231F20"/>
              </w:rPr>
              <w:t>(8.9 )</w:t>
            </w:r>
          </w:p>
        </w:tc>
        <w:tc>
          <w:tcPr>
            <w:tcW w:w="1500" w:type="dxa"/>
            <w:vAlign w:val="bottom"/>
            <w:tcBorders>
              <w:bottom w:val="single" w:sz="8" w:color="231F20"/>
            </w:tcBorders>
            <w:shd w:val="clear" w:color="auto" w:fill="E2E8F1"/>
          </w:tcPr>
          <w:p>
            <w:pPr>
              <w:jc w:val="right"/>
              <w:ind w:right="360"/>
              <w:spacing w:after="0"/>
              <w:rPr>
                <w:sz w:val="20"/>
                <w:szCs w:val="20"/>
                <w:color w:val="auto"/>
              </w:rPr>
            </w:pPr>
            <w:r>
              <w:rPr>
                <w:rFonts w:ascii="Arial" w:cs="Arial" w:eastAsia="Arial" w:hAnsi="Arial"/>
                <w:sz w:val="13"/>
                <w:szCs w:val="13"/>
                <w:color w:val="231F20"/>
              </w:rPr>
              <w:t>—</w:t>
            </w:r>
          </w:p>
        </w:tc>
        <w:tc>
          <w:tcPr>
            <w:tcW w:w="1200" w:type="dxa"/>
            <w:vAlign w:val="bottom"/>
            <w:tcBorders>
              <w:bottom w:val="single" w:sz="8" w:color="231F20"/>
            </w:tcBorders>
            <w:shd w:val="clear" w:color="auto" w:fill="E2E8F1"/>
          </w:tcPr>
          <w:p>
            <w:pPr>
              <w:jc w:val="right"/>
              <w:ind w:right="79"/>
              <w:spacing w:after="0"/>
              <w:rPr>
                <w:sz w:val="20"/>
                <w:szCs w:val="20"/>
                <w:color w:val="auto"/>
              </w:rPr>
            </w:pPr>
            <w:r>
              <w:rPr>
                <w:rFonts w:ascii="Arial" w:cs="Arial" w:eastAsia="Arial" w:hAnsi="Arial"/>
                <w:sz w:val="13"/>
                <w:szCs w:val="13"/>
                <w:color w:val="231F20"/>
              </w:rPr>
              <w:t>(8.9 )</w:t>
            </w:r>
          </w:p>
        </w:tc>
      </w:tr>
      <w:tr>
        <w:trPr>
          <w:trHeight w:val="169"/>
        </w:trPr>
        <w:tc>
          <w:tcPr>
            <w:tcW w:w="3840" w:type="dxa"/>
            <w:vAlign w:val="bottom"/>
          </w:tcPr>
          <w:p>
            <w:pPr>
              <w:ind w:left="240"/>
              <w:spacing w:after="0"/>
              <w:rPr>
                <w:sz w:val="20"/>
                <w:szCs w:val="20"/>
                <w:color w:val="auto"/>
              </w:rPr>
            </w:pPr>
            <w:r>
              <w:rPr>
                <w:rFonts w:ascii="Arial" w:cs="Arial" w:eastAsia="Arial" w:hAnsi="Arial"/>
                <w:sz w:val="13"/>
                <w:szCs w:val="13"/>
                <w:color w:val="231F20"/>
              </w:rPr>
              <w:t>Southern Europe:</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1"/>
        </w:trPr>
        <w:tc>
          <w:tcPr>
            <w:tcW w:w="3840" w:type="dxa"/>
            <w:vAlign w:val="bottom"/>
            <w:shd w:val="clear" w:color="auto" w:fill="E2E8F1"/>
          </w:tcPr>
          <w:p>
            <w:pPr>
              <w:ind w:left="400"/>
              <w:spacing w:after="0"/>
              <w:rPr>
                <w:sz w:val="20"/>
                <w:szCs w:val="20"/>
                <w:color w:val="auto"/>
              </w:rPr>
            </w:pPr>
            <w:r>
              <w:rPr>
                <w:rFonts w:ascii="Arial" w:cs="Arial" w:eastAsia="Arial" w:hAnsi="Arial"/>
                <w:sz w:val="13"/>
                <w:szCs w:val="13"/>
                <w:color w:val="231F20"/>
              </w:rPr>
              <w:t>France</w:t>
            </w:r>
          </w:p>
        </w:tc>
        <w:tc>
          <w:tcPr>
            <w:tcW w:w="200" w:type="dxa"/>
            <w:vAlign w:val="bottom"/>
            <w:shd w:val="clear" w:color="auto" w:fill="E2E8F1"/>
          </w:tcPr>
          <w:p>
            <w:pPr>
              <w:spacing w:after="0"/>
              <w:rPr>
                <w:sz w:val="15"/>
                <w:szCs w:val="15"/>
                <w:color w:val="auto"/>
              </w:rPr>
            </w:pPr>
          </w:p>
        </w:tc>
        <w:tc>
          <w:tcPr>
            <w:tcW w:w="980" w:type="dxa"/>
            <w:vAlign w:val="bottom"/>
            <w:shd w:val="clear" w:color="auto" w:fill="E2E8F1"/>
          </w:tcPr>
          <w:p>
            <w:pPr>
              <w:jc w:val="right"/>
              <w:ind w:right="198"/>
              <w:spacing w:after="0"/>
              <w:rPr>
                <w:sz w:val="20"/>
                <w:szCs w:val="20"/>
                <w:color w:val="auto"/>
              </w:rPr>
            </w:pPr>
            <w:r>
              <w:rPr>
                <w:rFonts w:ascii="Arial" w:cs="Arial" w:eastAsia="Arial" w:hAnsi="Arial"/>
                <w:sz w:val="13"/>
                <w:szCs w:val="13"/>
                <w:color w:val="231F20"/>
              </w:rPr>
              <w:t>151.8</w:t>
            </w:r>
          </w:p>
        </w:tc>
        <w:tc>
          <w:tcPr>
            <w:tcW w:w="1220" w:type="dxa"/>
            <w:vAlign w:val="bottom"/>
            <w:shd w:val="clear" w:color="auto" w:fill="E2E8F1"/>
          </w:tcPr>
          <w:p>
            <w:pPr>
              <w:jc w:val="right"/>
              <w:ind w:right="238"/>
              <w:spacing w:after="0"/>
              <w:rPr>
                <w:sz w:val="20"/>
                <w:szCs w:val="20"/>
                <w:color w:val="auto"/>
              </w:rPr>
            </w:pPr>
            <w:r>
              <w:rPr>
                <w:rFonts w:ascii="Arial" w:cs="Arial" w:eastAsia="Arial" w:hAnsi="Arial"/>
                <w:sz w:val="13"/>
                <w:szCs w:val="13"/>
                <w:color w:val="231F20"/>
              </w:rPr>
              <w:t>(19.4 )</w:t>
            </w:r>
          </w:p>
        </w:tc>
        <w:tc>
          <w:tcPr>
            <w:tcW w:w="1160" w:type="dxa"/>
            <w:vAlign w:val="bottom"/>
            <w:shd w:val="clear" w:color="auto" w:fill="E2E8F1"/>
          </w:tcPr>
          <w:p>
            <w:pPr>
              <w:jc w:val="right"/>
              <w:ind w:right="258"/>
              <w:spacing w:after="0"/>
              <w:rPr>
                <w:sz w:val="20"/>
                <w:szCs w:val="20"/>
                <w:color w:val="auto"/>
              </w:rPr>
            </w:pPr>
            <w:r>
              <w:rPr>
                <w:rFonts w:ascii="Arial" w:cs="Arial" w:eastAsia="Arial" w:hAnsi="Arial"/>
                <w:sz w:val="13"/>
                <w:szCs w:val="13"/>
                <w:color w:val="231F20"/>
              </w:rPr>
              <w:t>—</w:t>
            </w:r>
          </w:p>
        </w:tc>
        <w:tc>
          <w:tcPr>
            <w:tcW w:w="1160" w:type="dxa"/>
            <w:vAlign w:val="bottom"/>
            <w:shd w:val="clear" w:color="auto" w:fill="E2E8F1"/>
          </w:tcPr>
          <w:p>
            <w:pPr>
              <w:jc w:val="right"/>
              <w:ind w:right="58"/>
              <w:spacing w:after="0"/>
              <w:rPr>
                <w:sz w:val="20"/>
                <w:szCs w:val="20"/>
                <w:color w:val="auto"/>
              </w:rPr>
            </w:pPr>
            <w:r>
              <w:rPr>
                <w:rFonts w:ascii="Arial" w:cs="Arial" w:eastAsia="Arial" w:hAnsi="Arial"/>
                <w:sz w:val="13"/>
                <w:szCs w:val="13"/>
                <w:color w:val="231F20"/>
              </w:rPr>
              <w:t>(19.4 )</w:t>
            </w:r>
          </w:p>
        </w:tc>
        <w:tc>
          <w:tcPr>
            <w:tcW w:w="1500" w:type="dxa"/>
            <w:vAlign w:val="bottom"/>
            <w:shd w:val="clear" w:color="auto" w:fill="E2E8F1"/>
          </w:tcPr>
          <w:p>
            <w:pPr>
              <w:jc w:val="right"/>
              <w:ind w:right="360"/>
              <w:spacing w:after="0"/>
              <w:rPr>
                <w:sz w:val="20"/>
                <w:szCs w:val="20"/>
                <w:color w:val="auto"/>
              </w:rPr>
            </w:pPr>
            <w:r>
              <w:rPr>
                <w:rFonts w:ascii="Arial" w:cs="Arial" w:eastAsia="Arial" w:hAnsi="Arial"/>
                <w:sz w:val="13"/>
                <w:szCs w:val="13"/>
                <w:color w:val="231F20"/>
              </w:rPr>
              <w:t>—</w:t>
            </w:r>
          </w:p>
        </w:tc>
        <w:tc>
          <w:tcPr>
            <w:tcW w:w="1200" w:type="dxa"/>
            <w:vAlign w:val="bottom"/>
            <w:shd w:val="clear" w:color="auto" w:fill="E2E8F1"/>
          </w:tcPr>
          <w:p>
            <w:pPr>
              <w:jc w:val="right"/>
              <w:ind w:right="79"/>
              <w:spacing w:after="0"/>
              <w:rPr>
                <w:sz w:val="20"/>
                <w:szCs w:val="20"/>
                <w:color w:val="auto"/>
              </w:rPr>
            </w:pPr>
            <w:r>
              <w:rPr>
                <w:rFonts w:ascii="Arial" w:cs="Arial" w:eastAsia="Arial" w:hAnsi="Arial"/>
                <w:sz w:val="13"/>
                <w:szCs w:val="13"/>
                <w:color w:val="231F20"/>
              </w:rPr>
              <w:t>(19.4 )</w:t>
            </w:r>
          </w:p>
        </w:tc>
      </w:tr>
      <w:tr>
        <w:trPr>
          <w:trHeight w:val="174"/>
        </w:trPr>
        <w:tc>
          <w:tcPr>
            <w:tcW w:w="3840" w:type="dxa"/>
            <w:vAlign w:val="bottom"/>
          </w:tcPr>
          <w:p>
            <w:pPr>
              <w:ind w:left="400"/>
              <w:spacing w:after="0"/>
              <w:rPr>
                <w:sz w:val="20"/>
                <w:szCs w:val="20"/>
                <w:color w:val="auto"/>
              </w:rPr>
            </w:pPr>
            <w:r>
              <w:rPr>
                <w:rFonts w:ascii="Arial" w:cs="Arial" w:eastAsia="Arial" w:hAnsi="Arial"/>
                <w:sz w:val="13"/>
                <w:szCs w:val="13"/>
                <w:color w:val="231F20"/>
              </w:rPr>
              <w:t>Italy</w:t>
            </w:r>
          </w:p>
        </w:tc>
        <w:tc>
          <w:tcPr>
            <w:tcW w:w="200" w:type="dxa"/>
            <w:vAlign w:val="bottom"/>
          </w:tcPr>
          <w:p>
            <w:pPr>
              <w:spacing w:after="0"/>
              <w:rPr>
                <w:sz w:val="15"/>
                <w:szCs w:val="15"/>
                <w:color w:val="auto"/>
              </w:rPr>
            </w:pPr>
          </w:p>
        </w:tc>
        <w:tc>
          <w:tcPr>
            <w:tcW w:w="980" w:type="dxa"/>
            <w:vAlign w:val="bottom"/>
          </w:tcPr>
          <w:p>
            <w:pPr>
              <w:jc w:val="right"/>
              <w:ind w:right="198"/>
              <w:spacing w:after="0"/>
              <w:rPr>
                <w:sz w:val="20"/>
                <w:szCs w:val="20"/>
                <w:color w:val="auto"/>
              </w:rPr>
            </w:pPr>
            <w:r>
              <w:rPr>
                <w:rFonts w:ascii="Arial" w:cs="Arial" w:eastAsia="Arial" w:hAnsi="Arial"/>
                <w:sz w:val="13"/>
                <w:szCs w:val="13"/>
                <w:color w:val="231F20"/>
              </w:rPr>
              <w:t>113.1</w:t>
            </w:r>
          </w:p>
        </w:tc>
        <w:tc>
          <w:tcPr>
            <w:tcW w:w="1220" w:type="dxa"/>
            <w:vAlign w:val="bottom"/>
          </w:tcPr>
          <w:p>
            <w:pPr>
              <w:jc w:val="right"/>
              <w:ind w:right="238"/>
              <w:spacing w:after="0"/>
              <w:rPr>
                <w:sz w:val="20"/>
                <w:szCs w:val="20"/>
                <w:color w:val="auto"/>
              </w:rPr>
            </w:pPr>
            <w:r>
              <w:rPr>
                <w:rFonts w:ascii="Arial" w:cs="Arial" w:eastAsia="Arial" w:hAnsi="Arial"/>
                <w:sz w:val="13"/>
                <w:szCs w:val="13"/>
                <w:color w:val="231F20"/>
              </w:rPr>
              <w:t>(9.3 )</w:t>
            </w:r>
          </w:p>
        </w:tc>
        <w:tc>
          <w:tcPr>
            <w:tcW w:w="1160" w:type="dxa"/>
            <w:vAlign w:val="bottom"/>
          </w:tcPr>
          <w:p>
            <w:pPr>
              <w:jc w:val="right"/>
              <w:ind w:right="258"/>
              <w:spacing w:after="0"/>
              <w:rPr>
                <w:sz w:val="20"/>
                <w:szCs w:val="20"/>
                <w:color w:val="auto"/>
              </w:rPr>
            </w:pPr>
            <w:r>
              <w:rPr>
                <w:rFonts w:ascii="Arial" w:cs="Arial" w:eastAsia="Arial" w:hAnsi="Arial"/>
                <w:sz w:val="13"/>
                <w:szCs w:val="13"/>
                <w:color w:val="231F20"/>
              </w:rPr>
              <w:t>0.1</w:t>
            </w:r>
          </w:p>
        </w:tc>
        <w:tc>
          <w:tcPr>
            <w:tcW w:w="1160" w:type="dxa"/>
            <w:vAlign w:val="bottom"/>
          </w:tcPr>
          <w:p>
            <w:pPr>
              <w:jc w:val="right"/>
              <w:ind w:right="58"/>
              <w:spacing w:after="0"/>
              <w:rPr>
                <w:sz w:val="20"/>
                <w:szCs w:val="20"/>
                <w:color w:val="auto"/>
              </w:rPr>
            </w:pPr>
            <w:r>
              <w:rPr>
                <w:rFonts w:ascii="Arial" w:cs="Arial" w:eastAsia="Arial" w:hAnsi="Arial"/>
                <w:sz w:val="13"/>
                <w:szCs w:val="13"/>
                <w:color w:val="231F20"/>
              </w:rPr>
              <w:t>(9.4 )</w:t>
            </w:r>
          </w:p>
        </w:tc>
        <w:tc>
          <w:tcPr>
            <w:tcW w:w="1500" w:type="dxa"/>
            <w:vAlign w:val="bottom"/>
          </w:tcPr>
          <w:p>
            <w:pPr>
              <w:jc w:val="right"/>
              <w:ind w:right="360"/>
              <w:spacing w:after="0"/>
              <w:rPr>
                <w:sz w:val="20"/>
                <w:szCs w:val="20"/>
                <w:color w:val="auto"/>
              </w:rPr>
            </w:pPr>
            <w:r>
              <w:rPr>
                <w:rFonts w:ascii="Arial" w:cs="Arial" w:eastAsia="Arial" w:hAnsi="Arial"/>
                <w:sz w:val="13"/>
                <w:szCs w:val="13"/>
                <w:color w:val="231F20"/>
              </w:rPr>
              <w:t>—</w:t>
            </w:r>
          </w:p>
        </w:tc>
        <w:tc>
          <w:tcPr>
            <w:tcW w:w="1200" w:type="dxa"/>
            <w:vAlign w:val="bottom"/>
          </w:tcPr>
          <w:p>
            <w:pPr>
              <w:jc w:val="right"/>
              <w:ind w:right="79"/>
              <w:spacing w:after="0"/>
              <w:rPr>
                <w:sz w:val="20"/>
                <w:szCs w:val="20"/>
                <w:color w:val="auto"/>
              </w:rPr>
            </w:pPr>
            <w:r>
              <w:rPr>
                <w:rFonts w:ascii="Arial" w:cs="Arial" w:eastAsia="Arial" w:hAnsi="Arial"/>
                <w:sz w:val="13"/>
                <w:szCs w:val="13"/>
                <w:color w:val="231F20"/>
              </w:rPr>
              <w:t>(9.4 )</w:t>
            </w:r>
          </w:p>
        </w:tc>
      </w:tr>
      <w:tr>
        <w:trPr>
          <w:trHeight w:val="177"/>
        </w:trPr>
        <w:tc>
          <w:tcPr>
            <w:tcW w:w="3840" w:type="dxa"/>
            <w:vAlign w:val="bottom"/>
            <w:tcBorders>
              <w:bottom w:val="single" w:sz="8" w:color="231F20"/>
            </w:tcBorders>
            <w:shd w:val="clear" w:color="auto" w:fill="E2E8F1"/>
          </w:tcPr>
          <w:p>
            <w:pPr>
              <w:ind w:left="400"/>
              <w:spacing w:after="0"/>
              <w:rPr>
                <w:sz w:val="20"/>
                <w:szCs w:val="20"/>
                <w:color w:val="auto"/>
              </w:rPr>
            </w:pPr>
            <w:r>
              <w:rPr>
                <w:rFonts w:ascii="Arial" w:cs="Arial" w:eastAsia="Arial" w:hAnsi="Arial"/>
                <w:sz w:val="13"/>
                <w:szCs w:val="13"/>
                <w:color w:val="231F20"/>
              </w:rPr>
              <w:t>Other Southern Europe</w:t>
            </w:r>
          </w:p>
        </w:tc>
        <w:tc>
          <w:tcPr>
            <w:tcW w:w="200" w:type="dxa"/>
            <w:vAlign w:val="bottom"/>
            <w:tcBorders>
              <w:bottom w:val="single" w:sz="8" w:color="231F20"/>
            </w:tcBorders>
            <w:shd w:val="clear" w:color="auto" w:fill="E2E8F1"/>
          </w:tcPr>
          <w:p>
            <w:pPr>
              <w:spacing w:after="0"/>
              <w:rPr>
                <w:sz w:val="15"/>
                <w:szCs w:val="15"/>
                <w:color w:val="auto"/>
              </w:rPr>
            </w:pPr>
          </w:p>
        </w:tc>
        <w:tc>
          <w:tcPr>
            <w:tcW w:w="980" w:type="dxa"/>
            <w:vAlign w:val="bottom"/>
            <w:tcBorders>
              <w:bottom w:val="single" w:sz="8" w:color="231F20"/>
            </w:tcBorders>
            <w:shd w:val="clear" w:color="auto" w:fill="E2E8F1"/>
          </w:tcPr>
          <w:p>
            <w:pPr>
              <w:jc w:val="right"/>
              <w:ind w:right="198"/>
              <w:spacing w:after="0"/>
              <w:rPr>
                <w:sz w:val="20"/>
                <w:szCs w:val="20"/>
                <w:color w:val="auto"/>
              </w:rPr>
            </w:pPr>
            <w:r>
              <w:rPr>
                <w:rFonts w:ascii="Arial" w:cs="Arial" w:eastAsia="Arial" w:hAnsi="Arial"/>
                <w:sz w:val="13"/>
                <w:szCs w:val="13"/>
                <w:color w:val="231F20"/>
              </w:rPr>
              <w:t>39.2</w:t>
            </w:r>
          </w:p>
        </w:tc>
        <w:tc>
          <w:tcPr>
            <w:tcW w:w="1220" w:type="dxa"/>
            <w:vAlign w:val="bottom"/>
            <w:tcBorders>
              <w:bottom w:val="single" w:sz="8" w:color="231F20"/>
            </w:tcBorders>
            <w:shd w:val="clear" w:color="auto" w:fill="E2E8F1"/>
          </w:tcPr>
          <w:p>
            <w:pPr>
              <w:jc w:val="right"/>
              <w:ind w:right="238"/>
              <w:spacing w:after="0"/>
              <w:rPr>
                <w:sz w:val="20"/>
                <w:szCs w:val="20"/>
                <w:color w:val="auto"/>
              </w:rPr>
            </w:pPr>
            <w:r>
              <w:rPr>
                <w:rFonts w:ascii="Arial" w:cs="Arial" w:eastAsia="Arial" w:hAnsi="Arial"/>
                <w:sz w:val="13"/>
                <w:szCs w:val="13"/>
                <w:color w:val="231F20"/>
              </w:rPr>
              <w:t>(12.5 )</w:t>
            </w:r>
          </w:p>
        </w:tc>
        <w:tc>
          <w:tcPr>
            <w:tcW w:w="1160" w:type="dxa"/>
            <w:vAlign w:val="bottom"/>
            <w:tcBorders>
              <w:bottom w:val="single" w:sz="8" w:color="231F20"/>
            </w:tcBorders>
            <w:shd w:val="clear" w:color="auto" w:fill="E2E8F1"/>
          </w:tcPr>
          <w:p>
            <w:pPr>
              <w:jc w:val="right"/>
              <w:ind w:right="178"/>
              <w:spacing w:after="0"/>
              <w:rPr>
                <w:sz w:val="20"/>
                <w:szCs w:val="20"/>
                <w:color w:val="auto"/>
              </w:rPr>
            </w:pPr>
            <w:r>
              <w:rPr>
                <w:rFonts w:ascii="Arial" w:cs="Arial" w:eastAsia="Arial" w:hAnsi="Arial"/>
                <w:sz w:val="13"/>
                <w:szCs w:val="13"/>
                <w:color w:val="231F20"/>
              </w:rPr>
              <w:t>(1.6 )</w:t>
            </w:r>
          </w:p>
        </w:tc>
        <w:tc>
          <w:tcPr>
            <w:tcW w:w="1160" w:type="dxa"/>
            <w:vAlign w:val="bottom"/>
            <w:tcBorders>
              <w:bottom w:val="single" w:sz="8" w:color="231F20"/>
            </w:tcBorders>
            <w:shd w:val="clear" w:color="auto" w:fill="E2E8F1"/>
          </w:tcPr>
          <w:p>
            <w:pPr>
              <w:jc w:val="right"/>
              <w:ind w:right="58"/>
              <w:spacing w:after="0"/>
              <w:rPr>
                <w:sz w:val="20"/>
                <w:szCs w:val="20"/>
                <w:color w:val="auto"/>
              </w:rPr>
            </w:pPr>
            <w:r>
              <w:rPr>
                <w:rFonts w:ascii="Arial" w:cs="Arial" w:eastAsia="Arial" w:hAnsi="Arial"/>
                <w:sz w:val="13"/>
                <w:szCs w:val="13"/>
                <w:color w:val="231F20"/>
              </w:rPr>
              <w:t>(10.9 )</w:t>
            </w:r>
          </w:p>
        </w:tc>
        <w:tc>
          <w:tcPr>
            <w:tcW w:w="1500" w:type="dxa"/>
            <w:vAlign w:val="bottom"/>
            <w:tcBorders>
              <w:bottom w:val="single" w:sz="8" w:color="231F20"/>
            </w:tcBorders>
            <w:shd w:val="clear" w:color="auto" w:fill="E2E8F1"/>
          </w:tcPr>
          <w:p>
            <w:pPr>
              <w:jc w:val="right"/>
              <w:ind w:right="360"/>
              <w:spacing w:after="0"/>
              <w:rPr>
                <w:sz w:val="20"/>
                <w:szCs w:val="20"/>
                <w:color w:val="auto"/>
              </w:rPr>
            </w:pPr>
            <w:r>
              <w:rPr>
                <w:rFonts w:ascii="Arial" w:cs="Arial" w:eastAsia="Arial" w:hAnsi="Arial"/>
                <w:sz w:val="13"/>
                <w:szCs w:val="13"/>
                <w:color w:val="231F20"/>
              </w:rPr>
              <w:t>3.1</w:t>
            </w:r>
          </w:p>
        </w:tc>
        <w:tc>
          <w:tcPr>
            <w:tcW w:w="1200" w:type="dxa"/>
            <w:vAlign w:val="bottom"/>
            <w:tcBorders>
              <w:bottom w:val="single" w:sz="8" w:color="231F20"/>
            </w:tcBorders>
            <w:shd w:val="clear" w:color="auto" w:fill="E2E8F1"/>
          </w:tcPr>
          <w:p>
            <w:pPr>
              <w:jc w:val="right"/>
              <w:ind w:right="79"/>
              <w:spacing w:after="0"/>
              <w:rPr>
                <w:sz w:val="20"/>
                <w:szCs w:val="20"/>
                <w:color w:val="auto"/>
              </w:rPr>
            </w:pPr>
            <w:r>
              <w:rPr>
                <w:rFonts w:ascii="Arial" w:cs="Arial" w:eastAsia="Arial" w:hAnsi="Arial"/>
                <w:sz w:val="13"/>
                <w:szCs w:val="13"/>
                <w:color w:val="231F20"/>
              </w:rPr>
              <w:t>(14.0 )</w:t>
            </w:r>
          </w:p>
        </w:tc>
      </w:tr>
      <w:tr>
        <w:trPr>
          <w:trHeight w:val="169"/>
        </w:trPr>
        <w:tc>
          <w:tcPr>
            <w:tcW w:w="3840" w:type="dxa"/>
            <w:vAlign w:val="bottom"/>
            <w:tcBorders>
              <w:bottom w:val="single" w:sz="8" w:color="231F20"/>
            </w:tcBorders>
          </w:tcPr>
          <w:p>
            <w:pPr>
              <w:spacing w:after="0"/>
              <w:rPr>
                <w:sz w:val="14"/>
                <w:szCs w:val="14"/>
                <w:color w:val="auto"/>
              </w:rPr>
            </w:pPr>
          </w:p>
        </w:tc>
        <w:tc>
          <w:tcPr>
            <w:tcW w:w="200" w:type="dxa"/>
            <w:vAlign w:val="bottom"/>
            <w:tcBorders>
              <w:bottom w:val="single" w:sz="8" w:color="231F20"/>
            </w:tcBorders>
          </w:tcPr>
          <w:p>
            <w:pPr>
              <w:spacing w:after="0"/>
              <w:rPr>
                <w:sz w:val="14"/>
                <w:szCs w:val="14"/>
                <w:color w:val="auto"/>
              </w:rPr>
            </w:pPr>
          </w:p>
        </w:tc>
        <w:tc>
          <w:tcPr>
            <w:tcW w:w="980" w:type="dxa"/>
            <w:vAlign w:val="bottom"/>
            <w:tcBorders>
              <w:bottom w:val="single" w:sz="8" w:color="231F20"/>
            </w:tcBorders>
          </w:tcPr>
          <w:p>
            <w:pPr>
              <w:jc w:val="right"/>
              <w:ind w:right="198"/>
              <w:spacing w:after="0"/>
              <w:rPr>
                <w:sz w:val="20"/>
                <w:szCs w:val="20"/>
                <w:color w:val="auto"/>
              </w:rPr>
            </w:pPr>
            <w:r>
              <w:rPr>
                <w:rFonts w:ascii="Arial" w:cs="Arial" w:eastAsia="Arial" w:hAnsi="Arial"/>
                <w:sz w:val="13"/>
                <w:szCs w:val="13"/>
                <w:color w:val="231F20"/>
              </w:rPr>
              <w:t>304.1</w:t>
            </w:r>
          </w:p>
        </w:tc>
        <w:tc>
          <w:tcPr>
            <w:tcW w:w="1220" w:type="dxa"/>
            <w:vAlign w:val="bottom"/>
            <w:tcBorders>
              <w:bottom w:val="single" w:sz="8" w:color="231F20"/>
            </w:tcBorders>
          </w:tcPr>
          <w:p>
            <w:pPr>
              <w:jc w:val="right"/>
              <w:ind w:right="238"/>
              <w:spacing w:after="0"/>
              <w:rPr>
                <w:sz w:val="20"/>
                <w:szCs w:val="20"/>
                <w:color w:val="auto"/>
              </w:rPr>
            </w:pPr>
            <w:r>
              <w:rPr>
                <w:rFonts w:ascii="Arial" w:cs="Arial" w:eastAsia="Arial" w:hAnsi="Arial"/>
                <w:sz w:val="13"/>
                <w:szCs w:val="13"/>
                <w:color w:val="231F20"/>
              </w:rPr>
              <w:t>(15.0 )</w:t>
            </w:r>
          </w:p>
        </w:tc>
        <w:tc>
          <w:tcPr>
            <w:tcW w:w="1160" w:type="dxa"/>
            <w:vAlign w:val="bottom"/>
            <w:tcBorders>
              <w:bottom w:val="single" w:sz="8" w:color="231F20"/>
            </w:tcBorders>
          </w:tcPr>
          <w:p>
            <w:pPr>
              <w:jc w:val="right"/>
              <w:ind w:right="178"/>
              <w:spacing w:after="0"/>
              <w:rPr>
                <w:sz w:val="20"/>
                <w:szCs w:val="20"/>
                <w:color w:val="auto"/>
              </w:rPr>
            </w:pPr>
            <w:r>
              <w:rPr>
                <w:rFonts w:ascii="Arial" w:cs="Arial" w:eastAsia="Arial" w:hAnsi="Arial"/>
                <w:sz w:val="13"/>
                <w:szCs w:val="13"/>
                <w:color w:val="231F20"/>
              </w:rPr>
              <w:t>(0.2 )</w:t>
            </w:r>
          </w:p>
        </w:tc>
        <w:tc>
          <w:tcPr>
            <w:tcW w:w="1160" w:type="dxa"/>
            <w:vAlign w:val="bottom"/>
            <w:tcBorders>
              <w:bottom w:val="single" w:sz="8" w:color="231F20"/>
            </w:tcBorders>
          </w:tcPr>
          <w:p>
            <w:pPr>
              <w:jc w:val="right"/>
              <w:ind w:right="58"/>
              <w:spacing w:after="0"/>
              <w:rPr>
                <w:sz w:val="20"/>
                <w:szCs w:val="20"/>
                <w:color w:val="auto"/>
              </w:rPr>
            </w:pPr>
            <w:r>
              <w:rPr>
                <w:rFonts w:ascii="Arial" w:cs="Arial" w:eastAsia="Arial" w:hAnsi="Arial"/>
                <w:sz w:val="13"/>
                <w:szCs w:val="13"/>
                <w:color w:val="231F20"/>
              </w:rPr>
              <w:t>(14.8 )</w:t>
            </w:r>
          </w:p>
        </w:tc>
        <w:tc>
          <w:tcPr>
            <w:tcW w:w="1500" w:type="dxa"/>
            <w:vAlign w:val="bottom"/>
            <w:tcBorders>
              <w:bottom w:val="single" w:sz="8" w:color="231F20"/>
            </w:tcBorders>
          </w:tcPr>
          <w:p>
            <w:pPr>
              <w:jc w:val="right"/>
              <w:ind w:right="360"/>
              <w:spacing w:after="0"/>
              <w:rPr>
                <w:sz w:val="20"/>
                <w:szCs w:val="20"/>
                <w:color w:val="auto"/>
              </w:rPr>
            </w:pPr>
            <w:r>
              <w:rPr>
                <w:rFonts w:ascii="Arial" w:cs="Arial" w:eastAsia="Arial" w:hAnsi="Arial"/>
                <w:sz w:val="13"/>
                <w:szCs w:val="13"/>
                <w:color w:val="231F20"/>
              </w:rPr>
              <w:t>0.4</w:t>
            </w:r>
          </w:p>
        </w:tc>
        <w:tc>
          <w:tcPr>
            <w:tcW w:w="1200" w:type="dxa"/>
            <w:vAlign w:val="bottom"/>
            <w:tcBorders>
              <w:bottom w:val="single" w:sz="8" w:color="231F20"/>
            </w:tcBorders>
          </w:tcPr>
          <w:p>
            <w:pPr>
              <w:jc w:val="right"/>
              <w:ind w:right="79"/>
              <w:spacing w:after="0"/>
              <w:rPr>
                <w:sz w:val="20"/>
                <w:szCs w:val="20"/>
                <w:color w:val="auto"/>
              </w:rPr>
            </w:pPr>
            <w:r>
              <w:rPr>
                <w:rFonts w:ascii="Arial" w:cs="Arial" w:eastAsia="Arial" w:hAnsi="Arial"/>
                <w:sz w:val="13"/>
                <w:szCs w:val="13"/>
                <w:color w:val="231F20"/>
              </w:rPr>
              <w:t>(15.2 )</w:t>
            </w:r>
          </w:p>
        </w:tc>
      </w:tr>
      <w:tr>
        <w:trPr>
          <w:trHeight w:val="173"/>
        </w:trPr>
        <w:tc>
          <w:tcPr>
            <w:tcW w:w="3840" w:type="dxa"/>
            <w:vAlign w:val="bottom"/>
            <w:shd w:val="clear" w:color="auto" w:fill="E2E8F1"/>
          </w:tcPr>
          <w:p>
            <w:pPr>
              <w:ind w:left="240"/>
              <w:spacing w:after="0"/>
              <w:rPr>
                <w:sz w:val="20"/>
                <w:szCs w:val="20"/>
                <w:color w:val="auto"/>
              </w:rPr>
            </w:pPr>
            <w:r>
              <w:rPr>
                <w:rFonts w:ascii="Arial" w:cs="Arial" w:eastAsia="Arial" w:hAnsi="Arial"/>
                <w:sz w:val="13"/>
                <w:szCs w:val="13"/>
                <w:color w:val="231F20"/>
              </w:rPr>
              <w:t>Northern Europe</w:t>
            </w:r>
          </w:p>
        </w:tc>
        <w:tc>
          <w:tcPr>
            <w:tcW w:w="200" w:type="dxa"/>
            <w:vAlign w:val="bottom"/>
            <w:shd w:val="clear" w:color="auto" w:fill="E2E8F1"/>
          </w:tcPr>
          <w:p>
            <w:pPr>
              <w:spacing w:after="0"/>
              <w:rPr>
                <w:sz w:val="15"/>
                <w:szCs w:val="15"/>
                <w:color w:val="auto"/>
              </w:rPr>
            </w:pPr>
          </w:p>
        </w:tc>
        <w:tc>
          <w:tcPr>
            <w:tcW w:w="980" w:type="dxa"/>
            <w:vAlign w:val="bottom"/>
            <w:shd w:val="clear" w:color="auto" w:fill="E2E8F1"/>
          </w:tcPr>
          <w:p>
            <w:pPr>
              <w:jc w:val="right"/>
              <w:ind w:right="118"/>
              <w:spacing w:after="0"/>
              <w:rPr>
                <w:sz w:val="20"/>
                <w:szCs w:val="20"/>
                <w:color w:val="auto"/>
              </w:rPr>
            </w:pPr>
            <w:r>
              <w:rPr>
                <w:rFonts w:ascii="Arial" w:cs="Arial" w:eastAsia="Arial" w:hAnsi="Arial"/>
                <w:sz w:val="13"/>
                <w:szCs w:val="13"/>
                <w:color w:val="231F20"/>
              </w:rPr>
              <w:t>(44.6 )</w:t>
            </w:r>
          </w:p>
        </w:tc>
        <w:tc>
          <w:tcPr>
            <w:tcW w:w="1220" w:type="dxa"/>
            <w:vAlign w:val="bottom"/>
            <w:shd w:val="clear" w:color="auto" w:fill="E2E8F1"/>
          </w:tcPr>
          <w:p>
            <w:pPr>
              <w:jc w:val="right"/>
              <w:ind w:right="298"/>
              <w:spacing w:after="0"/>
              <w:rPr>
                <w:sz w:val="20"/>
                <w:szCs w:val="20"/>
                <w:color w:val="auto"/>
              </w:rPr>
            </w:pPr>
            <w:r>
              <w:rPr>
                <w:rFonts w:ascii="Arial" w:cs="Arial" w:eastAsia="Arial" w:hAnsi="Arial"/>
                <w:sz w:val="13"/>
                <w:szCs w:val="13"/>
                <w:color w:val="231F20"/>
              </w:rPr>
              <w:t>61.8</w:t>
            </w:r>
          </w:p>
        </w:tc>
        <w:tc>
          <w:tcPr>
            <w:tcW w:w="1160" w:type="dxa"/>
            <w:vAlign w:val="bottom"/>
            <w:shd w:val="clear" w:color="auto" w:fill="E2E8F1"/>
          </w:tcPr>
          <w:p>
            <w:pPr>
              <w:jc w:val="right"/>
              <w:ind w:right="258"/>
              <w:spacing w:after="0"/>
              <w:rPr>
                <w:sz w:val="20"/>
                <w:szCs w:val="20"/>
                <w:color w:val="auto"/>
              </w:rPr>
            </w:pPr>
            <w:r>
              <w:rPr>
                <w:rFonts w:ascii="Arial" w:cs="Arial" w:eastAsia="Arial" w:hAnsi="Arial"/>
                <w:sz w:val="13"/>
                <w:szCs w:val="13"/>
                <w:color w:val="231F20"/>
              </w:rPr>
              <w:t>0.9</w:t>
            </w:r>
          </w:p>
        </w:tc>
        <w:tc>
          <w:tcPr>
            <w:tcW w:w="1160" w:type="dxa"/>
            <w:vAlign w:val="bottom"/>
            <w:shd w:val="clear" w:color="auto" w:fill="E2E8F1"/>
          </w:tcPr>
          <w:p>
            <w:pPr>
              <w:jc w:val="right"/>
              <w:ind w:right="138"/>
              <w:spacing w:after="0"/>
              <w:rPr>
                <w:sz w:val="20"/>
                <w:szCs w:val="20"/>
                <w:color w:val="auto"/>
              </w:rPr>
            </w:pPr>
            <w:r>
              <w:rPr>
                <w:rFonts w:ascii="Arial" w:cs="Arial" w:eastAsia="Arial" w:hAnsi="Arial"/>
                <w:sz w:val="13"/>
                <w:szCs w:val="13"/>
                <w:color w:val="231F20"/>
              </w:rPr>
              <w:t>60.9</w:t>
            </w:r>
          </w:p>
        </w:tc>
        <w:tc>
          <w:tcPr>
            <w:tcW w:w="1500" w:type="dxa"/>
            <w:vAlign w:val="bottom"/>
            <w:shd w:val="clear" w:color="auto" w:fill="E2E8F1"/>
          </w:tcPr>
          <w:p>
            <w:pPr>
              <w:jc w:val="right"/>
              <w:ind w:right="360"/>
              <w:spacing w:after="0"/>
              <w:rPr>
                <w:sz w:val="20"/>
                <w:szCs w:val="20"/>
                <w:color w:val="auto"/>
              </w:rPr>
            </w:pPr>
            <w:r>
              <w:rPr>
                <w:rFonts w:ascii="Arial" w:cs="Arial" w:eastAsia="Arial" w:hAnsi="Arial"/>
                <w:sz w:val="13"/>
                <w:szCs w:val="13"/>
                <w:color w:val="231F20"/>
              </w:rPr>
              <w:t>—</w:t>
            </w:r>
          </w:p>
        </w:tc>
        <w:tc>
          <w:tcPr>
            <w:tcW w:w="1200" w:type="dxa"/>
            <w:vAlign w:val="bottom"/>
            <w:shd w:val="clear" w:color="auto" w:fill="E2E8F1"/>
          </w:tcPr>
          <w:p>
            <w:pPr>
              <w:jc w:val="right"/>
              <w:ind w:right="159"/>
              <w:spacing w:after="0"/>
              <w:rPr>
                <w:sz w:val="20"/>
                <w:szCs w:val="20"/>
                <w:color w:val="auto"/>
              </w:rPr>
            </w:pPr>
            <w:r>
              <w:rPr>
                <w:rFonts w:ascii="Arial" w:cs="Arial" w:eastAsia="Arial" w:hAnsi="Arial"/>
                <w:sz w:val="13"/>
                <w:szCs w:val="13"/>
                <w:color w:val="231F20"/>
              </w:rPr>
              <w:t>60.9</w:t>
            </w:r>
          </w:p>
        </w:tc>
      </w:tr>
      <w:tr>
        <w:trPr>
          <w:trHeight w:val="174"/>
        </w:trPr>
        <w:tc>
          <w:tcPr>
            <w:tcW w:w="3840" w:type="dxa"/>
            <w:vAlign w:val="bottom"/>
          </w:tcPr>
          <w:p>
            <w:pPr>
              <w:ind w:left="240"/>
              <w:spacing w:after="0"/>
              <w:rPr>
                <w:sz w:val="20"/>
                <w:szCs w:val="20"/>
                <w:color w:val="auto"/>
              </w:rPr>
            </w:pPr>
            <w:r>
              <w:rPr>
                <w:rFonts w:ascii="Arial" w:cs="Arial" w:eastAsia="Arial" w:hAnsi="Arial"/>
                <w:sz w:val="13"/>
                <w:szCs w:val="13"/>
                <w:color w:val="231F20"/>
              </w:rPr>
              <w:t>APME</w:t>
            </w:r>
          </w:p>
        </w:tc>
        <w:tc>
          <w:tcPr>
            <w:tcW w:w="200" w:type="dxa"/>
            <w:vAlign w:val="bottom"/>
          </w:tcPr>
          <w:p>
            <w:pPr>
              <w:spacing w:after="0"/>
              <w:rPr>
                <w:sz w:val="15"/>
                <w:szCs w:val="15"/>
                <w:color w:val="auto"/>
              </w:rPr>
            </w:pPr>
          </w:p>
        </w:tc>
        <w:tc>
          <w:tcPr>
            <w:tcW w:w="980" w:type="dxa"/>
            <w:vAlign w:val="bottom"/>
          </w:tcPr>
          <w:p>
            <w:pPr>
              <w:jc w:val="right"/>
              <w:ind w:right="198"/>
              <w:spacing w:after="0"/>
              <w:rPr>
                <w:sz w:val="20"/>
                <w:szCs w:val="20"/>
                <w:color w:val="auto"/>
              </w:rPr>
            </w:pPr>
            <w:r>
              <w:rPr>
                <w:rFonts w:ascii="Arial" w:cs="Arial" w:eastAsia="Arial" w:hAnsi="Arial"/>
                <w:sz w:val="13"/>
                <w:szCs w:val="13"/>
                <w:color w:val="231F20"/>
              </w:rPr>
              <w:t>83.7</w:t>
            </w:r>
          </w:p>
        </w:tc>
        <w:tc>
          <w:tcPr>
            <w:tcW w:w="1220" w:type="dxa"/>
            <w:vAlign w:val="bottom"/>
          </w:tcPr>
          <w:p>
            <w:pPr>
              <w:jc w:val="right"/>
              <w:ind w:right="238"/>
              <w:spacing w:after="0"/>
              <w:rPr>
                <w:sz w:val="20"/>
                <w:szCs w:val="20"/>
                <w:color w:val="auto"/>
              </w:rPr>
            </w:pPr>
            <w:r>
              <w:rPr>
                <w:rFonts w:ascii="Arial" w:cs="Arial" w:eastAsia="Arial" w:hAnsi="Arial"/>
                <w:sz w:val="13"/>
                <w:szCs w:val="13"/>
                <w:color w:val="231F20"/>
              </w:rPr>
              <w:t>(9.7 )</w:t>
            </w:r>
          </w:p>
        </w:tc>
        <w:tc>
          <w:tcPr>
            <w:tcW w:w="1160" w:type="dxa"/>
            <w:vAlign w:val="bottom"/>
          </w:tcPr>
          <w:p>
            <w:pPr>
              <w:jc w:val="right"/>
              <w:ind w:right="178"/>
              <w:spacing w:after="0"/>
              <w:rPr>
                <w:sz w:val="20"/>
                <w:szCs w:val="20"/>
                <w:color w:val="auto"/>
              </w:rPr>
            </w:pPr>
            <w:r>
              <w:rPr>
                <w:rFonts w:ascii="Arial" w:cs="Arial" w:eastAsia="Arial" w:hAnsi="Arial"/>
                <w:sz w:val="13"/>
                <w:szCs w:val="13"/>
                <w:color w:val="231F20"/>
              </w:rPr>
              <w:t>(6.0 )</w:t>
            </w:r>
          </w:p>
        </w:tc>
        <w:tc>
          <w:tcPr>
            <w:tcW w:w="1160" w:type="dxa"/>
            <w:vAlign w:val="bottom"/>
          </w:tcPr>
          <w:p>
            <w:pPr>
              <w:jc w:val="right"/>
              <w:ind w:right="58"/>
              <w:spacing w:after="0"/>
              <w:rPr>
                <w:sz w:val="20"/>
                <w:szCs w:val="20"/>
                <w:color w:val="auto"/>
              </w:rPr>
            </w:pPr>
            <w:r>
              <w:rPr>
                <w:rFonts w:ascii="Arial" w:cs="Arial" w:eastAsia="Arial" w:hAnsi="Arial"/>
                <w:sz w:val="13"/>
                <w:szCs w:val="13"/>
                <w:color w:val="231F20"/>
              </w:rPr>
              <w:t>(3.7 )</w:t>
            </w:r>
          </w:p>
        </w:tc>
        <w:tc>
          <w:tcPr>
            <w:tcW w:w="1500" w:type="dxa"/>
            <w:vAlign w:val="bottom"/>
          </w:tcPr>
          <w:p>
            <w:pPr>
              <w:jc w:val="right"/>
              <w:ind w:right="280"/>
              <w:spacing w:after="0"/>
              <w:rPr>
                <w:sz w:val="20"/>
                <w:szCs w:val="20"/>
                <w:color w:val="auto"/>
              </w:rPr>
            </w:pPr>
            <w:r>
              <w:rPr>
                <w:rFonts w:ascii="Arial" w:cs="Arial" w:eastAsia="Arial" w:hAnsi="Arial"/>
                <w:sz w:val="13"/>
                <w:szCs w:val="13"/>
                <w:color w:val="231F20"/>
              </w:rPr>
              <w:t>(2.3 )</w:t>
            </w:r>
          </w:p>
        </w:tc>
        <w:tc>
          <w:tcPr>
            <w:tcW w:w="1200" w:type="dxa"/>
            <w:vAlign w:val="bottom"/>
          </w:tcPr>
          <w:p>
            <w:pPr>
              <w:jc w:val="right"/>
              <w:ind w:right="79"/>
              <w:spacing w:after="0"/>
              <w:rPr>
                <w:sz w:val="20"/>
                <w:szCs w:val="20"/>
                <w:color w:val="auto"/>
              </w:rPr>
            </w:pPr>
            <w:r>
              <w:rPr>
                <w:rFonts w:ascii="Arial" w:cs="Arial" w:eastAsia="Arial" w:hAnsi="Arial"/>
                <w:sz w:val="13"/>
                <w:szCs w:val="13"/>
                <w:color w:val="231F20"/>
              </w:rPr>
              <w:t>(1.4 )</w:t>
            </w:r>
          </w:p>
        </w:tc>
      </w:tr>
      <w:tr>
        <w:trPr>
          <w:trHeight w:val="180"/>
        </w:trPr>
        <w:tc>
          <w:tcPr>
            <w:tcW w:w="384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3"/>
                <w:szCs w:val="13"/>
                <w:b w:val="1"/>
                <w:bCs w:val="1"/>
                <w:color w:val="231F20"/>
              </w:rPr>
              <w:t>Operating Unit Profit - ManpowerGroup</w:t>
            </w:r>
          </w:p>
        </w:tc>
        <w:tc>
          <w:tcPr>
            <w:tcW w:w="2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1F20"/>
            </w:tcBorders>
            <w:shd w:val="clear" w:color="auto" w:fill="E2E8F1"/>
          </w:tcPr>
          <w:p>
            <w:pPr>
              <w:jc w:val="right"/>
              <w:ind w:right="198"/>
              <w:spacing w:after="0"/>
              <w:rPr>
                <w:sz w:val="20"/>
                <w:szCs w:val="20"/>
                <w:color w:val="auto"/>
              </w:rPr>
            </w:pPr>
            <w:r>
              <w:rPr>
                <w:rFonts w:ascii="Arial" w:cs="Arial" w:eastAsia="Arial" w:hAnsi="Arial"/>
                <w:sz w:val="13"/>
                <w:szCs w:val="13"/>
                <w:color w:val="231F20"/>
              </w:rPr>
              <w:t>484.8</w:t>
            </w:r>
          </w:p>
        </w:tc>
        <w:tc>
          <w:tcPr>
            <w:tcW w:w="1220" w:type="dxa"/>
            <w:vAlign w:val="bottom"/>
            <w:tcBorders>
              <w:bottom w:val="single" w:sz="8" w:color="231F20"/>
            </w:tcBorders>
            <w:shd w:val="clear" w:color="auto" w:fill="E2E8F1"/>
          </w:tcPr>
          <w:p>
            <w:pPr>
              <w:jc w:val="right"/>
              <w:ind w:right="118"/>
              <w:spacing w:after="0"/>
              <w:rPr>
                <w:sz w:val="20"/>
                <w:szCs w:val="20"/>
                <w:color w:val="auto"/>
              </w:rPr>
            </w:pPr>
            <w:r>
              <w:rPr>
                <w:rFonts w:ascii="Arial" w:cs="Arial" w:eastAsia="Arial" w:hAnsi="Arial"/>
                <w:sz w:val="13"/>
                <w:szCs w:val="13"/>
                <w:color w:val="231F20"/>
              </w:rPr>
              <w:t>(2.9 )%</w:t>
            </w:r>
          </w:p>
        </w:tc>
        <w:tc>
          <w:tcPr>
            <w:tcW w:w="1160" w:type="dxa"/>
            <w:vAlign w:val="bottom"/>
            <w:tcBorders>
              <w:bottom w:val="single" w:sz="8" w:color="231F20"/>
            </w:tcBorders>
            <w:shd w:val="clear" w:color="auto" w:fill="E2E8F1"/>
          </w:tcPr>
          <w:p>
            <w:pPr>
              <w:jc w:val="right"/>
              <w:ind w:right="78"/>
              <w:spacing w:after="0"/>
              <w:rPr>
                <w:sz w:val="20"/>
                <w:szCs w:val="20"/>
                <w:color w:val="auto"/>
              </w:rPr>
            </w:pPr>
            <w:r>
              <w:rPr>
                <w:rFonts w:ascii="Arial" w:cs="Arial" w:eastAsia="Arial" w:hAnsi="Arial"/>
                <w:sz w:val="13"/>
                <w:szCs w:val="13"/>
                <w:color w:val="231F20"/>
              </w:rPr>
              <w:t>(2.9 )%</w:t>
            </w:r>
          </w:p>
        </w:tc>
        <w:tc>
          <w:tcPr>
            <w:tcW w:w="1160" w:type="dxa"/>
            <w:vAlign w:val="bottom"/>
            <w:tcBorders>
              <w:bottom w:val="single" w:sz="8" w:color="auto"/>
            </w:tcBorders>
            <w:shd w:val="clear" w:color="auto" w:fill="E2E8F1"/>
          </w:tcPr>
          <w:p>
            <w:pPr>
              <w:jc w:val="right"/>
              <w:ind w:right="138"/>
              <w:spacing w:after="0"/>
              <w:rPr>
                <w:sz w:val="20"/>
                <w:szCs w:val="20"/>
                <w:color w:val="auto"/>
              </w:rPr>
            </w:pPr>
            <w:r>
              <w:rPr>
                <w:rFonts w:ascii="Arial" w:cs="Arial" w:eastAsia="Arial" w:hAnsi="Arial"/>
                <w:sz w:val="13"/>
                <w:szCs w:val="13"/>
                <w:color w:val="231F20"/>
              </w:rPr>
              <w:t>—</w:t>
            </w:r>
          </w:p>
        </w:tc>
        <w:tc>
          <w:tcPr>
            <w:tcW w:w="1500" w:type="dxa"/>
            <w:vAlign w:val="bottom"/>
            <w:tcBorders>
              <w:bottom w:val="single" w:sz="8" w:color="231F20"/>
            </w:tcBorders>
            <w:shd w:val="clear" w:color="auto" w:fill="E2E8F1"/>
          </w:tcPr>
          <w:p>
            <w:pPr>
              <w:jc w:val="right"/>
              <w:ind w:right="180"/>
              <w:spacing w:after="0"/>
              <w:rPr>
                <w:sz w:val="20"/>
                <w:szCs w:val="20"/>
                <w:color w:val="auto"/>
              </w:rPr>
            </w:pPr>
            <w:r>
              <w:rPr>
                <w:rFonts w:ascii="Arial" w:cs="Arial" w:eastAsia="Arial" w:hAnsi="Arial"/>
                <w:sz w:val="13"/>
                <w:szCs w:val="13"/>
                <w:color w:val="231F20"/>
              </w:rPr>
              <w:t>(0.1 )%</w:t>
            </w:r>
          </w:p>
        </w:tc>
        <w:tc>
          <w:tcPr>
            <w:tcW w:w="1200" w:type="dxa"/>
            <w:vAlign w:val="bottom"/>
            <w:tcBorders>
              <w:bottom w:val="single" w:sz="8" w:color="231F20"/>
            </w:tcBorders>
            <w:shd w:val="clear" w:color="auto" w:fill="E2E8F1"/>
          </w:tcPr>
          <w:p>
            <w:pPr>
              <w:jc w:val="right"/>
              <w:ind w:right="19"/>
              <w:spacing w:after="0"/>
              <w:rPr>
                <w:sz w:val="20"/>
                <w:szCs w:val="20"/>
                <w:color w:val="auto"/>
              </w:rPr>
            </w:pPr>
            <w:r>
              <w:rPr>
                <w:rFonts w:ascii="Arial" w:cs="Arial" w:eastAsia="Arial" w:hAnsi="Arial"/>
                <w:sz w:val="13"/>
                <w:szCs w:val="13"/>
                <w:color w:val="231F20"/>
              </w:rPr>
              <w:t>0.1 %</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Cash Sources and Uses</w:t>
      </w:r>
    </w:p>
    <w:p>
      <w:pPr>
        <w:spacing w:after="0" w:line="8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231F20"/>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December 31, 2024, we had $348.8 of cash held by foreign subsidiaries. We have historically made and anticipate future cash repatriations to the United States from certain foreign subsidiaries to fund corporate activities. As of December 31, 2024, deferred taxes related to non-United States withholding and other taxes were provided on $1,353.5 of accumulated unremitted earnings of non-United States subsidiaries that may be remitted to the United States. As of December 31, 2024 and 2023, we have recorded a deferred tax liability of $25.9 and $23.1, respectively, related to these non-United States earnings that may be remitted. As of December 31, 2024, we had an additional $289.4 of accumulated unremitted earnings of non-United States subsidiaries for which we have not provided deferred taxes as amounts are deemed indefinitely reinvested. We have not estimated the deferred tax liability on these earnings as such estimation is not practicable to determine or immaterial to the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37" w:name="page38"/>
    <w:bookmarkEnd w:id="37"/>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ind w:left="5" w:right="20"/>
        <w:spacing w:after="0" w:line="246" w:lineRule="auto"/>
        <w:rPr>
          <w:sz w:val="20"/>
          <w:szCs w:val="20"/>
          <w:color w:val="auto"/>
        </w:rPr>
      </w:pPr>
      <w:r>
        <w:rPr>
          <w:rFonts w:ascii="Arial" w:cs="Arial" w:eastAsia="Arial" w:hAnsi="Arial"/>
          <w:sz w:val="16"/>
          <w:szCs w:val="16"/>
          <w:color w:val="231F20"/>
        </w:rPr>
        <w:t>Our principal ongoing cash needs are to finance working capital, capital expenditures, debt payments, interest expense, dividends, share repurchases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61" w:lineRule="exact"/>
        <w:rPr>
          <w:sz w:val="20"/>
          <w:szCs w:val="20"/>
          <w:color w:val="auto"/>
        </w:rPr>
      </w:pPr>
    </w:p>
    <w:p>
      <w:pPr>
        <w:jc w:val="both"/>
        <w:ind w:left="5"/>
        <w:spacing w:after="0" w:line="239" w:lineRule="auto"/>
        <w:rPr>
          <w:sz w:val="20"/>
          <w:szCs w:val="20"/>
          <w:color w:val="auto"/>
        </w:rPr>
      </w:pPr>
      <w:r>
        <w:rPr>
          <w:rFonts w:ascii="Arial" w:cs="Arial" w:eastAsia="Arial" w:hAnsi="Arial"/>
          <w:sz w:val="16"/>
          <w:szCs w:val="16"/>
          <w:color w:val="231F20"/>
        </w:rPr>
        <w:t>Cash provided by operating activities was $309.2, $348.2 and $ 423.3 for 2024, 2023 and 2022, respectively. Changes in operating assets and liabilities generated $65.4 of cash, compared to $98.7 generated and $139.7 utilized in 2024, 2023 and 2022, respectively. The decrease in 2024 from 2023 was primarily attributable to decreased accounts receivable collections and an increase in capitalized implementation costs related to our cloud computing arrangements, partially offset by an increase in accounts payable. The change in 2023 from 2022 was primarily attributable to a decrease in accounts receivable due to the slowdown in the demand for our services.</w:t>
      </w:r>
    </w:p>
    <w:p>
      <w:pPr>
        <w:spacing w:after="0" w:line="65" w:lineRule="exact"/>
        <w:rPr>
          <w:sz w:val="20"/>
          <w:szCs w:val="20"/>
          <w:color w:val="auto"/>
        </w:rPr>
      </w:pPr>
    </w:p>
    <w:p>
      <w:pPr>
        <w:jc w:val="both"/>
        <w:ind w:left="5" w:right="20"/>
        <w:spacing w:after="0" w:line="246" w:lineRule="auto"/>
        <w:rPr>
          <w:sz w:val="20"/>
          <w:szCs w:val="20"/>
          <w:color w:val="auto"/>
        </w:rPr>
      </w:pPr>
      <w:r>
        <w:rPr>
          <w:rFonts w:ascii="Arial" w:cs="Arial" w:eastAsia="Arial" w:hAnsi="Arial"/>
          <w:sz w:val="16"/>
          <w:szCs w:val="16"/>
          <w:color w:val="231F20"/>
        </w:rPr>
        <w:t>Accounts receivable decreased to $4,297.2 as of December 31, 2024 from $4,830.0 as of December 31, 2023. The decrease was partly attributable to the impact of changes in currency exchange rates. DSO decreased by two and a half days from December 31, 2023 to 52 days as of December 31, 2024 due to an increased emphasis on cash collections.</w:t>
      </w:r>
    </w:p>
    <w:p>
      <w:pPr>
        <w:spacing w:after="0" w:line="61"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231F20"/>
        </w:rPr>
        <w:t>Cash used in investing activities were $68.2, $74.1 and $85.3 for 2024, 2023 and 2022, respectively. Capital expenditures were $51.1, $ 78.2 and $75.6 during 2024, 2023 and 2022, respectively. These expenditures were comprised of purchases of computer equipment, office furniture and other costs related to office openings and refurbishments, as well as capitalized software costs of $10.1, $12.0 and $34.2 in 2024, 2023 and 2022, respectively. The higher expenditures in 2022 were primarily due to additional technology investments and the timing of capital expenditures.</w:t>
      </w:r>
    </w:p>
    <w:p>
      <w:pPr>
        <w:spacing w:after="0" w:line="65" w:lineRule="exact"/>
        <w:rPr>
          <w:sz w:val="20"/>
          <w:szCs w:val="20"/>
          <w:color w:val="auto"/>
        </w:rPr>
      </w:pPr>
    </w:p>
    <w:p>
      <w:pPr>
        <w:jc w:val="both"/>
        <w:ind w:left="5" w:right="20"/>
        <w:spacing w:after="0" w:line="241" w:lineRule="auto"/>
        <w:rPr>
          <w:sz w:val="20"/>
          <w:szCs w:val="20"/>
          <w:color w:val="auto"/>
        </w:rPr>
      </w:pPr>
      <w:r>
        <w:rPr>
          <w:rFonts w:ascii="Arial" w:cs="Arial" w:eastAsia="Arial" w:hAnsi="Arial"/>
          <w:sz w:val="16"/>
          <w:szCs w:val="16"/>
          <w:color w:val="231F20"/>
        </w:rPr>
        <w:t>Cash used in financing activities were $282.4, $349.5 and $ 482.1 for 2024, 2023 and 2022, respectively. Net debt borrowings were $16.1 in 2024 as compared to net debt repayments of $ 16.2 and $58.7 in 2023 and 2022, respectively. The larger repayments in 2022 were mainly due to the $75.0 repayment of our revolving credit facility to clear the outstanding borrowings as of December 31, 2021 related to an Experis acquisition. The acquisition was funded through cash on hand and a $150.0 draw on our revolving credit facility on October 1, 2021 which was repaid in 2022.</w:t>
      </w:r>
    </w:p>
    <w:p>
      <w:pPr>
        <w:spacing w:after="0" w:line="65" w:lineRule="exact"/>
        <w:rPr>
          <w:sz w:val="20"/>
          <w:szCs w:val="20"/>
          <w:color w:val="auto"/>
        </w:rPr>
      </w:pPr>
    </w:p>
    <w:p>
      <w:pPr>
        <w:jc w:val="both"/>
        <w:ind w:left="5"/>
        <w:spacing w:after="0" w:line="236" w:lineRule="auto"/>
        <w:rPr>
          <w:sz w:val="20"/>
          <w:szCs w:val="20"/>
          <w:color w:val="auto"/>
        </w:rPr>
      </w:pPr>
      <w:r>
        <w:rPr>
          <w:rFonts w:ascii="Arial" w:cs="Arial" w:eastAsia="Arial" w:hAnsi="Arial"/>
          <w:sz w:val="16"/>
          <w:szCs w:val="16"/>
          <w:color w:val="231F20"/>
        </w:rPr>
        <w:t>The Board of Directors authorized the repurchase of 5.0 million and 4.0 million shares of our common stock in August 2023 and August 2021, respectively. Share repurchases may be made from time to time through a variety of methods, including open market purchases, block transactions, privately negotiated transactions or similar facilities. In 2024, we repurchased a total of 2.0 million shares under the 2023 authorization, at a total cost of $ 140.9 including excise tax on share repurchases of $0.9. In 2023, we repurchased a total of 2.4 million shares comprised of 2.0 million shares under the 2021 authorization and 0.4 million shares under the 2023 authorization, at a total cost of $181.5 including excise tax on share repurchases of $1.7. In 2022, we repurchased a total of 3.2 million shares comprised of 1.2 million shares under the 2019 authorization and 2.0 million shares under the 2021 authorization, at a total cost of $270.0. As of December 31, 2024, there were 2.6 million shares remaining authorized for repurchase under the 2023 authorization and no shares remaining authorized for repurchase under the 2021 authorization.</w:t>
      </w:r>
    </w:p>
    <w:p>
      <w:pPr>
        <w:spacing w:after="0" w:line="66"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231F20"/>
        </w:rPr>
        <w:t>During 2024, 2023 and 2022, the Board of Directors declared total cash dividends of $3.08, $2.94 and $2.72 per share, respectively, resulting in total dividend payments of $145.8, $144.3 and $139.9, respectively.</w:t>
      </w:r>
    </w:p>
    <w:p>
      <w:pPr>
        <w:spacing w:after="0" w:line="51"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231F20"/>
        </w:rPr>
        <w:t>We have aggregate commitments of $2,268.2 related to debt, operating leases, purchase obligations for global technology and financial shared services, restructuring costs, transition tax resulting from the Tax Act and certain other commitments, as follows:</w:t>
      </w:r>
    </w:p>
    <w:p>
      <w:pPr>
        <w:spacing w:after="0" w:line="57" w:lineRule="exact"/>
        <w:rPr>
          <w:sz w:val="20"/>
          <w:szCs w:val="20"/>
          <w:color w:val="auto"/>
        </w:rPr>
      </w:pPr>
    </w:p>
    <w:tbl>
      <w:tblPr>
        <w:tblLayout w:type="fixed"/>
        <w:tblInd w:w="5" w:type="dxa"/>
        <w:tblCellMar>
          <w:top w:w="0" w:type="dxa"/>
          <w:left w:w="0" w:type="dxa"/>
          <w:bottom w:w="0" w:type="dxa"/>
          <w:right w:w="0" w:type="dxa"/>
        </w:tblCellMar>
      </w:tblPr>
      <w:tr>
        <w:trPr>
          <w:trHeight w:val="242"/>
        </w:trPr>
        <w:tc>
          <w:tcPr>
            <w:tcW w:w="4580" w:type="dxa"/>
            <w:vAlign w:val="bottom"/>
            <w:tcBorders>
              <w:top w:val="single" w:sz="8" w:color="auto"/>
              <w:bottom w:val="single" w:sz="8" w:color="98B0CF"/>
            </w:tcBorders>
            <w:shd w:val="clear" w:color="auto" w:fill="98B0CF"/>
          </w:tcPr>
          <w:p>
            <w:pPr>
              <w:ind w:left="80"/>
              <w:spacing w:after="0"/>
              <w:rPr>
                <w:sz w:val="20"/>
                <w:szCs w:val="20"/>
                <w:color w:val="auto"/>
              </w:rPr>
            </w:pPr>
            <w:r>
              <w:rPr>
                <w:rFonts w:ascii="Arial" w:cs="Arial" w:eastAsia="Arial" w:hAnsi="Arial"/>
                <w:sz w:val="13"/>
                <w:szCs w:val="13"/>
                <w:b w:val="1"/>
                <w:bCs w:val="1"/>
                <w:i w:val="1"/>
                <w:iCs w:val="1"/>
                <w:color w:val="auto"/>
              </w:rPr>
              <w:t>(in millions)</w:t>
            </w:r>
          </w:p>
        </w:tc>
        <w:tc>
          <w:tcPr>
            <w:tcW w:w="360" w:type="dxa"/>
            <w:vAlign w:val="bottom"/>
            <w:tcBorders>
              <w:top w:val="single" w:sz="8" w:color="auto"/>
              <w:bottom w:val="single" w:sz="8" w:color="98B0CF"/>
            </w:tcBorders>
            <w:shd w:val="clear" w:color="auto" w:fill="98B0CF"/>
          </w:tcPr>
          <w:p>
            <w:pPr>
              <w:spacing w:after="0"/>
              <w:rPr>
                <w:sz w:val="20"/>
                <w:szCs w:val="20"/>
                <w:color w:val="auto"/>
              </w:rPr>
            </w:pPr>
          </w:p>
        </w:tc>
        <w:tc>
          <w:tcPr>
            <w:tcW w:w="960" w:type="dxa"/>
            <w:vAlign w:val="bottom"/>
            <w:tcBorders>
              <w:top w:val="single" w:sz="8" w:color="auto"/>
              <w:bottom w:val="single" w:sz="8" w:color="98B0CF"/>
            </w:tcBorders>
            <w:shd w:val="clear" w:color="auto" w:fill="98B0CF"/>
          </w:tcPr>
          <w:p>
            <w:pPr>
              <w:jc w:val="right"/>
              <w:ind w:right="430"/>
              <w:spacing w:after="0"/>
              <w:rPr>
                <w:sz w:val="20"/>
                <w:szCs w:val="20"/>
                <w:color w:val="auto"/>
              </w:rPr>
            </w:pPr>
            <w:r>
              <w:rPr>
                <w:rFonts w:ascii="Arial" w:cs="Arial" w:eastAsia="Arial" w:hAnsi="Arial"/>
                <w:sz w:val="13"/>
                <w:szCs w:val="13"/>
                <w:b w:val="1"/>
                <w:bCs w:val="1"/>
                <w:color w:val="auto"/>
              </w:rPr>
              <w:t>Total</w:t>
            </w:r>
          </w:p>
        </w:tc>
        <w:tc>
          <w:tcPr>
            <w:tcW w:w="360" w:type="dxa"/>
            <w:vAlign w:val="bottom"/>
            <w:tcBorders>
              <w:top w:val="single" w:sz="8" w:color="auto"/>
              <w:bottom w:val="single" w:sz="8" w:color="98B0CF"/>
            </w:tcBorders>
            <w:shd w:val="clear" w:color="auto" w:fill="98B0CF"/>
          </w:tcPr>
          <w:p>
            <w:pPr>
              <w:spacing w:after="0"/>
              <w:rPr>
                <w:sz w:val="20"/>
                <w:szCs w:val="20"/>
                <w:color w:val="auto"/>
              </w:rPr>
            </w:pPr>
          </w:p>
        </w:tc>
        <w:tc>
          <w:tcPr>
            <w:tcW w:w="940" w:type="dxa"/>
            <w:vAlign w:val="bottom"/>
            <w:tcBorders>
              <w:top w:val="single" w:sz="8" w:color="auto"/>
              <w:bottom w:val="single" w:sz="8" w:color="98B0CF"/>
            </w:tcBorders>
            <w:shd w:val="clear" w:color="auto" w:fill="98B0CF"/>
          </w:tcPr>
          <w:p>
            <w:pPr>
              <w:jc w:val="right"/>
              <w:ind w:right="450"/>
              <w:spacing w:after="0"/>
              <w:rPr>
                <w:sz w:val="20"/>
                <w:szCs w:val="20"/>
                <w:color w:val="auto"/>
              </w:rPr>
            </w:pPr>
            <w:r>
              <w:rPr>
                <w:rFonts w:ascii="Arial" w:cs="Arial" w:eastAsia="Arial" w:hAnsi="Arial"/>
                <w:sz w:val="13"/>
                <w:szCs w:val="13"/>
                <w:b w:val="1"/>
                <w:bCs w:val="1"/>
                <w:color w:val="auto"/>
              </w:rPr>
              <w:t>2025</w:t>
            </w:r>
          </w:p>
        </w:tc>
        <w:tc>
          <w:tcPr>
            <w:tcW w:w="280" w:type="dxa"/>
            <w:vAlign w:val="bottom"/>
            <w:tcBorders>
              <w:top w:val="single" w:sz="8" w:color="auto"/>
              <w:bottom w:val="single" w:sz="8" w:color="98B0CF"/>
            </w:tcBorders>
            <w:shd w:val="clear" w:color="auto" w:fill="98B0CF"/>
          </w:tcPr>
          <w:p>
            <w:pPr>
              <w:spacing w:after="0"/>
              <w:rPr>
                <w:sz w:val="20"/>
                <w:szCs w:val="20"/>
                <w:color w:val="auto"/>
              </w:rPr>
            </w:pPr>
          </w:p>
        </w:tc>
        <w:tc>
          <w:tcPr>
            <w:tcW w:w="1020" w:type="dxa"/>
            <w:vAlign w:val="bottom"/>
            <w:tcBorders>
              <w:top w:val="single" w:sz="8" w:color="auto"/>
              <w:bottom w:val="single" w:sz="8" w:color="98B0CF"/>
            </w:tcBorders>
            <w:shd w:val="clear" w:color="auto" w:fill="98B0CF"/>
          </w:tcPr>
          <w:p>
            <w:pPr>
              <w:jc w:val="right"/>
              <w:ind w:right="290"/>
              <w:spacing w:after="0"/>
              <w:rPr>
                <w:sz w:val="20"/>
                <w:szCs w:val="20"/>
                <w:color w:val="auto"/>
              </w:rPr>
            </w:pPr>
            <w:r>
              <w:rPr>
                <w:rFonts w:ascii="Arial" w:cs="Arial" w:eastAsia="Arial" w:hAnsi="Arial"/>
                <w:sz w:val="13"/>
                <w:szCs w:val="13"/>
                <w:b w:val="1"/>
                <w:bCs w:val="1"/>
                <w:color w:val="auto"/>
              </w:rPr>
              <w:t>2026-2027</w:t>
            </w:r>
          </w:p>
        </w:tc>
        <w:tc>
          <w:tcPr>
            <w:tcW w:w="300" w:type="dxa"/>
            <w:vAlign w:val="bottom"/>
            <w:tcBorders>
              <w:top w:val="single" w:sz="8" w:color="auto"/>
              <w:bottom w:val="single" w:sz="8" w:color="98B0CF"/>
            </w:tcBorders>
            <w:shd w:val="clear" w:color="auto" w:fill="98B0CF"/>
          </w:tcPr>
          <w:p>
            <w:pPr>
              <w:spacing w:after="0"/>
              <w:rPr>
                <w:sz w:val="20"/>
                <w:szCs w:val="20"/>
                <w:color w:val="auto"/>
              </w:rPr>
            </w:pPr>
          </w:p>
        </w:tc>
        <w:tc>
          <w:tcPr>
            <w:tcW w:w="1080" w:type="dxa"/>
            <w:vAlign w:val="bottom"/>
            <w:tcBorders>
              <w:top w:val="single" w:sz="8" w:color="auto"/>
              <w:bottom w:val="single" w:sz="8" w:color="98B0CF"/>
            </w:tcBorders>
            <w:shd w:val="clear" w:color="auto" w:fill="98B0CF"/>
          </w:tcPr>
          <w:p>
            <w:pPr>
              <w:jc w:val="right"/>
              <w:ind w:right="330"/>
              <w:spacing w:after="0"/>
              <w:rPr>
                <w:sz w:val="20"/>
                <w:szCs w:val="20"/>
                <w:color w:val="auto"/>
              </w:rPr>
            </w:pPr>
            <w:r>
              <w:rPr>
                <w:rFonts w:ascii="Arial" w:cs="Arial" w:eastAsia="Arial" w:hAnsi="Arial"/>
                <w:sz w:val="13"/>
                <w:szCs w:val="13"/>
                <w:b w:val="1"/>
                <w:bCs w:val="1"/>
                <w:color w:val="auto"/>
              </w:rPr>
              <w:t>2028-2029</w:t>
            </w:r>
          </w:p>
        </w:tc>
        <w:tc>
          <w:tcPr>
            <w:tcW w:w="300" w:type="dxa"/>
            <w:vAlign w:val="bottom"/>
            <w:tcBorders>
              <w:top w:val="single" w:sz="8" w:color="auto"/>
              <w:bottom w:val="single" w:sz="8" w:color="98B0CF"/>
            </w:tcBorders>
            <w:shd w:val="clear" w:color="auto" w:fill="98B0CF"/>
          </w:tcPr>
          <w:p>
            <w:pPr>
              <w:spacing w:after="0"/>
              <w:rPr>
                <w:sz w:val="20"/>
                <w:szCs w:val="20"/>
                <w:color w:val="auto"/>
              </w:rPr>
            </w:pPr>
          </w:p>
        </w:tc>
        <w:tc>
          <w:tcPr>
            <w:tcW w:w="1080" w:type="dxa"/>
            <w:vAlign w:val="bottom"/>
            <w:tcBorders>
              <w:top w:val="single" w:sz="8" w:color="auto"/>
              <w:bottom w:val="single" w:sz="8" w:color="98B0CF"/>
            </w:tcBorders>
            <w:shd w:val="clear" w:color="auto" w:fill="98B0CF"/>
          </w:tcPr>
          <w:p>
            <w:pPr>
              <w:jc w:val="right"/>
              <w:ind w:right="310"/>
              <w:spacing w:after="0"/>
              <w:rPr>
                <w:sz w:val="20"/>
                <w:szCs w:val="20"/>
                <w:color w:val="auto"/>
              </w:rPr>
            </w:pPr>
            <w:r>
              <w:rPr>
                <w:rFonts w:ascii="Arial" w:cs="Arial" w:eastAsia="Arial" w:hAnsi="Arial"/>
                <w:sz w:val="13"/>
                <w:szCs w:val="13"/>
                <w:b w:val="1"/>
                <w:bCs w:val="1"/>
                <w:color w:val="auto"/>
              </w:rPr>
              <w:t>Thereafter</w:t>
            </w:r>
          </w:p>
        </w:tc>
        <w:tc>
          <w:tcPr>
            <w:tcW w:w="0" w:type="dxa"/>
            <w:vAlign w:val="bottom"/>
          </w:tcPr>
          <w:p>
            <w:pPr>
              <w:spacing w:after="0"/>
              <w:rPr>
                <w:sz w:val="1"/>
                <w:szCs w:val="1"/>
                <w:color w:val="auto"/>
              </w:rPr>
            </w:pPr>
          </w:p>
        </w:tc>
      </w:tr>
      <w:tr>
        <w:trPr>
          <w:trHeight w:val="181"/>
        </w:trPr>
        <w:tc>
          <w:tcPr>
            <w:tcW w:w="4580" w:type="dxa"/>
            <w:vAlign w:val="bottom"/>
            <w:tcBorders>
              <w:top w:val="single" w:sz="8" w:color="auto"/>
            </w:tcBorders>
            <w:shd w:val="clear" w:color="auto" w:fill="E2E8F1"/>
          </w:tcPr>
          <w:p>
            <w:pPr>
              <w:ind w:left="80"/>
              <w:spacing w:after="0"/>
              <w:rPr>
                <w:sz w:val="20"/>
                <w:szCs w:val="20"/>
                <w:color w:val="auto"/>
              </w:rPr>
            </w:pPr>
            <w:r>
              <w:rPr>
                <w:rFonts w:ascii="Arial" w:cs="Arial" w:eastAsia="Arial" w:hAnsi="Arial"/>
                <w:sz w:val="14"/>
                <w:szCs w:val="14"/>
                <w:color w:val="auto"/>
              </w:rPr>
              <w:t>Long-term debt including interest</w:t>
            </w:r>
          </w:p>
        </w:tc>
        <w:tc>
          <w:tcPr>
            <w:tcW w:w="360" w:type="dxa"/>
            <w:vAlign w:val="bottom"/>
            <w:tcBorders>
              <w:top w:val="single" w:sz="8" w:color="auto"/>
            </w:tcBorders>
            <w:shd w:val="clear" w:color="auto" w:fill="E2E8F1"/>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1,017.1</w:t>
            </w:r>
          </w:p>
        </w:tc>
        <w:tc>
          <w:tcPr>
            <w:tcW w:w="360" w:type="dxa"/>
            <w:vAlign w:val="bottom"/>
            <w:tcBorders>
              <w:top w:val="single" w:sz="8" w:color="auto"/>
            </w:tcBorders>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26.0</w:t>
            </w:r>
          </w:p>
        </w:tc>
        <w:tc>
          <w:tcPr>
            <w:tcW w:w="280" w:type="dxa"/>
            <w:vAlign w:val="bottom"/>
            <w:tcBorders>
              <w:top w:val="single" w:sz="8" w:color="auto"/>
            </w:tcBorders>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976.6</w:t>
            </w:r>
          </w:p>
        </w:tc>
        <w:tc>
          <w:tcPr>
            <w:tcW w:w="300" w:type="dxa"/>
            <w:vAlign w:val="bottom"/>
            <w:tcBorders>
              <w:top w:val="single" w:sz="8" w:color="auto"/>
            </w:tcBorders>
            <w:shd w:val="clear" w:color="auto" w:fill="E2E8F1"/>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14.5</w:t>
            </w:r>
          </w:p>
        </w:tc>
        <w:tc>
          <w:tcPr>
            <w:tcW w:w="300" w:type="dxa"/>
            <w:vAlign w:val="bottom"/>
            <w:tcBorders>
              <w:top w:val="single" w:sz="8" w:color="auto"/>
            </w:tcBorders>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580" w:type="dxa"/>
            <w:vAlign w:val="bottom"/>
          </w:tcPr>
          <w:p>
            <w:pPr>
              <w:ind w:left="80"/>
              <w:spacing w:after="0"/>
              <w:rPr>
                <w:sz w:val="20"/>
                <w:szCs w:val="20"/>
                <w:color w:val="auto"/>
              </w:rPr>
            </w:pPr>
            <w:r>
              <w:rPr>
                <w:rFonts w:ascii="Arial" w:cs="Arial" w:eastAsia="Arial" w:hAnsi="Arial"/>
                <w:sz w:val="14"/>
                <w:szCs w:val="14"/>
                <w:color w:val="auto"/>
              </w:rPr>
              <w:t>Short-term borrowings</w:t>
            </w:r>
          </w:p>
        </w:tc>
        <w:tc>
          <w:tcPr>
            <w:tcW w:w="360" w:type="dxa"/>
            <w:vAlign w:val="bottom"/>
          </w:tcPr>
          <w:p>
            <w:pPr>
              <w:spacing w:after="0"/>
              <w:rPr>
                <w:sz w:val="16"/>
                <w:szCs w:val="16"/>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21.0</w:t>
            </w:r>
          </w:p>
        </w:tc>
        <w:tc>
          <w:tcPr>
            <w:tcW w:w="36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21.0</w:t>
            </w:r>
          </w:p>
        </w:tc>
        <w:tc>
          <w:tcPr>
            <w:tcW w:w="28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580" w:type="dxa"/>
            <w:vAlign w:val="bottom"/>
            <w:shd w:val="clear" w:color="auto" w:fill="E2E8F1"/>
          </w:tcPr>
          <w:p>
            <w:pPr>
              <w:ind w:left="80"/>
              <w:spacing w:after="0" w:line="155" w:lineRule="exact"/>
              <w:rPr>
                <w:sz w:val="20"/>
                <w:szCs w:val="20"/>
                <w:color w:val="auto"/>
              </w:rPr>
            </w:pPr>
            <w:r>
              <w:rPr>
                <w:rFonts w:ascii="Arial" w:cs="Arial" w:eastAsia="Arial" w:hAnsi="Arial"/>
                <w:sz w:val="14"/>
                <w:szCs w:val="14"/>
                <w:color w:val="auto"/>
              </w:rPr>
              <w:t>Purchase obligations for global technology and</w:t>
            </w:r>
          </w:p>
        </w:tc>
        <w:tc>
          <w:tcPr>
            <w:tcW w:w="360" w:type="dxa"/>
            <w:vAlign w:val="bottom"/>
            <w:shd w:val="clear" w:color="auto" w:fill="E2E8F1"/>
          </w:tcPr>
          <w:p>
            <w:pPr>
              <w:spacing w:after="0"/>
              <w:rPr>
                <w:sz w:val="13"/>
                <w:szCs w:val="13"/>
                <w:color w:val="auto"/>
              </w:rPr>
            </w:pPr>
          </w:p>
        </w:tc>
        <w:tc>
          <w:tcPr>
            <w:tcW w:w="960" w:type="dxa"/>
            <w:vAlign w:val="bottom"/>
            <w:vMerge w:val="restart"/>
            <w:shd w:val="clear" w:color="auto" w:fill="E2E8F1"/>
          </w:tcPr>
          <w:p>
            <w:pPr>
              <w:jc w:val="right"/>
              <w:ind w:right="70"/>
              <w:spacing w:after="0"/>
              <w:rPr>
                <w:sz w:val="20"/>
                <w:szCs w:val="20"/>
                <w:color w:val="auto"/>
              </w:rPr>
            </w:pPr>
            <w:r>
              <w:rPr>
                <w:rFonts w:ascii="Arial" w:cs="Arial" w:eastAsia="Arial" w:hAnsi="Arial"/>
                <w:sz w:val="14"/>
                <w:szCs w:val="14"/>
                <w:color w:val="auto"/>
              </w:rPr>
              <w:t>521.9</w:t>
            </w:r>
          </w:p>
        </w:tc>
        <w:tc>
          <w:tcPr>
            <w:tcW w:w="360" w:type="dxa"/>
            <w:vAlign w:val="bottom"/>
            <w:shd w:val="clear" w:color="auto" w:fill="E2E8F1"/>
          </w:tcPr>
          <w:p>
            <w:pPr>
              <w:spacing w:after="0"/>
              <w:rPr>
                <w:sz w:val="13"/>
                <w:szCs w:val="13"/>
                <w:color w:val="auto"/>
              </w:rPr>
            </w:pPr>
          </w:p>
        </w:tc>
        <w:tc>
          <w:tcPr>
            <w:tcW w:w="940" w:type="dxa"/>
            <w:vAlign w:val="bottom"/>
            <w:vMerge w:val="restart"/>
            <w:shd w:val="clear" w:color="auto" w:fill="E2E8F1"/>
          </w:tcPr>
          <w:p>
            <w:pPr>
              <w:jc w:val="right"/>
              <w:ind w:right="70"/>
              <w:spacing w:after="0"/>
              <w:rPr>
                <w:sz w:val="20"/>
                <w:szCs w:val="20"/>
                <w:color w:val="auto"/>
              </w:rPr>
            </w:pPr>
            <w:r>
              <w:rPr>
                <w:rFonts w:ascii="Arial" w:cs="Arial" w:eastAsia="Arial" w:hAnsi="Arial"/>
                <w:sz w:val="14"/>
                <w:szCs w:val="14"/>
                <w:color w:val="auto"/>
              </w:rPr>
              <w:t>116.4</w:t>
            </w:r>
          </w:p>
        </w:tc>
        <w:tc>
          <w:tcPr>
            <w:tcW w:w="280" w:type="dxa"/>
            <w:vAlign w:val="bottom"/>
            <w:shd w:val="clear" w:color="auto" w:fill="E2E8F1"/>
          </w:tcPr>
          <w:p>
            <w:pPr>
              <w:spacing w:after="0"/>
              <w:rPr>
                <w:sz w:val="13"/>
                <w:szCs w:val="13"/>
                <w:color w:val="auto"/>
              </w:rPr>
            </w:pPr>
          </w:p>
        </w:tc>
        <w:tc>
          <w:tcPr>
            <w:tcW w:w="1020" w:type="dxa"/>
            <w:vAlign w:val="bottom"/>
            <w:vMerge w:val="restart"/>
            <w:shd w:val="clear" w:color="auto" w:fill="E2E8F1"/>
          </w:tcPr>
          <w:p>
            <w:pPr>
              <w:jc w:val="right"/>
              <w:ind w:right="70"/>
              <w:spacing w:after="0"/>
              <w:rPr>
                <w:sz w:val="20"/>
                <w:szCs w:val="20"/>
                <w:color w:val="auto"/>
              </w:rPr>
            </w:pPr>
            <w:r>
              <w:rPr>
                <w:rFonts w:ascii="Arial" w:cs="Arial" w:eastAsia="Arial" w:hAnsi="Arial"/>
                <w:sz w:val="14"/>
                <w:szCs w:val="14"/>
                <w:color w:val="auto"/>
              </w:rPr>
              <w:t>181.8</w:t>
            </w:r>
          </w:p>
        </w:tc>
        <w:tc>
          <w:tcPr>
            <w:tcW w:w="300" w:type="dxa"/>
            <w:vAlign w:val="bottom"/>
            <w:shd w:val="clear" w:color="auto" w:fill="E2E8F1"/>
          </w:tcPr>
          <w:p>
            <w:pPr>
              <w:spacing w:after="0"/>
              <w:rPr>
                <w:sz w:val="13"/>
                <w:szCs w:val="13"/>
                <w:color w:val="auto"/>
              </w:rPr>
            </w:pPr>
          </w:p>
        </w:tc>
        <w:tc>
          <w:tcPr>
            <w:tcW w:w="1080" w:type="dxa"/>
            <w:vAlign w:val="bottom"/>
            <w:vMerge w:val="restart"/>
            <w:shd w:val="clear" w:color="auto" w:fill="E2E8F1"/>
          </w:tcPr>
          <w:p>
            <w:pPr>
              <w:jc w:val="right"/>
              <w:ind w:right="70"/>
              <w:spacing w:after="0"/>
              <w:rPr>
                <w:sz w:val="20"/>
                <w:szCs w:val="20"/>
                <w:color w:val="auto"/>
              </w:rPr>
            </w:pPr>
            <w:r>
              <w:rPr>
                <w:rFonts w:ascii="Arial" w:cs="Arial" w:eastAsia="Arial" w:hAnsi="Arial"/>
                <w:sz w:val="14"/>
                <w:szCs w:val="14"/>
                <w:color w:val="auto"/>
              </w:rPr>
              <w:t>137.5</w:t>
            </w:r>
          </w:p>
        </w:tc>
        <w:tc>
          <w:tcPr>
            <w:tcW w:w="300" w:type="dxa"/>
            <w:vAlign w:val="bottom"/>
            <w:shd w:val="clear" w:color="auto" w:fill="E2E8F1"/>
          </w:tcPr>
          <w:p>
            <w:pPr>
              <w:spacing w:after="0"/>
              <w:rPr>
                <w:sz w:val="13"/>
                <w:szCs w:val="13"/>
                <w:color w:val="auto"/>
              </w:rPr>
            </w:pPr>
          </w:p>
        </w:tc>
        <w:tc>
          <w:tcPr>
            <w:tcW w:w="1080" w:type="dxa"/>
            <w:vAlign w:val="bottom"/>
            <w:vMerge w:val="restart"/>
            <w:shd w:val="clear" w:color="auto" w:fill="E2E8F1"/>
          </w:tcPr>
          <w:p>
            <w:pPr>
              <w:jc w:val="right"/>
              <w:ind w:right="70"/>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104"/>
        </w:trPr>
        <w:tc>
          <w:tcPr>
            <w:tcW w:w="4580" w:type="dxa"/>
            <w:vAlign w:val="bottom"/>
            <w:vMerge w:val="restart"/>
            <w:shd w:val="clear" w:color="auto" w:fill="E2E8F1"/>
          </w:tcPr>
          <w:p>
            <w:pPr>
              <w:ind w:left="200"/>
              <w:spacing w:after="0"/>
              <w:rPr>
                <w:sz w:val="20"/>
                <w:szCs w:val="20"/>
                <w:color w:val="auto"/>
              </w:rPr>
            </w:pPr>
            <w:r>
              <w:rPr>
                <w:rFonts w:ascii="Arial" w:cs="Arial" w:eastAsia="Arial" w:hAnsi="Arial"/>
                <w:sz w:val="14"/>
                <w:szCs w:val="14"/>
                <w:color w:val="auto"/>
              </w:rPr>
              <w:t>financial shared services</w:t>
            </w:r>
          </w:p>
        </w:tc>
        <w:tc>
          <w:tcPr>
            <w:tcW w:w="360" w:type="dxa"/>
            <w:vAlign w:val="bottom"/>
            <w:shd w:val="clear" w:color="auto" w:fill="E2E8F1"/>
          </w:tcPr>
          <w:p>
            <w:pPr>
              <w:spacing w:after="0"/>
              <w:rPr>
                <w:sz w:val="9"/>
                <w:szCs w:val="9"/>
                <w:color w:val="auto"/>
              </w:rPr>
            </w:pPr>
          </w:p>
        </w:tc>
        <w:tc>
          <w:tcPr>
            <w:tcW w:w="960" w:type="dxa"/>
            <w:vAlign w:val="bottom"/>
            <w:vMerge w:val="continue"/>
            <w:shd w:val="clear" w:color="auto" w:fill="E2E8F1"/>
          </w:tcPr>
          <w:p>
            <w:pPr>
              <w:spacing w:after="0"/>
              <w:rPr>
                <w:sz w:val="9"/>
                <w:szCs w:val="9"/>
                <w:color w:val="auto"/>
              </w:rPr>
            </w:pPr>
          </w:p>
        </w:tc>
        <w:tc>
          <w:tcPr>
            <w:tcW w:w="360" w:type="dxa"/>
            <w:vAlign w:val="bottom"/>
            <w:shd w:val="clear" w:color="auto" w:fill="E2E8F1"/>
          </w:tcPr>
          <w:p>
            <w:pPr>
              <w:spacing w:after="0"/>
              <w:rPr>
                <w:sz w:val="9"/>
                <w:szCs w:val="9"/>
                <w:color w:val="auto"/>
              </w:rPr>
            </w:pPr>
          </w:p>
        </w:tc>
        <w:tc>
          <w:tcPr>
            <w:tcW w:w="940" w:type="dxa"/>
            <w:vAlign w:val="bottom"/>
            <w:vMerge w:val="continue"/>
            <w:shd w:val="clear" w:color="auto" w:fill="E2E8F1"/>
          </w:tcPr>
          <w:p>
            <w:pPr>
              <w:spacing w:after="0"/>
              <w:rPr>
                <w:sz w:val="9"/>
                <w:szCs w:val="9"/>
                <w:color w:val="auto"/>
              </w:rPr>
            </w:pPr>
          </w:p>
        </w:tc>
        <w:tc>
          <w:tcPr>
            <w:tcW w:w="280" w:type="dxa"/>
            <w:vAlign w:val="bottom"/>
            <w:shd w:val="clear" w:color="auto" w:fill="E2E8F1"/>
          </w:tcPr>
          <w:p>
            <w:pPr>
              <w:spacing w:after="0"/>
              <w:rPr>
                <w:sz w:val="9"/>
                <w:szCs w:val="9"/>
                <w:color w:val="auto"/>
              </w:rPr>
            </w:pPr>
          </w:p>
        </w:tc>
        <w:tc>
          <w:tcPr>
            <w:tcW w:w="1020" w:type="dxa"/>
            <w:vAlign w:val="bottom"/>
            <w:vMerge w:val="continue"/>
            <w:shd w:val="clear" w:color="auto" w:fill="E2E8F1"/>
          </w:tcPr>
          <w:p>
            <w:pPr>
              <w:spacing w:after="0"/>
              <w:rPr>
                <w:sz w:val="9"/>
                <w:szCs w:val="9"/>
                <w:color w:val="auto"/>
              </w:rPr>
            </w:pPr>
          </w:p>
        </w:tc>
        <w:tc>
          <w:tcPr>
            <w:tcW w:w="300" w:type="dxa"/>
            <w:vAlign w:val="bottom"/>
            <w:shd w:val="clear" w:color="auto" w:fill="E2E8F1"/>
          </w:tcPr>
          <w:p>
            <w:pPr>
              <w:spacing w:after="0"/>
              <w:rPr>
                <w:sz w:val="9"/>
                <w:szCs w:val="9"/>
                <w:color w:val="auto"/>
              </w:rPr>
            </w:pPr>
          </w:p>
        </w:tc>
        <w:tc>
          <w:tcPr>
            <w:tcW w:w="1080" w:type="dxa"/>
            <w:vAlign w:val="bottom"/>
            <w:vMerge w:val="continue"/>
            <w:shd w:val="clear" w:color="auto" w:fill="E2E8F1"/>
          </w:tcPr>
          <w:p>
            <w:pPr>
              <w:spacing w:after="0"/>
              <w:rPr>
                <w:sz w:val="9"/>
                <w:szCs w:val="9"/>
                <w:color w:val="auto"/>
              </w:rPr>
            </w:pPr>
          </w:p>
        </w:tc>
        <w:tc>
          <w:tcPr>
            <w:tcW w:w="300" w:type="dxa"/>
            <w:vAlign w:val="bottom"/>
            <w:shd w:val="clear" w:color="auto" w:fill="E2E8F1"/>
          </w:tcPr>
          <w:p>
            <w:pPr>
              <w:spacing w:after="0"/>
              <w:rPr>
                <w:sz w:val="9"/>
                <w:szCs w:val="9"/>
                <w:color w:val="auto"/>
              </w:rPr>
            </w:pPr>
          </w:p>
        </w:tc>
        <w:tc>
          <w:tcPr>
            <w:tcW w:w="1080" w:type="dxa"/>
            <w:vAlign w:val="bottom"/>
            <w:vMerge w:val="continue"/>
            <w:shd w:val="clear" w:color="auto" w:fill="E2E8F1"/>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580" w:type="dxa"/>
            <w:vAlign w:val="bottom"/>
            <w:vMerge w:val="continue"/>
            <w:shd w:val="clear" w:color="auto" w:fill="E2E8F1"/>
          </w:tcPr>
          <w:p>
            <w:pPr>
              <w:spacing w:after="0"/>
              <w:rPr>
                <w:sz w:val="7"/>
                <w:szCs w:val="7"/>
                <w:color w:val="auto"/>
              </w:rPr>
            </w:pPr>
          </w:p>
        </w:tc>
        <w:tc>
          <w:tcPr>
            <w:tcW w:w="360" w:type="dxa"/>
            <w:vAlign w:val="bottom"/>
            <w:shd w:val="clear" w:color="auto" w:fill="E2E8F1"/>
          </w:tcPr>
          <w:p>
            <w:pPr>
              <w:spacing w:after="0"/>
              <w:rPr>
                <w:sz w:val="7"/>
                <w:szCs w:val="7"/>
                <w:color w:val="auto"/>
              </w:rPr>
            </w:pPr>
          </w:p>
        </w:tc>
        <w:tc>
          <w:tcPr>
            <w:tcW w:w="960" w:type="dxa"/>
            <w:vAlign w:val="bottom"/>
            <w:shd w:val="clear" w:color="auto" w:fill="E2E8F1"/>
          </w:tcPr>
          <w:p>
            <w:pPr>
              <w:spacing w:after="0"/>
              <w:rPr>
                <w:sz w:val="7"/>
                <w:szCs w:val="7"/>
                <w:color w:val="auto"/>
              </w:rPr>
            </w:pPr>
          </w:p>
        </w:tc>
        <w:tc>
          <w:tcPr>
            <w:tcW w:w="360" w:type="dxa"/>
            <w:vAlign w:val="bottom"/>
            <w:shd w:val="clear" w:color="auto" w:fill="E2E8F1"/>
          </w:tcPr>
          <w:p>
            <w:pPr>
              <w:spacing w:after="0"/>
              <w:rPr>
                <w:sz w:val="7"/>
                <w:szCs w:val="7"/>
                <w:color w:val="auto"/>
              </w:rPr>
            </w:pPr>
          </w:p>
        </w:tc>
        <w:tc>
          <w:tcPr>
            <w:tcW w:w="940" w:type="dxa"/>
            <w:vAlign w:val="bottom"/>
            <w:shd w:val="clear" w:color="auto" w:fill="E2E8F1"/>
          </w:tcPr>
          <w:p>
            <w:pPr>
              <w:spacing w:after="0"/>
              <w:rPr>
                <w:sz w:val="7"/>
                <w:szCs w:val="7"/>
                <w:color w:val="auto"/>
              </w:rPr>
            </w:pPr>
          </w:p>
        </w:tc>
        <w:tc>
          <w:tcPr>
            <w:tcW w:w="280" w:type="dxa"/>
            <w:vAlign w:val="bottom"/>
            <w:shd w:val="clear" w:color="auto" w:fill="E2E8F1"/>
          </w:tcPr>
          <w:p>
            <w:pPr>
              <w:spacing w:after="0"/>
              <w:rPr>
                <w:sz w:val="7"/>
                <w:szCs w:val="7"/>
                <w:color w:val="auto"/>
              </w:rPr>
            </w:pPr>
          </w:p>
        </w:tc>
        <w:tc>
          <w:tcPr>
            <w:tcW w:w="1020" w:type="dxa"/>
            <w:vAlign w:val="bottom"/>
            <w:shd w:val="clear" w:color="auto" w:fill="E2E8F1"/>
          </w:tcPr>
          <w:p>
            <w:pPr>
              <w:spacing w:after="0"/>
              <w:rPr>
                <w:sz w:val="7"/>
                <w:szCs w:val="7"/>
                <w:color w:val="auto"/>
              </w:rPr>
            </w:pPr>
          </w:p>
        </w:tc>
        <w:tc>
          <w:tcPr>
            <w:tcW w:w="300" w:type="dxa"/>
            <w:vAlign w:val="bottom"/>
            <w:shd w:val="clear" w:color="auto" w:fill="E2E8F1"/>
          </w:tcPr>
          <w:p>
            <w:pPr>
              <w:spacing w:after="0"/>
              <w:rPr>
                <w:sz w:val="7"/>
                <w:szCs w:val="7"/>
                <w:color w:val="auto"/>
              </w:rPr>
            </w:pPr>
          </w:p>
        </w:tc>
        <w:tc>
          <w:tcPr>
            <w:tcW w:w="1080" w:type="dxa"/>
            <w:vAlign w:val="bottom"/>
            <w:shd w:val="clear" w:color="auto" w:fill="E2E8F1"/>
          </w:tcPr>
          <w:p>
            <w:pPr>
              <w:spacing w:after="0"/>
              <w:rPr>
                <w:sz w:val="7"/>
                <w:szCs w:val="7"/>
                <w:color w:val="auto"/>
              </w:rPr>
            </w:pPr>
          </w:p>
        </w:tc>
        <w:tc>
          <w:tcPr>
            <w:tcW w:w="300" w:type="dxa"/>
            <w:vAlign w:val="bottom"/>
            <w:shd w:val="clear" w:color="auto" w:fill="E2E8F1"/>
          </w:tcPr>
          <w:p>
            <w:pPr>
              <w:spacing w:after="0"/>
              <w:rPr>
                <w:sz w:val="7"/>
                <w:szCs w:val="7"/>
                <w:color w:val="auto"/>
              </w:rPr>
            </w:pPr>
          </w:p>
        </w:tc>
        <w:tc>
          <w:tcPr>
            <w:tcW w:w="1080" w:type="dxa"/>
            <w:vAlign w:val="bottom"/>
            <w:shd w:val="clear" w:color="auto" w:fill="E2E8F1"/>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580" w:type="dxa"/>
            <w:vAlign w:val="bottom"/>
          </w:tcPr>
          <w:p>
            <w:pPr>
              <w:ind w:left="80"/>
              <w:spacing w:after="0"/>
              <w:rPr>
                <w:sz w:val="20"/>
                <w:szCs w:val="20"/>
                <w:color w:val="auto"/>
              </w:rPr>
            </w:pPr>
            <w:r>
              <w:rPr>
                <w:rFonts w:ascii="Arial" w:cs="Arial" w:eastAsia="Arial" w:hAnsi="Arial"/>
                <w:sz w:val="14"/>
                <w:szCs w:val="14"/>
                <w:color w:val="auto"/>
              </w:rPr>
              <w:t>Operating leases</w:t>
            </w:r>
          </w:p>
        </w:tc>
        <w:tc>
          <w:tcPr>
            <w:tcW w:w="360" w:type="dxa"/>
            <w:vAlign w:val="bottom"/>
          </w:tcPr>
          <w:p>
            <w:pPr>
              <w:spacing w:after="0"/>
              <w:rPr>
                <w:sz w:val="16"/>
                <w:szCs w:val="16"/>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420.4</w:t>
            </w:r>
          </w:p>
        </w:tc>
        <w:tc>
          <w:tcPr>
            <w:tcW w:w="36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111.5</w:t>
            </w:r>
          </w:p>
        </w:tc>
        <w:tc>
          <w:tcPr>
            <w:tcW w:w="28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155.0</w:t>
            </w:r>
          </w:p>
        </w:tc>
        <w:tc>
          <w:tcPr>
            <w:tcW w:w="3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88.3</w:t>
            </w:r>
          </w:p>
        </w:tc>
        <w:tc>
          <w:tcPr>
            <w:tcW w:w="3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91"/>
        </w:trPr>
        <w:tc>
          <w:tcPr>
            <w:tcW w:w="4580" w:type="dxa"/>
            <w:vAlign w:val="bottom"/>
            <w:shd w:val="clear" w:color="auto" w:fill="E2E8F1"/>
          </w:tcPr>
          <w:p>
            <w:pPr>
              <w:ind w:left="80"/>
              <w:spacing w:after="0"/>
              <w:rPr>
                <w:sz w:val="20"/>
                <w:szCs w:val="20"/>
                <w:color w:val="auto"/>
              </w:rPr>
            </w:pPr>
            <w:r>
              <w:rPr>
                <w:rFonts w:ascii="Arial" w:cs="Arial" w:eastAsia="Arial" w:hAnsi="Arial"/>
                <w:sz w:val="14"/>
                <w:szCs w:val="14"/>
                <w:color w:val="auto"/>
              </w:rPr>
              <w:t>Pension funding commitments</w:t>
            </w:r>
          </w:p>
        </w:tc>
        <w:tc>
          <w:tcPr>
            <w:tcW w:w="360" w:type="dxa"/>
            <w:vAlign w:val="bottom"/>
            <w:shd w:val="clear" w:color="auto" w:fill="E2E8F1"/>
          </w:tcPr>
          <w:p>
            <w:pPr>
              <w:spacing w:after="0"/>
              <w:rPr>
                <w:sz w:val="16"/>
                <w:szCs w:val="16"/>
                <w:color w:val="auto"/>
              </w:rPr>
            </w:pPr>
          </w:p>
        </w:tc>
        <w:tc>
          <w:tcPr>
            <w:tcW w:w="9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73.7</w:t>
            </w:r>
          </w:p>
        </w:tc>
        <w:tc>
          <w:tcPr>
            <w:tcW w:w="360" w:type="dxa"/>
            <w:vAlign w:val="bottom"/>
            <w:shd w:val="clear" w:color="auto" w:fill="E2E8F1"/>
          </w:tcPr>
          <w:p>
            <w:pPr>
              <w:spacing w:after="0"/>
              <w:rPr>
                <w:sz w:val="16"/>
                <w:szCs w:val="16"/>
                <w:color w:val="auto"/>
              </w:rPr>
            </w:pPr>
          </w:p>
        </w:tc>
        <w:tc>
          <w:tcPr>
            <w:tcW w:w="9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8.0</w:t>
            </w:r>
          </w:p>
        </w:tc>
        <w:tc>
          <w:tcPr>
            <w:tcW w:w="280" w:type="dxa"/>
            <w:vAlign w:val="bottom"/>
            <w:shd w:val="clear" w:color="auto" w:fill="E2E8F1"/>
          </w:tcPr>
          <w:p>
            <w:pPr>
              <w:spacing w:after="0"/>
              <w:rPr>
                <w:sz w:val="16"/>
                <w:szCs w:val="16"/>
                <w:color w:val="auto"/>
              </w:rPr>
            </w:pPr>
          </w:p>
        </w:tc>
        <w:tc>
          <w:tcPr>
            <w:tcW w:w="102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7.7</w:t>
            </w:r>
          </w:p>
        </w:tc>
        <w:tc>
          <w:tcPr>
            <w:tcW w:w="300" w:type="dxa"/>
            <w:vAlign w:val="bottom"/>
            <w:shd w:val="clear" w:color="auto" w:fill="E2E8F1"/>
          </w:tcPr>
          <w:p>
            <w:pPr>
              <w:spacing w:after="0"/>
              <w:rPr>
                <w:sz w:val="16"/>
                <w:szCs w:val="16"/>
                <w:color w:val="auto"/>
              </w:rPr>
            </w:pPr>
          </w:p>
        </w:tc>
        <w:tc>
          <w:tcPr>
            <w:tcW w:w="108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9.0</w:t>
            </w:r>
          </w:p>
        </w:tc>
        <w:tc>
          <w:tcPr>
            <w:tcW w:w="300" w:type="dxa"/>
            <w:vAlign w:val="bottom"/>
            <w:shd w:val="clear" w:color="auto" w:fill="E2E8F1"/>
          </w:tcPr>
          <w:p>
            <w:pPr>
              <w:spacing w:after="0"/>
              <w:rPr>
                <w:sz w:val="16"/>
                <w:szCs w:val="16"/>
                <w:color w:val="auto"/>
              </w:rPr>
            </w:pPr>
          </w:p>
        </w:tc>
        <w:tc>
          <w:tcPr>
            <w:tcW w:w="108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88"/>
        </w:trPr>
        <w:tc>
          <w:tcPr>
            <w:tcW w:w="4580" w:type="dxa"/>
            <w:vAlign w:val="bottom"/>
          </w:tcPr>
          <w:p>
            <w:pPr>
              <w:ind w:left="80"/>
              <w:spacing w:after="0"/>
              <w:rPr>
                <w:sz w:val="20"/>
                <w:szCs w:val="20"/>
                <w:color w:val="auto"/>
              </w:rPr>
            </w:pPr>
            <w:r>
              <w:rPr>
                <w:rFonts w:ascii="Arial" w:cs="Arial" w:eastAsia="Arial" w:hAnsi="Arial"/>
                <w:sz w:val="14"/>
                <w:szCs w:val="14"/>
                <w:color w:val="auto"/>
              </w:rPr>
              <w:t>Restructuring costs</w:t>
            </w:r>
          </w:p>
        </w:tc>
        <w:tc>
          <w:tcPr>
            <w:tcW w:w="360" w:type="dxa"/>
            <w:vAlign w:val="bottom"/>
          </w:tcPr>
          <w:p>
            <w:pPr>
              <w:spacing w:after="0"/>
              <w:rPr>
                <w:sz w:val="16"/>
                <w:szCs w:val="16"/>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46.5</w:t>
            </w:r>
          </w:p>
        </w:tc>
        <w:tc>
          <w:tcPr>
            <w:tcW w:w="36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44.1</w:t>
            </w:r>
          </w:p>
        </w:tc>
        <w:tc>
          <w:tcPr>
            <w:tcW w:w="28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4580" w:type="dxa"/>
            <w:vAlign w:val="bottom"/>
            <w:shd w:val="clear" w:color="auto" w:fill="E2E8F1"/>
          </w:tcPr>
          <w:p>
            <w:pPr>
              <w:ind w:left="80"/>
              <w:spacing w:after="0"/>
              <w:rPr>
                <w:sz w:val="20"/>
                <w:szCs w:val="20"/>
                <w:color w:val="auto"/>
              </w:rPr>
            </w:pPr>
            <w:r>
              <w:rPr>
                <w:rFonts w:ascii="Arial" w:cs="Arial" w:eastAsia="Arial" w:hAnsi="Arial"/>
                <w:sz w:val="14"/>
                <w:szCs w:val="14"/>
                <w:color w:val="auto"/>
              </w:rPr>
              <w:t>Transition tax resulting from the Tax Act</w:t>
            </w:r>
          </w:p>
        </w:tc>
        <w:tc>
          <w:tcPr>
            <w:tcW w:w="360" w:type="dxa"/>
            <w:vAlign w:val="bottom"/>
            <w:shd w:val="clear" w:color="auto" w:fill="E2E8F1"/>
          </w:tcPr>
          <w:p>
            <w:pPr>
              <w:spacing w:after="0"/>
              <w:rPr>
                <w:sz w:val="16"/>
                <w:szCs w:val="16"/>
                <w:color w:val="auto"/>
              </w:rPr>
            </w:pPr>
          </w:p>
        </w:tc>
        <w:tc>
          <w:tcPr>
            <w:tcW w:w="9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37.2</w:t>
            </w:r>
          </w:p>
        </w:tc>
        <w:tc>
          <w:tcPr>
            <w:tcW w:w="360" w:type="dxa"/>
            <w:vAlign w:val="bottom"/>
            <w:shd w:val="clear" w:color="auto" w:fill="E2E8F1"/>
          </w:tcPr>
          <w:p>
            <w:pPr>
              <w:spacing w:after="0"/>
              <w:rPr>
                <w:sz w:val="16"/>
                <w:szCs w:val="16"/>
                <w:color w:val="auto"/>
              </w:rPr>
            </w:pPr>
          </w:p>
        </w:tc>
        <w:tc>
          <w:tcPr>
            <w:tcW w:w="9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37.2</w:t>
            </w:r>
          </w:p>
        </w:tc>
        <w:tc>
          <w:tcPr>
            <w:tcW w:w="280" w:type="dxa"/>
            <w:vAlign w:val="bottom"/>
            <w:shd w:val="clear" w:color="auto" w:fill="E2E8F1"/>
          </w:tcPr>
          <w:p>
            <w:pPr>
              <w:spacing w:after="0"/>
              <w:rPr>
                <w:sz w:val="16"/>
                <w:szCs w:val="16"/>
                <w:color w:val="auto"/>
              </w:rPr>
            </w:pPr>
          </w:p>
        </w:tc>
        <w:tc>
          <w:tcPr>
            <w:tcW w:w="102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w:t>
            </w:r>
          </w:p>
        </w:tc>
        <w:tc>
          <w:tcPr>
            <w:tcW w:w="300" w:type="dxa"/>
            <w:vAlign w:val="bottom"/>
            <w:shd w:val="clear" w:color="auto" w:fill="E2E8F1"/>
          </w:tcPr>
          <w:p>
            <w:pPr>
              <w:spacing w:after="0"/>
              <w:rPr>
                <w:sz w:val="16"/>
                <w:szCs w:val="16"/>
                <w:color w:val="auto"/>
              </w:rPr>
            </w:pPr>
          </w:p>
        </w:tc>
        <w:tc>
          <w:tcPr>
            <w:tcW w:w="108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w:t>
            </w:r>
          </w:p>
        </w:tc>
        <w:tc>
          <w:tcPr>
            <w:tcW w:w="300" w:type="dxa"/>
            <w:vAlign w:val="bottom"/>
            <w:shd w:val="clear" w:color="auto" w:fill="E2E8F1"/>
          </w:tcPr>
          <w:p>
            <w:pPr>
              <w:spacing w:after="0"/>
              <w:rPr>
                <w:sz w:val="16"/>
                <w:szCs w:val="16"/>
                <w:color w:val="auto"/>
              </w:rPr>
            </w:pPr>
          </w:p>
        </w:tc>
        <w:tc>
          <w:tcPr>
            <w:tcW w:w="108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4"/>
                <w:szCs w:val="14"/>
                <w:color w:val="auto"/>
              </w:rPr>
              <w:t>Other</w:t>
            </w:r>
            <w:r>
              <w:rPr>
                <w:rFonts w:ascii="Arial" w:cs="Arial" w:eastAsia="Arial" w:hAnsi="Arial"/>
                <w:sz w:val="19"/>
                <w:szCs w:val="19"/>
                <w:color w:val="auto"/>
                <w:vertAlign w:val="superscript"/>
              </w:rPr>
              <w:t>(a)</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130.4</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98.6</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31.7</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0.1</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auto"/>
            </w:tcBorders>
            <w:shd w:val="clear" w:color="auto" w:fill="E2E8F1"/>
          </w:tcPr>
          <w:p>
            <w:pPr>
              <w:spacing w:after="0"/>
              <w:rPr>
                <w:sz w:val="15"/>
                <w:szCs w:val="15"/>
                <w:color w:val="auto"/>
              </w:rPr>
            </w:pPr>
          </w:p>
        </w:tc>
        <w:tc>
          <w:tcPr>
            <w:tcW w:w="360" w:type="dxa"/>
            <w:vAlign w:val="bottom"/>
            <w:tcBorders>
              <w:bottom w:val="single" w:sz="8" w:color="auto"/>
            </w:tcBorders>
            <w:shd w:val="clear" w:color="auto" w:fill="E2E8F1"/>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2,268.2</w:t>
            </w:r>
          </w:p>
        </w:tc>
        <w:tc>
          <w:tcPr>
            <w:tcW w:w="360" w:type="dxa"/>
            <w:vAlign w:val="bottom"/>
            <w:tcBorders>
              <w:bottom w:val="single" w:sz="8" w:color="auto"/>
            </w:tcBorders>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462.8</w:t>
            </w:r>
          </w:p>
        </w:tc>
        <w:tc>
          <w:tcPr>
            <w:tcW w:w="280" w:type="dxa"/>
            <w:vAlign w:val="bottom"/>
            <w:tcBorders>
              <w:bottom w:val="single" w:sz="8" w:color="auto"/>
            </w:tcBorders>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1,355.1</w:t>
            </w:r>
          </w:p>
        </w:tc>
        <w:tc>
          <w:tcPr>
            <w:tcW w:w="300" w:type="dxa"/>
            <w:vAlign w:val="bottom"/>
            <w:tcBorders>
              <w:bottom w:val="single" w:sz="8" w:color="auto"/>
            </w:tcBorders>
            <w:shd w:val="clear" w:color="auto" w:fill="E2E8F1"/>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249.5</w:t>
            </w:r>
          </w:p>
        </w:tc>
        <w:tc>
          <w:tcPr>
            <w:tcW w:w="300" w:type="dxa"/>
            <w:vAlign w:val="bottom"/>
            <w:tcBorders>
              <w:bottom w:val="single" w:sz="8" w:color="auto"/>
            </w:tcBorders>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25" w:hanging="325"/>
        <w:spacing w:after="0"/>
        <w:tabs>
          <w:tab w:leader="none" w:pos="325" w:val="left"/>
        </w:tabs>
        <w:numPr>
          <w:ilvl w:val="0"/>
          <w:numId w:val="27"/>
        </w:numPr>
        <w:rPr>
          <w:rFonts w:ascii="Arial" w:cs="Arial" w:eastAsia="Arial" w:hAnsi="Arial"/>
          <w:sz w:val="17"/>
          <w:szCs w:val="17"/>
          <w:color w:val="231F20"/>
          <w:vertAlign w:val="superscript"/>
        </w:rPr>
      </w:pPr>
      <w:r>
        <w:rPr>
          <w:rFonts w:ascii="Arial" w:cs="Arial" w:eastAsia="Arial" w:hAnsi="Arial"/>
          <w:sz w:val="13"/>
          <w:szCs w:val="13"/>
          <w:color w:val="231F20"/>
        </w:rPr>
        <w:t>Includes local information technology contracts and other vendor commitments.</w:t>
      </w:r>
    </w:p>
    <w:p>
      <w:pPr>
        <w:spacing w:after="0" w:line="64"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231F20"/>
        </w:rPr>
        <w:t>Our liability for unrecognized tax benefits, including related interest and penalties, of $11.4 is excluded from the commitments above as we cannot determine the years in which these positions might ultimately be settled.</w:t>
      </w:r>
    </w:p>
    <w:p>
      <w:pPr>
        <w:spacing w:after="0" w:line="14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38" w:name="page39"/>
    <w:bookmarkEnd w:id="38"/>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We recorded net restructuring costs of $53.6, $149.2 and $3.6 in 2024, 2023 and 2022, respectively, in selling and administrative expenses, primarily related to severance, office closures and consolidations, and professional and other fees related to restructuring in multiple countries and territories. The costs paid out of our restructuring reserve were $93.7 in 2024.</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We have entered into guarantee contracts and stand-by letters of credit that total $571.0 as of December 31, 2024 ($524.2 for guarantees and $46.8 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$1.4 for 2024.</w:t>
      </w:r>
    </w:p>
    <w:p>
      <w:pPr>
        <w:spacing w:after="0" w:line="6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Total capitalization as of December 31, 2024 was $3,079.7, comprised of $952.8 in debt and $2,126.9 in equity. Debt as a percentage of total capitalization was 31%, 31% and 29% as of December 31, 2024, 2023 and 2022, respectively.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Acquisitions</w:t>
      </w:r>
    </w:p>
    <w:p>
      <w:pPr>
        <w:spacing w:after="0" w:line="8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 xml:space="preserve">From time to time, we acquire and invest in companies throughout the world, including franchises. The total cash consideration paid for acquisitions, net of cash acquired, for the years ended December 31, 2024, 2023, and 2022 was $7.7, $0.0 and $20.2, respectively. The 2024 payments </w:t>
      </w:r>
      <w:r>
        <w:rPr>
          <w:rFonts w:ascii="Arial" w:cs="Arial" w:eastAsia="Arial" w:hAnsi="Arial"/>
          <w:sz w:val="16"/>
          <w:szCs w:val="16"/>
          <w:color w:val="000000"/>
        </w:rPr>
        <w:t>represent a consideration</w:t>
      </w:r>
      <w:r>
        <w:rPr>
          <w:rFonts w:ascii="Arial" w:cs="Arial" w:eastAsia="Arial" w:hAnsi="Arial"/>
          <w:sz w:val="16"/>
          <w:szCs w:val="16"/>
          <w:color w:val="231F20"/>
        </w:rPr>
        <w:t xml:space="preserve"> </w:t>
      </w:r>
      <w:r>
        <w:rPr>
          <w:rFonts w:ascii="Arial" w:cs="Arial" w:eastAsia="Arial" w:hAnsi="Arial"/>
          <w:sz w:val="16"/>
          <w:szCs w:val="16"/>
          <w:color w:val="000000"/>
        </w:rPr>
        <w:t xml:space="preserve">payment for a franchise in the United States and contingent consideration payments related to a previous acquisition. </w:t>
      </w:r>
      <w:r>
        <w:rPr>
          <w:rFonts w:ascii="Arial" w:cs="Arial" w:eastAsia="Arial" w:hAnsi="Arial"/>
          <w:sz w:val="16"/>
          <w:szCs w:val="16"/>
          <w:color w:val="231F20"/>
        </w:rPr>
        <w:t>The 2022 payments primarily represent a</w:t>
      </w:r>
      <w:r>
        <w:rPr>
          <w:rFonts w:ascii="Arial" w:cs="Arial" w:eastAsia="Arial" w:hAnsi="Arial"/>
          <w:sz w:val="16"/>
          <w:szCs w:val="16"/>
          <w:color w:val="000000"/>
        </w:rPr>
        <w:t xml:space="preserve"> </w:t>
      </w:r>
      <w:r>
        <w:rPr>
          <w:rFonts w:ascii="Arial" w:cs="Arial" w:eastAsia="Arial" w:hAnsi="Arial"/>
          <w:sz w:val="16"/>
          <w:szCs w:val="16"/>
          <w:color w:val="231F20"/>
        </w:rPr>
        <w:t>consideration payment for the acquisition of Tingari, a talent solutions company in France. Also included in the 2022 payments are consideration payments for franchises in the United States and contingent consideration payments related to previous acquisitions, of which $3.8 had been recognized as a liability at the acquisition date.</w:t>
      </w:r>
    </w:p>
    <w:p>
      <w:pPr>
        <w:spacing w:after="0" w:line="6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As of December 31, 2024, goodwill and other intangible assets resulting from the 2024 acquisitions were $1.4 and $3.1, respectively. We did not make any acquisitions in 2023.</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Dispositions</w:t>
      </w:r>
    </w:p>
    <w:p>
      <w:pPr>
        <w:spacing w:after="0" w:line="88"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231F20"/>
        </w:rPr>
        <w:t>Occasionally, we dispose of parts of our operations based on risk considerations and to optimize our global strategic and geographic footprint, as well as improve our overall efficiency. On October 15, 2024, we disposed of our Austria business in our Southern Europe segment for cash proceeds of $0.1 and simultaneously entered into a franchising agreement. In connection with the disposition, we recognized a one-time net loss on disposition of $ 7.7, of which $4.9 was included in selling and administrative expenses and $2.8 was included in interest and other expenses in the Consolidated Statements of Operations in the year ended December 31, 2024.</w:t>
      </w:r>
    </w:p>
    <w:p>
      <w:pPr>
        <w:spacing w:after="0" w:line="66"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231F20"/>
        </w:rPr>
        <w:t>On November 1, 2024, we disposed of our South Korea business in our APME segment for cash proceeds of $20.6 and simultaneously entered into a franchising agreement under which the new ownership will operate Manpower Korea under the Manpower brand. In connection with the disposition, we recognized a one-time net loss on disposition of $0.4, consisting of a $3.3 gain in selling and administrative expenses and a $3.7 loss in interest and other expenses in the Consolidated Statements of Operations in the year ended December 31, 2024. The franchise arrangement represents a significant component of the transaction. Our South Korea business contributed $349.9 and $324.2 of revenues for the year ended December 31, 2023 and 2022, respectively.</w:t>
      </w:r>
    </w:p>
    <w:p>
      <w:pPr>
        <w:spacing w:after="0" w:line="66"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On September 29, 2023, we disposed of our Philippines business in our APME segment for total consideration of $6.5. In connection with the disposition, we recognized a one-time net loss on disposition of $1.3, which was included in interest and other expenses in the Consolidated Statements of Operations in the year ended December 31, 2023.</w:t>
      </w:r>
    </w:p>
    <w:p>
      <w:pPr>
        <w:spacing w:after="0" w:line="61"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231F20"/>
        </w:rPr>
        <w:t>On January 17, 2022, we disposed of our Russia business in our Northern Europe segment for cash proceeds of $3.2. In connection with the disposition, we recognized a one-time net loss on disposition of $8.0, of which $9.7 was included in selling and administrative expenses and a gain of $1.7 was included in interest and other expenses in the Consolidated Statements of Operations in the year ended December 31, 2022. On September 30, 2022, our Belgium business disposed of its Service Voucher Division and recognized a one-time gain of $4.1, which was included in selling and administrative expenses in the Consolidated Statements of Operations in the year ended December 31, 2022. On December 15, 2022, we disposed of our Hungary business in our Southern Europe segment and recognized a one-time loss of $2.1, of which $0.9 was included in selling and administrative expenses and $1.2 was included in interest and other expenses in the Consolidated Statements of Operations in the year ended December 31, 2022.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39" w:name="page40"/>
    <w:bookmarkEnd w:id="39"/>
    <w:p>
      <w:pPr>
        <w:ind w:left="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Euro Notes</w:t>
      </w:r>
    </w:p>
    <w:p>
      <w:pPr>
        <w:spacing w:after="0" w:line="88"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231F20"/>
        </w:rPr>
        <w:t>On June 30, 2022, we offered and sold € 400.0 aggregate principal amount of the Company’s 3.50% notes due June 30, 2027 (the “€400.0 notes”). The proceeds from the € 400.0 notes were used in July 2022 to repay our €400.0 1.875% notes due September 11, 2022. The €400.0 notes were issued at a price of 99.465% to yield an effective interest rate of 3.514%, net of a favorable impact of a forward starting interest rate swap. Interest on the €400.0 notes is payable in arrears on June 30 of each year. The Notes are unsecured senior obligations and rank equally with all of the Company’s existing and future senior unsecured debt and other liabilities.</w:t>
      </w:r>
    </w:p>
    <w:p>
      <w:pPr>
        <w:spacing w:after="0" w:line="65"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231F20"/>
        </w:rPr>
        <w:t>On June 22, 2018, we offered and sold € 500.0 aggregate principal amount of the Company’s 1.750% notes due June 2026 (the “€500.0 notes”). The net proceeds from the €500.0 notes of €495.7 were used to repay our €350.0 notes due June 22, 2018, with the remaining balance used for general corporate purposes, which included share repurchases. The €500.0 notes were issued at a price of 99.564% to yield an effective interest rate of 1.809%. Interest on the €500.0 notes is payable in arrears on June 22 of each year. The €500.0 notes are unsecured senior obligations and rank equally with all of the Company’s existing and future senior unsecured debt and other liabilities.</w:t>
      </w:r>
    </w:p>
    <w:p>
      <w:pPr>
        <w:spacing w:after="0" w:line="6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Both the €500.0 notes and €400.0 notes contain certain customary non-financial restrictive covenants and events of default and are unsecured senior obligations and rank equally with all of our existing and future senior unsecured debt and other liabilities. These notes have been designated as a hedge of our net investment in subsidiaries with a Euro-functional currency as of December 31, 2024. Since our net investment in these subsidiaries exceeds the respective amount of the designated borrowings, the related translation gains or losses are included as a component of accumulated other comprehensive loss. (See the Significant Matters Affecting Results of Operations section and Notes 8 and 12 to the Consolidated Financial Statements found in Item 8. "Financial Statements and Supplementary Data" for further information.)</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Revolving Credit Agreement</w:t>
      </w:r>
    </w:p>
    <w:p>
      <w:pPr>
        <w:spacing w:after="0" w:line="8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On May 27, 2022, we entered into a new Credit Agreement (the “Credit Agreement”) with a syndicate of commercial banks with a termination date of May 27, 2027 to replace our previous $600.0 revolving credit facility. The Credit Agreement includes terms generally consistent with our previous 5-year credit facility, except the Credit Agreement uses the Secured Overnight Financing Rate (SOFR) as the base rate index instead of London Interbank Offered Rate (LIBOR). The Credit Agreement allows for borrowing of $600.0 in various currencies, and up to $150.0 may be used for the issuance of stand-by letters of credit. We had no borrowings under this facility as of December 31, 2024 and 2023. Outstanding letters of credit issued totaled $0.4, hence additional borrowings of $599.6 were available to us under the facility as of both December 31, 2024 and 2023.</w:t>
      </w:r>
    </w:p>
    <w:p>
      <w:pPr>
        <w:spacing w:after="0" w:line="6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Under the Credit Agreement, a credit ratings-based pricing grid determines the facility fee and the credit spread that we add to the applicable interbank borrowing rate on all borrowings. At our current credit rating, the annual facility fee is 10 basis points paid on the entire facility and the credit spread is 102.5 basis points on any borrowings. A downgrade from both credit agencies would unfavorably impact our interest and facility fees and result in additional costs ranging from approximately $0.2 to $0.5 annually.</w:t>
      </w:r>
    </w:p>
    <w:p>
      <w:pPr>
        <w:spacing w:after="0" w:line="6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judgements, change of control and customary ERISA defaults.</w:t>
      </w:r>
    </w:p>
    <w:p>
      <w:pPr>
        <w:spacing w:after="0" w:line="6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As defined in the Credit Agreement, we had a net Debt-to-EBITDA ratio of 1.97 to 1 (compared to the maximum allowable ratio of 3.5 to 1) and a Fixed Charge Coverage ratio of 3.27 to 1 (compared to the minimum required ratio of 1.5 to 1) as of December 31, 2024.</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Other</w:t>
      </w:r>
    </w:p>
    <w:p>
      <w:pPr>
        <w:spacing w:after="0" w:line="8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In addition to the previously mentioned facilities, we maintain separate bank credit lines with financial institutions to meet working capital needs of our subsidiary operations. As of December 31, 2024, such uncommitted credit lines totaled $290.5, of which $266.1 was unused. Under the Credit Agreement, total subsidiary borrowings cannot exceed $300.0 in the first, second and fourth quarters, and $600.0 in the third quarter of each year. Additional borrowings of $266.1 could have been made under these lines as of December 31, 2024.</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40" w:name="page41"/>
    <w:bookmarkEnd w:id="40"/>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Our long-term debt has a rating of Baa1 with stable outlook from Moody's Investor Services and BBB from Standard and Poor's with negative outlook. Both of the credit ratings are investment grade. Rating agencies use proprietary methodology in determining their ratings and outlook which includes, among other things, financial ratios based upon debt levels and earnings performance.</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Assessment of the Liquidity Position</w:t>
      </w:r>
    </w:p>
    <w:p>
      <w:pPr>
        <w:spacing w:after="0" w:line="8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We have assessed our liquidity position as of December 31, 2024 and for the near future. As of December 31, 2024, our cash and cash equivalents balance was $509.4. We also have access to the previously mentioned revolving credit facility that could have immediately provided us with up to $600.0 of additional cash, less any outstanding borrowings and letters of credit, and we have an option to request an increase to the total availability under the revolving credit facility by an additional $300.0 and each lender may participate in the requested increase at their discretion. Furthermore, we have access to the previously mentioned credit lines of up to $300.0 ($600.0 in the third quarter) to meet the working capital needs of our subsidiaries, of which $266.1 was available to use, in addition to $ 150.0 of uncommitted credit facilities at our parent company, as of December 31, 2024. Our € 500.0 ($516.6) notes mature in June 2026, and our € 400.0 ($411.8) notes mature in June 2027. Based on the above, we believe we have sufficient liquidity and capital resources to satisfy future requirements and meet our obligations currently and in the near future.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5B89B4"/>
        </w:rPr>
        <w:t>Application of Critical Accounting Policies</w:t>
      </w:r>
    </w:p>
    <w:p>
      <w:pPr>
        <w:spacing w:after="0" w:line="88"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Defined Benefit Pension Plans</w:t>
      </w:r>
    </w:p>
    <w:p>
      <w:pPr>
        <w:spacing w:after="0" w:line="88"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We sponsor several qualified and nonqualified pension plans covering permanent employees. The most significant plans are located in Switzerland, the United Kingdom, the Netherlands, Germany and France. Annual expense relating to these plans was $18.0, $21.7 and $18.6 in 2024, 2023 and 2022, respectively. Pension expense is estimated to be approximately $15.0 in 2025.</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231F20"/>
        </w:rPr>
        <w:t>The calculations of annual pension expense and the pension liability required at year-end include various actuarial assumptions such as discount rates, expected rate of return on plan assets, compensation increases and employee turnover rates. We review the actuarial assumptions on an annual basis and make modifications to the assumptions as necessary. We review market data and historical rates, on a country-by-country basis, to check for reasonableness in setting both the discount rate and the expected return on plan assets. We determine the discount rate based on an index of high-quality corporate bond yields and matched-funding yield curve analysis as of the end of each fiscal year. The expected return on plan assets is determined based on the expected returns of the various investment asset classes held in the plans. We estimate compensation increases and employee turnover rates for each plan based on the historical rates and the expected future rates for each respective country. Changes to any of these assumptions will impact annual expense recorded related to the plans.</w:t>
      </w:r>
    </w:p>
    <w:p>
      <w:pPr>
        <w:spacing w:after="0" w:line="59"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231F20"/>
        </w:rPr>
        <w:t>In determining the estimated 2025 pension expense for non-United States plans, we used a weighted-average discount rate of 2.7% and weighted-average expected return on plan assets of 3.4%, both of which are unchanged from 2024. Absent any other changes, a 25 basis point increase in the weighted-average discount rate would increase our 2025 consolidated pension expense by $0.1, and a 25 basis point decrease in the weighted-average discount rate would increase our 2025 consolidated pension expense by $3.0. Absent any other changes, a 25 basis point increase or decrease in the weighted-average expected return on plan assets would decrease or increase our 2025 consolidated pension expense by $1.4. (See Note 9 to the Consolidated Financial Statements found in Item 8. "Financial Statements and Supplementary Data" for further information.)</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5B89B4"/>
        </w:rPr>
        <w:t>Income Taxes</w:t>
      </w:r>
    </w:p>
    <w:p>
      <w:pPr>
        <w:spacing w:after="0" w:line="8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based on cumulative probability, that is greater than 50% likely of being realized upon settlement is recognized. An uncertain tax position, one which does not exceed the 50% threshold, will not be recognized in the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41" w:name="page42"/>
    <w:bookmarkEnd w:id="41"/>
    <w:p>
      <w:pPr>
        <w:ind w:left="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5B89B4"/>
        </w:rPr>
        <w:t>Goodwill Impairment</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5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65"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We performed our annual impairment test of our goodwill and indefinite-lived intangible assets during the third quarter of 2024, and determined that there was no impairment of our goodwill or indefinite-lived intangible assets as a result of our annual test. The excess of fair value over carrying amount for our goodwill reporting units, which exceeded 15% or more of the respective carrying amounts, was sufficient to conclude that no impairment was indicated.</w:t>
      </w:r>
    </w:p>
    <w:p>
      <w:pPr>
        <w:spacing w:after="0" w:line="6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While the excess of fair value over carrying amount exceeded 15% for our reporting units, we did see a lower level of excess fair value year over year in many of our North America and Europe reporting units including three of these reporting units which approximate $1,243.0 of the consolidated goodwill balance. Given the current macroeconomic conditions in these regions, our assumptions on near-term expected future revenue growth rates and operating profit margins were lower than in the prior year assessment. Market conditions in North America and Europe continue to remain challenging given the economic uncertainty including the uncertainty surrounding the timing of an inflection point for improving market conditions. Management closely monitors the results of the reporting units and comparisons to the key assumptions used in our fair value estimate at the time of our annual impairment test, in addition to operational initiatives and macroeconomic conditions, which may impact the results of the reporting units.</w:t>
      </w:r>
    </w:p>
    <w:p>
      <w:pPr>
        <w:spacing w:after="0" w:line="70"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231F20"/>
        </w:rPr>
        <w:t>During the fourth quarter of 2024, in connection with the preparation of our annual financial statements, we assessed the changes in circumstances that occurred during the quarter to determine if it was more likely than not that the fair value of any reporting unit or indefinite-lived intangible assets were below its carrying amount. While we continued to see challenging market conditions in Europe which led to lower levels of revenue and OUP in certain of our reporting units than we had forecasted at the time of our impairment testing, we concluded based on our analysis performed, that the fair value of these reporting units continued to exceed the carrying value and did not identify a triggering event.</w:t>
      </w:r>
    </w:p>
    <w:p>
      <w:pPr>
        <w:spacing w:after="0" w:line="6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There could be significant further decreases in the operating results of our reporting units for a sustained period, which may result in a recognition of goodwill impairment that could be material to the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Item 7A.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5B89B4"/>
        </w:rPr>
        <w:t>Significant Matters Affecting Results of Operations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Market Risks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231F20"/>
        </w:rPr>
        <w:t>We are exposed to the impact of foreign currency exchange rate fluctuations and interest rate changes.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5B89B4"/>
        </w:rPr>
        <w:t>Exchange Rates</w:t>
      </w:r>
    </w:p>
    <w:p>
      <w:pPr>
        <w:spacing w:after="0" w:line="8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Our exposure to foreign currency exchange rates relates primarily to our foreign subsidiaries and our Euro-denominated borrowings. For our foreign subsidiaries, exchange rates impact the United States dollar value of our reported earnings, our investments in the subsidiaries and the intercompany transactions with the subsidiaries.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42" w:name="page43"/>
    <w:bookmarkEnd w:id="42"/>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Approximately 85% of our revenues are generated outside of the United States, with 48% generated from our European operations with a Euro-functional currency. As a result, fluctuations in the value of foreign currencies against the United States dollar, particularly the Euro, may have a significant impact on our reported results. Revenues and expenses denominated in foreign currencies are translated into United States dollars at the average exchange rates each month. Consequently, as the value of the United States dollar changes relative to the currencies of our major markets, our reported results vary.</w:t>
      </w:r>
    </w:p>
    <w:p>
      <w:pPr>
        <w:spacing w:after="0" w:line="6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The United States dollar strengthened in 2024 on average, where as it was generally stable relative to the currencies of our major markets during 2023. Revenues from services in constant currency were 2.2% higher than reported revenues in 2024. In 2023, revenues from services in constant currency were 0.6% higher than reported revenues. A change in the strength of the United States dollar by an additional 10% would have impacted our revenues from services by approximately 8.5% and 8.4% from the amounts reported in 2024 and 2023, respectively.</w:t>
      </w:r>
    </w:p>
    <w:p>
      <w:pPr>
        <w:spacing w:after="0" w:line="6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Fluctuations in currency exchange rates also impact the United States dollar amount of our shareholders’ equity. The assets and liabilities of our non-United States subsidiaries are translated into United States dollars at the exchange rates in effect at year-end. The resulting translation adjustments are recorded in shareholders’ equity as a component of accumulated other comprehensive loss. The United States dollar strengthened relative to many foreign currencies as of December 31, 2024 compared to December 31, 2023. Consequently, shareholders’ equity decreased by $4.0 as a result of the foreign currency translation as of December 31, 2024. If the United States dollar had strengthened an additional 10% as of December 31, 2024, resulting translation adjustments recorded in shareholders’ equity would have decreased by approximately $6.0 from the amounts reported.</w:t>
      </w:r>
    </w:p>
    <w:p>
      <w:pPr>
        <w:spacing w:after="0" w:line="6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The United States dollar weakened relative to many foreign currencies as of December 31, 2023 compared to December 31, 2022. Consequently, shareholders’ equity increased by $17.1 as a result of the foreign currency translation as of December 31, 2023. If the United States dollar had weakened an additional 10% as of December 31, 2023, resulting translation adjustments recorded in shareholders’ equity would have increased by approximately $60.0 from the amounts reported.</w:t>
      </w:r>
    </w:p>
    <w:p>
      <w:pPr>
        <w:spacing w:after="0" w:line="65"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231F20"/>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United States for payment of intercompany franchise fees and interest expense on intercompany loans, working capital loans made between the United States and our foreign subsidiaries, dividends from our foreign subsidiaries, and payments between certain countries and territories for services provided. To reduce the currency risk related to these transactions, we may borrow funds in the relevant foreign currency under our revolving credit agreement or we may enter into a forward contract to hedge the transfer.</w:t>
      </w:r>
    </w:p>
    <w:p>
      <w:pPr>
        <w:spacing w:after="0" w:line="7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As of December 31, 2024, we had outstanding $928.4 in principal amount of Euro-denominated notes (€ 900.0). These notes have been designated as a hedge of our net investment in subsidiaries with a Euro-functional currency as of December 31, 2024. Since our net investment in these subsidiaries exceeds the respective amount of the designated borrowings, both net of tax, the related translation gains or losses are included as a component of accumulated other comprehensive loss. Shareholders’ equity decreased by $61.5, net of tax, due to changes in accumulated other comprehensive loss during 2024, due to the currency impact on these designated borrowings.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231F20"/>
        </w:rPr>
        <w:t>The hypothetical impact of the stated change in rates on 2024 total other comprehensive income (loss) for the Euro Notes and forward contracts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80" w:type="dxa"/>
            <w:vAlign w:val="bottom"/>
            <w:tcBorders>
              <w:top w:val="single" w:sz="8" w:color="231F20"/>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 xml:space="preserve">2024 </w:t>
            </w:r>
            <w:r>
              <w:rPr>
                <w:rFonts w:ascii="Arial" w:cs="Arial" w:eastAsia="Arial" w:hAnsi="Arial"/>
                <w:sz w:val="13"/>
                <w:szCs w:val="13"/>
                <w:b w:val="1"/>
                <w:bCs w:val="1"/>
                <w:i w:val="1"/>
                <w:iCs w:val="1"/>
                <w:color w:val="231F20"/>
              </w:rPr>
              <w:t>(in millions)</w:t>
            </w:r>
          </w:p>
        </w:tc>
        <w:tc>
          <w:tcPr>
            <w:tcW w:w="340" w:type="dxa"/>
            <w:vAlign w:val="bottom"/>
            <w:tcBorders>
              <w:top w:val="single" w:sz="8" w:color="231F20"/>
            </w:tcBorders>
            <w:shd w:val="clear" w:color="auto" w:fill="98B0CF"/>
          </w:tcPr>
          <w:p>
            <w:pPr>
              <w:spacing w:after="0"/>
              <w:rPr>
                <w:sz w:val="19"/>
                <w:szCs w:val="19"/>
                <w:color w:val="auto"/>
              </w:rPr>
            </w:pPr>
          </w:p>
        </w:tc>
        <w:tc>
          <w:tcPr>
            <w:tcW w:w="1360" w:type="dxa"/>
            <w:vAlign w:val="bottom"/>
            <w:tcBorders>
              <w:top w:val="single" w:sz="8" w:color="231F20"/>
            </w:tcBorders>
            <w:shd w:val="clear" w:color="auto" w:fill="98B0CF"/>
          </w:tcPr>
          <w:p>
            <w:pPr>
              <w:jc w:val="right"/>
              <w:ind w:right="152"/>
              <w:spacing w:after="0"/>
              <w:rPr>
                <w:sz w:val="20"/>
                <w:szCs w:val="20"/>
                <w:color w:val="auto"/>
              </w:rPr>
            </w:pPr>
            <w:r>
              <w:rPr>
                <w:rFonts w:ascii="Arial" w:cs="Arial" w:eastAsia="Arial" w:hAnsi="Arial"/>
                <w:sz w:val="13"/>
                <w:szCs w:val="13"/>
                <w:b w:val="1"/>
                <w:bCs w:val="1"/>
                <w:color w:val="231F20"/>
              </w:rPr>
              <w:t>10% Depreciation</w:t>
            </w:r>
          </w:p>
        </w:tc>
        <w:tc>
          <w:tcPr>
            <w:tcW w:w="380" w:type="dxa"/>
            <w:vAlign w:val="bottom"/>
            <w:tcBorders>
              <w:top w:val="single" w:sz="8" w:color="231F20"/>
            </w:tcBorders>
            <w:shd w:val="clear" w:color="auto" w:fill="98B0CF"/>
          </w:tcPr>
          <w:p>
            <w:pPr>
              <w:spacing w:after="0"/>
              <w:rPr>
                <w:sz w:val="19"/>
                <w:szCs w:val="19"/>
                <w:color w:val="auto"/>
              </w:rPr>
            </w:pPr>
          </w:p>
        </w:tc>
        <w:tc>
          <w:tcPr>
            <w:tcW w:w="1500" w:type="dxa"/>
            <w:vAlign w:val="bottom"/>
            <w:tcBorders>
              <w:top w:val="single" w:sz="8" w:color="231F20"/>
            </w:tcBorders>
            <w:shd w:val="clear" w:color="auto" w:fill="98B0CF"/>
          </w:tcPr>
          <w:p>
            <w:pPr>
              <w:jc w:val="right"/>
              <w:ind w:right="252"/>
              <w:spacing w:after="0"/>
              <w:rPr>
                <w:sz w:val="20"/>
                <w:szCs w:val="20"/>
                <w:color w:val="auto"/>
              </w:rPr>
            </w:pPr>
            <w:r>
              <w:rPr>
                <w:rFonts w:ascii="Arial" w:cs="Arial" w:eastAsia="Arial" w:hAnsi="Arial"/>
                <w:sz w:val="13"/>
                <w:szCs w:val="13"/>
                <w:b w:val="1"/>
                <w:bCs w:val="1"/>
                <w:color w:val="231F20"/>
              </w:rPr>
              <w:t>10% Appreciation</w:t>
            </w:r>
          </w:p>
        </w:tc>
      </w:tr>
      <w:tr>
        <w:trPr>
          <w:trHeight w:val="156"/>
        </w:trPr>
        <w:tc>
          <w:tcPr>
            <w:tcW w:w="7680" w:type="dxa"/>
            <w:vAlign w:val="bottom"/>
            <w:tcBorders>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Market Sensitive Instrument</w:t>
            </w:r>
          </w:p>
        </w:tc>
        <w:tc>
          <w:tcPr>
            <w:tcW w:w="340" w:type="dxa"/>
            <w:vAlign w:val="bottom"/>
            <w:tcBorders>
              <w:bottom w:val="single" w:sz="8" w:color="auto"/>
            </w:tcBorders>
            <w:shd w:val="clear" w:color="auto" w:fill="98B0CF"/>
          </w:tcPr>
          <w:p>
            <w:pPr>
              <w:spacing w:after="0"/>
              <w:rPr>
                <w:sz w:val="13"/>
                <w:szCs w:val="13"/>
                <w:color w:val="auto"/>
              </w:rPr>
            </w:pPr>
          </w:p>
        </w:tc>
        <w:tc>
          <w:tcPr>
            <w:tcW w:w="1360" w:type="dxa"/>
            <w:vAlign w:val="bottom"/>
            <w:tcBorders>
              <w:bottom w:val="single" w:sz="8" w:color="auto"/>
            </w:tcBorders>
            <w:shd w:val="clear" w:color="auto" w:fill="98B0CF"/>
          </w:tcPr>
          <w:p>
            <w:pPr>
              <w:jc w:val="right"/>
              <w:ind w:right="132"/>
              <w:spacing w:after="0"/>
              <w:rPr>
                <w:sz w:val="20"/>
                <w:szCs w:val="20"/>
                <w:color w:val="auto"/>
              </w:rPr>
            </w:pPr>
            <w:r>
              <w:rPr>
                <w:rFonts w:ascii="Arial" w:cs="Arial" w:eastAsia="Arial" w:hAnsi="Arial"/>
                <w:sz w:val="13"/>
                <w:szCs w:val="13"/>
                <w:b w:val="1"/>
                <w:bCs w:val="1"/>
                <w:color w:val="231F20"/>
                <w:w w:val="98"/>
              </w:rPr>
              <w:t>in Exchange Rates</w:t>
            </w:r>
          </w:p>
        </w:tc>
        <w:tc>
          <w:tcPr>
            <w:tcW w:w="380" w:type="dxa"/>
            <w:vAlign w:val="bottom"/>
            <w:tcBorders>
              <w:bottom w:val="single" w:sz="8" w:color="auto"/>
            </w:tcBorders>
            <w:shd w:val="clear" w:color="auto" w:fill="98B0CF"/>
          </w:tcPr>
          <w:p>
            <w:pPr>
              <w:spacing w:after="0"/>
              <w:rPr>
                <w:sz w:val="13"/>
                <w:szCs w:val="13"/>
                <w:color w:val="auto"/>
              </w:rPr>
            </w:pPr>
          </w:p>
        </w:tc>
        <w:tc>
          <w:tcPr>
            <w:tcW w:w="1500" w:type="dxa"/>
            <w:vAlign w:val="bottom"/>
            <w:tcBorders>
              <w:bottom w:val="single" w:sz="8" w:color="auto"/>
            </w:tcBorders>
            <w:shd w:val="clear" w:color="auto" w:fill="98B0CF"/>
          </w:tcPr>
          <w:p>
            <w:pPr>
              <w:jc w:val="right"/>
              <w:ind w:right="232"/>
              <w:spacing w:after="0"/>
              <w:rPr>
                <w:sz w:val="20"/>
                <w:szCs w:val="20"/>
                <w:color w:val="auto"/>
              </w:rPr>
            </w:pPr>
            <w:r>
              <w:rPr>
                <w:rFonts w:ascii="Arial" w:cs="Arial" w:eastAsia="Arial" w:hAnsi="Arial"/>
                <w:sz w:val="13"/>
                <w:szCs w:val="13"/>
                <w:b w:val="1"/>
                <w:bCs w:val="1"/>
                <w:color w:val="231F20"/>
              </w:rPr>
              <w:t>in Exchange Rates</w:t>
            </w:r>
          </w:p>
        </w:tc>
      </w:tr>
      <w:tr>
        <w:trPr>
          <w:trHeight w:val="187"/>
        </w:trPr>
        <w:tc>
          <w:tcPr>
            <w:tcW w:w="768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231F20"/>
              </w:rPr>
              <w:t>Euro Notes:</w:t>
            </w:r>
          </w:p>
        </w:tc>
        <w:tc>
          <w:tcPr>
            <w:tcW w:w="340" w:type="dxa"/>
            <w:vAlign w:val="bottom"/>
            <w:shd w:val="clear" w:color="auto" w:fill="E2E8F1"/>
          </w:tcPr>
          <w:p>
            <w:pPr>
              <w:spacing w:after="0"/>
              <w:rPr>
                <w:sz w:val="16"/>
                <w:szCs w:val="16"/>
                <w:color w:val="auto"/>
              </w:rPr>
            </w:pPr>
          </w:p>
        </w:tc>
        <w:tc>
          <w:tcPr>
            <w:tcW w:w="1360" w:type="dxa"/>
            <w:vAlign w:val="bottom"/>
            <w:shd w:val="clear" w:color="auto" w:fill="E2E8F1"/>
          </w:tcPr>
          <w:p>
            <w:pPr>
              <w:spacing w:after="0"/>
              <w:rPr>
                <w:sz w:val="16"/>
                <w:szCs w:val="16"/>
                <w:color w:val="auto"/>
              </w:rPr>
            </w:pPr>
          </w:p>
        </w:tc>
        <w:tc>
          <w:tcPr>
            <w:tcW w:w="380" w:type="dxa"/>
            <w:vAlign w:val="bottom"/>
            <w:shd w:val="clear" w:color="auto" w:fill="E2E8F1"/>
          </w:tcPr>
          <w:p>
            <w:pPr>
              <w:spacing w:after="0"/>
              <w:rPr>
                <w:sz w:val="16"/>
                <w:szCs w:val="16"/>
                <w:color w:val="auto"/>
              </w:rPr>
            </w:pPr>
          </w:p>
        </w:tc>
        <w:tc>
          <w:tcPr>
            <w:tcW w:w="1500" w:type="dxa"/>
            <w:vAlign w:val="bottom"/>
            <w:shd w:val="clear" w:color="auto" w:fill="E2E8F1"/>
          </w:tcPr>
          <w:p>
            <w:pPr>
              <w:spacing w:after="0"/>
              <w:rPr>
                <w:sz w:val="16"/>
                <w:szCs w:val="16"/>
                <w:color w:val="auto"/>
              </w:rPr>
            </w:pPr>
          </w:p>
        </w:tc>
      </w:tr>
      <w:tr>
        <w:trPr>
          <w:trHeight w:val="188"/>
        </w:trPr>
        <w:tc>
          <w:tcPr>
            <w:tcW w:w="7680" w:type="dxa"/>
            <w:vAlign w:val="bottom"/>
          </w:tcPr>
          <w:p>
            <w:pPr>
              <w:ind w:left="80"/>
              <w:spacing w:after="0"/>
              <w:rPr>
                <w:sz w:val="20"/>
                <w:szCs w:val="20"/>
                <w:color w:val="auto"/>
              </w:rPr>
            </w:pPr>
            <w:r>
              <w:rPr>
                <w:rFonts w:ascii="Arial" w:cs="Arial" w:eastAsia="Arial" w:hAnsi="Arial"/>
                <w:sz w:val="14"/>
                <w:szCs w:val="14"/>
                <w:color w:val="231F20"/>
              </w:rPr>
              <w:t>€500.0, 1.81% Notes due June 2026</w:t>
            </w:r>
          </w:p>
        </w:tc>
        <w:tc>
          <w:tcPr>
            <w:tcW w:w="340" w:type="dxa"/>
            <w:vAlign w:val="bottom"/>
          </w:tcPr>
          <w:p>
            <w:pPr>
              <w:jc w:val="right"/>
              <w:spacing w:after="0"/>
              <w:rPr>
                <w:sz w:val="20"/>
                <w:szCs w:val="20"/>
                <w:color w:val="auto"/>
              </w:rPr>
            </w:pPr>
            <w:r>
              <w:rPr>
                <w:rFonts w:ascii="Arial" w:cs="Arial" w:eastAsia="Arial" w:hAnsi="Arial"/>
                <w:sz w:val="14"/>
                <w:szCs w:val="14"/>
                <w:color w:val="231F20"/>
              </w:rPr>
              <w:t>$</w:t>
            </w:r>
          </w:p>
        </w:tc>
        <w:tc>
          <w:tcPr>
            <w:tcW w:w="1360" w:type="dxa"/>
            <w:vAlign w:val="bottom"/>
          </w:tcPr>
          <w:p>
            <w:pPr>
              <w:jc w:val="right"/>
              <w:ind w:right="372"/>
              <w:spacing w:after="0"/>
              <w:rPr>
                <w:sz w:val="20"/>
                <w:szCs w:val="20"/>
                <w:color w:val="auto"/>
              </w:rPr>
            </w:pPr>
            <w:r>
              <w:rPr>
                <w:rFonts w:ascii="Arial" w:cs="Arial" w:eastAsia="Arial" w:hAnsi="Arial"/>
                <w:sz w:val="14"/>
                <w:szCs w:val="14"/>
                <w:color w:val="231F20"/>
              </w:rPr>
              <w:t>51.8</w:t>
            </w:r>
          </w:p>
        </w:tc>
        <w:tc>
          <w:tcPr>
            <w:tcW w:w="380" w:type="dxa"/>
            <w:vAlign w:val="bottom"/>
          </w:tcPr>
          <w:p>
            <w:pPr>
              <w:jc w:val="right"/>
              <w:ind w:right="29"/>
              <w:spacing w:after="0"/>
              <w:rPr>
                <w:sz w:val="20"/>
                <w:szCs w:val="20"/>
                <w:color w:val="auto"/>
              </w:rPr>
            </w:pPr>
            <w:r>
              <w:rPr>
                <w:rFonts w:ascii="Arial" w:cs="Arial" w:eastAsia="Arial" w:hAnsi="Arial"/>
                <w:sz w:val="14"/>
                <w:szCs w:val="14"/>
                <w:color w:val="231F20"/>
              </w:rPr>
              <w:t>$</w:t>
            </w:r>
          </w:p>
        </w:tc>
        <w:tc>
          <w:tcPr>
            <w:tcW w:w="1500" w:type="dxa"/>
            <w:vAlign w:val="bottom"/>
          </w:tcPr>
          <w:p>
            <w:pPr>
              <w:jc w:val="right"/>
              <w:ind w:right="392"/>
              <w:spacing w:after="0"/>
              <w:rPr>
                <w:sz w:val="20"/>
                <w:szCs w:val="20"/>
                <w:color w:val="auto"/>
              </w:rPr>
            </w:pPr>
            <w:r>
              <w:rPr>
                <w:rFonts w:ascii="Arial" w:cs="Arial" w:eastAsia="Arial" w:hAnsi="Arial"/>
                <w:sz w:val="14"/>
                <w:szCs w:val="14"/>
                <w:color w:val="231F20"/>
              </w:rPr>
              <w:t>(51.8 )</w:t>
            </w:r>
          </w:p>
        </w:tc>
      </w:tr>
      <w:tr>
        <w:trPr>
          <w:trHeight w:val="191"/>
        </w:trPr>
        <w:tc>
          <w:tcPr>
            <w:tcW w:w="768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€400.0, 3.50% Notes due June 2027</w:t>
            </w:r>
          </w:p>
        </w:tc>
        <w:tc>
          <w:tcPr>
            <w:tcW w:w="340" w:type="dxa"/>
            <w:vAlign w:val="bottom"/>
            <w:shd w:val="clear" w:color="auto" w:fill="E2E8F1"/>
          </w:tcPr>
          <w:p>
            <w:pPr>
              <w:spacing w:after="0"/>
              <w:rPr>
                <w:sz w:val="16"/>
                <w:szCs w:val="16"/>
                <w:color w:val="auto"/>
              </w:rPr>
            </w:pPr>
          </w:p>
        </w:tc>
        <w:tc>
          <w:tcPr>
            <w:tcW w:w="1360" w:type="dxa"/>
            <w:vAlign w:val="bottom"/>
            <w:shd w:val="clear" w:color="auto" w:fill="E2E8F1"/>
          </w:tcPr>
          <w:p>
            <w:pPr>
              <w:jc w:val="right"/>
              <w:ind w:right="372"/>
              <w:spacing w:after="0"/>
              <w:rPr>
                <w:sz w:val="20"/>
                <w:szCs w:val="20"/>
                <w:color w:val="auto"/>
              </w:rPr>
            </w:pPr>
            <w:r>
              <w:rPr>
                <w:rFonts w:ascii="Arial" w:cs="Arial" w:eastAsia="Arial" w:hAnsi="Arial"/>
                <w:sz w:val="14"/>
                <w:szCs w:val="14"/>
                <w:color w:val="231F20"/>
              </w:rPr>
              <w:t>41.4</w:t>
            </w:r>
          </w:p>
        </w:tc>
        <w:tc>
          <w:tcPr>
            <w:tcW w:w="380" w:type="dxa"/>
            <w:vAlign w:val="bottom"/>
            <w:shd w:val="clear" w:color="auto" w:fill="E2E8F1"/>
          </w:tcPr>
          <w:p>
            <w:pPr>
              <w:spacing w:after="0"/>
              <w:rPr>
                <w:sz w:val="16"/>
                <w:szCs w:val="16"/>
                <w:color w:val="auto"/>
              </w:rPr>
            </w:pPr>
          </w:p>
        </w:tc>
        <w:tc>
          <w:tcPr>
            <w:tcW w:w="1500" w:type="dxa"/>
            <w:vAlign w:val="bottom"/>
            <w:shd w:val="clear" w:color="auto" w:fill="E2E8F1"/>
          </w:tcPr>
          <w:p>
            <w:pPr>
              <w:jc w:val="right"/>
              <w:ind w:right="392"/>
              <w:spacing w:after="0"/>
              <w:rPr>
                <w:sz w:val="20"/>
                <w:szCs w:val="20"/>
                <w:color w:val="auto"/>
              </w:rPr>
            </w:pPr>
            <w:r>
              <w:rPr>
                <w:rFonts w:ascii="Arial" w:cs="Arial" w:eastAsia="Arial" w:hAnsi="Arial"/>
                <w:sz w:val="14"/>
                <w:szCs w:val="14"/>
                <w:color w:val="231F20"/>
              </w:rPr>
              <w:t>(41.4 )</w:t>
            </w:r>
          </w:p>
        </w:tc>
      </w:tr>
      <w:tr>
        <w:trPr>
          <w:trHeight w:val="189"/>
        </w:trPr>
        <w:tc>
          <w:tcPr>
            <w:tcW w:w="7680" w:type="dxa"/>
            <w:vAlign w:val="bottom"/>
          </w:tcPr>
          <w:p>
            <w:pPr>
              <w:ind w:left="80"/>
              <w:spacing w:after="0"/>
              <w:rPr>
                <w:sz w:val="20"/>
                <w:szCs w:val="20"/>
                <w:color w:val="auto"/>
              </w:rPr>
            </w:pPr>
            <w:r>
              <w:rPr>
                <w:rFonts w:ascii="Arial" w:cs="Arial" w:eastAsia="Arial" w:hAnsi="Arial"/>
                <w:sz w:val="14"/>
                <w:szCs w:val="14"/>
                <w:b w:val="1"/>
                <w:bCs w:val="1"/>
                <w:color w:val="231F20"/>
              </w:rPr>
              <w:t>Forward contracts:</w:t>
            </w: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768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€(126.7) to $(131.9)</w:t>
            </w:r>
          </w:p>
        </w:tc>
        <w:tc>
          <w:tcPr>
            <w:tcW w:w="340" w:type="dxa"/>
            <w:vAlign w:val="bottom"/>
            <w:shd w:val="clear" w:color="auto" w:fill="E2E8F1"/>
          </w:tcPr>
          <w:p>
            <w:pPr>
              <w:spacing w:after="0"/>
              <w:rPr>
                <w:sz w:val="16"/>
                <w:szCs w:val="16"/>
                <w:color w:val="auto"/>
              </w:rPr>
            </w:pPr>
          </w:p>
        </w:tc>
        <w:tc>
          <w:tcPr>
            <w:tcW w:w="1360" w:type="dxa"/>
            <w:vAlign w:val="bottom"/>
            <w:shd w:val="clear" w:color="auto" w:fill="E2E8F1"/>
          </w:tcPr>
          <w:p>
            <w:pPr>
              <w:jc w:val="right"/>
              <w:ind w:right="372"/>
              <w:spacing w:after="0"/>
              <w:rPr>
                <w:sz w:val="20"/>
                <w:szCs w:val="20"/>
                <w:color w:val="auto"/>
              </w:rPr>
            </w:pPr>
            <w:r>
              <w:rPr>
                <w:rFonts w:ascii="Arial" w:cs="Arial" w:eastAsia="Arial" w:hAnsi="Arial"/>
                <w:sz w:val="14"/>
                <w:szCs w:val="14"/>
                <w:color w:val="231F20"/>
              </w:rPr>
              <w:t>13.1</w:t>
            </w:r>
          </w:p>
        </w:tc>
        <w:tc>
          <w:tcPr>
            <w:tcW w:w="380" w:type="dxa"/>
            <w:vAlign w:val="bottom"/>
            <w:shd w:val="clear" w:color="auto" w:fill="E2E8F1"/>
          </w:tcPr>
          <w:p>
            <w:pPr>
              <w:spacing w:after="0"/>
              <w:rPr>
                <w:sz w:val="16"/>
                <w:szCs w:val="16"/>
                <w:color w:val="auto"/>
              </w:rPr>
            </w:pPr>
          </w:p>
        </w:tc>
        <w:tc>
          <w:tcPr>
            <w:tcW w:w="1500" w:type="dxa"/>
            <w:vAlign w:val="bottom"/>
            <w:shd w:val="clear" w:color="auto" w:fill="E2E8F1"/>
          </w:tcPr>
          <w:p>
            <w:pPr>
              <w:jc w:val="right"/>
              <w:ind w:right="392"/>
              <w:spacing w:after="0"/>
              <w:rPr>
                <w:sz w:val="20"/>
                <w:szCs w:val="20"/>
                <w:color w:val="auto"/>
              </w:rPr>
            </w:pPr>
            <w:r>
              <w:rPr>
                <w:rFonts w:ascii="Arial" w:cs="Arial" w:eastAsia="Arial" w:hAnsi="Arial"/>
                <w:sz w:val="14"/>
                <w:szCs w:val="14"/>
                <w:color w:val="231F20"/>
              </w:rPr>
              <w:t>(13.1 )</w:t>
            </w:r>
          </w:p>
        </w:tc>
      </w:tr>
      <w:tr>
        <w:trPr>
          <w:trHeight w:val="186"/>
        </w:trPr>
        <w:tc>
          <w:tcPr>
            <w:tcW w:w="7680" w:type="dxa"/>
            <w:vAlign w:val="bottom"/>
          </w:tcPr>
          <w:p>
            <w:pPr>
              <w:ind w:left="80"/>
              <w:spacing w:after="0"/>
              <w:rPr>
                <w:sz w:val="20"/>
                <w:szCs w:val="20"/>
                <w:color w:val="auto"/>
              </w:rPr>
            </w:pPr>
            <w:r>
              <w:rPr>
                <w:rFonts w:ascii="Arial" w:cs="Arial" w:eastAsia="Arial" w:hAnsi="Arial"/>
                <w:sz w:val="14"/>
                <w:szCs w:val="14"/>
                <w:color w:val="231F20"/>
              </w:rPr>
              <w:t>¥340.0 to $2.2</w:t>
            </w:r>
          </w:p>
        </w:tc>
        <w:tc>
          <w:tcPr>
            <w:tcW w:w="340" w:type="dxa"/>
            <w:vAlign w:val="bottom"/>
          </w:tcPr>
          <w:p>
            <w:pPr>
              <w:spacing w:after="0"/>
              <w:rPr>
                <w:sz w:val="16"/>
                <w:szCs w:val="16"/>
                <w:color w:val="auto"/>
              </w:rPr>
            </w:pPr>
          </w:p>
        </w:tc>
        <w:tc>
          <w:tcPr>
            <w:tcW w:w="1360" w:type="dxa"/>
            <w:vAlign w:val="bottom"/>
          </w:tcPr>
          <w:p>
            <w:pPr>
              <w:jc w:val="right"/>
              <w:ind w:right="292"/>
              <w:spacing w:after="0"/>
              <w:rPr>
                <w:sz w:val="20"/>
                <w:szCs w:val="20"/>
                <w:color w:val="auto"/>
              </w:rPr>
            </w:pPr>
            <w:r>
              <w:rPr>
                <w:rFonts w:ascii="Arial" w:cs="Arial" w:eastAsia="Arial" w:hAnsi="Arial"/>
                <w:sz w:val="14"/>
                <w:szCs w:val="14"/>
                <w:color w:val="231F20"/>
              </w:rPr>
              <w:t>(0.2 )</w:t>
            </w:r>
          </w:p>
        </w:tc>
        <w:tc>
          <w:tcPr>
            <w:tcW w:w="380" w:type="dxa"/>
            <w:vAlign w:val="bottom"/>
          </w:tcPr>
          <w:p>
            <w:pPr>
              <w:spacing w:after="0"/>
              <w:rPr>
                <w:sz w:val="16"/>
                <w:szCs w:val="16"/>
                <w:color w:val="auto"/>
              </w:rPr>
            </w:pPr>
          </w:p>
        </w:tc>
        <w:tc>
          <w:tcPr>
            <w:tcW w:w="1500" w:type="dxa"/>
            <w:vAlign w:val="bottom"/>
          </w:tcPr>
          <w:p>
            <w:pPr>
              <w:jc w:val="right"/>
              <w:ind w:right="472"/>
              <w:spacing w:after="0"/>
              <w:rPr>
                <w:sz w:val="20"/>
                <w:szCs w:val="20"/>
                <w:color w:val="auto"/>
              </w:rPr>
            </w:pPr>
            <w:r>
              <w:rPr>
                <w:rFonts w:ascii="Arial" w:cs="Arial" w:eastAsia="Arial" w:hAnsi="Arial"/>
                <w:sz w:val="14"/>
                <w:szCs w:val="14"/>
                <w:color w:val="231F20"/>
              </w:rPr>
              <w:t>0.2</w:t>
            </w:r>
          </w:p>
        </w:tc>
      </w:tr>
    </w:tbl>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43" w:name="page44"/>
    <w:bookmarkEnd w:id="43"/>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ind w:left="325"/>
        <w:spacing w:after="0"/>
        <w:rPr>
          <w:sz w:val="20"/>
          <w:szCs w:val="20"/>
          <w:color w:val="auto"/>
        </w:rPr>
      </w:pPr>
      <w:r>
        <w:rPr>
          <w:rFonts w:ascii="Arial" w:cs="Arial" w:eastAsia="Arial" w:hAnsi="Arial"/>
          <w:sz w:val="16"/>
          <w:szCs w:val="16"/>
          <w:i w:val="1"/>
          <w:iCs w:val="1"/>
          <w:color w:val="5B89B4"/>
        </w:rPr>
        <w:t>Interest Rates</w:t>
      </w:r>
    </w:p>
    <w:p>
      <w:pPr>
        <w:spacing w:after="0" w:line="88"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231F20"/>
        </w:rPr>
        <w:t>Our exposure to market risk for changes in interest rates relates primarily to our variable rate debt obligations. We have historically managed interest rates through the use of a combination of fixed- and variable-rate borrowings. As of December 31, 2024, we had the following fixed- and variable-rate borrowings:</w:t>
      </w:r>
    </w:p>
    <w:p>
      <w:pPr>
        <w:spacing w:after="0" w:line="57" w:lineRule="exact"/>
        <w:rPr>
          <w:sz w:val="20"/>
          <w:szCs w:val="20"/>
          <w:color w:val="auto"/>
        </w:rPr>
      </w:pPr>
    </w:p>
    <w:tbl>
      <w:tblPr>
        <w:tblLayout w:type="fixed"/>
        <w:tblInd w:w="5" w:type="dxa"/>
        <w:tblCellMar>
          <w:top w:w="0" w:type="dxa"/>
          <w:left w:w="0" w:type="dxa"/>
          <w:bottom w:w="0" w:type="dxa"/>
          <w:right w:w="0" w:type="dxa"/>
        </w:tblCellMar>
      </w:tblPr>
      <w:tr>
        <w:trPr>
          <w:trHeight w:val="217"/>
        </w:trPr>
        <w:tc>
          <w:tcPr>
            <w:tcW w:w="7680" w:type="dxa"/>
            <w:vAlign w:val="bottom"/>
            <w:tcBorders>
              <w:top w:val="single" w:sz="8" w:color="231F20"/>
            </w:tcBorders>
            <w:shd w:val="clear" w:color="auto" w:fill="98B0CF"/>
          </w:tcPr>
          <w:p>
            <w:pPr>
              <w:spacing w:after="0"/>
              <w:rPr>
                <w:sz w:val="18"/>
                <w:szCs w:val="18"/>
                <w:color w:val="auto"/>
              </w:rPr>
            </w:pPr>
          </w:p>
        </w:tc>
        <w:tc>
          <w:tcPr>
            <w:tcW w:w="500" w:type="dxa"/>
            <w:vAlign w:val="bottom"/>
            <w:tcBorders>
              <w:top w:val="single" w:sz="8" w:color="231F20"/>
            </w:tcBorders>
            <w:shd w:val="clear" w:color="auto" w:fill="98B0CF"/>
          </w:tcPr>
          <w:p>
            <w:pPr>
              <w:spacing w:after="0"/>
              <w:rPr>
                <w:sz w:val="18"/>
                <w:szCs w:val="18"/>
                <w:color w:val="auto"/>
              </w:rPr>
            </w:pPr>
          </w:p>
        </w:tc>
        <w:tc>
          <w:tcPr>
            <w:tcW w:w="1240" w:type="dxa"/>
            <w:vAlign w:val="bottom"/>
            <w:tcBorders>
              <w:top w:val="single" w:sz="8" w:color="231F20"/>
            </w:tcBorders>
            <w:shd w:val="clear" w:color="auto" w:fill="98B0CF"/>
          </w:tcPr>
          <w:p>
            <w:pPr>
              <w:spacing w:after="0"/>
              <w:rPr>
                <w:sz w:val="18"/>
                <w:szCs w:val="18"/>
                <w:color w:val="auto"/>
              </w:rPr>
            </w:pPr>
          </w:p>
        </w:tc>
        <w:tc>
          <w:tcPr>
            <w:tcW w:w="1840" w:type="dxa"/>
            <w:vAlign w:val="bottom"/>
            <w:tcBorders>
              <w:top w:val="single" w:sz="8" w:color="231F20"/>
            </w:tcBorders>
            <w:shd w:val="clear" w:color="auto" w:fill="98B0CF"/>
          </w:tcPr>
          <w:p>
            <w:pPr>
              <w:jc w:val="center"/>
              <w:spacing w:after="0"/>
              <w:rPr>
                <w:sz w:val="20"/>
                <w:szCs w:val="20"/>
                <w:color w:val="auto"/>
              </w:rPr>
            </w:pPr>
            <w:r>
              <w:rPr>
                <w:rFonts w:ascii="Arial" w:cs="Arial" w:eastAsia="Arial" w:hAnsi="Arial"/>
                <w:sz w:val="13"/>
                <w:szCs w:val="13"/>
                <w:b w:val="1"/>
                <w:bCs w:val="1"/>
                <w:color w:val="231F20"/>
                <w:w w:val="95"/>
              </w:rPr>
              <w:t>Weighted-</w:t>
            </w:r>
          </w:p>
        </w:tc>
      </w:tr>
      <w:tr>
        <w:trPr>
          <w:trHeight w:val="126"/>
        </w:trPr>
        <w:tc>
          <w:tcPr>
            <w:tcW w:w="7680" w:type="dxa"/>
            <w:vAlign w:val="bottom"/>
            <w:shd w:val="clear" w:color="auto" w:fill="98B0CF"/>
          </w:tcPr>
          <w:p>
            <w:pPr>
              <w:spacing w:after="0"/>
              <w:rPr>
                <w:sz w:val="10"/>
                <w:szCs w:val="10"/>
                <w:color w:val="auto"/>
              </w:rPr>
            </w:pPr>
          </w:p>
        </w:tc>
        <w:tc>
          <w:tcPr>
            <w:tcW w:w="500" w:type="dxa"/>
            <w:vAlign w:val="bottom"/>
            <w:shd w:val="clear" w:color="auto" w:fill="98B0CF"/>
          </w:tcPr>
          <w:p>
            <w:pPr>
              <w:spacing w:after="0"/>
              <w:rPr>
                <w:sz w:val="10"/>
                <w:szCs w:val="10"/>
                <w:color w:val="auto"/>
              </w:rPr>
            </w:pPr>
          </w:p>
        </w:tc>
        <w:tc>
          <w:tcPr>
            <w:tcW w:w="1240" w:type="dxa"/>
            <w:vAlign w:val="bottom"/>
            <w:shd w:val="clear" w:color="auto" w:fill="98B0CF"/>
          </w:tcPr>
          <w:p>
            <w:pPr>
              <w:spacing w:after="0"/>
              <w:rPr>
                <w:sz w:val="10"/>
                <w:szCs w:val="10"/>
                <w:color w:val="auto"/>
              </w:rPr>
            </w:pPr>
          </w:p>
        </w:tc>
        <w:tc>
          <w:tcPr>
            <w:tcW w:w="1840" w:type="dxa"/>
            <w:vAlign w:val="bottom"/>
            <w:shd w:val="clear" w:color="auto" w:fill="98B0CF"/>
          </w:tcPr>
          <w:p>
            <w:pPr>
              <w:jc w:val="center"/>
              <w:spacing w:after="0" w:line="126" w:lineRule="exact"/>
              <w:rPr>
                <w:sz w:val="20"/>
                <w:szCs w:val="20"/>
                <w:color w:val="auto"/>
              </w:rPr>
            </w:pPr>
            <w:r>
              <w:rPr>
                <w:rFonts w:ascii="Arial" w:cs="Arial" w:eastAsia="Arial" w:hAnsi="Arial"/>
                <w:sz w:val="13"/>
                <w:szCs w:val="13"/>
                <w:b w:val="1"/>
                <w:bCs w:val="1"/>
                <w:color w:val="231F20"/>
                <w:w w:val="93"/>
              </w:rPr>
              <w:t>Average</w:t>
            </w:r>
          </w:p>
        </w:tc>
      </w:tr>
      <w:tr>
        <w:trPr>
          <w:trHeight w:val="171"/>
        </w:trPr>
        <w:tc>
          <w:tcPr>
            <w:tcW w:w="7680" w:type="dxa"/>
            <w:vAlign w:val="bottom"/>
            <w:tcBorders>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i w:val="1"/>
                <w:iCs w:val="1"/>
                <w:color w:val="231F20"/>
              </w:rPr>
              <w:t>(in millions)</w:t>
            </w:r>
          </w:p>
        </w:tc>
        <w:tc>
          <w:tcPr>
            <w:tcW w:w="500" w:type="dxa"/>
            <w:vAlign w:val="bottom"/>
            <w:tcBorders>
              <w:bottom w:val="single" w:sz="8" w:color="auto"/>
            </w:tcBorders>
            <w:shd w:val="clear" w:color="auto" w:fill="98B0CF"/>
          </w:tcPr>
          <w:p>
            <w:pPr>
              <w:spacing w:after="0"/>
              <w:rPr>
                <w:sz w:val="14"/>
                <w:szCs w:val="14"/>
                <w:color w:val="auto"/>
              </w:rPr>
            </w:pPr>
          </w:p>
        </w:tc>
        <w:tc>
          <w:tcPr>
            <w:tcW w:w="1240" w:type="dxa"/>
            <w:vAlign w:val="bottom"/>
            <w:tcBorders>
              <w:bottom w:val="single" w:sz="8" w:color="auto"/>
            </w:tcBorders>
            <w:shd w:val="clear" w:color="auto" w:fill="98B0CF"/>
          </w:tcPr>
          <w:p>
            <w:pPr>
              <w:jc w:val="right"/>
              <w:ind w:right="511"/>
              <w:spacing w:after="0"/>
              <w:rPr>
                <w:sz w:val="20"/>
                <w:szCs w:val="20"/>
                <w:color w:val="auto"/>
              </w:rPr>
            </w:pPr>
            <w:r>
              <w:rPr>
                <w:rFonts w:ascii="Arial" w:cs="Arial" w:eastAsia="Arial" w:hAnsi="Arial"/>
                <w:sz w:val="13"/>
                <w:szCs w:val="13"/>
                <w:b w:val="1"/>
                <w:bCs w:val="1"/>
                <w:color w:val="231F20"/>
              </w:rPr>
              <w:t>Amount</w:t>
            </w:r>
          </w:p>
        </w:tc>
        <w:tc>
          <w:tcPr>
            <w:tcW w:w="1840" w:type="dxa"/>
            <w:vAlign w:val="bottom"/>
            <w:tcBorders>
              <w:bottom w:val="single" w:sz="8" w:color="auto"/>
            </w:tcBorders>
            <w:shd w:val="clear" w:color="auto" w:fill="98B0CF"/>
          </w:tcPr>
          <w:p>
            <w:pPr>
              <w:jc w:val="center"/>
              <w:spacing w:after="0" w:line="165" w:lineRule="exact"/>
              <w:rPr>
                <w:sz w:val="20"/>
                <w:szCs w:val="20"/>
                <w:color w:val="auto"/>
              </w:rPr>
            </w:pPr>
            <w:r>
              <w:rPr>
                <w:rFonts w:ascii="Arial" w:cs="Arial" w:eastAsia="Arial" w:hAnsi="Arial"/>
                <w:sz w:val="13"/>
                <w:szCs w:val="13"/>
                <w:b w:val="1"/>
                <w:bCs w:val="1"/>
                <w:color w:val="231F20"/>
                <w:w w:val="95"/>
              </w:rPr>
              <w:t>Interest Rate</w:t>
            </w:r>
            <w:r>
              <w:rPr>
                <w:rFonts w:ascii="Arial" w:cs="Arial" w:eastAsia="Arial" w:hAnsi="Arial"/>
                <w:sz w:val="16"/>
                <w:szCs w:val="16"/>
                <w:b w:val="1"/>
                <w:bCs w:val="1"/>
                <w:color w:val="231F20"/>
                <w:w w:val="95"/>
                <w:vertAlign w:val="superscript"/>
              </w:rPr>
              <w:t>(a)</w:t>
            </w:r>
          </w:p>
        </w:tc>
      </w:tr>
      <w:tr>
        <w:trPr>
          <w:trHeight w:val="187"/>
        </w:trPr>
        <w:tc>
          <w:tcPr>
            <w:tcW w:w="768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Variable-rate borrowings</w:t>
            </w:r>
          </w:p>
        </w:tc>
        <w:tc>
          <w:tcPr>
            <w:tcW w:w="500" w:type="dxa"/>
            <w:vAlign w:val="bottom"/>
            <w:shd w:val="clear" w:color="auto" w:fill="E2E8F1"/>
          </w:tcPr>
          <w:p>
            <w:pPr>
              <w:jc w:val="right"/>
              <w:ind w:right="129"/>
              <w:spacing w:after="0"/>
              <w:rPr>
                <w:sz w:val="20"/>
                <w:szCs w:val="20"/>
                <w:color w:val="auto"/>
              </w:rPr>
            </w:pPr>
            <w:r>
              <w:rPr>
                <w:rFonts w:ascii="Arial" w:cs="Arial" w:eastAsia="Arial" w:hAnsi="Arial"/>
                <w:sz w:val="14"/>
                <w:szCs w:val="14"/>
                <w:color w:val="231F20"/>
              </w:rPr>
              <w:t>$</w:t>
            </w:r>
          </w:p>
        </w:tc>
        <w:tc>
          <w:tcPr>
            <w:tcW w:w="1240" w:type="dxa"/>
            <w:vAlign w:val="bottom"/>
            <w:shd w:val="clear" w:color="auto" w:fill="E2E8F1"/>
          </w:tcPr>
          <w:p>
            <w:pPr>
              <w:jc w:val="right"/>
              <w:ind w:right="431"/>
              <w:spacing w:after="0"/>
              <w:rPr>
                <w:sz w:val="20"/>
                <w:szCs w:val="20"/>
                <w:color w:val="auto"/>
              </w:rPr>
            </w:pPr>
            <w:r>
              <w:rPr>
                <w:rFonts w:ascii="Arial" w:cs="Arial" w:eastAsia="Arial" w:hAnsi="Arial"/>
                <w:sz w:val="14"/>
                <w:szCs w:val="14"/>
                <w:color w:val="231F20"/>
              </w:rPr>
              <w:t>21.0</w:t>
            </w:r>
          </w:p>
        </w:tc>
        <w:tc>
          <w:tcPr>
            <w:tcW w:w="1840" w:type="dxa"/>
            <w:vAlign w:val="bottom"/>
            <w:shd w:val="clear" w:color="auto" w:fill="E2E8F1"/>
          </w:tcPr>
          <w:p>
            <w:pPr>
              <w:jc w:val="right"/>
              <w:ind w:right="374"/>
              <w:spacing w:after="0"/>
              <w:rPr>
                <w:sz w:val="20"/>
                <w:szCs w:val="20"/>
                <w:color w:val="auto"/>
              </w:rPr>
            </w:pPr>
            <w:r>
              <w:rPr>
                <w:rFonts w:ascii="Arial" w:cs="Arial" w:eastAsia="Arial" w:hAnsi="Arial"/>
                <w:sz w:val="14"/>
                <w:szCs w:val="14"/>
                <w:color w:val="231F20"/>
              </w:rPr>
              <w:t>33.3 %</w:t>
            </w:r>
          </w:p>
        </w:tc>
      </w:tr>
      <w:tr>
        <w:trPr>
          <w:trHeight w:val="188"/>
        </w:trPr>
        <w:tc>
          <w:tcPr>
            <w:tcW w:w="768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Fixed-rate borrowings</w:t>
            </w:r>
          </w:p>
        </w:tc>
        <w:tc>
          <w:tcPr>
            <w:tcW w:w="500" w:type="dxa"/>
            <w:vAlign w:val="bottom"/>
            <w:tcBorders>
              <w:bottom w:val="single" w:sz="8" w:color="231F20"/>
            </w:tcBorders>
          </w:tcPr>
          <w:p>
            <w:pPr>
              <w:spacing w:after="0"/>
              <w:rPr>
                <w:sz w:val="16"/>
                <w:szCs w:val="16"/>
                <w:color w:val="auto"/>
              </w:rPr>
            </w:pPr>
          </w:p>
        </w:tc>
        <w:tc>
          <w:tcPr>
            <w:tcW w:w="1240" w:type="dxa"/>
            <w:vAlign w:val="bottom"/>
            <w:tcBorders>
              <w:bottom w:val="single" w:sz="8" w:color="231F20"/>
            </w:tcBorders>
          </w:tcPr>
          <w:p>
            <w:pPr>
              <w:jc w:val="right"/>
              <w:ind w:right="431"/>
              <w:spacing w:after="0"/>
              <w:rPr>
                <w:sz w:val="20"/>
                <w:szCs w:val="20"/>
                <w:color w:val="auto"/>
              </w:rPr>
            </w:pPr>
            <w:r>
              <w:rPr>
                <w:rFonts w:ascii="Arial" w:cs="Arial" w:eastAsia="Arial" w:hAnsi="Arial"/>
                <w:sz w:val="14"/>
                <w:szCs w:val="14"/>
                <w:color w:val="231F20"/>
              </w:rPr>
              <w:t>931.8</w:t>
            </w:r>
          </w:p>
        </w:tc>
        <w:tc>
          <w:tcPr>
            <w:tcW w:w="1840" w:type="dxa"/>
            <w:vAlign w:val="bottom"/>
            <w:tcBorders>
              <w:bottom w:val="single" w:sz="8" w:color="231F20"/>
            </w:tcBorders>
          </w:tcPr>
          <w:p>
            <w:pPr>
              <w:jc w:val="right"/>
              <w:ind w:right="374"/>
              <w:spacing w:after="0"/>
              <w:rPr>
                <w:sz w:val="20"/>
                <w:szCs w:val="20"/>
                <w:color w:val="auto"/>
              </w:rPr>
            </w:pPr>
            <w:r>
              <w:rPr>
                <w:rFonts w:ascii="Arial" w:cs="Arial" w:eastAsia="Arial" w:hAnsi="Arial"/>
                <w:sz w:val="14"/>
                <w:szCs w:val="14"/>
                <w:color w:val="231F20"/>
              </w:rPr>
              <w:t>2.6 %</w:t>
            </w:r>
          </w:p>
        </w:tc>
      </w:tr>
      <w:tr>
        <w:trPr>
          <w:trHeight w:val="181"/>
        </w:trPr>
        <w:tc>
          <w:tcPr>
            <w:tcW w:w="768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231F20"/>
              </w:rPr>
              <w:t>Total debt</w:t>
            </w:r>
          </w:p>
        </w:tc>
        <w:tc>
          <w:tcPr>
            <w:tcW w:w="500" w:type="dxa"/>
            <w:vAlign w:val="bottom"/>
            <w:tcBorders>
              <w:bottom w:val="single" w:sz="8" w:color="231F20"/>
            </w:tcBorders>
            <w:shd w:val="clear" w:color="auto" w:fill="E2E8F1"/>
          </w:tcPr>
          <w:p>
            <w:pPr>
              <w:jc w:val="right"/>
              <w:ind w:right="129"/>
              <w:spacing w:after="0"/>
              <w:rPr>
                <w:sz w:val="20"/>
                <w:szCs w:val="20"/>
                <w:color w:val="auto"/>
              </w:rPr>
            </w:pPr>
            <w:r>
              <w:rPr>
                <w:rFonts w:ascii="Arial" w:cs="Arial" w:eastAsia="Arial" w:hAnsi="Arial"/>
                <w:sz w:val="14"/>
                <w:szCs w:val="14"/>
                <w:color w:val="231F20"/>
              </w:rPr>
              <w:t>$</w:t>
            </w:r>
          </w:p>
        </w:tc>
        <w:tc>
          <w:tcPr>
            <w:tcW w:w="1240" w:type="dxa"/>
            <w:vAlign w:val="bottom"/>
            <w:tcBorders>
              <w:bottom w:val="single" w:sz="8" w:color="231F20"/>
            </w:tcBorders>
            <w:shd w:val="clear" w:color="auto" w:fill="E2E8F1"/>
          </w:tcPr>
          <w:p>
            <w:pPr>
              <w:jc w:val="right"/>
              <w:ind w:right="431"/>
              <w:spacing w:after="0"/>
              <w:rPr>
                <w:sz w:val="20"/>
                <w:szCs w:val="20"/>
                <w:color w:val="auto"/>
              </w:rPr>
            </w:pPr>
            <w:r>
              <w:rPr>
                <w:rFonts w:ascii="Arial" w:cs="Arial" w:eastAsia="Arial" w:hAnsi="Arial"/>
                <w:sz w:val="14"/>
                <w:szCs w:val="14"/>
                <w:color w:val="231F20"/>
              </w:rPr>
              <w:t>952.8</w:t>
            </w:r>
          </w:p>
        </w:tc>
        <w:tc>
          <w:tcPr>
            <w:tcW w:w="1840" w:type="dxa"/>
            <w:vAlign w:val="bottom"/>
            <w:tcBorders>
              <w:bottom w:val="single" w:sz="8" w:color="231F20"/>
            </w:tcBorders>
            <w:shd w:val="clear" w:color="auto" w:fill="E2E8F1"/>
          </w:tcPr>
          <w:p>
            <w:pPr>
              <w:spacing w:after="0"/>
              <w:rPr>
                <w:sz w:val="15"/>
                <w:szCs w:val="15"/>
                <w:color w:val="auto"/>
              </w:rPr>
            </w:pPr>
          </w:p>
        </w:tc>
      </w:tr>
    </w:tbl>
    <w:p>
      <w:pPr>
        <w:spacing w:after="0" w:line="69" w:lineRule="exact"/>
        <w:rPr>
          <w:sz w:val="20"/>
          <w:szCs w:val="20"/>
          <w:color w:val="auto"/>
        </w:rPr>
      </w:pPr>
    </w:p>
    <w:p>
      <w:pPr>
        <w:ind w:left="325" w:hanging="325"/>
        <w:spacing w:after="0"/>
        <w:tabs>
          <w:tab w:leader="none" w:pos="325" w:val="left"/>
        </w:tabs>
        <w:numPr>
          <w:ilvl w:val="0"/>
          <w:numId w:val="28"/>
        </w:numPr>
        <w:rPr>
          <w:rFonts w:ascii="Arial" w:cs="Arial" w:eastAsia="Arial" w:hAnsi="Arial"/>
          <w:sz w:val="17"/>
          <w:szCs w:val="17"/>
          <w:color w:val="231F20"/>
          <w:vertAlign w:val="superscript"/>
        </w:rPr>
      </w:pPr>
      <w:r>
        <w:rPr>
          <w:rFonts w:ascii="Arial" w:cs="Arial" w:eastAsia="Arial" w:hAnsi="Arial"/>
          <w:sz w:val="13"/>
          <w:szCs w:val="13"/>
          <w:color w:val="231F20"/>
        </w:rPr>
        <w:t>The rates are impacted by currency exchange rate movements.</w:t>
      </w:r>
    </w:p>
    <w:p>
      <w:pPr>
        <w:spacing w:after="0" w:line="87" w:lineRule="exact"/>
        <w:rPr>
          <w:sz w:val="20"/>
          <w:szCs w:val="20"/>
          <w:color w:val="auto"/>
        </w:rPr>
      </w:pPr>
    </w:p>
    <w:p>
      <w:pPr>
        <w:ind w:left="325"/>
        <w:spacing w:after="0"/>
        <w:rPr>
          <w:sz w:val="20"/>
          <w:szCs w:val="20"/>
          <w:color w:val="auto"/>
        </w:rPr>
      </w:pPr>
      <w:r>
        <w:rPr>
          <w:rFonts w:ascii="Arial" w:cs="Arial" w:eastAsia="Arial" w:hAnsi="Arial"/>
          <w:sz w:val="16"/>
          <w:szCs w:val="16"/>
          <w:i w:val="1"/>
          <w:iCs w:val="1"/>
          <w:color w:val="5B89B4"/>
        </w:rPr>
        <w:t>Impact of Economic Conditions</w:t>
      </w:r>
    </w:p>
    <w:p>
      <w:pPr>
        <w:spacing w:after="0" w:line="88" w:lineRule="exact"/>
        <w:rPr>
          <w:sz w:val="20"/>
          <w:szCs w:val="20"/>
          <w:color w:val="auto"/>
        </w:rPr>
      </w:pPr>
    </w:p>
    <w:p>
      <w:pPr>
        <w:jc w:val="both"/>
        <w:ind w:left="5"/>
        <w:spacing w:after="0" w:line="239" w:lineRule="auto"/>
        <w:rPr>
          <w:sz w:val="20"/>
          <w:szCs w:val="20"/>
          <w:color w:val="auto"/>
        </w:rPr>
      </w:pPr>
      <w:r>
        <w:rPr>
          <w:rFonts w:ascii="Arial" w:cs="Arial" w:eastAsia="Arial" w:hAnsi="Arial"/>
          <w:sz w:val="16"/>
          <w:szCs w:val="16"/>
          <w:color w:val="231F20"/>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spacing w:after="0" w:line="101" w:lineRule="exact"/>
        <w:rPr>
          <w:sz w:val="20"/>
          <w:szCs w:val="20"/>
          <w:color w:val="auto"/>
        </w:rPr>
      </w:pPr>
    </w:p>
    <w:p>
      <w:pPr>
        <w:ind w:left="325"/>
        <w:spacing w:after="0"/>
        <w:rPr>
          <w:sz w:val="20"/>
          <w:szCs w:val="20"/>
          <w:color w:val="auto"/>
        </w:rPr>
      </w:pPr>
      <w:r>
        <w:rPr>
          <w:rFonts w:ascii="Arial" w:cs="Arial" w:eastAsia="Arial" w:hAnsi="Arial"/>
          <w:sz w:val="16"/>
          <w:szCs w:val="16"/>
          <w:i w:val="1"/>
          <w:iCs w:val="1"/>
          <w:color w:val="5B89B4"/>
        </w:rPr>
        <w:t>Recently Issued Accounting Standards</w:t>
      </w:r>
    </w:p>
    <w:p>
      <w:pPr>
        <w:spacing w:after="0" w:line="8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See Note 1 to the Consolidated Financial Statements found in Item 8. "Financial Statements and Supplementary Data."</w:t>
      </w:r>
    </w:p>
    <w:p>
      <w:pPr>
        <w:spacing w:after="0" w:line="18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44" w:name="page45"/>
    <w:bookmarkEnd w:id="44"/>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Item 8. Financial Statements and Supplementary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140" w:type="dxa"/>
            <w:vAlign w:val="bottom"/>
          </w:tcPr>
          <w:p>
            <w:pPr>
              <w:jc w:val="center"/>
              <w:ind w:left="845"/>
              <w:spacing w:after="0"/>
              <w:rPr>
                <w:sz w:val="20"/>
                <w:szCs w:val="20"/>
                <w:color w:val="auto"/>
              </w:rPr>
            </w:pPr>
            <w:r>
              <w:rPr>
                <w:rFonts w:ascii="Arial" w:cs="Arial" w:eastAsia="Arial" w:hAnsi="Arial"/>
                <w:sz w:val="13"/>
                <w:szCs w:val="13"/>
                <w:b w:val="1"/>
                <w:bCs w:val="1"/>
                <w:color w:val="231F20"/>
                <w:w w:val="96"/>
              </w:rPr>
              <w:t>Page</w:t>
            </w:r>
          </w:p>
        </w:tc>
      </w:tr>
      <w:tr>
        <w:trPr>
          <w:trHeight w:val="17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tcPr>
          <w:p>
            <w:pPr>
              <w:jc w:val="center"/>
              <w:ind w:left="825"/>
              <w:spacing w:after="0"/>
              <w:rPr>
                <w:sz w:val="20"/>
                <w:szCs w:val="20"/>
                <w:color w:val="auto"/>
              </w:rPr>
            </w:pPr>
            <w:r>
              <w:rPr>
                <w:rFonts w:ascii="Arial" w:cs="Arial" w:eastAsia="Arial" w:hAnsi="Arial"/>
                <w:sz w:val="13"/>
                <w:szCs w:val="13"/>
                <w:b w:val="1"/>
                <w:bCs w:val="1"/>
                <w:color w:val="231F20"/>
                <w:w w:val="97"/>
              </w:rPr>
              <w:t>Number</w:t>
            </w:r>
          </w:p>
        </w:tc>
      </w:tr>
      <w:tr>
        <w:trPr>
          <w:trHeight w:val="72"/>
        </w:trPr>
        <w:tc>
          <w:tcPr>
            <w:tcW w:w="60" w:type="dxa"/>
            <w:vAlign w:val="bottom"/>
            <w:tcBorders>
              <w:bottom w:val="single" w:sz="8" w:color="5B89B4"/>
            </w:tcBorders>
          </w:tcPr>
          <w:p>
            <w:pPr>
              <w:spacing w:after="0"/>
              <w:rPr>
                <w:sz w:val="6"/>
                <w:szCs w:val="6"/>
                <w:color w:val="auto"/>
              </w:rPr>
            </w:pPr>
          </w:p>
        </w:tc>
        <w:tc>
          <w:tcPr>
            <w:tcW w:w="140" w:type="dxa"/>
            <w:vAlign w:val="bottom"/>
            <w:tcBorders>
              <w:bottom w:val="single" w:sz="8" w:color="5B89B4"/>
            </w:tcBorders>
          </w:tcPr>
          <w:p>
            <w:pPr>
              <w:spacing w:after="0"/>
              <w:rPr>
                <w:sz w:val="6"/>
                <w:szCs w:val="6"/>
                <w:color w:val="auto"/>
              </w:rPr>
            </w:pPr>
          </w:p>
        </w:tc>
        <w:tc>
          <w:tcPr>
            <w:tcW w:w="2920" w:type="dxa"/>
            <w:vAlign w:val="bottom"/>
            <w:tcBorders>
              <w:bottom w:val="single" w:sz="8" w:color="5B89B4"/>
            </w:tcBorders>
          </w:tcPr>
          <w:p>
            <w:pPr>
              <w:spacing w:after="0"/>
              <w:rPr>
                <w:sz w:val="6"/>
                <w:szCs w:val="6"/>
                <w:color w:val="auto"/>
              </w:rPr>
            </w:pPr>
          </w:p>
        </w:tc>
        <w:tc>
          <w:tcPr>
            <w:tcW w:w="1120" w:type="dxa"/>
            <w:vAlign w:val="bottom"/>
            <w:tcBorders>
              <w:bottom w:val="single" w:sz="8" w:color="5B89B4"/>
            </w:tcBorders>
          </w:tcPr>
          <w:p>
            <w:pPr>
              <w:spacing w:after="0"/>
              <w:rPr>
                <w:sz w:val="6"/>
                <w:szCs w:val="6"/>
                <w:color w:val="auto"/>
              </w:rPr>
            </w:pPr>
          </w:p>
        </w:tc>
        <w:tc>
          <w:tcPr>
            <w:tcW w:w="540" w:type="dxa"/>
            <w:vAlign w:val="bottom"/>
            <w:tcBorders>
              <w:bottom w:val="single" w:sz="8" w:color="5B89B4"/>
            </w:tcBorders>
          </w:tcPr>
          <w:p>
            <w:pPr>
              <w:spacing w:after="0"/>
              <w:rPr>
                <w:sz w:val="6"/>
                <w:szCs w:val="6"/>
                <w:color w:val="auto"/>
              </w:rPr>
            </w:pPr>
          </w:p>
        </w:tc>
        <w:tc>
          <w:tcPr>
            <w:tcW w:w="2140" w:type="dxa"/>
            <w:vAlign w:val="bottom"/>
            <w:tcBorders>
              <w:bottom w:val="single" w:sz="8" w:color="5B89B4"/>
            </w:tcBorders>
          </w:tcPr>
          <w:p>
            <w:pPr>
              <w:spacing w:after="0"/>
              <w:rPr>
                <w:sz w:val="6"/>
                <w:szCs w:val="6"/>
                <w:color w:val="auto"/>
              </w:rPr>
            </w:pPr>
          </w:p>
        </w:tc>
        <w:tc>
          <w:tcPr>
            <w:tcW w:w="60" w:type="dxa"/>
            <w:vAlign w:val="bottom"/>
            <w:tcBorders>
              <w:bottom w:val="single" w:sz="8" w:color="5B89B4"/>
            </w:tcBorders>
          </w:tcPr>
          <w:p>
            <w:pPr>
              <w:spacing w:after="0"/>
              <w:rPr>
                <w:sz w:val="6"/>
                <w:szCs w:val="6"/>
                <w:color w:val="auto"/>
              </w:rPr>
            </w:pPr>
          </w:p>
        </w:tc>
        <w:tc>
          <w:tcPr>
            <w:tcW w:w="620" w:type="dxa"/>
            <w:vAlign w:val="bottom"/>
            <w:tcBorders>
              <w:bottom w:val="single" w:sz="8" w:color="5B89B4"/>
            </w:tcBorders>
          </w:tcPr>
          <w:p>
            <w:pPr>
              <w:spacing w:after="0"/>
              <w:rPr>
                <w:sz w:val="6"/>
                <w:szCs w:val="6"/>
                <w:color w:val="auto"/>
              </w:rPr>
            </w:pPr>
          </w:p>
        </w:tc>
        <w:tc>
          <w:tcPr>
            <w:tcW w:w="220" w:type="dxa"/>
            <w:vAlign w:val="bottom"/>
            <w:tcBorders>
              <w:bottom w:val="single" w:sz="8" w:color="5B89B4"/>
            </w:tcBorders>
          </w:tcPr>
          <w:p>
            <w:pPr>
              <w:spacing w:after="0"/>
              <w:rPr>
                <w:sz w:val="6"/>
                <w:szCs w:val="6"/>
                <w:color w:val="auto"/>
              </w:rPr>
            </w:pPr>
          </w:p>
        </w:tc>
        <w:tc>
          <w:tcPr>
            <w:tcW w:w="1300" w:type="dxa"/>
            <w:vAlign w:val="bottom"/>
            <w:tcBorders>
              <w:bottom w:val="single" w:sz="8" w:color="5B89B4"/>
            </w:tcBorders>
          </w:tcPr>
          <w:p>
            <w:pPr>
              <w:spacing w:after="0"/>
              <w:rPr>
                <w:sz w:val="6"/>
                <w:szCs w:val="6"/>
                <w:color w:val="auto"/>
              </w:rPr>
            </w:pPr>
          </w:p>
        </w:tc>
        <w:tc>
          <w:tcPr>
            <w:tcW w:w="2140" w:type="dxa"/>
            <w:vAlign w:val="bottom"/>
            <w:tcBorders>
              <w:bottom w:val="single" w:sz="8" w:color="5B89B4"/>
            </w:tcBorders>
          </w:tcPr>
          <w:p>
            <w:pPr>
              <w:spacing w:after="0"/>
              <w:rPr>
                <w:sz w:val="6"/>
                <w:szCs w:val="6"/>
                <w:color w:val="auto"/>
              </w:rPr>
            </w:pPr>
          </w:p>
        </w:tc>
      </w:tr>
      <w:tr>
        <w:trPr>
          <w:trHeight w:val="198"/>
        </w:trPr>
        <w:tc>
          <w:tcPr>
            <w:tcW w:w="60" w:type="dxa"/>
            <w:vAlign w:val="bottom"/>
          </w:tcPr>
          <w:p>
            <w:pPr>
              <w:spacing w:after="0"/>
              <w:rPr>
                <w:sz w:val="17"/>
                <w:szCs w:val="17"/>
                <w:color w:val="auto"/>
              </w:rPr>
            </w:pPr>
          </w:p>
        </w:tc>
        <w:tc>
          <w:tcPr>
            <w:tcW w:w="9060" w:type="dxa"/>
            <w:vAlign w:val="bottom"/>
            <w:gridSpan w:val="9"/>
          </w:tcPr>
          <w:p>
            <w:pPr>
              <w:ind w:left="20"/>
              <w:spacing w:after="0"/>
              <w:rPr>
                <w:sz w:val="20"/>
                <w:szCs w:val="20"/>
                <w:color w:val="auto"/>
              </w:rPr>
            </w:pPr>
            <w:r>
              <w:rPr>
                <w:rFonts w:ascii="Arial" w:cs="Arial" w:eastAsia="Arial" w:hAnsi="Arial"/>
                <w:sz w:val="16"/>
                <w:szCs w:val="16"/>
                <w:color w:val="231F20"/>
              </w:rPr>
              <w:t>Index to Consolidated Financial Statements:</w:t>
            </w:r>
          </w:p>
        </w:tc>
        <w:tc>
          <w:tcPr>
            <w:tcW w:w="2140" w:type="dxa"/>
            <w:vAlign w:val="bottom"/>
          </w:tcPr>
          <w:p>
            <w:pPr>
              <w:spacing w:after="0"/>
              <w:rPr>
                <w:sz w:val="17"/>
                <w:szCs w:val="17"/>
                <w:color w:val="auto"/>
              </w:rPr>
            </w:pPr>
          </w:p>
        </w:tc>
      </w:tr>
      <w:tr>
        <w:trPr>
          <w:trHeight w:val="17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40" w:type="dxa"/>
            <w:vAlign w:val="bottom"/>
            <w:tcBorders>
              <w:bottom w:val="single" w:sz="8" w:color="0000EE"/>
            </w:tcBorders>
            <w:gridSpan w:val="2"/>
          </w:tcPr>
          <w:p>
            <w:pPr>
              <w:spacing w:after="0" w:line="172" w:lineRule="exact"/>
              <w:rPr>
                <w:sz w:val="20"/>
                <w:szCs w:val="20"/>
                <w:color w:val="auto"/>
              </w:rPr>
            </w:pPr>
            <w:r>
              <w:rPr>
                <w:rFonts w:ascii="Arial" w:cs="Arial" w:eastAsia="Arial" w:hAnsi="Arial"/>
                <w:sz w:val="16"/>
                <w:szCs w:val="16"/>
                <w:color w:val="231F20"/>
                <w:w w:val="98"/>
              </w:rPr>
              <w:t>Report of Independent Registered Public Accounting Firm</w:t>
            </w:r>
          </w:p>
        </w:tc>
        <w:tc>
          <w:tcPr>
            <w:tcW w:w="4880" w:type="dxa"/>
            <w:vAlign w:val="bottom"/>
            <w:gridSpan w:val="6"/>
          </w:tcPr>
          <w:p>
            <w:pPr>
              <w:spacing w:after="0"/>
              <w:rPr>
                <w:sz w:val="14"/>
                <w:szCs w:val="14"/>
                <w:color w:val="auto"/>
              </w:rPr>
            </w:pPr>
          </w:p>
        </w:tc>
        <w:tc>
          <w:tcPr>
            <w:tcW w:w="2140" w:type="dxa"/>
            <w:vAlign w:val="bottom"/>
          </w:tcPr>
          <w:p>
            <w:pPr>
              <w:jc w:val="center"/>
              <w:ind w:left="845"/>
              <w:spacing w:after="0" w:line="172" w:lineRule="exact"/>
              <w:rPr>
                <w:sz w:val="20"/>
                <w:szCs w:val="20"/>
                <w:color w:val="auto"/>
              </w:rPr>
            </w:pPr>
            <w:r>
              <w:rPr>
                <w:rFonts w:ascii="Arial" w:cs="Arial" w:eastAsia="Arial" w:hAnsi="Arial"/>
                <w:sz w:val="16"/>
                <w:szCs w:val="16"/>
                <w:color w:val="231F20"/>
              </w:rPr>
              <w:t>46</w:t>
            </w:r>
          </w:p>
        </w:tc>
      </w:tr>
      <w:tr>
        <w:trPr>
          <w:trHeight w:val="193"/>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920" w:type="dxa"/>
            <w:vAlign w:val="bottom"/>
            <w:gridSpan w:val="8"/>
          </w:tcPr>
          <w:p>
            <w:pPr>
              <w:spacing w:after="0"/>
              <w:rPr>
                <w:sz w:val="20"/>
                <w:szCs w:val="20"/>
                <w:color w:val="auto"/>
              </w:rPr>
            </w:pPr>
            <w:r>
              <w:rPr>
                <w:rFonts w:ascii="Arial" w:cs="Arial" w:eastAsia="Arial" w:hAnsi="Arial"/>
                <w:sz w:val="16"/>
                <w:szCs w:val="16"/>
                <w:color w:val="231F20"/>
              </w:rPr>
              <w:t>Consolidated Statements of Operations for the years ended December 31, 2024, 2023 and 2022</w:t>
            </w:r>
          </w:p>
        </w:tc>
        <w:tc>
          <w:tcPr>
            <w:tcW w:w="2140" w:type="dxa"/>
            <w:vAlign w:val="bottom"/>
          </w:tcPr>
          <w:p>
            <w:pPr>
              <w:jc w:val="center"/>
              <w:ind w:left="845"/>
              <w:spacing w:after="0"/>
              <w:rPr>
                <w:sz w:val="20"/>
                <w:szCs w:val="20"/>
                <w:color w:val="auto"/>
              </w:rPr>
            </w:pPr>
            <w:r>
              <w:rPr>
                <w:rFonts w:ascii="Arial" w:cs="Arial" w:eastAsia="Arial" w:hAnsi="Arial"/>
                <w:sz w:val="16"/>
                <w:szCs w:val="16"/>
                <w:color w:val="231F20"/>
              </w:rPr>
              <w:t>49</w:t>
            </w: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2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231F20"/>
                <w:w w:val="98"/>
              </w:rPr>
              <w:t>Consolidated Statements of Comprehensive Income for the years ended December 31, 2024, 2023 and 2022</w:t>
            </w:r>
          </w:p>
        </w:tc>
        <w:tc>
          <w:tcPr>
            <w:tcW w:w="1300" w:type="dxa"/>
            <w:vAlign w:val="bottom"/>
          </w:tcPr>
          <w:p>
            <w:pPr>
              <w:spacing w:after="0"/>
              <w:rPr>
                <w:sz w:val="16"/>
                <w:szCs w:val="16"/>
                <w:color w:val="auto"/>
              </w:rPr>
            </w:pPr>
          </w:p>
        </w:tc>
        <w:tc>
          <w:tcPr>
            <w:tcW w:w="2140" w:type="dxa"/>
            <w:vAlign w:val="bottom"/>
          </w:tcPr>
          <w:p>
            <w:pPr>
              <w:jc w:val="center"/>
              <w:ind w:left="845"/>
              <w:spacing w:after="0"/>
              <w:rPr>
                <w:sz w:val="20"/>
                <w:szCs w:val="20"/>
                <w:color w:val="auto"/>
              </w:rPr>
            </w:pPr>
            <w:r>
              <w:rPr>
                <w:rFonts w:ascii="Arial" w:cs="Arial" w:eastAsia="Arial" w:hAnsi="Arial"/>
                <w:sz w:val="16"/>
                <w:szCs w:val="16"/>
                <w:color w:val="231F20"/>
              </w:rPr>
              <w:t>50</w:t>
            </w:r>
          </w:p>
        </w:tc>
      </w:tr>
      <w:tr>
        <w:trPr>
          <w:trHeight w:val="193"/>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920" w:type="dxa"/>
            <w:vAlign w:val="bottom"/>
            <w:gridSpan w:val="8"/>
          </w:tcPr>
          <w:p>
            <w:pPr>
              <w:spacing w:after="0"/>
              <w:rPr>
                <w:sz w:val="20"/>
                <w:szCs w:val="20"/>
                <w:color w:val="auto"/>
              </w:rPr>
            </w:pPr>
            <w:r>
              <w:rPr>
                <w:rFonts w:ascii="Arial" w:cs="Arial" w:eastAsia="Arial" w:hAnsi="Arial"/>
                <w:sz w:val="16"/>
                <w:szCs w:val="16"/>
                <w:color w:val="231F20"/>
              </w:rPr>
              <w:t>Consolidated Balance Sheets as of December 31, 2024 and 2023</w:t>
            </w:r>
          </w:p>
        </w:tc>
        <w:tc>
          <w:tcPr>
            <w:tcW w:w="2140" w:type="dxa"/>
            <w:vAlign w:val="bottom"/>
          </w:tcPr>
          <w:p>
            <w:pPr>
              <w:jc w:val="center"/>
              <w:ind w:left="845"/>
              <w:spacing w:after="0"/>
              <w:rPr>
                <w:sz w:val="20"/>
                <w:szCs w:val="20"/>
                <w:color w:val="auto"/>
              </w:rPr>
            </w:pPr>
            <w:r>
              <w:rPr>
                <w:rFonts w:ascii="Arial" w:cs="Arial" w:eastAsia="Arial" w:hAnsi="Arial"/>
                <w:sz w:val="16"/>
                <w:szCs w:val="16"/>
                <w:color w:val="231F20"/>
              </w:rPr>
              <w:t>51</w:t>
            </w: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78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231F20"/>
                <w:w w:val="98"/>
              </w:rPr>
              <w:t>Consolidated Statements of Cash Flows for the years ended December 31, 2024, 2023 and 2022</w:t>
            </w:r>
          </w:p>
        </w:tc>
        <w:tc>
          <w:tcPr>
            <w:tcW w:w="2140" w:type="dxa"/>
            <w:vAlign w:val="bottom"/>
            <w:gridSpan w:val="3"/>
          </w:tcPr>
          <w:p>
            <w:pPr>
              <w:spacing w:after="0"/>
              <w:rPr>
                <w:sz w:val="16"/>
                <w:szCs w:val="16"/>
                <w:color w:val="auto"/>
              </w:rPr>
            </w:pPr>
          </w:p>
        </w:tc>
        <w:tc>
          <w:tcPr>
            <w:tcW w:w="2140" w:type="dxa"/>
            <w:vAlign w:val="bottom"/>
          </w:tcPr>
          <w:p>
            <w:pPr>
              <w:jc w:val="center"/>
              <w:ind w:left="845"/>
              <w:spacing w:after="0"/>
              <w:rPr>
                <w:sz w:val="20"/>
                <w:szCs w:val="20"/>
                <w:color w:val="auto"/>
              </w:rPr>
            </w:pPr>
            <w:r>
              <w:rPr>
                <w:rFonts w:ascii="Arial" w:cs="Arial" w:eastAsia="Arial" w:hAnsi="Arial"/>
                <w:sz w:val="16"/>
                <w:szCs w:val="16"/>
                <w:color w:val="231F20"/>
              </w:rPr>
              <w:t>52</w:t>
            </w:r>
          </w:p>
        </w:tc>
      </w:tr>
      <w:tr>
        <w:trPr>
          <w:trHeight w:val="193"/>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920" w:type="dxa"/>
            <w:vAlign w:val="bottom"/>
            <w:gridSpan w:val="8"/>
          </w:tcPr>
          <w:p>
            <w:pPr>
              <w:spacing w:after="0"/>
              <w:rPr>
                <w:sz w:val="20"/>
                <w:szCs w:val="20"/>
                <w:color w:val="auto"/>
              </w:rPr>
            </w:pPr>
            <w:r>
              <w:rPr>
                <w:rFonts w:ascii="Arial" w:cs="Arial" w:eastAsia="Arial" w:hAnsi="Arial"/>
                <w:sz w:val="16"/>
                <w:szCs w:val="16"/>
                <w:color w:val="231F20"/>
              </w:rPr>
              <w:t>Consolidated Statements of Shareholders’ Equity for the years ended December 31, 2024, 2023 and 2022</w:t>
            </w:r>
          </w:p>
        </w:tc>
        <w:tc>
          <w:tcPr>
            <w:tcW w:w="2140" w:type="dxa"/>
            <w:vAlign w:val="bottom"/>
          </w:tcPr>
          <w:p>
            <w:pPr>
              <w:jc w:val="center"/>
              <w:ind w:left="845"/>
              <w:spacing w:after="0"/>
              <w:rPr>
                <w:sz w:val="20"/>
                <w:szCs w:val="20"/>
                <w:color w:val="auto"/>
              </w:rPr>
            </w:pPr>
            <w:r>
              <w:rPr>
                <w:rFonts w:ascii="Arial" w:cs="Arial" w:eastAsia="Arial" w:hAnsi="Arial"/>
                <w:sz w:val="16"/>
                <w:szCs w:val="16"/>
                <w:color w:val="231F20"/>
              </w:rPr>
              <w:t>53</w:t>
            </w: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4480" w:type="dxa"/>
            <w:vAlign w:val="bottom"/>
            <w:gridSpan w:val="5"/>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9060" w:type="dxa"/>
            <w:vAlign w:val="bottom"/>
            <w:gridSpan w:val="9"/>
          </w:tcPr>
          <w:p>
            <w:pPr>
              <w:spacing w:after="0"/>
              <w:rPr>
                <w:sz w:val="20"/>
                <w:szCs w:val="20"/>
                <w:color w:val="auto"/>
              </w:rPr>
            </w:pPr>
            <w:r>
              <w:rPr>
                <w:rFonts w:ascii="Arial" w:cs="Arial" w:eastAsia="Arial" w:hAnsi="Arial"/>
                <w:sz w:val="16"/>
                <w:szCs w:val="16"/>
                <w:color w:val="231F20"/>
              </w:rPr>
              <w:t>Notes to Consolidated Financial Statements</w:t>
            </w:r>
          </w:p>
        </w:tc>
        <w:tc>
          <w:tcPr>
            <w:tcW w:w="2140" w:type="dxa"/>
            <w:vAlign w:val="bottom"/>
          </w:tcPr>
          <w:p>
            <w:pPr>
              <w:jc w:val="center"/>
              <w:ind w:left="845"/>
              <w:spacing w:after="0"/>
              <w:rPr>
                <w:sz w:val="20"/>
                <w:szCs w:val="20"/>
                <w:color w:val="auto"/>
              </w:rPr>
            </w:pPr>
            <w:r>
              <w:rPr>
                <w:rFonts w:ascii="Arial" w:cs="Arial" w:eastAsia="Arial" w:hAnsi="Arial"/>
                <w:sz w:val="16"/>
                <w:szCs w:val="16"/>
                <w:color w:val="231F20"/>
              </w:rPr>
              <w:t>54</w:t>
            </w:r>
          </w:p>
        </w:tc>
      </w:tr>
      <w:tr>
        <w:trPr>
          <w:trHeight w:val="98"/>
        </w:trPr>
        <w:tc>
          <w:tcPr>
            <w:tcW w:w="60" w:type="dxa"/>
            <w:vAlign w:val="bottom"/>
            <w:tcBorders>
              <w:bottom w:val="single" w:sz="8" w:color="5B89B4"/>
            </w:tcBorders>
          </w:tcPr>
          <w:p>
            <w:pPr>
              <w:spacing w:after="0"/>
              <w:rPr>
                <w:sz w:val="8"/>
                <w:szCs w:val="8"/>
                <w:color w:val="auto"/>
              </w:rPr>
            </w:pPr>
          </w:p>
        </w:tc>
        <w:tc>
          <w:tcPr>
            <w:tcW w:w="140" w:type="dxa"/>
            <w:vAlign w:val="bottom"/>
            <w:tcBorders>
              <w:top w:val="single" w:sz="8" w:color="0000EE"/>
              <w:bottom w:val="single" w:sz="8" w:color="5B89B4"/>
            </w:tcBorders>
          </w:tcPr>
          <w:p>
            <w:pPr>
              <w:spacing w:after="0"/>
              <w:rPr>
                <w:sz w:val="8"/>
                <w:szCs w:val="8"/>
                <w:color w:val="auto"/>
              </w:rPr>
            </w:pPr>
          </w:p>
        </w:tc>
        <w:tc>
          <w:tcPr>
            <w:tcW w:w="2920" w:type="dxa"/>
            <w:vAlign w:val="bottom"/>
            <w:tcBorders>
              <w:top w:val="single" w:sz="8" w:color="0000EE"/>
              <w:bottom w:val="single" w:sz="8" w:color="5B89B4"/>
            </w:tcBorders>
          </w:tcPr>
          <w:p>
            <w:pPr>
              <w:spacing w:after="0"/>
              <w:rPr>
                <w:sz w:val="8"/>
                <w:szCs w:val="8"/>
                <w:color w:val="auto"/>
              </w:rPr>
            </w:pPr>
          </w:p>
        </w:tc>
        <w:tc>
          <w:tcPr>
            <w:tcW w:w="1120" w:type="dxa"/>
            <w:vAlign w:val="bottom"/>
            <w:tcBorders>
              <w:bottom w:val="single" w:sz="8" w:color="5B89B4"/>
            </w:tcBorders>
          </w:tcPr>
          <w:p>
            <w:pPr>
              <w:spacing w:after="0"/>
              <w:rPr>
                <w:sz w:val="8"/>
                <w:szCs w:val="8"/>
                <w:color w:val="auto"/>
              </w:rPr>
            </w:pPr>
          </w:p>
        </w:tc>
        <w:tc>
          <w:tcPr>
            <w:tcW w:w="540" w:type="dxa"/>
            <w:vAlign w:val="bottom"/>
            <w:tcBorders>
              <w:bottom w:val="single" w:sz="8" w:color="5B89B4"/>
            </w:tcBorders>
          </w:tcPr>
          <w:p>
            <w:pPr>
              <w:spacing w:after="0"/>
              <w:rPr>
                <w:sz w:val="8"/>
                <w:szCs w:val="8"/>
                <w:color w:val="auto"/>
              </w:rPr>
            </w:pPr>
          </w:p>
        </w:tc>
        <w:tc>
          <w:tcPr>
            <w:tcW w:w="2140" w:type="dxa"/>
            <w:vAlign w:val="bottom"/>
            <w:tcBorders>
              <w:bottom w:val="single" w:sz="8" w:color="5B89B4"/>
            </w:tcBorders>
          </w:tcPr>
          <w:p>
            <w:pPr>
              <w:spacing w:after="0"/>
              <w:rPr>
                <w:sz w:val="8"/>
                <w:szCs w:val="8"/>
                <w:color w:val="auto"/>
              </w:rPr>
            </w:pPr>
          </w:p>
        </w:tc>
        <w:tc>
          <w:tcPr>
            <w:tcW w:w="60" w:type="dxa"/>
            <w:vAlign w:val="bottom"/>
            <w:tcBorders>
              <w:bottom w:val="single" w:sz="8" w:color="5B89B4"/>
            </w:tcBorders>
          </w:tcPr>
          <w:p>
            <w:pPr>
              <w:spacing w:after="0"/>
              <w:rPr>
                <w:sz w:val="8"/>
                <w:szCs w:val="8"/>
                <w:color w:val="auto"/>
              </w:rPr>
            </w:pPr>
          </w:p>
        </w:tc>
        <w:tc>
          <w:tcPr>
            <w:tcW w:w="620" w:type="dxa"/>
            <w:vAlign w:val="bottom"/>
            <w:tcBorders>
              <w:bottom w:val="single" w:sz="8" w:color="5B89B4"/>
            </w:tcBorders>
          </w:tcPr>
          <w:p>
            <w:pPr>
              <w:spacing w:after="0"/>
              <w:rPr>
                <w:sz w:val="8"/>
                <w:szCs w:val="8"/>
                <w:color w:val="auto"/>
              </w:rPr>
            </w:pPr>
          </w:p>
        </w:tc>
        <w:tc>
          <w:tcPr>
            <w:tcW w:w="220" w:type="dxa"/>
            <w:vAlign w:val="bottom"/>
            <w:tcBorders>
              <w:bottom w:val="single" w:sz="8" w:color="5B89B4"/>
            </w:tcBorders>
          </w:tcPr>
          <w:p>
            <w:pPr>
              <w:spacing w:after="0"/>
              <w:rPr>
                <w:sz w:val="8"/>
                <w:szCs w:val="8"/>
                <w:color w:val="auto"/>
              </w:rPr>
            </w:pPr>
          </w:p>
        </w:tc>
        <w:tc>
          <w:tcPr>
            <w:tcW w:w="1300" w:type="dxa"/>
            <w:vAlign w:val="bottom"/>
            <w:tcBorders>
              <w:bottom w:val="single" w:sz="8" w:color="5B89B4"/>
            </w:tcBorders>
          </w:tcPr>
          <w:p>
            <w:pPr>
              <w:spacing w:after="0"/>
              <w:rPr>
                <w:sz w:val="8"/>
                <w:szCs w:val="8"/>
                <w:color w:val="auto"/>
              </w:rPr>
            </w:pPr>
          </w:p>
        </w:tc>
        <w:tc>
          <w:tcPr>
            <w:tcW w:w="2140" w:type="dxa"/>
            <w:vAlign w:val="bottom"/>
            <w:tcBorders>
              <w:bottom w:val="single" w:sz="8" w:color="5B89B4"/>
            </w:tcBorders>
          </w:tcPr>
          <w:p>
            <w:pPr>
              <w:spacing w:after="0"/>
              <w:rPr>
                <w:sz w:val="8"/>
                <w:szCs w:val="8"/>
                <w:color w:val="auto"/>
              </w:rPr>
            </w:pPr>
          </w:p>
        </w:tc>
      </w:tr>
      <w:tr>
        <w:trPr>
          <w:trHeight w:val="598"/>
        </w:trPr>
        <w:tc>
          <w:tcPr>
            <w:tcW w:w="6920" w:type="dxa"/>
            <w:vAlign w:val="bottom"/>
            <w:gridSpan w:val="6"/>
          </w:tcPr>
          <w:p>
            <w:pPr>
              <w:jc w:val="right"/>
              <w:ind w:right="1200"/>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651"/>
        </w:trPr>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45" w:name="page46"/>
    <w:bookmarkEnd w:id="45"/>
    <w:p>
      <w:pPr>
        <w:ind w:left="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231F20"/>
        </w:rPr>
        <w:t>To the shareholders and the Board of Directors of ManpowerGroup Inc.</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Opinion on Internal Control over Financial Reporting</w:t>
      </w:r>
    </w:p>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We have audited the internal control over financial reporting of ManpowerGroup Inc.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spacing w:after="0" w:line="12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We have also audited, in accordance with the standards of the Public Company Accounting Oversight Board (United States) (PCAOB), the consolidated financial statements as of and for the year ended December 31, 2024, of the Company and our report dated February 19, 2025, expressed an unqualified opinion on those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Basis for Opinion</w:t>
      </w:r>
    </w:p>
    <w:p>
      <w:pPr>
        <w:spacing w:after="0" w:line="14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5B89B4"/>
        </w:rPr>
        <w:t>Definition and Limitations of Internal Control over Financial Reporting</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231F20"/>
        </w:rPr>
        <w:t>/s/ Deloitte &amp; Touche LLP</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231F20"/>
        </w:rPr>
        <w:t>Milwaukee, Wisconsin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231F20"/>
        </w:rPr>
        <w:t>February 19, 2025</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46" w:name="page47"/>
    <w:bookmarkEnd w:id="46"/>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231F20"/>
        </w:rPr>
        <w:t>To the shareholders and the Board of Directors of ManpowerGroup Inc.</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Opinion on the Financial Statements</w:t>
      </w:r>
    </w:p>
    <w:p>
      <w:pPr>
        <w:spacing w:after="0" w:line="147"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231F20"/>
        </w:rPr>
        <w:t>We have audited the accompanying consolidated balance sheets of ManpowerGroup Inc. and subsidiaries (the "Company") as of December 31, 2024 and 2023, the related consolidated statements of operations, comprehensive income, shareholders' equity, and cash flows, for each of the three years in the period ended December 31, 2024, and the related notes and the schedule listed in the Index at Item 15(a)(2)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28" w:lineRule="exact"/>
        <w:rPr>
          <w:sz w:val="20"/>
          <w:szCs w:val="20"/>
          <w:color w:val="auto"/>
        </w:rPr>
      </w:pPr>
    </w:p>
    <w:p>
      <w:pPr>
        <w:ind w:right="240"/>
        <w:spacing w:after="0" w:line="241" w:lineRule="auto"/>
        <w:rPr>
          <w:sz w:val="20"/>
          <w:szCs w:val="20"/>
          <w:color w:val="auto"/>
        </w:rPr>
      </w:pPr>
      <w:r>
        <w:rPr>
          <w:rFonts w:ascii="Arial" w:cs="Arial" w:eastAsia="Arial" w:hAnsi="Arial"/>
          <w:sz w:val="16"/>
          <w:szCs w:val="16"/>
          <w:color w:val="231F20"/>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19, 2025, expressed an unqualified opinion on the Company's internal control over financial reporting.</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Basis for Opinion</w:t>
      </w:r>
    </w:p>
    <w:p>
      <w:pPr>
        <w:spacing w:after="0" w:line="147"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Critical Audit Matter</w:t>
      </w:r>
    </w:p>
    <w:p>
      <w:pPr>
        <w:spacing w:after="0" w:line="15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9" w:lineRule="exact"/>
        <w:rPr>
          <w:sz w:val="20"/>
          <w:szCs w:val="20"/>
          <w:color w:val="auto"/>
        </w:rPr>
      </w:pPr>
    </w:p>
    <w:p>
      <w:pPr>
        <w:ind w:right="4820"/>
        <w:spacing w:after="0" w:line="416" w:lineRule="auto"/>
        <w:rPr>
          <w:sz w:val="20"/>
          <w:szCs w:val="20"/>
          <w:color w:val="auto"/>
        </w:rPr>
      </w:pPr>
      <w:r>
        <w:rPr>
          <w:rFonts w:ascii="Arial" w:cs="Arial" w:eastAsia="Arial" w:hAnsi="Arial"/>
          <w:sz w:val="16"/>
          <w:szCs w:val="16"/>
          <w:b w:val="1"/>
          <w:bCs w:val="1"/>
          <w:i w:val="1"/>
          <w:iCs w:val="1"/>
          <w:color w:val="5B89B4"/>
        </w:rPr>
        <w:t xml:space="preserve">Goodwill – Certain Reporting Units - Refer to Notes 1 and 7 to the financial statements </w:t>
      </w:r>
      <w:r>
        <w:rPr>
          <w:rFonts w:ascii="Arial" w:cs="Arial" w:eastAsia="Arial" w:hAnsi="Arial"/>
          <w:sz w:val="16"/>
          <w:szCs w:val="16"/>
          <w:i w:val="1"/>
          <w:iCs w:val="1"/>
          <w:color w:val="5B89B4"/>
        </w:rPr>
        <w:t>Critical Audit Matter Description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The Company’s evaluation of goodwill for impairment involves the comparison of the estimated fair value of each reporting unit to its carrying value. The annual impairment test of goodwill at a reporting unit level is performed annually as of July 1, or more frequently if events or circumstances indicate the fair value of a reporting unit may be below its respective carrying value. The Company uses the income approach that estimates the fair value of the future discounted cash flows method. This method requires management to make significant estimates and assumptions related to discount rates, revenue growth rates, and operating unit profit margins for each reporting unit. Changes in these assumptions could have a significant impact on either the fair value, the amount of any goodwill impairment charge, or both.</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47" w:name="page48"/>
    <w:bookmarkEnd w:id="47"/>
    <w:p>
      <w:pPr>
        <w:ind w:left="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231F20"/>
        </w:rPr>
        <w:t>The three reporting units we identified as a critical audit matter are within North America and Europe, have fair values exceeding their carrying values as of the annual assessment, and represent $1,243.0 million of the consolidated Goodwill balance. Revenue growth rates, operating unit profit margins, and discount rates for these three reporting units are sensitive to significant and long-term deterioration in the macroeconomic environment, industry or market conditions. The goodwill for these three reporting units was identified as a critical audit matter considering the quantitative significance of recorded goodwill, the lower level of excess fair value, and the sensitivity of management’s estimates and assumptions to changes in the macroeconomic environment, industry or market conditions. Therefore, minor changes to the significant estimates and assumptions could result in an impairment. This required a high degree of auditor judgment and an increased extent of effort, including the need to involve professionals in our firm having expertise in valuation, when performing audit procedures to evaluate the reasonableness of management’s estimates and assumptions related to revenue growth rates, operating unit margins, and selection of the discount rates.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i w:val="1"/>
          <w:iCs w:val="1"/>
          <w:color w:val="5B89B4"/>
        </w:rPr>
        <w:t>How the Critical Audit Matter Was Addressed in the Audit</w:t>
      </w:r>
    </w:p>
    <w:p>
      <w:pPr>
        <w:spacing w:after="0" w:line="8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audit procedures related to the revenue growth rates, operating unit profit margins, and the selection of discount rates for the three reporting units included the following, among others:</w:t>
      </w:r>
    </w:p>
    <w:p>
      <w:pPr>
        <w:spacing w:after="0" w:line="51" w:lineRule="exact"/>
        <w:rPr>
          <w:sz w:val="20"/>
          <w:szCs w:val="20"/>
          <w:color w:val="auto"/>
        </w:rPr>
      </w:pPr>
    </w:p>
    <w:p>
      <w:pPr>
        <w:ind w:left="540" w:right="640" w:hanging="336"/>
        <w:spacing w:after="0" w:line="260" w:lineRule="auto"/>
        <w:tabs>
          <w:tab w:leader="none" w:pos="540" w:val="left"/>
        </w:tabs>
        <w:numPr>
          <w:ilvl w:val="0"/>
          <w:numId w:val="29"/>
        </w:numPr>
        <w:rPr>
          <w:rFonts w:ascii="Times New Roman" w:cs="Times New Roman" w:eastAsia="Times New Roman" w:hAnsi="Times New Roman"/>
          <w:sz w:val="16"/>
          <w:szCs w:val="16"/>
          <w:color w:val="5B89B4"/>
        </w:rPr>
      </w:pPr>
      <w:r>
        <w:rPr>
          <w:rFonts w:ascii="Arial" w:cs="Arial" w:eastAsia="Arial" w:hAnsi="Arial"/>
          <w:sz w:val="16"/>
          <w:szCs w:val="16"/>
          <w:color w:val="auto"/>
        </w:rPr>
        <w:t>We tested the design and operating effectiveness of controls over goodwill, including controls over the review of forecasts related to revenue and operating unit profit margins and selection of discount rates.</w:t>
      </w:r>
    </w:p>
    <w:p>
      <w:pPr>
        <w:spacing w:after="0" w:line="50" w:lineRule="exact"/>
        <w:rPr>
          <w:rFonts w:ascii="Times New Roman" w:cs="Times New Roman" w:eastAsia="Times New Roman" w:hAnsi="Times New Roman"/>
          <w:sz w:val="16"/>
          <w:szCs w:val="16"/>
          <w:color w:val="5B89B4"/>
        </w:rPr>
      </w:pPr>
    </w:p>
    <w:p>
      <w:pPr>
        <w:ind w:left="540" w:right="300" w:hanging="336"/>
        <w:spacing w:after="0" w:line="260" w:lineRule="auto"/>
        <w:tabs>
          <w:tab w:leader="none" w:pos="540" w:val="left"/>
        </w:tabs>
        <w:numPr>
          <w:ilvl w:val="0"/>
          <w:numId w:val="29"/>
        </w:numPr>
        <w:rPr>
          <w:rFonts w:ascii="Times New Roman" w:cs="Times New Roman" w:eastAsia="Times New Roman" w:hAnsi="Times New Roman"/>
          <w:sz w:val="16"/>
          <w:szCs w:val="16"/>
          <w:color w:val="5B89B4"/>
        </w:rPr>
      </w:pPr>
      <w:r>
        <w:rPr>
          <w:rFonts w:ascii="Arial" w:cs="Arial" w:eastAsia="Arial" w:hAnsi="Arial"/>
          <w:sz w:val="16"/>
          <w:szCs w:val="16"/>
          <w:color w:val="auto"/>
        </w:rPr>
        <w:t>We evaluated management’s ability to accurately forecast revenue and operating unit profit margins by performing a retrospective comparison of prior forecasts to actual results.</w:t>
      </w:r>
    </w:p>
    <w:p>
      <w:pPr>
        <w:spacing w:after="0" w:line="50" w:lineRule="exact"/>
        <w:rPr>
          <w:rFonts w:ascii="Times New Roman" w:cs="Times New Roman" w:eastAsia="Times New Roman" w:hAnsi="Times New Roman"/>
          <w:sz w:val="16"/>
          <w:szCs w:val="16"/>
          <w:color w:val="5B89B4"/>
        </w:rPr>
      </w:pPr>
    </w:p>
    <w:p>
      <w:pPr>
        <w:ind w:left="540" w:right="480" w:hanging="336"/>
        <w:spacing w:after="0" w:line="260" w:lineRule="auto"/>
        <w:tabs>
          <w:tab w:leader="none" w:pos="540" w:val="left"/>
        </w:tabs>
        <w:numPr>
          <w:ilvl w:val="0"/>
          <w:numId w:val="29"/>
        </w:numPr>
        <w:rPr>
          <w:rFonts w:ascii="Times New Roman" w:cs="Times New Roman" w:eastAsia="Times New Roman" w:hAnsi="Times New Roman"/>
          <w:sz w:val="16"/>
          <w:szCs w:val="16"/>
          <w:color w:val="5B89B4"/>
        </w:rPr>
      </w:pPr>
      <w:r>
        <w:rPr>
          <w:rFonts w:ascii="Arial" w:cs="Arial" w:eastAsia="Arial" w:hAnsi="Arial"/>
          <w:sz w:val="16"/>
          <w:szCs w:val="16"/>
          <w:color w:val="auto"/>
        </w:rPr>
        <w:t>We reviewed the reconciliation of the fair value of the reporting units to the market capitalization of the Company and assessed the resulting control premium.</w:t>
      </w:r>
    </w:p>
    <w:p>
      <w:pPr>
        <w:spacing w:after="0" w:line="50" w:lineRule="exact"/>
        <w:rPr>
          <w:rFonts w:ascii="Times New Roman" w:cs="Times New Roman" w:eastAsia="Times New Roman" w:hAnsi="Times New Roman"/>
          <w:sz w:val="16"/>
          <w:szCs w:val="16"/>
          <w:color w:val="5B89B4"/>
        </w:rPr>
      </w:pPr>
    </w:p>
    <w:p>
      <w:pPr>
        <w:ind w:left="540" w:hanging="336"/>
        <w:spacing w:after="0"/>
        <w:tabs>
          <w:tab w:leader="none" w:pos="540" w:val="left"/>
        </w:tabs>
        <w:numPr>
          <w:ilvl w:val="0"/>
          <w:numId w:val="29"/>
        </w:numPr>
        <w:rPr>
          <w:rFonts w:ascii="Times New Roman" w:cs="Times New Roman" w:eastAsia="Times New Roman" w:hAnsi="Times New Roman"/>
          <w:sz w:val="15"/>
          <w:szCs w:val="15"/>
          <w:color w:val="5B89B4"/>
        </w:rPr>
      </w:pPr>
      <w:r>
        <w:rPr>
          <w:rFonts w:ascii="Arial" w:cs="Arial" w:eastAsia="Arial" w:hAnsi="Arial"/>
          <w:sz w:val="15"/>
          <w:szCs w:val="15"/>
          <w:color w:val="auto"/>
        </w:rPr>
        <w:t>We evaluated the reasonableness of management’s revenue and operating unit profit margin forecasts by comparing the forecasts to (1) historical results</w:t>
      </w:r>
    </w:p>
    <w:p>
      <w:pPr>
        <w:spacing w:after="0" w:line="18" w:lineRule="exact"/>
        <w:rPr>
          <w:rFonts w:ascii="Times New Roman" w:cs="Times New Roman" w:eastAsia="Times New Roman" w:hAnsi="Times New Roman"/>
          <w:sz w:val="15"/>
          <w:szCs w:val="15"/>
          <w:color w:val="5B89B4"/>
        </w:rPr>
      </w:pPr>
    </w:p>
    <w:p>
      <w:pPr>
        <w:ind w:left="540" w:right="100"/>
        <w:spacing w:after="0" w:line="242" w:lineRule="auto"/>
        <w:rPr>
          <w:rFonts w:ascii="Times New Roman" w:cs="Times New Roman" w:eastAsia="Times New Roman" w:hAnsi="Times New Roman"/>
          <w:sz w:val="15"/>
          <w:szCs w:val="15"/>
          <w:color w:val="5B89B4"/>
        </w:rPr>
      </w:pPr>
      <w:r>
        <w:rPr>
          <w:rFonts w:ascii="Arial" w:cs="Arial" w:eastAsia="Arial" w:hAnsi="Arial"/>
          <w:sz w:val="16"/>
          <w:szCs w:val="16"/>
          <w:color w:val="auto"/>
        </w:rPr>
        <w:t>(2) internal communications to management and the Board of Directors, and (3) forecasted information included in Company press releases, analyst and industry reports of the Company and companies in its peer group.</w:t>
      </w:r>
    </w:p>
    <w:p>
      <w:pPr>
        <w:spacing w:after="0" w:line="64" w:lineRule="exact"/>
        <w:rPr>
          <w:rFonts w:ascii="Times New Roman" w:cs="Times New Roman" w:eastAsia="Times New Roman" w:hAnsi="Times New Roman"/>
          <w:sz w:val="15"/>
          <w:szCs w:val="15"/>
          <w:color w:val="5B89B4"/>
        </w:rPr>
      </w:pPr>
    </w:p>
    <w:p>
      <w:pPr>
        <w:ind w:left="540" w:hanging="336"/>
        <w:spacing w:after="0"/>
        <w:tabs>
          <w:tab w:leader="none" w:pos="540" w:val="left"/>
        </w:tabs>
        <w:numPr>
          <w:ilvl w:val="0"/>
          <w:numId w:val="29"/>
        </w:numPr>
        <w:rPr>
          <w:rFonts w:ascii="Times New Roman" w:cs="Times New Roman" w:eastAsia="Times New Roman" w:hAnsi="Times New Roman"/>
          <w:sz w:val="16"/>
          <w:szCs w:val="16"/>
          <w:color w:val="5B89B4"/>
        </w:rPr>
      </w:pPr>
      <w:r>
        <w:rPr>
          <w:rFonts w:ascii="Arial" w:cs="Arial" w:eastAsia="Arial" w:hAnsi="Arial"/>
          <w:sz w:val="16"/>
          <w:szCs w:val="16"/>
          <w:color w:val="auto"/>
        </w:rPr>
        <w:t>With the assistance of our fair value specialists, we evaluated the reasonableness of management’s fair value estimate by:</w:t>
      </w:r>
    </w:p>
    <w:p>
      <w:pPr>
        <w:spacing w:after="0" w:line="99" w:lineRule="exact"/>
        <w:rPr>
          <w:sz w:val="20"/>
          <w:szCs w:val="20"/>
          <w:color w:val="auto"/>
        </w:rPr>
      </w:pPr>
    </w:p>
    <w:p>
      <w:pPr>
        <w:ind w:left="1520" w:hanging="505"/>
        <w:spacing w:after="0"/>
        <w:tabs>
          <w:tab w:leader="none" w:pos="15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Testing the source information underlying the determination of the discount rate and the mathematical accuracy of the calculation.</w:t>
      </w:r>
    </w:p>
    <w:p>
      <w:pPr>
        <w:spacing w:after="0" w:line="99"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Developing a range of independent estimates of discount rates and comparing those to the discount rates selected by management.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Milwaukee, Wisconsin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February 19, 2025</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2005.</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3"/>
        </w:trPr>
        <w:tc>
          <w:tcPr>
            <w:tcW w:w="7420" w:type="dxa"/>
            <w:vAlign w:val="bottom"/>
            <w:shd w:val="clear" w:color="auto" w:fill="5B89B4"/>
          </w:tcPr>
          <w:p>
            <w:pPr>
              <w:spacing w:after="0"/>
              <w:rPr>
                <w:sz w:val="18"/>
                <w:szCs w:val="18"/>
                <w:color w:val="auto"/>
              </w:rPr>
            </w:pPr>
          </w:p>
        </w:tc>
        <w:tc>
          <w:tcPr>
            <w:tcW w:w="340" w:type="dxa"/>
            <w:vAlign w:val="bottom"/>
            <w:shd w:val="clear" w:color="auto" w:fill="5B89B4"/>
          </w:tcPr>
          <w:p>
            <w:pPr>
              <w:spacing w:after="0"/>
              <w:rPr>
                <w:sz w:val="18"/>
                <w:szCs w:val="18"/>
                <w:color w:val="auto"/>
              </w:rPr>
            </w:pPr>
          </w:p>
        </w:tc>
        <w:tc>
          <w:tcPr>
            <w:tcW w:w="920" w:type="dxa"/>
            <w:vAlign w:val="bottom"/>
            <w:shd w:val="clear" w:color="auto" w:fill="5B89B4"/>
          </w:tcPr>
          <w:p>
            <w:pPr>
              <w:spacing w:after="0"/>
              <w:rPr>
                <w:sz w:val="18"/>
                <w:szCs w:val="18"/>
                <w:color w:val="auto"/>
              </w:rPr>
            </w:pPr>
          </w:p>
        </w:tc>
        <w:tc>
          <w:tcPr>
            <w:tcW w:w="360" w:type="dxa"/>
            <w:vAlign w:val="bottom"/>
            <w:shd w:val="clear" w:color="auto" w:fill="5B89B4"/>
          </w:tcPr>
          <w:p>
            <w:pPr>
              <w:spacing w:after="0"/>
              <w:rPr>
                <w:sz w:val="18"/>
                <w:szCs w:val="18"/>
                <w:color w:val="auto"/>
              </w:rPr>
            </w:pPr>
          </w:p>
        </w:tc>
        <w:tc>
          <w:tcPr>
            <w:tcW w:w="920" w:type="dxa"/>
            <w:vAlign w:val="bottom"/>
            <w:shd w:val="clear" w:color="auto" w:fill="5B89B4"/>
          </w:tcPr>
          <w:p>
            <w:pPr>
              <w:spacing w:after="0"/>
              <w:rPr>
                <w:sz w:val="18"/>
                <w:szCs w:val="18"/>
                <w:color w:val="auto"/>
              </w:rPr>
            </w:pPr>
          </w:p>
        </w:tc>
        <w:tc>
          <w:tcPr>
            <w:tcW w:w="360" w:type="dxa"/>
            <w:vAlign w:val="bottom"/>
            <w:shd w:val="clear" w:color="auto" w:fill="5B89B4"/>
          </w:tcPr>
          <w:p>
            <w:pPr>
              <w:spacing w:after="0"/>
              <w:rPr>
                <w:sz w:val="18"/>
                <w:szCs w:val="18"/>
                <w:color w:val="auto"/>
              </w:rPr>
            </w:pPr>
          </w:p>
        </w:tc>
        <w:tc>
          <w:tcPr>
            <w:tcW w:w="940" w:type="dxa"/>
            <w:vAlign w:val="bottom"/>
            <w:shd w:val="clear" w:color="auto" w:fill="5B89B4"/>
          </w:tcPr>
          <w:p>
            <w:pPr>
              <w:jc w:val="right"/>
              <w:ind w:right="9"/>
              <w:spacing w:after="0"/>
              <w:rPr>
                <w:sz w:val="20"/>
                <w:szCs w:val="20"/>
                <w:color w:val="auto"/>
              </w:rPr>
            </w:pPr>
            <w:r>
              <w:rPr>
                <w:rFonts w:ascii="Arial" w:cs="Arial" w:eastAsia="Arial" w:hAnsi="Arial"/>
                <w:sz w:val="16"/>
                <w:szCs w:val="16"/>
                <w:color w:val="FFFFFF"/>
              </w:rPr>
              <w:t>Part II</w:t>
            </w:r>
          </w:p>
        </w:tc>
      </w:tr>
      <w:tr>
        <w:trPr>
          <w:trHeight w:val="328"/>
        </w:trPr>
        <w:tc>
          <w:tcPr>
            <w:tcW w:w="7420" w:type="dxa"/>
            <w:vAlign w:val="bottom"/>
          </w:tcPr>
          <w:p>
            <w:pPr>
              <w:spacing w:after="0"/>
              <w:rPr>
                <w:sz w:val="20"/>
                <w:szCs w:val="20"/>
                <w:color w:val="auto"/>
              </w:rPr>
            </w:pPr>
            <w:r>
              <w:rPr>
                <w:rFonts w:ascii="Arial" w:cs="Arial" w:eastAsia="Arial" w:hAnsi="Arial"/>
                <w:sz w:val="22"/>
                <w:szCs w:val="22"/>
                <w:b w:val="1"/>
                <w:bCs w:val="1"/>
                <w:color w:val="5B89B4"/>
              </w:rPr>
              <w:t>CONSOLIDATED STATEMENTS OF OPERATIONS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5"/>
        </w:trPr>
        <w:tc>
          <w:tcPr>
            <w:tcW w:w="7420" w:type="dxa"/>
            <w:vAlign w:val="bottom"/>
          </w:tcPr>
          <w:p>
            <w:pPr>
              <w:spacing w:after="0"/>
              <w:rPr>
                <w:sz w:val="20"/>
                <w:szCs w:val="20"/>
                <w:color w:val="auto"/>
              </w:rPr>
            </w:pPr>
            <w:r>
              <w:rPr>
                <w:rFonts w:ascii="Arial" w:cs="Arial" w:eastAsia="Arial" w:hAnsi="Arial"/>
                <w:sz w:val="16"/>
                <w:szCs w:val="16"/>
                <w:b w:val="1"/>
                <w:bCs w:val="1"/>
                <w:i w:val="1"/>
                <w:iCs w:val="1"/>
                <w:color w:val="5B89B4"/>
              </w:rPr>
              <w:t>in millions, except per share data</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84"/>
        </w:trPr>
        <w:tc>
          <w:tcPr>
            <w:tcW w:w="7420" w:type="dxa"/>
            <w:vAlign w:val="bottom"/>
            <w:tcBorders>
              <w:bottom w:val="single" w:sz="8" w:color="231F20"/>
            </w:tcBorders>
          </w:tcPr>
          <w:p>
            <w:pPr>
              <w:spacing w:after="0"/>
              <w:rPr>
                <w:sz w:val="7"/>
                <w:szCs w:val="7"/>
                <w:color w:val="auto"/>
              </w:rPr>
            </w:pPr>
          </w:p>
        </w:tc>
        <w:tc>
          <w:tcPr>
            <w:tcW w:w="340" w:type="dxa"/>
            <w:vAlign w:val="bottom"/>
            <w:tcBorders>
              <w:bottom w:val="single" w:sz="8" w:color="231F20"/>
            </w:tcBorders>
          </w:tcPr>
          <w:p>
            <w:pPr>
              <w:spacing w:after="0"/>
              <w:rPr>
                <w:sz w:val="7"/>
                <w:szCs w:val="7"/>
                <w:color w:val="auto"/>
              </w:rPr>
            </w:pPr>
          </w:p>
        </w:tc>
        <w:tc>
          <w:tcPr>
            <w:tcW w:w="920" w:type="dxa"/>
            <w:vAlign w:val="bottom"/>
            <w:tcBorders>
              <w:bottom w:val="single" w:sz="8" w:color="231F20"/>
            </w:tcBorders>
          </w:tcPr>
          <w:p>
            <w:pPr>
              <w:spacing w:after="0"/>
              <w:rPr>
                <w:sz w:val="7"/>
                <w:szCs w:val="7"/>
                <w:color w:val="auto"/>
              </w:rPr>
            </w:pPr>
          </w:p>
        </w:tc>
        <w:tc>
          <w:tcPr>
            <w:tcW w:w="360" w:type="dxa"/>
            <w:vAlign w:val="bottom"/>
            <w:tcBorders>
              <w:bottom w:val="single" w:sz="8" w:color="231F20"/>
            </w:tcBorders>
          </w:tcPr>
          <w:p>
            <w:pPr>
              <w:spacing w:after="0"/>
              <w:rPr>
                <w:sz w:val="7"/>
                <w:szCs w:val="7"/>
                <w:color w:val="auto"/>
              </w:rPr>
            </w:pPr>
          </w:p>
        </w:tc>
        <w:tc>
          <w:tcPr>
            <w:tcW w:w="920" w:type="dxa"/>
            <w:vAlign w:val="bottom"/>
            <w:tcBorders>
              <w:bottom w:val="single" w:sz="8" w:color="231F20"/>
            </w:tcBorders>
          </w:tcPr>
          <w:p>
            <w:pPr>
              <w:spacing w:after="0"/>
              <w:rPr>
                <w:sz w:val="7"/>
                <w:szCs w:val="7"/>
                <w:color w:val="auto"/>
              </w:rPr>
            </w:pPr>
          </w:p>
        </w:tc>
        <w:tc>
          <w:tcPr>
            <w:tcW w:w="360" w:type="dxa"/>
            <w:vAlign w:val="bottom"/>
            <w:tcBorders>
              <w:bottom w:val="single" w:sz="8" w:color="231F20"/>
            </w:tcBorders>
          </w:tcPr>
          <w:p>
            <w:pPr>
              <w:spacing w:after="0"/>
              <w:rPr>
                <w:sz w:val="7"/>
                <w:szCs w:val="7"/>
                <w:color w:val="auto"/>
              </w:rPr>
            </w:pPr>
          </w:p>
        </w:tc>
        <w:tc>
          <w:tcPr>
            <w:tcW w:w="940" w:type="dxa"/>
            <w:vAlign w:val="bottom"/>
            <w:tcBorders>
              <w:bottom w:val="single" w:sz="8" w:color="231F20"/>
            </w:tcBorders>
          </w:tcPr>
          <w:p>
            <w:pPr>
              <w:spacing w:after="0"/>
              <w:rPr>
                <w:sz w:val="7"/>
                <w:szCs w:val="7"/>
                <w:color w:val="auto"/>
              </w:rPr>
            </w:pPr>
          </w:p>
        </w:tc>
      </w:tr>
      <w:tr>
        <w:trPr>
          <w:trHeight w:val="211"/>
        </w:trPr>
        <w:tc>
          <w:tcPr>
            <w:tcW w:w="7420" w:type="dxa"/>
            <w:vAlign w:val="bottom"/>
            <w:tcBorders>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Year Ended December 31</w:t>
            </w:r>
          </w:p>
        </w:tc>
        <w:tc>
          <w:tcPr>
            <w:tcW w:w="340" w:type="dxa"/>
            <w:vAlign w:val="bottom"/>
            <w:tcBorders>
              <w:bottom w:val="single" w:sz="8" w:color="auto"/>
            </w:tcBorders>
            <w:shd w:val="clear" w:color="auto" w:fill="98B0CF"/>
          </w:tcPr>
          <w:p>
            <w:pPr>
              <w:spacing w:after="0"/>
              <w:rPr>
                <w:sz w:val="18"/>
                <w:szCs w:val="18"/>
                <w:color w:val="auto"/>
              </w:rPr>
            </w:pPr>
          </w:p>
        </w:tc>
        <w:tc>
          <w:tcPr>
            <w:tcW w:w="920" w:type="dxa"/>
            <w:vAlign w:val="bottom"/>
            <w:tcBorders>
              <w:bottom w:val="single" w:sz="8" w:color="auto"/>
            </w:tcBorders>
            <w:shd w:val="clear" w:color="auto" w:fill="98B0CF"/>
          </w:tcPr>
          <w:p>
            <w:pPr>
              <w:jc w:val="right"/>
              <w:ind w:right="430"/>
              <w:spacing w:after="0"/>
              <w:rPr>
                <w:sz w:val="20"/>
                <w:szCs w:val="20"/>
                <w:color w:val="auto"/>
              </w:rPr>
            </w:pPr>
            <w:r>
              <w:rPr>
                <w:rFonts w:ascii="Arial" w:cs="Arial" w:eastAsia="Arial" w:hAnsi="Arial"/>
                <w:sz w:val="13"/>
                <w:szCs w:val="13"/>
                <w:b w:val="1"/>
                <w:bCs w:val="1"/>
                <w:color w:val="231F20"/>
              </w:rPr>
              <w:t>2024</w:t>
            </w:r>
          </w:p>
        </w:tc>
        <w:tc>
          <w:tcPr>
            <w:tcW w:w="360" w:type="dxa"/>
            <w:vAlign w:val="bottom"/>
            <w:tcBorders>
              <w:bottom w:val="single" w:sz="8" w:color="auto"/>
            </w:tcBorders>
            <w:shd w:val="clear" w:color="auto" w:fill="98B0CF"/>
          </w:tcPr>
          <w:p>
            <w:pPr>
              <w:spacing w:after="0"/>
              <w:rPr>
                <w:sz w:val="18"/>
                <w:szCs w:val="18"/>
                <w:color w:val="auto"/>
              </w:rPr>
            </w:pPr>
          </w:p>
        </w:tc>
        <w:tc>
          <w:tcPr>
            <w:tcW w:w="920" w:type="dxa"/>
            <w:vAlign w:val="bottom"/>
            <w:tcBorders>
              <w:bottom w:val="single" w:sz="8" w:color="auto"/>
            </w:tcBorders>
            <w:shd w:val="clear" w:color="auto" w:fill="98B0CF"/>
          </w:tcPr>
          <w:p>
            <w:pPr>
              <w:jc w:val="right"/>
              <w:ind w:right="430"/>
              <w:spacing w:after="0"/>
              <w:rPr>
                <w:sz w:val="20"/>
                <w:szCs w:val="20"/>
                <w:color w:val="auto"/>
              </w:rPr>
            </w:pPr>
            <w:r>
              <w:rPr>
                <w:rFonts w:ascii="Arial" w:cs="Arial" w:eastAsia="Arial" w:hAnsi="Arial"/>
                <w:sz w:val="13"/>
                <w:szCs w:val="13"/>
                <w:b w:val="1"/>
                <w:bCs w:val="1"/>
                <w:color w:val="231F20"/>
              </w:rPr>
              <w:t>2023</w:t>
            </w:r>
          </w:p>
        </w:tc>
        <w:tc>
          <w:tcPr>
            <w:tcW w:w="360" w:type="dxa"/>
            <w:vAlign w:val="bottom"/>
            <w:tcBorders>
              <w:bottom w:val="single" w:sz="8" w:color="auto"/>
            </w:tcBorders>
            <w:shd w:val="clear" w:color="auto" w:fill="98B0CF"/>
          </w:tcPr>
          <w:p>
            <w:pPr>
              <w:spacing w:after="0"/>
              <w:rPr>
                <w:sz w:val="18"/>
                <w:szCs w:val="18"/>
                <w:color w:val="auto"/>
              </w:rPr>
            </w:pPr>
          </w:p>
        </w:tc>
        <w:tc>
          <w:tcPr>
            <w:tcW w:w="940" w:type="dxa"/>
            <w:vAlign w:val="bottom"/>
            <w:tcBorders>
              <w:bottom w:val="single" w:sz="8" w:color="auto"/>
            </w:tcBorders>
            <w:shd w:val="clear" w:color="auto" w:fill="98B0CF"/>
          </w:tcPr>
          <w:p>
            <w:pPr>
              <w:jc w:val="right"/>
              <w:ind w:right="449"/>
              <w:spacing w:after="0"/>
              <w:rPr>
                <w:sz w:val="20"/>
                <w:szCs w:val="20"/>
                <w:color w:val="auto"/>
              </w:rPr>
            </w:pPr>
            <w:r>
              <w:rPr>
                <w:rFonts w:ascii="Arial" w:cs="Arial" w:eastAsia="Arial" w:hAnsi="Arial"/>
                <w:sz w:val="13"/>
                <w:szCs w:val="13"/>
                <w:b w:val="1"/>
                <w:bCs w:val="1"/>
                <w:color w:val="231F20"/>
              </w:rPr>
              <w:t>2022</w:t>
            </w:r>
          </w:p>
        </w:tc>
      </w:tr>
      <w:tr>
        <w:trPr>
          <w:trHeight w:val="187"/>
        </w:trPr>
        <w:tc>
          <w:tcPr>
            <w:tcW w:w="742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Revenues from services</w:t>
            </w:r>
          </w:p>
        </w:tc>
        <w:tc>
          <w:tcPr>
            <w:tcW w:w="3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231F20"/>
              </w:rPr>
              <w:t>17,853.9</w:t>
            </w:r>
          </w:p>
        </w:tc>
        <w:tc>
          <w:tcPr>
            <w:tcW w:w="36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w:t>
            </w:r>
          </w:p>
        </w:tc>
        <w:tc>
          <w:tcPr>
            <w:tcW w:w="92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231F20"/>
              </w:rPr>
              <w:t>18,914.5</w:t>
            </w:r>
          </w:p>
        </w:tc>
        <w:tc>
          <w:tcPr>
            <w:tcW w:w="36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w:t>
            </w:r>
          </w:p>
        </w:tc>
        <w:tc>
          <w:tcPr>
            <w:tcW w:w="9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19,827.5</w:t>
            </w:r>
          </w:p>
        </w:tc>
      </w:tr>
      <w:tr>
        <w:trPr>
          <w:trHeight w:val="188"/>
        </w:trPr>
        <w:tc>
          <w:tcPr>
            <w:tcW w:w="742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Cost of services</w:t>
            </w:r>
          </w:p>
        </w:tc>
        <w:tc>
          <w:tcPr>
            <w:tcW w:w="34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14,767.1</w:t>
            </w:r>
          </w:p>
        </w:tc>
        <w:tc>
          <w:tcPr>
            <w:tcW w:w="36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15,556.5</w:t>
            </w:r>
          </w:p>
        </w:tc>
        <w:tc>
          <w:tcPr>
            <w:tcW w:w="36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16,255.1</w:t>
            </w:r>
          </w:p>
        </w:tc>
      </w:tr>
      <w:tr>
        <w:trPr>
          <w:trHeight w:val="181"/>
        </w:trPr>
        <w:tc>
          <w:tcPr>
            <w:tcW w:w="7420" w:type="dxa"/>
            <w:vAlign w:val="bottom"/>
            <w:tcBorders>
              <w:bottom w:val="single" w:sz="8" w:color="231F20"/>
            </w:tcBorders>
            <w:shd w:val="clear" w:color="auto" w:fill="E2E8F1"/>
          </w:tcPr>
          <w:p>
            <w:pPr>
              <w:ind w:left="240"/>
              <w:spacing w:after="0"/>
              <w:rPr>
                <w:sz w:val="20"/>
                <w:szCs w:val="20"/>
                <w:color w:val="auto"/>
              </w:rPr>
            </w:pPr>
            <w:r>
              <w:rPr>
                <w:rFonts w:ascii="Arial" w:cs="Arial" w:eastAsia="Arial" w:hAnsi="Arial"/>
                <w:sz w:val="14"/>
                <w:szCs w:val="14"/>
                <w:color w:val="231F20"/>
              </w:rPr>
              <w:t>Gross profit</w:t>
            </w:r>
          </w:p>
        </w:tc>
        <w:tc>
          <w:tcPr>
            <w:tcW w:w="340" w:type="dxa"/>
            <w:vAlign w:val="bottom"/>
            <w:tcBorders>
              <w:bottom w:val="single" w:sz="8" w:color="231F20"/>
            </w:tcBorders>
            <w:shd w:val="clear" w:color="auto" w:fill="E2E8F1"/>
          </w:tcPr>
          <w:p>
            <w:pPr>
              <w:spacing w:after="0"/>
              <w:rPr>
                <w:sz w:val="15"/>
                <w:szCs w:val="15"/>
                <w:color w:val="auto"/>
              </w:rPr>
            </w:pPr>
          </w:p>
        </w:tc>
        <w:tc>
          <w:tcPr>
            <w:tcW w:w="92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3,086.8</w:t>
            </w:r>
          </w:p>
        </w:tc>
        <w:tc>
          <w:tcPr>
            <w:tcW w:w="360" w:type="dxa"/>
            <w:vAlign w:val="bottom"/>
            <w:tcBorders>
              <w:bottom w:val="single" w:sz="8" w:color="231F20"/>
            </w:tcBorders>
            <w:shd w:val="clear" w:color="auto" w:fill="E2E8F1"/>
          </w:tcPr>
          <w:p>
            <w:pPr>
              <w:spacing w:after="0"/>
              <w:rPr>
                <w:sz w:val="15"/>
                <w:szCs w:val="15"/>
                <w:color w:val="auto"/>
              </w:rPr>
            </w:pPr>
          </w:p>
        </w:tc>
        <w:tc>
          <w:tcPr>
            <w:tcW w:w="92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3,358.0</w:t>
            </w:r>
          </w:p>
        </w:tc>
        <w:tc>
          <w:tcPr>
            <w:tcW w:w="360" w:type="dxa"/>
            <w:vAlign w:val="bottom"/>
            <w:tcBorders>
              <w:bottom w:val="single" w:sz="8" w:color="231F20"/>
            </w:tcBorders>
            <w:shd w:val="clear" w:color="auto" w:fill="E2E8F1"/>
          </w:tcPr>
          <w:p>
            <w:pPr>
              <w:spacing w:after="0"/>
              <w:rPr>
                <w:sz w:val="15"/>
                <w:szCs w:val="15"/>
                <w:color w:val="auto"/>
              </w:rPr>
            </w:pPr>
          </w:p>
        </w:tc>
        <w:tc>
          <w:tcPr>
            <w:tcW w:w="9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3,572.4</w:t>
            </w:r>
          </w:p>
        </w:tc>
      </w:tr>
      <w:tr>
        <w:trPr>
          <w:trHeight w:val="181"/>
        </w:trPr>
        <w:tc>
          <w:tcPr>
            <w:tcW w:w="7420" w:type="dxa"/>
            <w:vAlign w:val="bottom"/>
          </w:tcPr>
          <w:p>
            <w:pPr>
              <w:ind w:left="80"/>
              <w:spacing w:after="0"/>
              <w:rPr>
                <w:sz w:val="20"/>
                <w:szCs w:val="20"/>
                <w:color w:val="auto"/>
              </w:rPr>
            </w:pPr>
            <w:r>
              <w:rPr>
                <w:rFonts w:ascii="Arial" w:cs="Arial" w:eastAsia="Arial" w:hAnsi="Arial"/>
                <w:sz w:val="14"/>
                <w:szCs w:val="14"/>
                <w:color w:val="231F20"/>
              </w:rPr>
              <w:t>Selling and administrative expenses, excluding goodwill impairment charges</w:t>
            </w:r>
          </w:p>
        </w:tc>
        <w:tc>
          <w:tcPr>
            <w:tcW w:w="340" w:type="dxa"/>
            <w:vAlign w:val="bottom"/>
          </w:tcPr>
          <w:p>
            <w:pPr>
              <w:spacing w:after="0"/>
              <w:rPr>
                <w:sz w:val="15"/>
                <w:szCs w:val="15"/>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231F20"/>
              </w:rPr>
              <w:t>2,780.8</w:t>
            </w:r>
          </w:p>
        </w:tc>
        <w:tc>
          <w:tcPr>
            <w:tcW w:w="360" w:type="dxa"/>
            <w:vAlign w:val="bottom"/>
          </w:tcPr>
          <w:p>
            <w:pPr>
              <w:spacing w:after="0"/>
              <w:rPr>
                <w:sz w:val="15"/>
                <w:szCs w:val="15"/>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231F20"/>
              </w:rPr>
              <w:t>3,047.1</w:t>
            </w:r>
          </w:p>
        </w:tc>
        <w:tc>
          <w:tcPr>
            <w:tcW w:w="36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231F20"/>
              </w:rPr>
              <w:t>2,940.7</w:t>
            </w:r>
          </w:p>
        </w:tc>
      </w:tr>
      <w:tr>
        <w:trPr>
          <w:trHeight w:val="189"/>
        </w:trPr>
        <w:tc>
          <w:tcPr>
            <w:tcW w:w="742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231F20"/>
              </w:rPr>
              <w:t>Goodwill impairment charges</w:t>
            </w:r>
          </w:p>
        </w:tc>
        <w:tc>
          <w:tcPr>
            <w:tcW w:w="340" w:type="dxa"/>
            <w:vAlign w:val="bottom"/>
            <w:tcBorders>
              <w:bottom w:val="single" w:sz="8" w:color="231F20"/>
            </w:tcBorders>
            <w:shd w:val="clear" w:color="auto" w:fill="E2E8F1"/>
          </w:tcPr>
          <w:p>
            <w:pPr>
              <w:spacing w:after="0"/>
              <w:rPr>
                <w:sz w:val="16"/>
                <w:szCs w:val="16"/>
                <w:color w:val="auto"/>
              </w:rPr>
            </w:pPr>
          </w:p>
        </w:tc>
        <w:tc>
          <w:tcPr>
            <w:tcW w:w="92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w:t>
            </w:r>
          </w:p>
        </w:tc>
        <w:tc>
          <w:tcPr>
            <w:tcW w:w="360" w:type="dxa"/>
            <w:vAlign w:val="bottom"/>
            <w:tcBorders>
              <w:bottom w:val="single" w:sz="8" w:color="231F20"/>
            </w:tcBorders>
            <w:shd w:val="clear" w:color="auto" w:fill="E2E8F1"/>
          </w:tcPr>
          <w:p>
            <w:pPr>
              <w:spacing w:after="0"/>
              <w:rPr>
                <w:sz w:val="16"/>
                <w:szCs w:val="16"/>
                <w:color w:val="auto"/>
              </w:rPr>
            </w:pPr>
          </w:p>
        </w:tc>
        <w:tc>
          <w:tcPr>
            <w:tcW w:w="92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55.1</w:t>
            </w:r>
          </w:p>
        </w:tc>
        <w:tc>
          <w:tcPr>
            <w:tcW w:w="360" w:type="dxa"/>
            <w:vAlign w:val="bottom"/>
            <w:tcBorders>
              <w:bottom w:val="single" w:sz="8" w:color="231F20"/>
            </w:tcBorders>
            <w:shd w:val="clear" w:color="auto" w:fill="E2E8F1"/>
          </w:tcPr>
          <w:p>
            <w:pPr>
              <w:spacing w:after="0"/>
              <w:rPr>
                <w:sz w:val="16"/>
                <w:szCs w:val="16"/>
                <w:color w:val="auto"/>
              </w:rPr>
            </w:pPr>
          </w:p>
        </w:tc>
        <w:tc>
          <w:tcPr>
            <w:tcW w:w="9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50.0</w:t>
            </w:r>
          </w:p>
        </w:tc>
      </w:tr>
      <w:tr>
        <w:trPr>
          <w:trHeight w:val="181"/>
        </w:trPr>
        <w:tc>
          <w:tcPr>
            <w:tcW w:w="742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Selling and administrative expenses</w:t>
            </w:r>
          </w:p>
        </w:tc>
        <w:tc>
          <w:tcPr>
            <w:tcW w:w="34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2,780.8</w:t>
            </w:r>
          </w:p>
        </w:tc>
        <w:tc>
          <w:tcPr>
            <w:tcW w:w="36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3,102.2</w:t>
            </w:r>
          </w:p>
        </w:tc>
        <w:tc>
          <w:tcPr>
            <w:tcW w:w="360" w:type="dxa"/>
            <w:vAlign w:val="bottom"/>
            <w:tcBorders>
              <w:bottom w:val="single" w:sz="8" w:color="231F20"/>
            </w:tcBorders>
          </w:tcPr>
          <w:p>
            <w:pPr>
              <w:spacing w:after="0"/>
              <w:rPr>
                <w:sz w:val="15"/>
                <w:szCs w:val="15"/>
                <w:color w:val="auto"/>
              </w:rPr>
            </w:pPr>
          </w:p>
        </w:tc>
        <w:tc>
          <w:tcPr>
            <w:tcW w:w="94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2,990.7</w:t>
            </w:r>
          </w:p>
        </w:tc>
      </w:tr>
      <w:tr>
        <w:trPr>
          <w:trHeight w:val="182"/>
        </w:trPr>
        <w:tc>
          <w:tcPr>
            <w:tcW w:w="742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Operating profit</w:t>
            </w:r>
          </w:p>
        </w:tc>
        <w:tc>
          <w:tcPr>
            <w:tcW w:w="340" w:type="dxa"/>
            <w:vAlign w:val="bottom"/>
            <w:shd w:val="clear" w:color="auto" w:fill="E2E8F1"/>
          </w:tcPr>
          <w:p>
            <w:pPr>
              <w:spacing w:after="0"/>
              <w:rPr>
                <w:sz w:val="15"/>
                <w:szCs w:val="15"/>
                <w:color w:val="auto"/>
              </w:rPr>
            </w:pPr>
          </w:p>
        </w:tc>
        <w:tc>
          <w:tcPr>
            <w:tcW w:w="92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231F20"/>
              </w:rPr>
              <w:t>306.0</w:t>
            </w:r>
          </w:p>
        </w:tc>
        <w:tc>
          <w:tcPr>
            <w:tcW w:w="360" w:type="dxa"/>
            <w:vAlign w:val="bottom"/>
            <w:shd w:val="clear" w:color="auto" w:fill="E2E8F1"/>
          </w:tcPr>
          <w:p>
            <w:pPr>
              <w:spacing w:after="0"/>
              <w:rPr>
                <w:sz w:val="15"/>
                <w:szCs w:val="15"/>
                <w:color w:val="auto"/>
              </w:rPr>
            </w:pPr>
          </w:p>
        </w:tc>
        <w:tc>
          <w:tcPr>
            <w:tcW w:w="92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231F20"/>
              </w:rPr>
              <w:t>255.8</w:t>
            </w:r>
          </w:p>
        </w:tc>
        <w:tc>
          <w:tcPr>
            <w:tcW w:w="360" w:type="dxa"/>
            <w:vAlign w:val="bottom"/>
            <w:shd w:val="clear" w:color="auto" w:fill="E2E8F1"/>
          </w:tcPr>
          <w:p>
            <w:pPr>
              <w:spacing w:after="0"/>
              <w:rPr>
                <w:sz w:val="15"/>
                <w:szCs w:val="15"/>
                <w:color w:val="auto"/>
              </w:rPr>
            </w:pPr>
          </w:p>
        </w:tc>
        <w:tc>
          <w:tcPr>
            <w:tcW w:w="9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581.7</w:t>
            </w:r>
          </w:p>
        </w:tc>
      </w:tr>
      <w:tr>
        <w:trPr>
          <w:trHeight w:val="188"/>
        </w:trPr>
        <w:tc>
          <w:tcPr>
            <w:tcW w:w="742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Interest and other expenses, net</w:t>
            </w:r>
          </w:p>
        </w:tc>
        <w:tc>
          <w:tcPr>
            <w:tcW w:w="34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49.2</w:t>
            </w:r>
          </w:p>
        </w:tc>
        <w:tc>
          <w:tcPr>
            <w:tcW w:w="36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49.9</w:t>
            </w:r>
          </w:p>
        </w:tc>
        <w:tc>
          <w:tcPr>
            <w:tcW w:w="36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24.6</w:t>
            </w:r>
          </w:p>
        </w:tc>
      </w:tr>
      <w:tr>
        <w:trPr>
          <w:trHeight w:val="182"/>
        </w:trPr>
        <w:tc>
          <w:tcPr>
            <w:tcW w:w="742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Earnings before income taxes</w:t>
            </w:r>
          </w:p>
        </w:tc>
        <w:tc>
          <w:tcPr>
            <w:tcW w:w="340" w:type="dxa"/>
            <w:vAlign w:val="bottom"/>
            <w:shd w:val="clear" w:color="auto" w:fill="E2E8F1"/>
          </w:tcPr>
          <w:p>
            <w:pPr>
              <w:spacing w:after="0"/>
              <w:rPr>
                <w:sz w:val="15"/>
                <w:szCs w:val="15"/>
                <w:color w:val="auto"/>
              </w:rPr>
            </w:pPr>
          </w:p>
        </w:tc>
        <w:tc>
          <w:tcPr>
            <w:tcW w:w="92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231F20"/>
              </w:rPr>
              <w:t>256.8</w:t>
            </w:r>
          </w:p>
        </w:tc>
        <w:tc>
          <w:tcPr>
            <w:tcW w:w="360" w:type="dxa"/>
            <w:vAlign w:val="bottom"/>
            <w:shd w:val="clear" w:color="auto" w:fill="E2E8F1"/>
          </w:tcPr>
          <w:p>
            <w:pPr>
              <w:spacing w:after="0"/>
              <w:rPr>
                <w:sz w:val="15"/>
                <w:szCs w:val="15"/>
                <w:color w:val="auto"/>
              </w:rPr>
            </w:pPr>
          </w:p>
        </w:tc>
        <w:tc>
          <w:tcPr>
            <w:tcW w:w="92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231F20"/>
              </w:rPr>
              <w:t>205.9</w:t>
            </w:r>
          </w:p>
        </w:tc>
        <w:tc>
          <w:tcPr>
            <w:tcW w:w="360" w:type="dxa"/>
            <w:vAlign w:val="bottom"/>
            <w:shd w:val="clear" w:color="auto" w:fill="E2E8F1"/>
          </w:tcPr>
          <w:p>
            <w:pPr>
              <w:spacing w:after="0"/>
              <w:rPr>
                <w:sz w:val="15"/>
                <w:szCs w:val="15"/>
                <w:color w:val="auto"/>
              </w:rPr>
            </w:pPr>
          </w:p>
        </w:tc>
        <w:tc>
          <w:tcPr>
            <w:tcW w:w="9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557.1</w:t>
            </w:r>
          </w:p>
        </w:tc>
      </w:tr>
      <w:tr>
        <w:trPr>
          <w:trHeight w:val="188"/>
        </w:trPr>
        <w:tc>
          <w:tcPr>
            <w:tcW w:w="742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Provision for income taxes</w:t>
            </w:r>
          </w:p>
        </w:tc>
        <w:tc>
          <w:tcPr>
            <w:tcW w:w="34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111.7</w:t>
            </w:r>
          </w:p>
        </w:tc>
        <w:tc>
          <w:tcPr>
            <w:tcW w:w="36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117.1</w:t>
            </w:r>
          </w:p>
        </w:tc>
        <w:tc>
          <w:tcPr>
            <w:tcW w:w="36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183.3</w:t>
            </w:r>
          </w:p>
        </w:tc>
      </w:tr>
      <w:tr>
        <w:trPr>
          <w:trHeight w:val="181"/>
        </w:trPr>
        <w:tc>
          <w:tcPr>
            <w:tcW w:w="7420" w:type="dxa"/>
            <w:vAlign w:val="bottom"/>
            <w:tcBorders>
              <w:bottom w:val="single" w:sz="8" w:color="231F20"/>
            </w:tcBorders>
            <w:shd w:val="clear" w:color="auto" w:fill="E2E8F1"/>
          </w:tcPr>
          <w:p>
            <w:pPr>
              <w:ind w:left="240"/>
              <w:spacing w:after="0"/>
              <w:rPr>
                <w:sz w:val="20"/>
                <w:szCs w:val="20"/>
                <w:color w:val="auto"/>
              </w:rPr>
            </w:pPr>
            <w:r>
              <w:rPr>
                <w:rFonts w:ascii="Arial" w:cs="Arial" w:eastAsia="Arial" w:hAnsi="Arial"/>
                <w:sz w:val="14"/>
                <w:szCs w:val="14"/>
                <w:color w:val="231F20"/>
              </w:rPr>
              <w:t>Net earnings</w:t>
            </w:r>
          </w:p>
        </w:tc>
        <w:tc>
          <w:tcPr>
            <w:tcW w:w="3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145.1</w:t>
            </w:r>
          </w:p>
        </w:tc>
        <w:tc>
          <w:tcPr>
            <w:tcW w:w="36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88.8</w:t>
            </w:r>
          </w:p>
        </w:tc>
        <w:tc>
          <w:tcPr>
            <w:tcW w:w="36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w:t>
            </w:r>
          </w:p>
        </w:tc>
        <w:tc>
          <w:tcPr>
            <w:tcW w:w="9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373.8</w:t>
            </w:r>
          </w:p>
        </w:tc>
      </w:tr>
      <w:tr>
        <w:trPr>
          <w:trHeight w:val="181"/>
        </w:trPr>
        <w:tc>
          <w:tcPr>
            <w:tcW w:w="742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Net earnings per share – basic</w:t>
            </w:r>
          </w:p>
        </w:tc>
        <w:tc>
          <w:tcPr>
            <w:tcW w:w="34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3.04</w:t>
            </w:r>
          </w:p>
        </w:tc>
        <w:tc>
          <w:tcPr>
            <w:tcW w:w="360" w:type="dxa"/>
            <w:vAlign w:val="bottom"/>
            <w:tcBorders>
              <w:bottom w:val="single" w:sz="8" w:color="231F20"/>
            </w:tcBorders>
          </w:tcPr>
          <w:p>
            <w:pPr>
              <w:jc w:val="right"/>
              <w:ind w:right="89"/>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1.78</w:t>
            </w:r>
          </w:p>
        </w:tc>
        <w:tc>
          <w:tcPr>
            <w:tcW w:w="360" w:type="dxa"/>
            <w:vAlign w:val="bottom"/>
            <w:tcBorders>
              <w:bottom w:val="single" w:sz="8" w:color="231F20"/>
            </w:tcBorders>
          </w:tcPr>
          <w:p>
            <w:pPr>
              <w:jc w:val="right"/>
              <w:ind w:right="89"/>
              <w:spacing w:after="0"/>
              <w:rPr>
                <w:sz w:val="20"/>
                <w:szCs w:val="20"/>
                <w:color w:val="auto"/>
              </w:rPr>
            </w:pPr>
            <w:r>
              <w:rPr>
                <w:rFonts w:ascii="Arial" w:cs="Arial" w:eastAsia="Arial" w:hAnsi="Arial"/>
                <w:sz w:val="14"/>
                <w:szCs w:val="14"/>
                <w:color w:val="231F20"/>
              </w:rPr>
              <w:t>$</w:t>
            </w:r>
          </w:p>
        </w:tc>
        <w:tc>
          <w:tcPr>
            <w:tcW w:w="94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7.17</w:t>
            </w:r>
          </w:p>
        </w:tc>
      </w:tr>
      <w:tr>
        <w:trPr>
          <w:trHeight w:val="181"/>
        </w:trPr>
        <w:tc>
          <w:tcPr>
            <w:tcW w:w="742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231F20"/>
              </w:rPr>
              <w:t>Net earnings per share – diluted</w:t>
            </w:r>
          </w:p>
        </w:tc>
        <w:tc>
          <w:tcPr>
            <w:tcW w:w="3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3.01</w:t>
            </w:r>
          </w:p>
        </w:tc>
        <w:tc>
          <w:tcPr>
            <w:tcW w:w="36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1.76</w:t>
            </w:r>
          </w:p>
        </w:tc>
        <w:tc>
          <w:tcPr>
            <w:tcW w:w="36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w:t>
            </w:r>
          </w:p>
        </w:tc>
        <w:tc>
          <w:tcPr>
            <w:tcW w:w="9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7.08</w:t>
            </w:r>
          </w:p>
        </w:tc>
      </w:tr>
      <w:tr>
        <w:trPr>
          <w:trHeight w:val="181"/>
        </w:trPr>
        <w:tc>
          <w:tcPr>
            <w:tcW w:w="742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Weighted average shares – basic</w:t>
            </w:r>
          </w:p>
        </w:tc>
        <w:tc>
          <w:tcPr>
            <w:tcW w:w="34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47.8</w:t>
            </w:r>
          </w:p>
        </w:tc>
        <w:tc>
          <w:tcPr>
            <w:tcW w:w="36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49.8</w:t>
            </w:r>
          </w:p>
        </w:tc>
        <w:tc>
          <w:tcPr>
            <w:tcW w:w="360" w:type="dxa"/>
            <w:vAlign w:val="bottom"/>
            <w:tcBorders>
              <w:bottom w:val="single" w:sz="8" w:color="231F20"/>
            </w:tcBorders>
          </w:tcPr>
          <w:p>
            <w:pPr>
              <w:spacing w:after="0"/>
              <w:rPr>
                <w:sz w:val="15"/>
                <w:szCs w:val="15"/>
                <w:color w:val="auto"/>
              </w:rPr>
            </w:pPr>
          </w:p>
        </w:tc>
        <w:tc>
          <w:tcPr>
            <w:tcW w:w="94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52.2</w:t>
            </w:r>
          </w:p>
        </w:tc>
      </w:tr>
      <w:tr>
        <w:trPr>
          <w:trHeight w:val="181"/>
        </w:trPr>
        <w:tc>
          <w:tcPr>
            <w:tcW w:w="742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231F20"/>
              </w:rPr>
              <w:t>Weighted average shares – diluted</w:t>
            </w:r>
          </w:p>
        </w:tc>
        <w:tc>
          <w:tcPr>
            <w:tcW w:w="340" w:type="dxa"/>
            <w:vAlign w:val="bottom"/>
            <w:tcBorders>
              <w:bottom w:val="single" w:sz="8" w:color="231F20"/>
            </w:tcBorders>
            <w:shd w:val="clear" w:color="auto" w:fill="E2E8F1"/>
          </w:tcPr>
          <w:p>
            <w:pPr>
              <w:spacing w:after="0"/>
              <w:rPr>
                <w:sz w:val="15"/>
                <w:szCs w:val="15"/>
                <w:color w:val="auto"/>
              </w:rPr>
            </w:pPr>
          </w:p>
        </w:tc>
        <w:tc>
          <w:tcPr>
            <w:tcW w:w="92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48.3</w:t>
            </w:r>
          </w:p>
        </w:tc>
        <w:tc>
          <w:tcPr>
            <w:tcW w:w="360" w:type="dxa"/>
            <w:vAlign w:val="bottom"/>
            <w:tcBorders>
              <w:bottom w:val="single" w:sz="8" w:color="231F20"/>
            </w:tcBorders>
            <w:shd w:val="clear" w:color="auto" w:fill="E2E8F1"/>
          </w:tcPr>
          <w:p>
            <w:pPr>
              <w:spacing w:after="0"/>
              <w:rPr>
                <w:sz w:val="15"/>
                <w:szCs w:val="15"/>
                <w:color w:val="auto"/>
              </w:rPr>
            </w:pPr>
          </w:p>
        </w:tc>
        <w:tc>
          <w:tcPr>
            <w:tcW w:w="92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50.4</w:t>
            </w:r>
          </w:p>
        </w:tc>
        <w:tc>
          <w:tcPr>
            <w:tcW w:w="360" w:type="dxa"/>
            <w:vAlign w:val="bottom"/>
            <w:tcBorders>
              <w:bottom w:val="single" w:sz="8" w:color="231F20"/>
            </w:tcBorders>
            <w:shd w:val="clear" w:color="auto" w:fill="E2E8F1"/>
          </w:tcPr>
          <w:p>
            <w:pPr>
              <w:spacing w:after="0"/>
              <w:rPr>
                <w:sz w:val="15"/>
                <w:szCs w:val="15"/>
                <w:color w:val="auto"/>
              </w:rPr>
            </w:pPr>
          </w:p>
        </w:tc>
        <w:tc>
          <w:tcPr>
            <w:tcW w:w="9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52.8</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231F20"/>
        </w:rPr>
        <w:t>The accompanying Notes to Consolidated Financial Statements are an integral part of these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7" w:right="319" w:bottom="1440" w:gutter="0" w:footer="0" w:header="0"/>
        </w:sectPr>
      </w:pPr>
    </w:p>
    <w:bookmarkStart w:id="49" w:name="page50"/>
    <w:bookmarkEnd w:id="49"/>
    <w:p>
      <w:pPr>
        <w:ind w:left="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120" w:type="dxa"/>
            <w:vAlign w:val="bottom"/>
            <w:tcBorders>
              <w:top w:val="single" w:sz="8" w:color="231F20"/>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top w:val="single" w:sz="8" w:color="231F20"/>
              <w:bottom w:val="single" w:sz="8" w:color="auto"/>
            </w:tcBorders>
            <w:shd w:val="clear" w:color="auto" w:fill="98B0CF"/>
          </w:tcPr>
          <w:p>
            <w:pPr>
              <w:spacing w:after="0"/>
              <w:rPr>
                <w:sz w:val="20"/>
                <w:szCs w:val="20"/>
                <w:color w:val="auto"/>
              </w:rPr>
            </w:pPr>
          </w:p>
        </w:tc>
        <w:tc>
          <w:tcPr>
            <w:tcW w:w="1040" w:type="dxa"/>
            <w:vAlign w:val="bottom"/>
            <w:tcBorders>
              <w:top w:val="single" w:sz="8" w:color="231F20"/>
              <w:bottom w:val="single" w:sz="8" w:color="auto"/>
            </w:tcBorders>
            <w:shd w:val="clear" w:color="auto" w:fill="98B0CF"/>
          </w:tcPr>
          <w:p>
            <w:pPr>
              <w:jc w:val="right"/>
              <w:ind w:right="530"/>
              <w:spacing w:after="0"/>
              <w:rPr>
                <w:sz w:val="20"/>
                <w:szCs w:val="20"/>
                <w:color w:val="auto"/>
              </w:rPr>
            </w:pPr>
            <w:r>
              <w:rPr>
                <w:rFonts w:ascii="Arial" w:cs="Arial" w:eastAsia="Arial" w:hAnsi="Arial"/>
                <w:sz w:val="13"/>
                <w:szCs w:val="13"/>
                <w:b w:val="1"/>
                <w:bCs w:val="1"/>
                <w:color w:val="auto"/>
              </w:rPr>
              <w:t>2024</w:t>
            </w:r>
          </w:p>
        </w:tc>
        <w:tc>
          <w:tcPr>
            <w:tcW w:w="360" w:type="dxa"/>
            <w:vAlign w:val="bottom"/>
            <w:tcBorders>
              <w:top w:val="single" w:sz="8" w:color="231F20"/>
              <w:bottom w:val="single" w:sz="8" w:color="auto"/>
            </w:tcBorders>
            <w:shd w:val="clear" w:color="auto" w:fill="98B0CF"/>
          </w:tcPr>
          <w:p>
            <w:pPr>
              <w:spacing w:after="0"/>
              <w:rPr>
                <w:sz w:val="20"/>
                <w:szCs w:val="20"/>
                <w:color w:val="auto"/>
              </w:rPr>
            </w:pPr>
          </w:p>
        </w:tc>
        <w:tc>
          <w:tcPr>
            <w:tcW w:w="1020" w:type="dxa"/>
            <w:vAlign w:val="bottom"/>
            <w:tcBorders>
              <w:top w:val="single" w:sz="8" w:color="231F20"/>
              <w:bottom w:val="single" w:sz="8" w:color="auto"/>
            </w:tcBorders>
            <w:shd w:val="clear" w:color="auto" w:fill="98B0CF"/>
          </w:tcPr>
          <w:p>
            <w:pPr>
              <w:jc w:val="right"/>
              <w:ind w:right="530"/>
              <w:spacing w:after="0"/>
              <w:rPr>
                <w:sz w:val="20"/>
                <w:szCs w:val="20"/>
                <w:color w:val="auto"/>
              </w:rPr>
            </w:pPr>
            <w:r>
              <w:rPr>
                <w:rFonts w:ascii="Arial" w:cs="Arial" w:eastAsia="Arial" w:hAnsi="Arial"/>
                <w:sz w:val="13"/>
                <w:szCs w:val="13"/>
                <w:b w:val="1"/>
                <w:bCs w:val="1"/>
                <w:color w:val="auto"/>
              </w:rPr>
              <w:t>2023</w:t>
            </w:r>
          </w:p>
        </w:tc>
        <w:tc>
          <w:tcPr>
            <w:tcW w:w="340" w:type="dxa"/>
            <w:vAlign w:val="bottom"/>
            <w:tcBorders>
              <w:top w:val="single" w:sz="8" w:color="231F20"/>
              <w:bottom w:val="single" w:sz="8" w:color="auto"/>
            </w:tcBorders>
            <w:shd w:val="clear" w:color="auto" w:fill="98B0CF"/>
          </w:tcPr>
          <w:p>
            <w:pPr>
              <w:spacing w:after="0"/>
              <w:rPr>
                <w:sz w:val="20"/>
                <w:szCs w:val="20"/>
                <w:color w:val="auto"/>
              </w:rPr>
            </w:pPr>
          </w:p>
        </w:tc>
        <w:tc>
          <w:tcPr>
            <w:tcW w:w="940" w:type="dxa"/>
            <w:vAlign w:val="bottom"/>
            <w:tcBorders>
              <w:top w:val="single" w:sz="8" w:color="231F20"/>
              <w:bottom w:val="single" w:sz="8" w:color="auto"/>
            </w:tcBorders>
            <w:shd w:val="clear" w:color="auto" w:fill="98B0CF"/>
          </w:tcPr>
          <w:p>
            <w:pPr>
              <w:jc w:val="right"/>
              <w:ind w:right="450"/>
              <w:spacing w:after="0"/>
              <w:rPr>
                <w:sz w:val="20"/>
                <w:szCs w:val="20"/>
                <w:color w:val="auto"/>
              </w:rPr>
            </w:pPr>
            <w:r>
              <w:rPr>
                <w:rFonts w:ascii="Arial" w:cs="Arial" w:eastAsia="Arial" w:hAnsi="Arial"/>
                <w:sz w:val="13"/>
                <w:szCs w:val="13"/>
                <w:b w:val="1"/>
                <w:bCs w:val="1"/>
                <w:color w:val="auto"/>
              </w:rPr>
              <w:t>2022</w:t>
            </w:r>
          </w:p>
        </w:tc>
      </w:tr>
      <w:tr>
        <w:trPr>
          <w:trHeight w:val="187"/>
        </w:trPr>
        <w:tc>
          <w:tcPr>
            <w:tcW w:w="7120" w:type="dxa"/>
            <w:vAlign w:val="bottom"/>
            <w:shd w:val="clear" w:color="auto" w:fill="E2E8F1"/>
          </w:tcPr>
          <w:p>
            <w:pPr>
              <w:ind w:left="80"/>
              <w:spacing w:after="0"/>
              <w:rPr>
                <w:sz w:val="20"/>
                <w:szCs w:val="20"/>
                <w:color w:val="auto"/>
              </w:rPr>
            </w:pPr>
            <w:r>
              <w:rPr>
                <w:rFonts w:ascii="Arial" w:cs="Arial" w:eastAsia="Arial" w:hAnsi="Arial"/>
                <w:sz w:val="14"/>
                <w:szCs w:val="14"/>
                <w:color w:val="auto"/>
              </w:rPr>
              <w:t>Net earnings</w:t>
            </w:r>
          </w:p>
        </w:tc>
        <w:tc>
          <w:tcPr>
            <w:tcW w:w="44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104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auto"/>
              </w:rPr>
              <w:t>145.1</w:t>
            </w:r>
          </w:p>
        </w:tc>
        <w:tc>
          <w:tcPr>
            <w:tcW w:w="36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88.8</w:t>
            </w:r>
          </w:p>
        </w:tc>
        <w:tc>
          <w:tcPr>
            <w:tcW w:w="3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373.8</w:t>
            </w:r>
          </w:p>
        </w:tc>
      </w:tr>
      <w:tr>
        <w:trPr>
          <w:trHeight w:val="189"/>
        </w:trPr>
        <w:tc>
          <w:tcPr>
            <w:tcW w:w="7120" w:type="dxa"/>
            <w:vAlign w:val="bottom"/>
          </w:tcPr>
          <w:p>
            <w:pPr>
              <w:ind w:left="80"/>
              <w:spacing w:after="0"/>
              <w:rPr>
                <w:sz w:val="20"/>
                <w:szCs w:val="20"/>
                <w:color w:val="auto"/>
              </w:rPr>
            </w:pPr>
            <w:r>
              <w:rPr>
                <w:rFonts w:ascii="Arial" w:cs="Arial" w:eastAsia="Arial" w:hAnsi="Arial"/>
                <w:sz w:val="14"/>
                <w:szCs w:val="14"/>
                <w:color w:val="auto"/>
              </w:rPr>
              <w:t>Other comprehensive income (loss):</w:t>
            </w: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7120" w:type="dxa"/>
            <w:vAlign w:val="bottom"/>
            <w:shd w:val="clear" w:color="auto" w:fill="E2E8F1"/>
          </w:tcPr>
          <w:p>
            <w:pPr>
              <w:ind w:left="160"/>
              <w:spacing w:after="0"/>
              <w:rPr>
                <w:sz w:val="20"/>
                <w:szCs w:val="20"/>
                <w:color w:val="auto"/>
              </w:rPr>
            </w:pPr>
            <w:r>
              <w:rPr>
                <w:rFonts w:ascii="Arial" w:cs="Arial" w:eastAsia="Arial" w:hAnsi="Arial"/>
                <w:sz w:val="14"/>
                <w:szCs w:val="14"/>
                <w:color w:val="auto"/>
              </w:rPr>
              <w:t>Foreign currency translation</w:t>
            </w:r>
          </w:p>
        </w:tc>
        <w:tc>
          <w:tcPr>
            <w:tcW w:w="44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(81.0 )</w:t>
            </w:r>
          </w:p>
        </w:tc>
        <w:tc>
          <w:tcPr>
            <w:tcW w:w="360" w:type="dxa"/>
            <w:vAlign w:val="bottom"/>
            <w:shd w:val="clear" w:color="auto" w:fill="E2E8F1"/>
          </w:tcPr>
          <w:p>
            <w:pPr>
              <w:spacing w:after="0"/>
              <w:rPr>
                <w:sz w:val="16"/>
                <w:szCs w:val="16"/>
                <w:color w:val="auto"/>
              </w:rPr>
            </w:pPr>
          </w:p>
        </w:tc>
        <w:tc>
          <w:tcPr>
            <w:tcW w:w="102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108.5</w:t>
            </w:r>
          </w:p>
        </w:tc>
        <w:tc>
          <w:tcPr>
            <w:tcW w:w="340" w:type="dxa"/>
            <w:vAlign w:val="bottom"/>
            <w:shd w:val="clear" w:color="auto" w:fill="E2E8F1"/>
          </w:tcPr>
          <w:p>
            <w:pPr>
              <w:spacing w:after="0"/>
              <w:rPr>
                <w:sz w:val="16"/>
                <w:szCs w:val="16"/>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(188.9 )</w:t>
            </w:r>
          </w:p>
        </w:tc>
      </w:tr>
      <w:tr>
        <w:trPr>
          <w:trHeight w:val="153"/>
        </w:trPr>
        <w:tc>
          <w:tcPr>
            <w:tcW w:w="7120" w:type="dxa"/>
            <w:vAlign w:val="bottom"/>
          </w:tcPr>
          <w:p>
            <w:pPr>
              <w:ind w:left="160"/>
              <w:spacing w:after="0" w:line="153" w:lineRule="exact"/>
              <w:rPr>
                <w:sz w:val="20"/>
                <w:szCs w:val="20"/>
                <w:color w:val="auto"/>
              </w:rPr>
            </w:pPr>
            <w:r>
              <w:rPr>
                <w:rFonts w:ascii="Arial" w:cs="Arial" w:eastAsia="Arial" w:hAnsi="Arial"/>
                <w:sz w:val="14"/>
                <w:szCs w:val="14"/>
                <w:color w:val="auto"/>
              </w:rPr>
              <w:t>Translation adjustments on long-term intercompany loans, net of income</w:t>
            </w: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8"/>
        </w:trPr>
        <w:tc>
          <w:tcPr>
            <w:tcW w:w="7120" w:type="dxa"/>
            <w:vAlign w:val="bottom"/>
          </w:tcPr>
          <w:p>
            <w:pPr>
              <w:ind w:left="280"/>
              <w:spacing w:after="0"/>
              <w:rPr>
                <w:sz w:val="20"/>
                <w:szCs w:val="20"/>
                <w:color w:val="auto"/>
              </w:rPr>
            </w:pPr>
            <w:r>
              <w:rPr>
                <w:rFonts w:ascii="Arial" w:cs="Arial" w:eastAsia="Arial" w:hAnsi="Arial"/>
                <w:sz w:val="14"/>
                <w:szCs w:val="14"/>
                <w:color w:val="auto"/>
              </w:rPr>
              <w:t>taxes of $0.0, $0.0 and $(0.8), respectively</w:t>
            </w:r>
          </w:p>
        </w:tc>
        <w:tc>
          <w:tcPr>
            <w:tcW w:w="440" w:type="dxa"/>
            <w:vAlign w:val="bottom"/>
          </w:tcPr>
          <w:p>
            <w:pPr>
              <w:spacing w:after="0"/>
              <w:rPr>
                <w:sz w:val="15"/>
                <w:szCs w:val="15"/>
                <w:color w:val="auto"/>
              </w:rPr>
            </w:pPr>
          </w:p>
        </w:tc>
        <w:tc>
          <w:tcPr>
            <w:tcW w:w="1040" w:type="dxa"/>
            <w:vAlign w:val="bottom"/>
          </w:tcPr>
          <w:p>
            <w:pPr>
              <w:jc w:val="right"/>
              <w:ind w:right="150"/>
              <w:spacing w:after="0"/>
              <w:rPr>
                <w:sz w:val="20"/>
                <w:szCs w:val="20"/>
                <w:color w:val="auto"/>
              </w:rPr>
            </w:pPr>
            <w:r>
              <w:rPr>
                <w:rFonts w:ascii="Arial" w:cs="Arial" w:eastAsia="Arial" w:hAnsi="Arial"/>
                <w:sz w:val="14"/>
                <w:szCs w:val="14"/>
                <w:color w:val="auto"/>
              </w:rPr>
              <w:t>0.4</w:t>
            </w:r>
          </w:p>
        </w:tc>
        <w:tc>
          <w:tcPr>
            <w:tcW w:w="360" w:type="dxa"/>
            <w:vAlign w:val="bottom"/>
          </w:tcPr>
          <w:p>
            <w:pPr>
              <w:spacing w:after="0"/>
              <w:rPr>
                <w:sz w:val="15"/>
                <w:szCs w:val="15"/>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(0.8 )</w:t>
            </w:r>
          </w:p>
        </w:tc>
        <w:tc>
          <w:tcPr>
            <w:tcW w:w="340" w:type="dxa"/>
            <w:vAlign w:val="bottom"/>
          </w:tcPr>
          <w:p>
            <w:pPr>
              <w:spacing w:after="0"/>
              <w:rPr>
                <w:sz w:val="15"/>
                <w:szCs w:val="15"/>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0.8</w:t>
            </w:r>
          </w:p>
        </w:tc>
      </w:tr>
      <w:tr>
        <w:trPr>
          <w:trHeight w:val="165"/>
        </w:trPr>
        <w:tc>
          <w:tcPr>
            <w:tcW w:w="7120" w:type="dxa"/>
            <w:vAlign w:val="bottom"/>
            <w:shd w:val="clear" w:color="auto" w:fill="E2E8F1"/>
          </w:tcPr>
          <w:p>
            <w:pPr>
              <w:ind w:left="160"/>
              <w:spacing w:after="0"/>
              <w:rPr>
                <w:sz w:val="20"/>
                <w:szCs w:val="20"/>
                <w:color w:val="auto"/>
              </w:rPr>
            </w:pPr>
            <w:r>
              <w:rPr>
                <w:rFonts w:ascii="Arial" w:cs="Arial" w:eastAsia="Arial" w:hAnsi="Arial"/>
                <w:sz w:val="14"/>
                <w:szCs w:val="14"/>
                <w:color w:val="auto"/>
              </w:rPr>
              <w:t>Adjustments on derivative instruments, net of income taxes of $22.0,</w:t>
            </w:r>
          </w:p>
        </w:tc>
        <w:tc>
          <w:tcPr>
            <w:tcW w:w="44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360" w:type="dxa"/>
            <w:vAlign w:val="bottom"/>
            <w:shd w:val="clear" w:color="auto" w:fill="E2E8F1"/>
          </w:tcPr>
          <w:p>
            <w:pPr>
              <w:spacing w:after="0"/>
              <w:rPr>
                <w:sz w:val="14"/>
                <w:szCs w:val="14"/>
                <w:color w:val="auto"/>
              </w:rPr>
            </w:pPr>
          </w:p>
        </w:tc>
        <w:tc>
          <w:tcPr>
            <w:tcW w:w="1020" w:type="dxa"/>
            <w:vAlign w:val="bottom"/>
            <w:shd w:val="clear" w:color="auto" w:fill="E2E8F1"/>
          </w:tcPr>
          <w:p>
            <w:pPr>
              <w:spacing w:after="0"/>
              <w:rPr>
                <w:sz w:val="14"/>
                <w:szCs w:val="14"/>
                <w:color w:val="auto"/>
              </w:rPr>
            </w:pPr>
          </w:p>
        </w:tc>
        <w:tc>
          <w:tcPr>
            <w:tcW w:w="340" w:type="dxa"/>
            <w:vAlign w:val="bottom"/>
            <w:shd w:val="clear" w:color="auto" w:fill="E2E8F1"/>
          </w:tcPr>
          <w:p>
            <w:pPr>
              <w:spacing w:after="0"/>
              <w:rPr>
                <w:sz w:val="14"/>
                <w:szCs w:val="14"/>
                <w:color w:val="auto"/>
              </w:rPr>
            </w:pPr>
          </w:p>
        </w:tc>
        <w:tc>
          <w:tcPr>
            <w:tcW w:w="940" w:type="dxa"/>
            <w:vAlign w:val="bottom"/>
            <w:shd w:val="clear" w:color="auto" w:fill="E2E8F1"/>
          </w:tcPr>
          <w:p>
            <w:pPr>
              <w:spacing w:after="0"/>
              <w:rPr>
                <w:sz w:val="14"/>
                <w:szCs w:val="14"/>
                <w:color w:val="auto"/>
              </w:rPr>
            </w:pPr>
          </w:p>
        </w:tc>
      </w:tr>
      <w:tr>
        <w:trPr>
          <w:trHeight w:val="178"/>
        </w:trPr>
        <w:tc>
          <w:tcPr>
            <w:tcW w:w="7120" w:type="dxa"/>
            <w:vAlign w:val="bottom"/>
            <w:shd w:val="clear" w:color="auto" w:fill="E2E8F1"/>
          </w:tcPr>
          <w:p>
            <w:pPr>
              <w:ind w:left="280"/>
              <w:spacing w:after="0"/>
              <w:rPr>
                <w:sz w:val="20"/>
                <w:szCs w:val="20"/>
                <w:color w:val="auto"/>
              </w:rPr>
            </w:pPr>
            <w:r>
              <w:rPr>
                <w:rFonts w:ascii="Arial" w:cs="Arial" w:eastAsia="Arial" w:hAnsi="Arial"/>
                <w:sz w:val="14"/>
                <w:szCs w:val="14"/>
                <w:color w:val="auto"/>
              </w:rPr>
              <w:t>$(17.4) and $11.1, respectively</w:t>
            </w:r>
          </w:p>
        </w:tc>
        <w:tc>
          <w:tcPr>
            <w:tcW w:w="440" w:type="dxa"/>
            <w:vAlign w:val="bottom"/>
            <w:shd w:val="clear" w:color="auto" w:fill="E2E8F1"/>
          </w:tcPr>
          <w:p>
            <w:pPr>
              <w:spacing w:after="0"/>
              <w:rPr>
                <w:sz w:val="15"/>
                <w:szCs w:val="15"/>
                <w:color w:val="auto"/>
              </w:rPr>
            </w:pPr>
          </w:p>
        </w:tc>
        <w:tc>
          <w:tcPr>
            <w:tcW w:w="104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auto"/>
              </w:rPr>
              <w:t>76.6</w:t>
            </w:r>
          </w:p>
        </w:tc>
        <w:tc>
          <w:tcPr>
            <w:tcW w:w="360" w:type="dxa"/>
            <w:vAlign w:val="bottom"/>
            <w:shd w:val="clear" w:color="auto" w:fill="E2E8F1"/>
          </w:tcPr>
          <w:p>
            <w:pPr>
              <w:spacing w:after="0"/>
              <w:rPr>
                <w:sz w:val="15"/>
                <w:szCs w:val="15"/>
                <w:color w:val="auto"/>
              </w:rPr>
            </w:pPr>
          </w:p>
        </w:tc>
        <w:tc>
          <w:tcPr>
            <w:tcW w:w="102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auto"/>
              </w:rPr>
              <w:t>(91.0 )</w:t>
            </w:r>
          </w:p>
        </w:tc>
        <w:tc>
          <w:tcPr>
            <w:tcW w:w="340" w:type="dxa"/>
            <w:vAlign w:val="bottom"/>
            <w:shd w:val="clear" w:color="auto" w:fill="E2E8F1"/>
          </w:tcPr>
          <w:p>
            <w:pPr>
              <w:spacing w:after="0"/>
              <w:rPr>
                <w:sz w:val="15"/>
                <w:szCs w:val="15"/>
                <w:color w:val="auto"/>
              </w:rPr>
            </w:pPr>
          </w:p>
        </w:tc>
        <w:tc>
          <w:tcPr>
            <w:tcW w:w="9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71.8</w:t>
            </w:r>
          </w:p>
        </w:tc>
      </w:tr>
      <w:tr>
        <w:trPr>
          <w:trHeight w:val="165"/>
        </w:trPr>
        <w:tc>
          <w:tcPr>
            <w:tcW w:w="7120" w:type="dxa"/>
            <w:vAlign w:val="bottom"/>
          </w:tcPr>
          <w:p>
            <w:pPr>
              <w:ind w:left="160"/>
              <w:spacing w:after="0"/>
              <w:rPr>
                <w:sz w:val="20"/>
                <w:szCs w:val="20"/>
                <w:color w:val="auto"/>
              </w:rPr>
            </w:pPr>
            <w:r>
              <w:rPr>
                <w:rFonts w:ascii="Arial" w:cs="Arial" w:eastAsia="Arial" w:hAnsi="Arial"/>
                <w:sz w:val="14"/>
                <w:szCs w:val="14"/>
                <w:color w:val="auto"/>
              </w:rPr>
              <w:t>Unrealized adjustments on interest rate swap, net of income taxes of</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8"/>
        </w:trPr>
        <w:tc>
          <w:tcPr>
            <w:tcW w:w="7120" w:type="dxa"/>
            <w:vAlign w:val="bottom"/>
          </w:tcPr>
          <w:p>
            <w:pPr>
              <w:ind w:left="280"/>
              <w:spacing w:after="0"/>
              <w:rPr>
                <w:sz w:val="20"/>
                <w:szCs w:val="20"/>
                <w:color w:val="auto"/>
              </w:rPr>
            </w:pPr>
            <w:r>
              <w:rPr>
                <w:rFonts w:ascii="Arial" w:cs="Arial" w:eastAsia="Arial" w:hAnsi="Arial"/>
                <w:sz w:val="14"/>
                <w:szCs w:val="14"/>
                <w:color w:val="auto"/>
              </w:rPr>
              <w:t>$(0.1), $(0.1) and $0.4, respectively</w:t>
            </w:r>
          </w:p>
        </w:tc>
        <w:tc>
          <w:tcPr>
            <w:tcW w:w="440" w:type="dxa"/>
            <w:vAlign w:val="bottom"/>
          </w:tcPr>
          <w:p>
            <w:pPr>
              <w:spacing w:after="0"/>
              <w:rPr>
                <w:sz w:val="15"/>
                <w:szCs w:val="15"/>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(0.3 )</w:t>
            </w:r>
          </w:p>
        </w:tc>
        <w:tc>
          <w:tcPr>
            <w:tcW w:w="360" w:type="dxa"/>
            <w:vAlign w:val="bottom"/>
          </w:tcPr>
          <w:p>
            <w:pPr>
              <w:spacing w:after="0"/>
              <w:rPr>
                <w:sz w:val="15"/>
                <w:szCs w:val="15"/>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(0.3 )</w:t>
            </w:r>
          </w:p>
        </w:tc>
        <w:tc>
          <w:tcPr>
            <w:tcW w:w="340" w:type="dxa"/>
            <w:vAlign w:val="bottom"/>
          </w:tcPr>
          <w:p>
            <w:pPr>
              <w:spacing w:after="0"/>
              <w:rPr>
                <w:sz w:val="15"/>
                <w:szCs w:val="15"/>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1.4</w:t>
            </w:r>
          </w:p>
        </w:tc>
      </w:tr>
      <w:tr>
        <w:trPr>
          <w:trHeight w:val="165"/>
        </w:trPr>
        <w:tc>
          <w:tcPr>
            <w:tcW w:w="7120" w:type="dxa"/>
            <w:vAlign w:val="bottom"/>
            <w:shd w:val="clear" w:color="auto" w:fill="E2E8F1"/>
          </w:tcPr>
          <w:p>
            <w:pPr>
              <w:ind w:left="160"/>
              <w:spacing w:after="0"/>
              <w:rPr>
                <w:sz w:val="20"/>
                <w:szCs w:val="20"/>
                <w:color w:val="auto"/>
              </w:rPr>
            </w:pPr>
            <w:r>
              <w:rPr>
                <w:rFonts w:ascii="Arial" w:cs="Arial" w:eastAsia="Arial" w:hAnsi="Arial"/>
                <w:sz w:val="14"/>
                <w:szCs w:val="14"/>
                <w:color w:val="auto"/>
              </w:rPr>
              <w:t>Defined benefit pension plans and retiree health care plan, net of income</w:t>
            </w:r>
          </w:p>
        </w:tc>
        <w:tc>
          <w:tcPr>
            <w:tcW w:w="44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360" w:type="dxa"/>
            <w:vAlign w:val="bottom"/>
            <w:shd w:val="clear" w:color="auto" w:fill="E2E8F1"/>
          </w:tcPr>
          <w:p>
            <w:pPr>
              <w:spacing w:after="0"/>
              <w:rPr>
                <w:sz w:val="14"/>
                <w:szCs w:val="14"/>
                <w:color w:val="auto"/>
              </w:rPr>
            </w:pPr>
          </w:p>
        </w:tc>
        <w:tc>
          <w:tcPr>
            <w:tcW w:w="1020" w:type="dxa"/>
            <w:vAlign w:val="bottom"/>
            <w:shd w:val="clear" w:color="auto" w:fill="E2E8F1"/>
          </w:tcPr>
          <w:p>
            <w:pPr>
              <w:spacing w:after="0"/>
              <w:rPr>
                <w:sz w:val="14"/>
                <w:szCs w:val="14"/>
                <w:color w:val="auto"/>
              </w:rPr>
            </w:pPr>
          </w:p>
        </w:tc>
        <w:tc>
          <w:tcPr>
            <w:tcW w:w="340" w:type="dxa"/>
            <w:vAlign w:val="bottom"/>
            <w:shd w:val="clear" w:color="auto" w:fill="E2E8F1"/>
          </w:tcPr>
          <w:p>
            <w:pPr>
              <w:spacing w:after="0"/>
              <w:rPr>
                <w:sz w:val="14"/>
                <w:szCs w:val="14"/>
                <w:color w:val="auto"/>
              </w:rPr>
            </w:pPr>
          </w:p>
        </w:tc>
        <w:tc>
          <w:tcPr>
            <w:tcW w:w="940" w:type="dxa"/>
            <w:vAlign w:val="bottom"/>
            <w:shd w:val="clear" w:color="auto" w:fill="E2E8F1"/>
          </w:tcPr>
          <w:p>
            <w:pPr>
              <w:spacing w:after="0"/>
              <w:rPr>
                <w:sz w:val="14"/>
                <w:szCs w:val="14"/>
                <w:color w:val="auto"/>
              </w:rPr>
            </w:pPr>
          </w:p>
        </w:tc>
      </w:tr>
      <w:tr>
        <w:trPr>
          <w:trHeight w:val="178"/>
        </w:trPr>
        <w:tc>
          <w:tcPr>
            <w:tcW w:w="7120" w:type="dxa"/>
            <w:vAlign w:val="bottom"/>
            <w:shd w:val="clear" w:color="auto" w:fill="E2E8F1"/>
          </w:tcPr>
          <w:p>
            <w:pPr>
              <w:ind w:left="280"/>
              <w:spacing w:after="0"/>
              <w:rPr>
                <w:sz w:val="20"/>
                <w:szCs w:val="20"/>
                <w:color w:val="auto"/>
              </w:rPr>
            </w:pPr>
            <w:r>
              <w:rPr>
                <w:rFonts w:ascii="Arial" w:cs="Arial" w:eastAsia="Arial" w:hAnsi="Arial"/>
                <w:sz w:val="14"/>
                <w:szCs w:val="14"/>
                <w:color w:val="auto"/>
              </w:rPr>
              <w:t>taxes of $1.7, $(3.7) and $2.2, respectively</w:t>
            </w:r>
          </w:p>
        </w:tc>
        <w:tc>
          <w:tcPr>
            <w:tcW w:w="440" w:type="dxa"/>
            <w:vAlign w:val="bottom"/>
            <w:shd w:val="clear" w:color="auto" w:fill="E2E8F1"/>
          </w:tcPr>
          <w:p>
            <w:pPr>
              <w:spacing w:after="0"/>
              <w:rPr>
                <w:sz w:val="15"/>
                <w:szCs w:val="15"/>
                <w:color w:val="auto"/>
              </w:rPr>
            </w:pPr>
          </w:p>
        </w:tc>
        <w:tc>
          <w:tcPr>
            <w:tcW w:w="104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auto"/>
              </w:rPr>
              <w:t>23.5</w:t>
            </w:r>
          </w:p>
        </w:tc>
        <w:tc>
          <w:tcPr>
            <w:tcW w:w="360" w:type="dxa"/>
            <w:vAlign w:val="bottom"/>
            <w:shd w:val="clear" w:color="auto" w:fill="E2E8F1"/>
          </w:tcPr>
          <w:p>
            <w:pPr>
              <w:spacing w:after="0"/>
              <w:rPr>
                <w:sz w:val="15"/>
                <w:szCs w:val="15"/>
                <w:color w:val="auto"/>
              </w:rPr>
            </w:pPr>
          </w:p>
        </w:tc>
        <w:tc>
          <w:tcPr>
            <w:tcW w:w="102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auto"/>
              </w:rPr>
              <w:t>(29.5 )</w:t>
            </w:r>
          </w:p>
        </w:tc>
        <w:tc>
          <w:tcPr>
            <w:tcW w:w="340" w:type="dxa"/>
            <w:vAlign w:val="bottom"/>
            <w:shd w:val="clear" w:color="auto" w:fill="E2E8F1"/>
          </w:tcPr>
          <w:p>
            <w:pPr>
              <w:spacing w:after="0"/>
              <w:rPr>
                <w:sz w:val="15"/>
                <w:szCs w:val="15"/>
                <w:color w:val="auto"/>
              </w:rPr>
            </w:pPr>
          </w:p>
        </w:tc>
        <w:tc>
          <w:tcPr>
            <w:tcW w:w="9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42.9</w:t>
            </w:r>
          </w:p>
        </w:tc>
      </w:tr>
      <w:tr>
        <w:trPr>
          <w:trHeight w:val="189"/>
        </w:trPr>
        <w:tc>
          <w:tcPr>
            <w:tcW w:w="71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Pension settlements, net of income taxes of $0.8, $1.2 and $0.5, respectively</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3.8</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5.8</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2.7</w:t>
            </w:r>
          </w:p>
        </w:tc>
      </w:tr>
      <w:tr>
        <w:trPr>
          <w:trHeight w:val="181"/>
        </w:trPr>
        <w:tc>
          <w:tcPr>
            <w:tcW w:w="712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auto"/>
              </w:rPr>
              <w:t>Total other comprehensive income (loss)</w:t>
            </w:r>
          </w:p>
        </w:tc>
        <w:tc>
          <w:tcPr>
            <w:tcW w:w="440" w:type="dxa"/>
            <w:vAlign w:val="bottom"/>
            <w:tcBorders>
              <w:bottom w:val="single" w:sz="8" w:color="auto"/>
            </w:tcBorders>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2E8F1"/>
          </w:tcPr>
          <w:p>
            <w:pPr>
              <w:jc w:val="right"/>
              <w:ind w:right="150"/>
              <w:spacing w:after="0"/>
              <w:rPr>
                <w:sz w:val="20"/>
                <w:szCs w:val="20"/>
                <w:color w:val="auto"/>
              </w:rPr>
            </w:pPr>
            <w:r>
              <w:rPr>
                <w:rFonts w:ascii="Arial" w:cs="Arial" w:eastAsia="Arial" w:hAnsi="Arial"/>
                <w:sz w:val="14"/>
                <w:szCs w:val="14"/>
                <w:color w:val="auto"/>
              </w:rPr>
              <w:t>23.0</w:t>
            </w:r>
          </w:p>
        </w:tc>
        <w:tc>
          <w:tcPr>
            <w:tcW w:w="360" w:type="dxa"/>
            <w:vAlign w:val="bottom"/>
            <w:tcBorders>
              <w:bottom w:val="single" w:sz="8" w:color="auto"/>
            </w:tcBorders>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2E8F1"/>
          </w:tcPr>
          <w:p>
            <w:pPr>
              <w:jc w:val="right"/>
              <w:ind w:right="50"/>
              <w:spacing w:after="0"/>
              <w:rPr>
                <w:sz w:val="20"/>
                <w:szCs w:val="20"/>
                <w:color w:val="auto"/>
              </w:rPr>
            </w:pPr>
            <w:r>
              <w:rPr>
                <w:rFonts w:ascii="Arial" w:cs="Arial" w:eastAsia="Arial" w:hAnsi="Arial"/>
                <w:sz w:val="14"/>
                <w:szCs w:val="14"/>
                <w:color w:val="auto"/>
              </w:rPr>
              <w:t>(7.3 )</w:t>
            </w:r>
          </w:p>
        </w:tc>
        <w:tc>
          <w:tcPr>
            <w:tcW w:w="340" w:type="dxa"/>
            <w:vAlign w:val="bottom"/>
            <w:tcBorders>
              <w:bottom w:val="single" w:sz="8" w:color="auto"/>
            </w:tcBorders>
            <w:shd w:val="clear" w:color="auto" w:fill="E2E8F1"/>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(69.3 )</w:t>
            </w:r>
          </w:p>
        </w:tc>
      </w:tr>
      <w:tr>
        <w:trPr>
          <w:trHeight w:val="181"/>
        </w:trPr>
        <w:tc>
          <w:tcPr>
            <w:tcW w:w="71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Comprehensive income</w:t>
            </w:r>
          </w:p>
        </w:tc>
        <w:tc>
          <w:tcPr>
            <w:tcW w:w="4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168.1</w:t>
            </w:r>
          </w:p>
        </w:tc>
        <w:tc>
          <w:tcPr>
            <w:tcW w:w="3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81.5</w:t>
            </w:r>
          </w:p>
        </w:tc>
        <w:tc>
          <w:tcPr>
            <w:tcW w:w="3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304.5</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231F20"/>
        </w:rPr>
        <w:t>The accompanying Notes to Consolidated Financial Statements are an integral part of these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50" w:name="page51"/>
    <w:bookmarkEnd w:id="50"/>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in millions, except share and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460" w:type="dxa"/>
            <w:vAlign w:val="bottom"/>
            <w:tcBorders>
              <w:top w:val="single" w:sz="8" w:color="231F20"/>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December 31</w:t>
            </w:r>
          </w:p>
        </w:tc>
        <w:tc>
          <w:tcPr>
            <w:tcW w:w="380" w:type="dxa"/>
            <w:vAlign w:val="bottom"/>
            <w:tcBorders>
              <w:top w:val="single" w:sz="8" w:color="231F20"/>
              <w:bottom w:val="single" w:sz="8" w:color="auto"/>
            </w:tcBorders>
            <w:shd w:val="clear" w:color="auto" w:fill="98B0CF"/>
          </w:tcPr>
          <w:p>
            <w:pPr>
              <w:spacing w:after="0"/>
              <w:rPr>
                <w:sz w:val="20"/>
                <w:szCs w:val="20"/>
                <w:color w:val="auto"/>
              </w:rPr>
            </w:pPr>
          </w:p>
        </w:tc>
        <w:tc>
          <w:tcPr>
            <w:tcW w:w="1040" w:type="dxa"/>
            <w:vAlign w:val="bottom"/>
            <w:tcBorders>
              <w:top w:val="single" w:sz="8" w:color="231F20"/>
              <w:bottom w:val="single" w:sz="8" w:color="auto"/>
            </w:tcBorders>
            <w:shd w:val="clear" w:color="auto" w:fill="98B0CF"/>
          </w:tcPr>
          <w:p>
            <w:pPr>
              <w:jc w:val="right"/>
              <w:ind w:right="529"/>
              <w:spacing w:after="0"/>
              <w:rPr>
                <w:sz w:val="20"/>
                <w:szCs w:val="20"/>
                <w:color w:val="auto"/>
              </w:rPr>
            </w:pPr>
            <w:r>
              <w:rPr>
                <w:rFonts w:ascii="Arial" w:cs="Arial" w:eastAsia="Arial" w:hAnsi="Arial"/>
                <w:sz w:val="13"/>
                <w:szCs w:val="13"/>
                <w:b w:val="1"/>
                <w:bCs w:val="1"/>
                <w:color w:val="231F20"/>
              </w:rPr>
              <w:t>2024</w:t>
            </w:r>
          </w:p>
        </w:tc>
        <w:tc>
          <w:tcPr>
            <w:tcW w:w="340" w:type="dxa"/>
            <w:vAlign w:val="bottom"/>
            <w:tcBorders>
              <w:top w:val="single" w:sz="8" w:color="231F20"/>
              <w:bottom w:val="single" w:sz="8" w:color="auto"/>
            </w:tcBorders>
            <w:shd w:val="clear" w:color="auto" w:fill="98B0CF"/>
          </w:tcPr>
          <w:p>
            <w:pPr>
              <w:spacing w:after="0"/>
              <w:rPr>
                <w:sz w:val="20"/>
                <w:szCs w:val="20"/>
                <w:color w:val="auto"/>
              </w:rPr>
            </w:pPr>
          </w:p>
        </w:tc>
        <w:tc>
          <w:tcPr>
            <w:tcW w:w="1040" w:type="dxa"/>
            <w:vAlign w:val="bottom"/>
            <w:tcBorders>
              <w:top w:val="single" w:sz="8" w:color="231F20"/>
              <w:bottom w:val="single" w:sz="8" w:color="auto"/>
            </w:tcBorders>
            <w:shd w:val="clear" w:color="auto" w:fill="98B0CF"/>
          </w:tcPr>
          <w:p>
            <w:pPr>
              <w:jc w:val="right"/>
              <w:ind w:right="509"/>
              <w:spacing w:after="0"/>
              <w:rPr>
                <w:sz w:val="20"/>
                <w:szCs w:val="20"/>
                <w:color w:val="auto"/>
              </w:rPr>
            </w:pPr>
            <w:r>
              <w:rPr>
                <w:rFonts w:ascii="Arial" w:cs="Arial" w:eastAsia="Arial" w:hAnsi="Arial"/>
                <w:sz w:val="13"/>
                <w:szCs w:val="13"/>
                <w:b w:val="1"/>
                <w:bCs w:val="1"/>
                <w:color w:val="231F20"/>
              </w:rPr>
              <w:t>2023</w:t>
            </w:r>
          </w:p>
        </w:tc>
      </w:tr>
      <w:tr>
        <w:trPr>
          <w:trHeight w:val="187"/>
        </w:trPr>
        <w:tc>
          <w:tcPr>
            <w:tcW w:w="846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231F20"/>
              </w:rPr>
              <w:t>ASSETS</w:t>
            </w:r>
          </w:p>
        </w:tc>
        <w:tc>
          <w:tcPr>
            <w:tcW w:w="380" w:type="dxa"/>
            <w:vAlign w:val="bottom"/>
            <w:shd w:val="clear" w:color="auto" w:fill="E2E8F1"/>
          </w:tcPr>
          <w:p>
            <w:pPr>
              <w:spacing w:after="0"/>
              <w:rPr>
                <w:sz w:val="16"/>
                <w:szCs w:val="16"/>
                <w:color w:val="auto"/>
              </w:rPr>
            </w:pPr>
          </w:p>
        </w:tc>
        <w:tc>
          <w:tcPr>
            <w:tcW w:w="104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1040" w:type="dxa"/>
            <w:vAlign w:val="bottom"/>
            <w:shd w:val="clear" w:color="auto" w:fill="E2E8F1"/>
          </w:tcPr>
          <w:p>
            <w:pPr>
              <w:spacing w:after="0"/>
              <w:rPr>
                <w:sz w:val="16"/>
                <w:szCs w:val="16"/>
                <w:color w:val="auto"/>
              </w:rPr>
            </w:pPr>
          </w:p>
        </w:tc>
      </w:tr>
      <w:tr>
        <w:trPr>
          <w:trHeight w:val="189"/>
        </w:trPr>
        <w:tc>
          <w:tcPr>
            <w:tcW w:w="8460" w:type="dxa"/>
            <w:vAlign w:val="bottom"/>
          </w:tcPr>
          <w:p>
            <w:pPr>
              <w:ind w:left="80"/>
              <w:spacing w:after="0"/>
              <w:rPr>
                <w:sz w:val="20"/>
                <w:szCs w:val="20"/>
                <w:color w:val="auto"/>
              </w:rPr>
            </w:pPr>
            <w:r>
              <w:rPr>
                <w:rFonts w:ascii="Arial" w:cs="Arial" w:eastAsia="Arial" w:hAnsi="Arial"/>
                <w:sz w:val="14"/>
                <w:szCs w:val="14"/>
                <w:color w:val="231F20"/>
              </w:rPr>
              <w:t>Current Assets</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846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Cash and cash equivalents</w:t>
            </w:r>
          </w:p>
        </w:tc>
        <w:tc>
          <w:tcPr>
            <w:tcW w:w="38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231F20"/>
              </w:rPr>
              <w:t>$</w:t>
            </w:r>
          </w:p>
        </w:tc>
        <w:tc>
          <w:tcPr>
            <w:tcW w:w="104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509.4</w:t>
            </w:r>
          </w:p>
        </w:tc>
        <w:tc>
          <w:tcPr>
            <w:tcW w:w="34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w:t>
            </w:r>
          </w:p>
        </w:tc>
        <w:tc>
          <w:tcPr>
            <w:tcW w:w="10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581.3</w:t>
            </w:r>
          </w:p>
        </w:tc>
      </w:tr>
      <w:tr>
        <w:trPr>
          <w:trHeight w:val="189"/>
        </w:trPr>
        <w:tc>
          <w:tcPr>
            <w:tcW w:w="8460" w:type="dxa"/>
            <w:vAlign w:val="bottom"/>
          </w:tcPr>
          <w:p>
            <w:pPr>
              <w:ind w:left="160"/>
              <w:spacing w:after="0"/>
              <w:rPr>
                <w:sz w:val="20"/>
                <w:szCs w:val="20"/>
                <w:color w:val="auto"/>
              </w:rPr>
            </w:pPr>
            <w:r>
              <w:rPr>
                <w:rFonts w:ascii="Arial" w:cs="Arial" w:eastAsia="Arial" w:hAnsi="Arial"/>
                <w:sz w:val="14"/>
                <w:szCs w:val="14"/>
                <w:color w:val="231F20"/>
              </w:rPr>
              <w:t>Accounts receivable, less allowance for expected credit losses of $67.6 and $99.2, respectively</w:t>
            </w:r>
          </w:p>
        </w:tc>
        <w:tc>
          <w:tcPr>
            <w:tcW w:w="38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231F20"/>
              </w:rPr>
              <w:t>4,297.2</w:t>
            </w:r>
          </w:p>
        </w:tc>
        <w:tc>
          <w:tcPr>
            <w:tcW w:w="34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231F20"/>
              </w:rPr>
              <w:t>4,830.0</w:t>
            </w:r>
          </w:p>
        </w:tc>
      </w:tr>
      <w:tr>
        <w:trPr>
          <w:trHeight w:val="189"/>
        </w:trPr>
        <w:tc>
          <w:tcPr>
            <w:tcW w:w="8460" w:type="dxa"/>
            <w:vAlign w:val="bottom"/>
            <w:tcBorders>
              <w:bottom w:val="single" w:sz="8" w:color="231F20"/>
            </w:tcBorders>
            <w:shd w:val="clear" w:color="auto" w:fill="E2E8F1"/>
          </w:tcPr>
          <w:p>
            <w:pPr>
              <w:ind w:left="160"/>
              <w:spacing w:after="0"/>
              <w:rPr>
                <w:sz w:val="20"/>
                <w:szCs w:val="20"/>
                <w:color w:val="auto"/>
              </w:rPr>
            </w:pPr>
            <w:r>
              <w:rPr>
                <w:rFonts w:ascii="Arial" w:cs="Arial" w:eastAsia="Arial" w:hAnsi="Arial"/>
                <w:sz w:val="14"/>
                <w:szCs w:val="14"/>
                <w:color w:val="231F20"/>
              </w:rPr>
              <w:t>Prepaid expenses and other assets</w:t>
            </w:r>
          </w:p>
        </w:tc>
        <w:tc>
          <w:tcPr>
            <w:tcW w:w="380" w:type="dxa"/>
            <w:vAlign w:val="bottom"/>
            <w:tcBorders>
              <w:bottom w:val="single" w:sz="8" w:color="231F20"/>
            </w:tcBorders>
            <w:shd w:val="clear" w:color="auto" w:fill="E2E8F1"/>
          </w:tcPr>
          <w:p>
            <w:pPr>
              <w:spacing w:after="0"/>
              <w:rPr>
                <w:sz w:val="16"/>
                <w:szCs w:val="16"/>
                <w:color w:val="auto"/>
              </w:rPr>
            </w:pPr>
          </w:p>
        </w:tc>
        <w:tc>
          <w:tcPr>
            <w:tcW w:w="104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163.7</w:t>
            </w:r>
          </w:p>
        </w:tc>
        <w:tc>
          <w:tcPr>
            <w:tcW w:w="340" w:type="dxa"/>
            <w:vAlign w:val="bottom"/>
            <w:tcBorders>
              <w:bottom w:val="single" w:sz="8" w:color="231F20"/>
            </w:tcBorders>
            <w:shd w:val="clear" w:color="auto" w:fill="E2E8F1"/>
          </w:tcPr>
          <w:p>
            <w:pPr>
              <w:spacing w:after="0"/>
              <w:rPr>
                <w:sz w:val="16"/>
                <w:szCs w:val="16"/>
                <w:color w:val="auto"/>
              </w:rPr>
            </w:pPr>
          </w:p>
        </w:tc>
        <w:tc>
          <w:tcPr>
            <w:tcW w:w="10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160.8</w:t>
            </w:r>
          </w:p>
        </w:tc>
      </w:tr>
      <w:tr>
        <w:trPr>
          <w:trHeight w:val="181"/>
        </w:trPr>
        <w:tc>
          <w:tcPr>
            <w:tcW w:w="8460" w:type="dxa"/>
            <w:vAlign w:val="bottom"/>
          </w:tcPr>
          <w:p>
            <w:pPr>
              <w:ind w:left="240"/>
              <w:spacing w:after="0"/>
              <w:rPr>
                <w:sz w:val="20"/>
                <w:szCs w:val="20"/>
                <w:color w:val="auto"/>
              </w:rPr>
            </w:pPr>
            <w:r>
              <w:rPr>
                <w:rFonts w:ascii="Arial" w:cs="Arial" w:eastAsia="Arial" w:hAnsi="Arial"/>
                <w:sz w:val="14"/>
                <w:szCs w:val="14"/>
                <w:color w:val="231F20"/>
              </w:rPr>
              <w:t>Total current assets</w:t>
            </w:r>
          </w:p>
        </w:tc>
        <w:tc>
          <w:tcPr>
            <w:tcW w:w="380" w:type="dxa"/>
            <w:vAlign w:val="bottom"/>
          </w:tcPr>
          <w:p>
            <w:pPr>
              <w:spacing w:after="0"/>
              <w:rPr>
                <w:sz w:val="15"/>
                <w:szCs w:val="15"/>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231F20"/>
              </w:rPr>
              <w:t>4,970.3</w:t>
            </w:r>
          </w:p>
        </w:tc>
        <w:tc>
          <w:tcPr>
            <w:tcW w:w="340" w:type="dxa"/>
            <w:vAlign w:val="bottom"/>
          </w:tcPr>
          <w:p>
            <w:pPr>
              <w:spacing w:after="0"/>
              <w:rPr>
                <w:sz w:val="15"/>
                <w:szCs w:val="15"/>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231F20"/>
              </w:rPr>
              <w:t>5,572.1</w:t>
            </w:r>
          </w:p>
        </w:tc>
      </w:tr>
      <w:tr>
        <w:trPr>
          <w:trHeight w:val="189"/>
        </w:trPr>
        <w:tc>
          <w:tcPr>
            <w:tcW w:w="84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Other Assets</w:t>
            </w:r>
          </w:p>
        </w:tc>
        <w:tc>
          <w:tcPr>
            <w:tcW w:w="380" w:type="dxa"/>
            <w:vAlign w:val="bottom"/>
            <w:shd w:val="clear" w:color="auto" w:fill="E2E8F1"/>
          </w:tcPr>
          <w:p>
            <w:pPr>
              <w:spacing w:after="0"/>
              <w:rPr>
                <w:sz w:val="16"/>
                <w:szCs w:val="16"/>
                <w:color w:val="auto"/>
              </w:rPr>
            </w:pPr>
          </w:p>
        </w:tc>
        <w:tc>
          <w:tcPr>
            <w:tcW w:w="104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1040" w:type="dxa"/>
            <w:vAlign w:val="bottom"/>
            <w:shd w:val="clear" w:color="auto" w:fill="E2E8F1"/>
          </w:tcPr>
          <w:p>
            <w:pPr>
              <w:spacing w:after="0"/>
              <w:rPr>
                <w:sz w:val="16"/>
                <w:szCs w:val="16"/>
                <w:color w:val="auto"/>
              </w:rPr>
            </w:pPr>
          </w:p>
        </w:tc>
      </w:tr>
      <w:tr>
        <w:trPr>
          <w:trHeight w:val="189"/>
        </w:trPr>
        <w:tc>
          <w:tcPr>
            <w:tcW w:w="8460" w:type="dxa"/>
            <w:vAlign w:val="bottom"/>
          </w:tcPr>
          <w:p>
            <w:pPr>
              <w:ind w:left="160"/>
              <w:spacing w:after="0"/>
              <w:rPr>
                <w:sz w:val="20"/>
                <w:szCs w:val="20"/>
                <w:color w:val="auto"/>
              </w:rPr>
            </w:pPr>
            <w:r>
              <w:rPr>
                <w:rFonts w:ascii="Arial" w:cs="Arial" w:eastAsia="Arial" w:hAnsi="Arial"/>
                <w:sz w:val="14"/>
                <w:szCs w:val="14"/>
                <w:color w:val="231F20"/>
              </w:rPr>
              <w:t>Goodwill</w:t>
            </w:r>
          </w:p>
        </w:tc>
        <w:tc>
          <w:tcPr>
            <w:tcW w:w="38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231F20"/>
              </w:rPr>
              <w:t>1,563.4</w:t>
            </w:r>
          </w:p>
        </w:tc>
        <w:tc>
          <w:tcPr>
            <w:tcW w:w="34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231F20"/>
              </w:rPr>
              <w:t>1,586.8</w:t>
            </w:r>
          </w:p>
        </w:tc>
      </w:tr>
      <w:tr>
        <w:trPr>
          <w:trHeight w:val="189"/>
        </w:trPr>
        <w:tc>
          <w:tcPr>
            <w:tcW w:w="846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Intangible assets, less accumulated amortization of $530.4 and $507.2, respectively</w:t>
            </w:r>
          </w:p>
        </w:tc>
        <w:tc>
          <w:tcPr>
            <w:tcW w:w="38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486.1</w:t>
            </w:r>
          </w:p>
        </w:tc>
        <w:tc>
          <w:tcPr>
            <w:tcW w:w="34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519.6</w:t>
            </w:r>
          </w:p>
        </w:tc>
      </w:tr>
      <w:tr>
        <w:trPr>
          <w:trHeight w:val="189"/>
        </w:trPr>
        <w:tc>
          <w:tcPr>
            <w:tcW w:w="8460" w:type="dxa"/>
            <w:vAlign w:val="bottom"/>
          </w:tcPr>
          <w:p>
            <w:pPr>
              <w:ind w:left="160"/>
              <w:spacing w:after="0"/>
              <w:rPr>
                <w:sz w:val="20"/>
                <w:szCs w:val="20"/>
                <w:color w:val="auto"/>
              </w:rPr>
            </w:pPr>
            <w:r>
              <w:rPr>
                <w:rFonts w:ascii="Arial" w:cs="Arial" w:eastAsia="Arial" w:hAnsi="Arial"/>
                <w:sz w:val="14"/>
                <w:szCs w:val="14"/>
                <w:color w:val="231F20"/>
              </w:rPr>
              <w:t>Operating lease right-of-use assets</w:t>
            </w:r>
          </w:p>
        </w:tc>
        <w:tc>
          <w:tcPr>
            <w:tcW w:w="38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231F20"/>
              </w:rPr>
              <w:t>361.3</w:t>
            </w:r>
          </w:p>
        </w:tc>
        <w:tc>
          <w:tcPr>
            <w:tcW w:w="34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231F20"/>
              </w:rPr>
              <w:t>414.0</w:t>
            </w:r>
          </w:p>
        </w:tc>
      </w:tr>
      <w:tr>
        <w:trPr>
          <w:trHeight w:val="189"/>
        </w:trPr>
        <w:tc>
          <w:tcPr>
            <w:tcW w:w="8460" w:type="dxa"/>
            <w:vAlign w:val="bottom"/>
            <w:tcBorders>
              <w:bottom w:val="single" w:sz="8" w:color="231F20"/>
            </w:tcBorders>
            <w:shd w:val="clear" w:color="auto" w:fill="E2E8F1"/>
          </w:tcPr>
          <w:p>
            <w:pPr>
              <w:ind w:left="160"/>
              <w:spacing w:after="0"/>
              <w:rPr>
                <w:sz w:val="20"/>
                <w:szCs w:val="20"/>
                <w:color w:val="auto"/>
              </w:rPr>
            </w:pPr>
            <w:r>
              <w:rPr>
                <w:rFonts w:ascii="Arial" w:cs="Arial" w:eastAsia="Arial" w:hAnsi="Arial"/>
                <w:sz w:val="14"/>
                <w:szCs w:val="14"/>
                <w:color w:val="231F20"/>
              </w:rPr>
              <w:t>Other assets</w:t>
            </w:r>
          </w:p>
        </w:tc>
        <w:tc>
          <w:tcPr>
            <w:tcW w:w="380" w:type="dxa"/>
            <w:vAlign w:val="bottom"/>
            <w:tcBorders>
              <w:bottom w:val="single" w:sz="8" w:color="231F20"/>
            </w:tcBorders>
            <w:shd w:val="clear" w:color="auto" w:fill="E2E8F1"/>
          </w:tcPr>
          <w:p>
            <w:pPr>
              <w:spacing w:after="0"/>
              <w:rPr>
                <w:sz w:val="16"/>
                <w:szCs w:val="16"/>
                <w:color w:val="auto"/>
              </w:rPr>
            </w:pPr>
          </w:p>
        </w:tc>
        <w:tc>
          <w:tcPr>
            <w:tcW w:w="104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701.5</w:t>
            </w:r>
          </w:p>
        </w:tc>
        <w:tc>
          <w:tcPr>
            <w:tcW w:w="340" w:type="dxa"/>
            <w:vAlign w:val="bottom"/>
            <w:tcBorders>
              <w:bottom w:val="single" w:sz="8" w:color="231F20"/>
            </w:tcBorders>
            <w:shd w:val="clear" w:color="auto" w:fill="E2E8F1"/>
          </w:tcPr>
          <w:p>
            <w:pPr>
              <w:spacing w:after="0"/>
              <w:rPr>
                <w:sz w:val="16"/>
                <w:szCs w:val="16"/>
                <w:color w:val="auto"/>
              </w:rPr>
            </w:pPr>
          </w:p>
        </w:tc>
        <w:tc>
          <w:tcPr>
            <w:tcW w:w="10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607.8</w:t>
            </w:r>
          </w:p>
        </w:tc>
      </w:tr>
      <w:tr>
        <w:trPr>
          <w:trHeight w:val="181"/>
        </w:trPr>
        <w:tc>
          <w:tcPr>
            <w:tcW w:w="8460" w:type="dxa"/>
            <w:vAlign w:val="bottom"/>
          </w:tcPr>
          <w:p>
            <w:pPr>
              <w:ind w:left="240"/>
              <w:spacing w:after="0"/>
              <w:rPr>
                <w:sz w:val="20"/>
                <w:szCs w:val="20"/>
                <w:color w:val="auto"/>
              </w:rPr>
            </w:pPr>
            <w:r>
              <w:rPr>
                <w:rFonts w:ascii="Arial" w:cs="Arial" w:eastAsia="Arial" w:hAnsi="Arial"/>
                <w:sz w:val="14"/>
                <w:szCs w:val="14"/>
                <w:color w:val="231F20"/>
              </w:rPr>
              <w:t>Total other assets</w:t>
            </w:r>
          </w:p>
        </w:tc>
        <w:tc>
          <w:tcPr>
            <w:tcW w:w="380" w:type="dxa"/>
            <w:vAlign w:val="bottom"/>
          </w:tcPr>
          <w:p>
            <w:pPr>
              <w:spacing w:after="0"/>
              <w:rPr>
                <w:sz w:val="15"/>
                <w:szCs w:val="15"/>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231F20"/>
              </w:rPr>
              <w:t>3,112.3</w:t>
            </w:r>
          </w:p>
        </w:tc>
        <w:tc>
          <w:tcPr>
            <w:tcW w:w="340" w:type="dxa"/>
            <w:vAlign w:val="bottom"/>
          </w:tcPr>
          <w:p>
            <w:pPr>
              <w:spacing w:after="0"/>
              <w:rPr>
                <w:sz w:val="15"/>
                <w:szCs w:val="15"/>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231F20"/>
              </w:rPr>
              <w:t>3,128.2</w:t>
            </w:r>
          </w:p>
        </w:tc>
      </w:tr>
      <w:tr>
        <w:trPr>
          <w:trHeight w:val="189"/>
        </w:trPr>
        <w:tc>
          <w:tcPr>
            <w:tcW w:w="84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Property and Equipment</w:t>
            </w:r>
          </w:p>
        </w:tc>
        <w:tc>
          <w:tcPr>
            <w:tcW w:w="380" w:type="dxa"/>
            <w:vAlign w:val="bottom"/>
            <w:shd w:val="clear" w:color="auto" w:fill="E2E8F1"/>
          </w:tcPr>
          <w:p>
            <w:pPr>
              <w:spacing w:after="0"/>
              <w:rPr>
                <w:sz w:val="16"/>
                <w:szCs w:val="16"/>
                <w:color w:val="auto"/>
              </w:rPr>
            </w:pPr>
          </w:p>
        </w:tc>
        <w:tc>
          <w:tcPr>
            <w:tcW w:w="104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1040" w:type="dxa"/>
            <w:vAlign w:val="bottom"/>
            <w:shd w:val="clear" w:color="auto" w:fill="E2E8F1"/>
          </w:tcPr>
          <w:p>
            <w:pPr>
              <w:spacing w:after="0"/>
              <w:rPr>
                <w:sz w:val="16"/>
                <w:szCs w:val="16"/>
                <w:color w:val="auto"/>
              </w:rPr>
            </w:pPr>
          </w:p>
        </w:tc>
      </w:tr>
      <w:tr>
        <w:trPr>
          <w:trHeight w:val="189"/>
        </w:trPr>
        <w:tc>
          <w:tcPr>
            <w:tcW w:w="8460" w:type="dxa"/>
            <w:vAlign w:val="bottom"/>
          </w:tcPr>
          <w:p>
            <w:pPr>
              <w:ind w:left="160"/>
              <w:spacing w:after="0"/>
              <w:rPr>
                <w:sz w:val="20"/>
                <w:szCs w:val="20"/>
                <w:color w:val="auto"/>
              </w:rPr>
            </w:pPr>
            <w:r>
              <w:rPr>
                <w:rFonts w:ascii="Arial" w:cs="Arial" w:eastAsia="Arial" w:hAnsi="Arial"/>
                <w:sz w:val="14"/>
                <w:szCs w:val="14"/>
                <w:color w:val="231F20"/>
              </w:rPr>
              <w:t>Land, buildings, leasehold improvements and equipment</w:t>
            </w:r>
          </w:p>
        </w:tc>
        <w:tc>
          <w:tcPr>
            <w:tcW w:w="38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231F20"/>
              </w:rPr>
              <w:t>488.2</w:t>
            </w:r>
          </w:p>
        </w:tc>
        <w:tc>
          <w:tcPr>
            <w:tcW w:w="34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231F20"/>
              </w:rPr>
              <w:t>526.5</w:t>
            </w:r>
          </w:p>
        </w:tc>
      </w:tr>
      <w:tr>
        <w:trPr>
          <w:trHeight w:val="189"/>
        </w:trPr>
        <w:tc>
          <w:tcPr>
            <w:tcW w:w="8460" w:type="dxa"/>
            <w:vAlign w:val="bottom"/>
            <w:tcBorders>
              <w:bottom w:val="single" w:sz="8" w:color="231F20"/>
            </w:tcBorders>
            <w:shd w:val="clear" w:color="auto" w:fill="E2E8F1"/>
          </w:tcPr>
          <w:p>
            <w:pPr>
              <w:ind w:left="160"/>
              <w:spacing w:after="0"/>
              <w:rPr>
                <w:sz w:val="20"/>
                <w:szCs w:val="20"/>
                <w:color w:val="auto"/>
              </w:rPr>
            </w:pPr>
            <w:r>
              <w:rPr>
                <w:rFonts w:ascii="Arial" w:cs="Arial" w:eastAsia="Arial" w:hAnsi="Arial"/>
                <w:sz w:val="14"/>
                <w:szCs w:val="14"/>
                <w:color w:val="231F20"/>
              </w:rPr>
              <w:t>Less: accumulated depreciation and amortization</w:t>
            </w:r>
          </w:p>
        </w:tc>
        <w:tc>
          <w:tcPr>
            <w:tcW w:w="380" w:type="dxa"/>
            <w:vAlign w:val="bottom"/>
            <w:tcBorders>
              <w:bottom w:val="single" w:sz="8" w:color="231F20"/>
            </w:tcBorders>
            <w:shd w:val="clear" w:color="auto" w:fill="E2E8F1"/>
          </w:tcPr>
          <w:p>
            <w:pPr>
              <w:spacing w:after="0"/>
              <w:rPr>
                <w:sz w:val="16"/>
                <w:szCs w:val="16"/>
                <w:color w:val="auto"/>
              </w:rPr>
            </w:pPr>
          </w:p>
        </w:tc>
        <w:tc>
          <w:tcPr>
            <w:tcW w:w="104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369.8</w:t>
            </w:r>
          </w:p>
        </w:tc>
        <w:tc>
          <w:tcPr>
            <w:tcW w:w="340" w:type="dxa"/>
            <w:vAlign w:val="bottom"/>
            <w:tcBorders>
              <w:bottom w:val="single" w:sz="8" w:color="231F20"/>
            </w:tcBorders>
            <w:shd w:val="clear" w:color="auto" w:fill="E2E8F1"/>
          </w:tcPr>
          <w:p>
            <w:pPr>
              <w:spacing w:after="0"/>
              <w:rPr>
                <w:sz w:val="16"/>
                <w:szCs w:val="16"/>
                <w:color w:val="auto"/>
              </w:rPr>
            </w:pPr>
          </w:p>
        </w:tc>
        <w:tc>
          <w:tcPr>
            <w:tcW w:w="10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396.6</w:t>
            </w:r>
          </w:p>
        </w:tc>
      </w:tr>
      <w:tr>
        <w:trPr>
          <w:trHeight w:val="181"/>
        </w:trPr>
        <w:tc>
          <w:tcPr>
            <w:tcW w:w="8460" w:type="dxa"/>
            <w:vAlign w:val="bottom"/>
            <w:tcBorders>
              <w:bottom w:val="single" w:sz="8" w:color="231F20"/>
            </w:tcBorders>
          </w:tcPr>
          <w:p>
            <w:pPr>
              <w:ind w:left="240"/>
              <w:spacing w:after="0"/>
              <w:rPr>
                <w:sz w:val="20"/>
                <w:szCs w:val="20"/>
                <w:color w:val="auto"/>
              </w:rPr>
            </w:pPr>
            <w:r>
              <w:rPr>
                <w:rFonts w:ascii="Arial" w:cs="Arial" w:eastAsia="Arial" w:hAnsi="Arial"/>
                <w:sz w:val="14"/>
                <w:szCs w:val="14"/>
                <w:color w:val="231F20"/>
              </w:rPr>
              <w:t>Net property and equipment</w:t>
            </w:r>
          </w:p>
        </w:tc>
        <w:tc>
          <w:tcPr>
            <w:tcW w:w="38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right"/>
              <w:ind w:right="89"/>
              <w:spacing w:after="0"/>
              <w:rPr>
                <w:sz w:val="20"/>
                <w:szCs w:val="20"/>
                <w:color w:val="auto"/>
              </w:rPr>
            </w:pPr>
            <w:r>
              <w:rPr>
                <w:rFonts w:ascii="Arial" w:cs="Arial" w:eastAsia="Arial" w:hAnsi="Arial"/>
                <w:sz w:val="14"/>
                <w:szCs w:val="14"/>
                <w:color w:val="231F20"/>
              </w:rPr>
              <w:t>118.4</w:t>
            </w:r>
          </w:p>
        </w:tc>
        <w:tc>
          <w:tcPr>
            <w:tcW w:w="34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129.9</w:t>
            </w:r>
          </w:p>
        </w:tc>
      </w:tr>
      <w:tr>
        <w:trPr>
          <w:trHeight w:val="181"/>
        </w:trPr>
        <w:tc>
          <w:tcPr>
            <w:tcW w:w="8460" w:type="dxa"/>
            <w:vAlign w:val="bottom"/>
            <w:tcBorders>
              <w:bottom w:val="single" w:sz="8" w:color="231F20"/>
            </w:tcBorders>
            <w:shd w:val="clear" w:color="auto" w:fill="E2E8F1"/>
          </w:tcPr>
          <w:p>
            <w:pPr>
              <w:ind w:left="320"/>
              <w:spacing w:after="0"/>
              <w:rPr>
                <w:sz w:val="20"/>
                <w:szCs w:val="20"/>
                <w:color w:val="auto"/>
              </w:rPr>
            </w:pPr>
            <w:r>
              <w:rPr>
                <w:rFonts w:ascii="Arial" w:cs="Arial" w:eastAsia="Arial" w:hAnsi="Arial"/>
                <w:sz w:val="14"/>
                <w:szCs w:val="14"/>
                <w:color w:val="231F20"/>
              </w:rPr>
              <w:t>Total assets</w:t>
            </w:r>
          </w:p>
        </w:tc>
        <w:tc>
          <w:tcPr>
            <w:tcW w:w="380" w:type="dxa"/>
            <w:vAlign w:val="bottom"/>
            <w:tcBorders>
              <w:bottom w:val="single" w:sz="8" w:color="231F20"/>
            </w:tcBorders>
            <w:shd w:val="clear" w:color="auto" w:fill="E2E8F1"/>
          </w:tcPr>
          <w:p>
            <w:pPr>
              <w:jc w:val="right"/>
              <w:ind w:right="109"/>
              <w:spacing w:after="0"/>
              <w:rPr>
                <w:sz w:val="20"/>
                <w:szCs w:val="20"/>
                <w:color w:val="auto"/>
              </w:rPr>
            </w:pPr>
            <w:r>
              <w:rPr>
                <w:rFonts w:ascii="Arial" w:cs="Arial" w:eastAsia="Arial" w:hAnsi="Arial"/>
                <w:sz w:val="14"/>
                <w:szCs w:val="14"/>
                <w:color w:val="231F20"/>
              </w:rPr>
              <w:t>$</w:t>
            </w:r>
          </w:p>
        </w:tc>
        <w:tc>
          <w:tcPr>
            <w:tcW w:w="104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8,201.0</w:t>
            </w:r>
          </w:p>
        </w:tc>
        <w:tc>
          <w:tcPr>
            <w:tcW w:w="34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w:t>
            </w:r>
          </w:p>
        </w:tc>
        <w:tc>
          <w:tcPr>
            <w:tcW w:w="10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8,830.2</w:t>
            </w:r>
          </w:p>
        </w:tc>
      </w:tr>
      <w:tr>
        <w:trPr>
          <w:trHeight w:val="181"/>
        </w:trPr>
        <w:tc>
          <w:tcPr>
            <w:tcW w:w="8460" w:type="dxa"/>
            <w:vAlign w:val="bottom"/>
          </w:tcPr>
          <w:p>
            <w:pPr>
              <w:ind w:left="80"/>
              <w:spacing w:after="0"/>
              <w:rPr>
                <w:sz w:val="20"/>
                <w:szCs w:val="20"/>
                <w:color w:val="auto"/>
              </w:rPr>
            </w:pPr>
            <w:r>
              <w:rPr>
                <w:rFonts w:ascii="Arial" w:cs="Arial" w:eastAsia="Arial" w:hAnsi="Arial"/>
                <w:sz w:val="14"/>
                <w:szCs w:val="14"/>
                <w:b w:val="1"/>
                <w:bCs w:val="1"/>
                <w:color w:val="231F20"/>
              </w:rPr>
              <w:t>LIABILITIES AND SHAREHOLDERS' EQUITY</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84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Current Liabilities</w:t>
            </w:r>
          </w:p>
        </w:tc>
        <w:tc>
          <w:tcPr>
            <w:tcW w:w="380" w:type="dxa"/>
            <w:vAlign w:val="bottom"/>
            <w:shd w:val="clear" w:color="auto" w:fill="E2E8F1"/>
          </w:tcPr>
          <w:p>
            <w:pPr>
              <w:spacing w:after="0"/>
              <w:rPr>
                <w:sz w:val="16"/>
                <w:szCs w:val="16"/>
                <w:color w:val="auto"/>
              </w:rPr>
            </w:pPr>
          </w:p>
        </w:tc>
        <w:tc>
          <w:tcPr>
            <w:tcW w:w="104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1040" w:type="dxa"/>
            <w:vAlign w:val="bottom"/>
            <w:shd w:val="clear" w:color="auto" w:fill="E2E8F1"/>
          </w:tcPr>
          <w:p>
            <w:pPr>
              <w:spacing w:after="0"/>
              <w:rPr>
                <w:sz w:val="16"/>
                <w:szCs w:val="16"/>
                <w:color w:val="auto"/>
              </w:rPr>
            </w:pPr>
          </w:p>
        </w:tc>
      </w:tr>
      <w:tr>
        <w:trPr>
          <w:trHeight w:val="189"/>
        </w:trPr>
        <w:tc>
          <w:tcPr>
            <w:tcW w:w="8460" w:type="dxa"/>
            <w:vAlign w:val="bottom"/>
          </w:tcPr>
          <w:p>
            <w:pPr>
              <w:ind w:left="160"/>
              <w:spacing w:after="0"/>
              <w:rPr>
                <w:sz w:val="20"/>
                <w:szCs w:val="20"/>
                <w:color w:val="auto"/>
              </w:rPr>
            </w:pPr>
            <w:r>
              <w:rPr>
                <w:rFonts w:ascii="Arial" w:cs="Arial" w:eastAsia="Arial" w:hAnsi="Arial"/>
                <w:sz w:val="14"/>
                <w:szCs w:val="14"/>
                <w:color w:val="231F20"/>
              </w:rPr>
              <w:t>Accounts payable</w:t>
            </w:r>
          </w:p>
        </w:tc>
        <w:tc>
          <w:tcPr>
            <w:tcW w:w="380" w:type="dxa"/>
            <w:vAlign w:val="bottom"/>
          </w:tcPr>
          <w:p>
            <w:pPr>
              <w:jc w:val="right"/>
              <w:ind w:right="109"/>
              <w:spacing w:after="0"/>
              <w:rPr>
                <w:sz w:val="20"/>
                <w:szCs w:val="20"/>
                <w:color w:val="auto"/>
              </w:rPr>
            </w:pPr>
            <w:r>
              <w:rPr>
                <w:rFonts w:ascii="Arial" w:cs="Arial" w:eastAsia="Arial" w:hAnsi="Arial"/>
                <w:sz w:val="14"/>
                <w:szCs w:val="14"/>
                <w:color w:val="231F20"/>
              </w:rPr>
              <w:t>$</w:t>
            </w:r>
          </w:p>
        </w:tc>
        <w:tc>
          <w:tcPr>
            <w:tcW w:w="1040" w:type="dxa"/>
            <w:vAlign w:val="bottom"/>
          </w:tcPr>
          <w:p>
            <w:pPr>
              <w:jc w:val="right"/>
              <w:ind w:right="89"/>
              <w:spacing w:after="0"/>
              <w:rPr>
                <w:sz w:val="20"/>
                <w:szCs w:val="20"/>
                <w:color w:val="auto"/>
              </w:rPr>
            </w:pPr>
            <w:r>
              <w:rPr>
                <w:rFonts w:ascii="Arial" w:cs="Arial" w:eastAsia="Arial" w:hAnsi="Arial"/>
                <w:sz w:val="14"/>
                <w:szCs w:val="14"/>
                <w:color w:val="231F20"/>
              </w:rPr>
              <w:t>2,612.9</w:t>
            </w:r>
          </w:p>
        </w:tc>
        <w:tc>
          <w:tcPr>
            <w:tcW w:w="340" w:type="dxa"/>
            <w:vAlign w:val="bottom"/>
          </w:tcPr>
          <w:p>
            <w:pPr>
              <w:jc w:val="right"/>
              <w:ind w:right="89"/>
              <w:spacing w:after="0"/>
              <w:rPr>
                <w:sz w:val="20"/>
                <w:szCs w:val="20"/>
                <w:color w:val="auto"/>
              </w:rPr>
            </w:pPr>
            <w:r>
              <w:rPr>
                <w:rFonts w:ascii="Arial" w:cs="Arial" w:eastAsia="Arial" w:hAnsi="Arial"/>
                <w:sz w:val="14"/>
                <w:szCs w:val="14"/>
                <w:color w:val="231F20"/>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231F20"/>
              </w:rPr>
              <w:t>2,723.0</w:t>
            </w:r>
          </w:p>
        </w:tc>
      </w:tr>
      <w:tr>
        <w:trPr>
          <w:trHeight w:val="189"/>
        </w:trPr>
        <w:tc>
          <w:tcPr>
            <w:tcW w:w="846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Employee compensation payable</w:t>
            </w:r>
          </w:p>
        </w:tc>
        <w:tc>
          <w:tcPr>
            <w:tcW w:w="38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241.1</w:t>
            </w:r>
          </w:p>
        </w:tc>
        <w:tc>
          <w:tcPr>
            <w:tcW w:w="34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243.1</w:t>
            </w:r>
          </w:p>
        </w:tc>
      </w:tr>
      <w:tr>
        <w:trPr>
          <w:trHeight w:val="189"/>
        </w:trPr>
        <w:tc>
          <w:tcPr>
            <w:tcW w:w="8460" w:type="dxa"/>
            <w:vAlign w:val="bottom"/>
          </w:tcPr>
          <w:p>
            <w:pPr>
              <w:ind w:left="160"/>
              <w:spacing w:after="0"/>
              <w:rPr>
                <w:sz w:val="20"/>
                <w:szCs w:val="20"/>
                <w:color w:val="auto"/>
              </w:rPr>
            </w:pPr>
            <w:r>
              <w:rPr>
                <w:rFonts w:ascii="Arial" w:cs="Arial" w:eastAsia="Arial" w:hAnsi="Arial"/>
                <w:sz w:val="14"/>
                <w:szCs w:val="14"/>
                <w:color w:val="231F20"/>
              </w:rPr>
              <w:t>Accrued liabilities</w:t>
            </w:r>
          </w:p>
        </w:tc>
        <w:tc>
          <w:tcPr>
            <w:tcW w:w="38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231F20"/>
              </w:rPr>
              <w:t>573.7</w:t>
            </w:r>
          </w:p>
        </w:tc>
        <w:tc>
          <w:tcPr>
            <w:tcW w:w="34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231F20"/>
              </w:rPr>
              <w:t>693.0</w:t>
            </w:r>
          </w:p>
        </w:tc>
      </w:tr>
      <w:tr>
        <w:trPr>
          <w:trHeight w:val="189"/>
        </w:trPr>
        <w:tc>
          <w:tcPr>
            <w:tcW w:w="846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Accrued payroll taxes and insurance</w:t>
            </w:r>
          </w:p>
        </w:tc>
        <w:tc>
          <w:tcPr>
            <w:tcW w:w="38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615.2</w:t>
            </w:r>
          </w:p>
        </w:tc>
        <w:tc>
          <w:tcPr>
            <w:tcW w:w="34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695.8</w:t>
            </w:r>
          </w:p>
        </w:tc>
      </w:tr>
      <w:tr>
        <w:trPr>
          <w:trHeight w:val="189"/>
        </w:trPr>
        <w:tc>
          <w:tcPr>
            <w:tcW w:w="8460" w:type="dxa"/>
            <w:vAlign w:val="bottom"/>
          </w:tcPr>
          <w:p>
            <w:pPr>
              <w:ind w:left="160"/>
              <w:spacing w:after="0"/>
              <w:rPr>
                <w:sz w:val="20"/>
                <w:szCs w:val="20"/>
                <w:color w:val="auto"/>
              </w:rPr>
            </w:pPr>
            <w:r>
              <w:rPr>
                <w:rFonts w:ascii="Arial" w:cs="Arial" w:eastAsia="Arial" w:hAnsi="Arial"/>
                <w:sz w:val="14"/>
                <w:szCs w:val="14"/>
                <w:color w:val="231F20"/>
              </w:rPr>
              <w:t>Value added taxes payable</w:t>
            </w:r>
          </w:p>
        </w:tc>
        <w:tc>
          <w:tcPr>
            <w:tcW w:w="38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231F20"/>
              </w:rPr>
              <w:t>370.8</w:t>
            </w:r>
          </w:p>
        </w:tc>
        <w:tc>
          <w:tcPr>
            <w:tcW w:w="34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231F20"/>
              </w:rPr>
              <w:t>432.7</w:t>
            </w:r>
          </w:p>
        </w:tc>
      </w:tr>
      <w:tr>
        <w:trPr>
          <w:trHeight w:val="189"/>
        </w:trPr>
        <w:tc>
          <w:tcPr>
            <w:tcW w:w="8460" w:type="dxa"/>
            <w:vAlign w:val="bottom"/>
            <w:tcBorders>
              <w:bottom w:val="single" w:sz="8" w:color="231F20"/>
            </w:tcBorders>
            <w:shd w:val="clear" w:color="auto" w:fill="E2E8F1"/>
          </w:tcPr>
          <w:p>
            <w:pPr>
              <w:ind w:left="160"/>
              <w:spacing w:after="0"/>
              <w:rPr>
                <w:sz w:val="20"/>
                <w:szCs w:val="20"/>
                <w:color w:val="auto"/>
              </w:rPr>
            </w:pPr>
            <w:r>
              <w:rPr>
                <w:rFonts w:ascii="Arial" w:cs="Arial" w:eastAsia="Arial" w:hAnsi="Arial"/>
                <w:sz w:val="14"/>
                <w:szCs w:val="14"/>
                <w:color w:val="231F20"/>
              </w:rPr>
              <w:t>Short-term borrowings and current maturities of long-term debt</w:t>
            </w:r>
          </w:p>
        </w:tc>
        <w:tc>
          <w:tcPr>
            <w:tcW w:w="380" w:type="dxa"/>
            <w:vAlign w:val="bottom"/>
            <w:tcBorders>
              <w:bottom w:val="single" w:sz="8" w:color="231F20"/>
            </w:tcBorders>
            <w:shd w:val="clear" w:color="auto" w:fill="E2E8F1"/>
          </w:tcPr>
          <w:p>
            <w:pPr>
              <w:spacing w:after="0"/>
              <w:rPr>
                <w:sz w:val="16"/>
                <w:szCs w:val="16"/>
                <w:color w:val="auto"/>
              </w:rPr>
            </w:pPr>
          </w:p>
        </w:tc>
        <w:tc>
          <w:tcPr>
            <w:tcW w:w="104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23.4</w:t>
            </w:r>
          </w:p>
        </w:tc>
        <w:tc>
          <w:tcPr>
            <w:tcW w:w="340" w:type="dxa"/>
            <w:vAlign w:val="bottom"/>
            <w:tcBorders>
              <w:bottom w:val="single" w:sz="8" w:color="231F20"/>
            </w:tcBorders>
            <w:shd w:val="clear" w:color="auto" w:fill="E2E8F1"/>
          </w:tcPr>
          <w:p>
            <w:pPr>
              <w:spacing w:after="0"/>
              <w:rPr>
                <w:sz w:val="16"/>
                <w:szCs w:val="16"/>
                <w:color w:val="auto"/>
              </w:rPr>
            </w:pPr>
          </w:p>
        </w:tc>
        <w:tc>
          <w:tcPr>
            <w:tcW w:w="10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12.1</w:t>
            </w:r>
          </w:p>
        </w:tc>
      </w:tr>
      <w:tr>
        <w:trPr>
          <w:trHeight w:val="181"/>
        </w:trPr>
        <w:tc>
          <w:tcPr>
            <w:tcW w:w="8460" w:type="dxa"/>
            <w:vAlign w:val="bottom"/>
          </w:tcPr>
          <w:p>
            <w:pPr>
              <w:ind w:left="240"/>
              <w:spacing w:after="0"/>
              <w:rPr>
                <w:sz w:val="20"/>
                <w:szCs w:val="20"/>
                <w:color w:val="auto"/>
              </w:rPr>
            </w:pPr>
            <w:r>
              <w:rPr>
                <w:rFonts w:ascii="Arial" w:cs="Arial" w:eastAsia="Arial" w:hAnsi="Arial"/>
                <w:sz w:val="14"/>
                <w:szCs w:val="14"/>
                <w:color w:val="231F20"/>
              </w:rPr>
              <w:t>Total current liabilities</w:t>
            </w:r>
          </w:p>
        </w:tc>
        <w:tc>
          <w:tcPr>
            <w:tcW w:w="380" w:type="dxa"/>
            <w:vAlign w:val="bottom"/>
          </w:tcPr>
          <w:p>
            <w:pPr>
              <w:spacing w:after="0"/>
              <w:rPr>
                <w:sz w:val="15"/>
                <w:szCs w:val="15"/>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231F20"/>
              </w:rPr>
              <w:t>4,437.1</w:t>
            </w:r>
          </w:p>
        </w:tc>
        <w:tc>
          <w:tcPr>
            <w:tcW w:w="340" w:type="dxa"/>
            <w:vAlign w:val="bottom"/>
          </w:tcPr>
          <w:p>
            <w:pPr>
              <w:spacing w:after="0"/>
              <w:rPr>
                <w:sz w:val="15"/>
                <w:szCs w:val="15"/>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231F20"/>
              </w:rPr>
              <w:t>4,799.7</w:t>
            </w:r>
          </w:p>
        </w:tc>
      </w:tr>
      <w:tr>
        <w:trPr>
          <w:trHeight w:val="189"/>
        </w:trPr>
        <w:tc>
          <w:tcPr>
            <w:tcW w:w="84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Other liabilities</w:t>
            </w:r>
          </w:p>
        </w:tc>
        <w:tc>
          <w:tcPr>
            <w:tcW w:w="380" w:type="dxa"/>
            <w:vAlign w:val="bottom"/>
            <w:shd w:val="clear" w:color="auto" w:fill="E2E8F1"/>
          </w:tcPr>
          <w:p>
            <w:pPr>
              <w:spacing w:after="0"/>
              <w:rPr>
                <w:sz w:val="16"/>
                <w:szCs w:val="16"/>
                <w:color w:val="auto"/>
              </w:rPr>
            </w:pPr>
          </w:p>
        </w:tc>
        <w:tc>
          <w:tcPr>
            <w:tcW w:w="104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1040" w:type="dxa"/>
            <w:vAlign w:val="bottom"/>
            <w:shd w:val="clear" w:color="auto" w:fill="E2E8F1"/>
          </w:tcPr>
          <w:p>
            <w:pPr>
              <w:spacing w:after="0"/>
              <w:rPr>
                <w:sz w:val="16"/>
                <w:szCs w:val="16"/>
                <w:color w:val="auto"/>
              </w:rPr>
            </w:pPr>
          </w:p>
        </w:tc>
      </w:tr>
      <w:tr>
        <w:trPr>
          <w:trHeight w:val="189"/>
        </w:trPr>
        <w:tc>
          <w:tcPr>
            <w:tcW w:w="8460" w:type="dxa"/>
            <w:vAlign w:val="bottom"/>
          </w:tcPr>
          <w:p>
            <w:pPr>
              <w:ind w:left="160"/>
              <w:spacing w:after="0"/>
              <w:rPr>
                <w:sz w:val="20"/>
                <w:szCs w:val="20"/>
                <w:color w:val="auto"/>
              </w:rPr>
            </w:pPr>
            <w:r>
              <w:rPr>
                <w:rFonts w:ascii="Arial" w:cs="Arial" w:eastAsia="Arial" w:hAnsi="Arial"/>
                <w:sz w:val="14"/>
                <w:szCs w:val="14"/>
                <w:color w:val="231F20"/>
              </w:rPr>
              <w:t>Long-term debt</w:t>
            </w:r>
          </w:p>
        </w:tc>
        <w:tc>
          <w:tcPr>
            <w:tcW w:w="38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231F20"/>
              </w:rPr>
              <w:t>929.4</w:t>
            </w:r>
          </w:p>
        </w:tc>
        <w:tc>
          <w:tcPr>
            <w:tcW w:w="34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231F20"/>
              </w:rPr>
              <w:t>990.5</w:t>
            </w:r>
          </w:p>
        </w:tc>
      </w:tr>
      <w:tr>
        <w:trPr>
          <w:trHeight w:val="189"/>
        </w:trPr>
        <w:tc>
          <w:tcPr>
            <w:tcW w:w="846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Long-term operating lease liability</w:t>
            </w:r>
          </w:p>
        </w:tc>
        <w:tc>
          <w:tcPr>
            <w:tcW w:w="38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279.0</w:t>
            </w:r>
          </w:p>
        </w:tc>
        <w:tc>
          <w:tcPr>
            <w:tcW w:w="34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323.2</w:t>
            </w:r>
          </w:p>
        </w:tc>
      </w:tr>
      <w:tr>
        <w:trPr>
          <w:trHeight w:val="189"/>
        </w:trPr>
        <w:tc>
          <w:tcPr>
            <w:tcW w:w="8460" w:type="dxa"/>
            <w:vAlign w:val="bottom"/>
            <w:tcBorders>
              <w:bottom w:val="single" w:sz="8" w:color="231F20"/>
            </w:tcBorders>
          </w:tcPr>
          <w:p>
            <w:pPr>
              <w:ind w:left="160"/>
              <w:spacing w:after="0"/>
              <w:rPr>
                <w:sz w:val="20"/>
                <w:szCs w:val="20"/>
                <w:color w:val="auto"/>
              </w:rPr>
            </w:pPr>
            <w:r>
              <w:rPr>
                <w:rFonts w:ascii="Arial" w:cs="Arial" w:eastAsia="Arial" w:hAnsi="Arial"/>
                <w:sz w:val="14"/>
                <w:szCs w:val="14"/>
                <w:color w:val="231F20"/>
              </w:rPr>
              <w:t>Other long-term liabilities</w:t>
            </w:r>
          </w:p>
        </w:tc>
        <w:tc>
          <w:tcPr>
            <w:tcW w:w="380" w:type="dxa"/>
            <w:vAlign w:val="bottom"/>
            <w:tcBorders>
              <w:bottom w:val="single" w:sz="8" w:color="231F20"/>
            </w:tcBorders>
          </w:tcPr>
          <w:p>
            <w:pPr>
              <w:spacing w:after="0"/>
              <w:rPr>
                <w:sz w:val="16"/>
                <w:szCs w:val="16"/>
                <w:color w:val="auto"/>
              </w:rPr>
            </w:pPr>
          </w:p>
        </w:tc>
        <w:tc>
          <w:tcPr>
            <w:tcW w:w="1040" w:type="dxa"/>
            <w:vAlign w:val="bottom"/>
            <w:tcBorders>
              <w:bottom w:val="single" w:sz="8" w:color="231F20"/>
            </w:tcBorders>
          </w:tcPr>
          <w:p>
            <w:pPr>
              <w:jc w:val="right"/>
              <w:ind w:right="89"/>
              <w:spacing w:after="0"/>
              <w:rPr>
                <w:sz w:val="20"/>
                <w:szCs w:val="20"/>
                <w:color w:val="auto"/>
              </w:rPr>
            </w:pPr>
            <w:r>
              <w:rPr>
                <w:rFonts w:ascii="Arial" w:cs="Arial" w:eastAsia="Arial" w:hAnsi="Arial"/>
                <w:sz w:val="14"/>
                <w:szCs w:val="14"/>
                <w:color w:val="231F20"/>
              </w:rPr>
              <w:t>428.6</w:t>
            </w:r>
          </w:p>
        </w:tc>
        <w:tc>
          <w:tcPr>
            <w:tcW w:w="340" w:type="dxa"/>
            <w:vAlign w:val="bottom"/>
            <w:tcBorders>
              <w:bottom w:val="single" w:sz="8" w:color="231F20"/>
            </w:tcBorders>
          </w:tcPr>
          <w:p>
            <w:pPr>
              <w:spacing w:after="0"/>
              <w:rPr>
                <w:sz w:val="16"/>
                <w:szCs w:val="16"/>
                <w:color w:val="auto"/>
              </w:rPr>
            </w:pPr>
          </w:p>
        </w:tc>
        <w:tc>
          <w:tcPr>
            <w:tcW w:w="104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482.7</w:t>
            </w:r>
          </w:p>
        </w:tc>
      </w:tr>
      <w:tr>
        <w:trPr>
          <w:trHeight w:val="181"/>
        </w:trPr>
        <w:tc>
          <w:tcPr>
            <w:tcW w:w="846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Total other liabilities</w:t>
            </w:r>
          </w:p>
        </w:tc>
        <w:tc>
          <w:tcPr>
            <w:tcW w:w="380" w:type="dxa"/>
            <w:vAlign w:val="bottom"/>
            <w:shd w:val="clear" w:color="auto" w:fill="E2E8F1"/>
          </w:tcPr>
          <w:p>
            <w:pPr>
              <w:spacing w:after="0"/>
              <w:rPr>
                <w:sz w:val="15"/>
                <w:szCs w:val="15"/>
                <w:color w:val="auto"/>
              </w:rPr>
            </w:pPr>
          </w:p>
        </w:tc>
        <w:tc>
          <w:tcPr>
            <w:tcW w:w="104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1,637.0</w:t>
            </w:r>
          </w:p>
        </w:tc>
        <w:tc>
          <w:tcPr>
            <w:tcW w:w="340" w:type="dxa"/>
            <w:vAlign w:val="bottom"/>
            <w:shd w:val="clear" w:color="auto" w:fill="E2E8F1"/>
          </w:tcPr>
          <w:p>
            <w:pPr>
              <w:spacing w:after="0"/>
              <w:rPr>
                <w:sz w:val="15"/>
                <w:szCs w:val="15"/>
                <w:color w:val="auto"/>
              </w:rPr>
            </w:pPr>
          </w:p>
        </w:tc>
        <w:tc>
          <w:tcPr>
            <w:tcW w:w="10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1,796.4</w:t>
            </w:r>
          </w:p>
        </w:tc>
      </w:tr>
      <w:tr>
        <w:trPr>
          <w:trHeight w:val="189"/>
        </w:trPr>
        <w:tc>
          <w:tcPr>
            <w:tcW w:w="8460" w:type="dxa"/>
            <w:vAlign w:val="bottom"/>
          </w:tcPr>
          <w:p>
            <w:pPr>
              <w:ind w:left="80"/>
              <w:spacing w:after="0"/>
              <w:rPr>
                <w:sz w:val="20"/>
                <w:szCs w:val="20"/>
                <w:color w:val="auto"/>
              </w:rPr>
            </w:pPr>
            <w:r>
              <w:rPr>
                <w:rFonts w:ascii="Arial" w:cs="Arial" w:eastAsia="Arial" w:hAnsi="Arial"/>
                <w:sz w:val="14"/>
                <w:szCs w:val="14"/>
                <w:color w:val="231F20"/>
              </w:rPr>
              <w:t>Commitments and contingencies (Note 15)</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84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Shareholders’ Equity</w:t>
            </w:r>
          </w:p>
        </w:tc>
        <w:tc>
          <w:tcPr>
            <w:tcW w:w="380" w:type="dxa"/>
            <w:vAlign w:val="bottom"/>
            <w:shd w:val="clear" w:color="auto" w:fill="E2E8F1"/>
          </w:tcPr>
          <w:p>
            <w:pPr>
              <w:spacing w:after="0"/>
              <w:rPr>
                <w:sz w:val="16"/>
                <w:szCs w:val="16"/>
                <w:color w:val="auto"/>
              </w:rPr>
            </w:pPr>
          </w:p>
        </w:tc>
        <w:tc>
          <w:tcPr>
            <w:tcW w:w="104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1040" w:type="dxa"/>
            <w:vAlign w:val="bottom"/>
            <w:shd w:val="clear" w:color="auto" w:fill="E2E8F1"/>
          </w:tcPr>
          <w:p>
            <w:pPr>
              <w:spacing w:after="0"/>
              <w:rPr>
                <w:sz w:val="16"/>
                <w:szCs w:val="16"/>
                <w:color w:val="auto"/>
              </w:rPr>
            </w:pPr>
          </w:p>
        </w:tc>
      </w:tr>
      <w:tr>
        <w:trPr>
          <w:trHeight w:val="189"/>
        </w:trPr>
        <w:tc>
          <w:tcPr>
            <w:tcW w:w="8460" w:type="dxa"/>
            <w:vAlign w:val="bottom"/>
          </w:tcPr>
          <w:p>
            <w:pPr>
              <w:ind w:left="160"/>
              <w:spacing w:after="0"/>
              <w:rPr>
                <w:sz w:val="20"/>
                <w:szCs w:val="20"/>
                <w:color w:val="auto"/>
              </w:rPr>
            </w:pPr>
            <w:r>
              <w:rPr>
                <w:rFonts w:ascii="Arial" w:cs="Arial" w:eastAsia="Arial" w:hAnsi="Arial"/>
                <w:sz w:val="14"/>
                <w:szCs w:val="14"/>
                <w:color w:val="231F20"/>
              </w:rPr>
              <w:t>Preferred stock, $.01 par value, authorized 25,000,000 shares, none issued</w:t>
            </w:r>
          </w:p>
        </w:tc>
        <w:tc>
          <w:tcPr>
            <w:tcW w:w="38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231F20"/>
              </w:rPr>
              <w:t>—</w:t>
            </w:r>
          </w:p>
        </w:tc>
        <w:tc>
          <w:tcPr>
            <w:tcW w:w="34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231F20"/>
              </w:rPr>
              <w:t>—</w:t>
            </w:r>
          </w:p>
        </w:tc>
      </w:tr>
      <w:tr>
        <w:trPr>
          <w:trHeight w:val="165"/>
        </w:trPr>
        <w:tc>
          <w:tcPr>
            <w:tcW w:w="846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Common stock, $.01 par value, authorized 125,000,000 shares, issued 118,853,620</w:t>
            </w:r>
          </w:p>
        </w:tc>
        <w:tc>
          <w:tcPr>
            <w:tcW w:w="38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34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r>
      <w:tr>
        <w:trPr>
          <w:trHeight w:val="178"/>
        </w:trPr>
        <w:tc>
          <w:tcPr>
            <w:tcW w:w="8460" w:type="dxa"/>
            <w:vAlign w:val="bottom"/>
            <w:shd w:val="clear" w:color="auto" w:fill="E2E8F1"/>
          </w:tcPr>
          <w:p>
            <w:pPr>
              <w:ind w:left="280"/>
              <w:spacing w:after="0"/>
              <w:rPr>
                <w:sz w:val="20"/>
                <w:szCs w:val="20"/>
                <w:color w:val="auto"/>
              </w:rPr>
            </w:pPr>
            <w:r>
              <w:rPr>
                <w:rFonts w:ascii="Arial" w:cs="Arial" w:eastAsia="Arial" w:hAnsi="Arial"/>
                <w:sz w:val="14"/>
                <w:szCs w:val="14"/>
                <w:color w:val="231F20"/>
              </w:rPr>
              <w:t>and 118,387,641 shares, respectively</w:t>
            </w:r>
          </w:p>
        </w:tc>
        <w:tc>
          <w:tcPr>
            <w:tcW w:w="380" w:type="dxa"/>
            <w:vAlign w:val="bottom"/>
            <w:shd w:val="clear" w:color="auto" w:fill="E2E8F1"/>
          </w:tcPr>
          <w:p>
            <w:pPr>
              <w:spacing w:after="0"/>
              <w:rPr>
                <w:sz w:val="15"/>
                <w:szCs w:val="15"/>
                <w:color w:val="auto"/>
              </w:rPr>
            </w:pPr>
          </w:p>
        </w:tc>
        <w:tc>
          <w:tcPr>
            <w:tcW w:w="104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1.2</w:t>
            </w:r>
          </w:p>
        </w:tc>
        <w:tc>
          <w:tcPr>
            <w:tcW w:w="340" w:type="dxa"/>
            <w:vAlign w:val="bottom"/>
            <w:shd w:val="clear" w:color="auto" w:fill="E2E8F1"/>
          </w:tcPr>
          <w:p>
            <w:pPr>
              <w:spacing w:after="0"/>
              <w:rPr>
                <w:sz w:val="15"/>
                <w:szCs w:val="15"/>
                <w:color w:val="auto"/>
              </w:rPr>
            </w:pPr>
          </w:p>
        </w:tc>
        <w:tc>
          <w:tcPr>
            <w:tcW w:w="10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1.2</w:t>
            </w:r>
          </w:p>
        </w:tc>
      </w:tr>
      <w:tr>
        <w:trPr>
          <w:trHeight w:val="189"/>
        </w:trPr>
        <w:tc>
          <w:tcPr>
            <w:tcW w:w="8460" w:type="dxa"/>
            <w:vAlign w:val="bottom"/>
          </w:tcPr>
          <w:p>
            <w:pPr>
              <w:ind w:left="160"/>
              <w:spacing w:after="0"/>
              <w:rPr>
                <w:sz w:val="20"/>
                <w:szCs w:val="20"/>
                <w:color w:val="auto"/>
              </w:rPr>
            </w:pPr>
            <w:r>
              <w:rPr>
                <w:rFonts w:ascii="Arial" w:cs="Arial" w:eastAsia="Arial" w:hAnsi="Arial"/>
                <w:sz w:val="14"/>
                <w:szCs w:val="14"/>
                <w:color w:val="231F20"/>
              </w:rPr>
              <w:t>Capital in excess of par value</w:t>
            </w:r>
          </w:p>
        </w:tc>
        <w:tc>
          <w:tcPr>
            <w:tcW w:w="38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231F20"/>
              </w:rPr>
              <w:t>3,546.1</w:t>
            </w:r>
          </w:p>
        </w:tc>
        <w:tc>
          <w:tcPr>
            <w:tcW w:w="34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231F20"/>
              </w:rPr>
              <w:t>3,514.9</w:t>
            </w:r>
          </w:p>
        </w:tc>
      </w:tr>
      <w:tr>
        <w:trPr>
          <w:trHeight w:val="189"/>
        </w:trPr>
        <w:tc>
          <w:tcPr>
            <w:tcW w:w="846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Retained earnings</w:t>
            </w:r>
          </w:p>
        </w:tc>
        <w:tc>
          <w:tcPr>
            <w:tcW w:w="38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3,812.3</w:t>
            </w:r>
          </w:p>
        </w:tc>
        <w:tc>
          <w:tcPr>
            <w:tcW w:w="34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3,813.0</w:t>
            </w:r>
          </w:p>
        </w:tc>
      </w:tr>
      <w:tr>
        <w:trPr>
          <w:trHeight w:val="189"/>
        </w:trPr>
        <w:tc>
          <w:tcPr>
            <w:tcW w:w="8460" w:type="dxa"/>
            <w:vAlign w:val="bottom"/>
          </w:tcPr>
          <w:p>
            <w:pPr>
              <w:ind w:left="160"/>
              <w:spacing w:after="0"/>
              <w:rPr>
                <w:sz w:val="20"/>
                <w:szCs w:val="20"/>
                <w:color w:val="auto"/>
              </w:rPr>
            </w:pPr>
            <w:r>
              <w:rPr>
                <w:rFonts w:ascii="Arial" w:cs="Arial" w:eastAsia="Arial" w:hAnsi="Arial"/>
                <w:sz w:val="14"/>
                <w:szCs w:val="14"/>
                <w:color w:val="231F20"/>
              </w:rPr>
              <w:t>Accumulated other comprehensive loss</w:t>
            </w:r>
          </w:p>
        </w:tc>
        <w:tc>
          <w:tcPr>
            <w:tcW w:w="3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231F20"/>
              </w:rPr>
              <w:t>(443.0 )</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231F20"/>
              </w:rPr>
              <w:t>(466.0 )</w:t>
            </w:r>
          </w:p>
        </w:tc>
      </w:tr>
      <w:tr>
        <w:trPr>
          <w:trHeight w:val="189"/>
        </w:trPr>
        <w:tc>
          <w:tcPr>
            <w:tcW w:w="8460" w:type="dxa"/>
            <w:vAlign w:val="bottom"/>
            <w:tcBorders>
              <w:bottom w:val="single" w:sz="8" w:color="231F20"/>
            </w:tcBorders>
            <w:shd w:val="clear" w:color="auto" w:fill="E2E8F1"/>
          </w:tcPr>
          <w:p>
            <w:pPr>
              <w:ind w:left="160"/>
              <w:spacing w:after="0"/>
              <w:rPr>
                <w:sz w:val="20"/>
                <w:szCs w:val="20"/>
                <w:color w:val="auto"/>
              </w:rPr>
            </w:pPr>
            <w:r>
              <w:rPr>
                <w:rFonts w:ascii="Arial" w:cs="Arial" w:eastAsia="Arial" w:hAnsi="Arial"/>
                <w:sz w:val="14"/>
                <w:szCs w:val="14"/>
                <w:color w:val="231F20"/>
              </w:rPr>
              <w:t>Treasury stock at cost, 72,105,407 and 69,963,649 shares, respectively</w:t>
            </w:r>
          </w:p>
        </w:tc>
        <w:tc>
          <w:tcPr>
            <w:tcW w:w="380" w:type="dxa"/>
            <w:vAlign w:val="bottom"/>
            <w:tcBorders>
              <w:bottom w:val="single" w:sz="8" w:color="231F20"/>
            </w:tcBorders>
            <w:shd w:val="clear" w:color="auto" w:fill="E2E8F1"/>
          </w:tcPr>
          <w:p>
            <w:pPr>
              <w:spacing w:after="0"/>
              <w:rPr>
                <w:sz w:val="16"/>
                <w:szCs w:val="16"/>
                <w:color w:val="auto"/>
              </w:rPr>
            </w:pPr>
          </w:p>
        </w:tc>
        <w:tc>
          <w:tcPr>
            <w:tcW w:w="1040" w:type="dxa"/>
            <w:vAlign w:val="bottom"/>
            <w:tcBorders>
              <w:bottom w:val="single" w:sz="8" w:color="231F20"/>
            </w:tcBorders>
            <w:shd w:val="clear" w:color="auto" w:fill="E2E8F1"/>
          </w:tcPr>
          <w:p>
            <w:pPr>
              <w:jc w:val="right"/>
              <w:ind w:right="9"/>
              <w:spacing w:after="0"/>
              <w:rPr>
                <w:sz w:val="20"/>
                <w:szCs w:val="20"/>
                <w:color w:val="auto"/>
              </w:rPr>
            </w:pPr>
            <w:r>
              <w:rPr>
                <w:rFonts w:ascii="Arial" w:cs="Arial" w:eastAsia="Arial" w:hAnsi="Arial"/>
                <w:sz w:val="14"/>
                <w:szCs w:val="14"/>
                <w:color w:val="231F20"/>
              </w:rPr>
              <w:t>(4,791.4 )</w:t>
            </w:r>
          </w:p>
        </w:tc>
        <w:tc>
          <w:tcPr>
            <w:tcW w:w="340" w:type="dxa"/>
            <w:vAlign w:val="bottom"/>
            <w:tcBorders>
              <w:bottom w:val="single" w:sz="8" w:color="231F20"/>
            </w:tcBorders>
            <w:shd w:val="clear" w:color="auto" w:fill="E2E8F1"/>
          </w:tcPr>
          <w:p>
            <w:pPr>
              <w:spacing w:after="0"/>
              <w:rPr>
                <w:sz w:val="16"/>
                <w:szCs w:val="16"/>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(4,639.8 )</w:t>
            </w:r>
          </w:p>
        </w:tc>
      </w:tr>
      <w:tr>
        <w:trPr>
          <w:trHeight w:val="181"/>
        </w:trPr>
        <w:tc>
          <w:tcPr>
            <w:tcW w:w="8460" w:type="dxa"/>
            <w:vAlign w:val="bottom"/>
            <w:tcBorders>
              <w:bottom w:val="single" w:sz="8" w:color="231F20"/>
            </w:tcBorders>
          </w:tcPr>
          <w:p>
            <w:pPr>
              <w:ind w:left="240"/>
              <w:spacing w:after="0"/>
              <w:rPr>
                <w:sz w:val="20"/>
                <w:szCs w:val="20"/>
                <w:color w:val="auto"/>
              </w:rPr>
            </w:pPr>
            <w:r>
              <w:rPr>
                <w:rFonts w:ascii="Arial" w:cs="Arial" w:eastAsia="Arial" w:hAnsi="Arial"/>
                <w:sz w:val="14"/>
                <w:szCs w:val="14"/>
                <w:color w:val="231F20"/>
              </w:rPr>
              <w:t>Total ManpowerGroup shareholders' equity</w:t>
            </w:r>
          </w:p>
        </w:tc>
        <w:tc>
          <w:tcPr>
            <w:tcW w:w="38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right"/>
              <w:ind w:right="89"/>
              <w:spacing w:after="0"/>
              <w:rPr>
                <w:sz w:val="20"/>
                <w:szCs w:val="20"/>
                <w:color w:val="auto"/>
              </w:rPr>
            </w:pPr>
            <w:r>
              <w:rPr>
                <w:rFonts w:ascii="Arial" w:cs="Arial" w:eastAsia="Arial" w:hAnsi="Arial"/>
                <w:sz w:val="14"/>
                <w:szCs w:val="14"/>
                <w:color w:val="231F20"/>
              </w:rPr>
              <w:t>2,125.2</w:t>
            </w:r>
          </w:p>
        </w:tc>
        <w:tc>
          <w:tcPr>
            <w:tcW w:w="34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2,223.3</w:t>
            </w:r>
          </w:p>
        </w:tc>
      </w:tr>
      <w:tr>
        <w:trPr>
          <w:trHeight w:val="181"/>
        </w:trPr>
        <w:tc>
          <w:tcPr>
            <w:tcW w:w="8460" w:type="dxa"/>
            <w:vAlign w:val="bottom"/>
            <w:tcBorders>
              <w:bottom w:val="single" w:sz="8" w:color="231F20"/>
            </w:tcBorders>
            <w:shd w:val="clear" w:color="auto" w:fill="E2E8F1"/>
          </w:tcPr>
          <w:p>
            <w:pPr>
              <w:ind w:left="240"/>
              <w:spacing w:after="0"/>
              <w:rPr>
                <w:sz w:val="20"/>
                <w:szCs w:val="20"/>
                <w:color w:val="auto"/>
              </w:rPr>
            </w:pPr>
            <w:r>
              <w:rPr>
                <w:rFonts w:ascii="Arial" w:cs="Arial" w:eastAsia="Arial" w:hAnsi="Arial"/>
                <w:sz w:val="14"/>
                <w:szCs w:val="14"/>
                <w:color w:val="231F20"/>
              </w:rPr>
              <w:t>Noncontrolling interests</w:t>
            </w:r>
          </w:p>
        </w:tc>
        <w:tc>
          <w:tcPr>
            <w:tcW w:w="380" w:type="dxa"/>
            <w:vAlign w:val="bottom"/>
            <w:tcBorders>
              <w:bottom w:val="single" w:sz="8" w:color="231F20"/>
            </w:tcBorders>
            <w:shd w:val="clear" w:color="auto" w:fill="E2E8F1"/>
          </w:tcPr>
          <w:p>
            <w:pPr>
              <w:spacing w:after="0"/>
              <w:rPr>
                <w:sz w:val="15"/>
                <w:szCs w:val="15"/>
                <w:color w:val="auto"/>
              </w:rPr>
            </w:pPr>
          </w:p>
        </w:tc>
        <w:tc>
          <w:tcPr>
            <w:tcW w:w="104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1.7</w:t>
            </w:r>
          </w:p>
        </w:tc>
        <w:tc>
          <w:tcPr>
            <w:tcW w:w="340" w:type="dxa"/>
            <w:vAlign w:val="bottom"/>
            <w:tcBorders>
              <w:bottom w:val="single" w:sz="8" w:color="231F20"/>
            </w:tcBorders>
            <w:shd w:val="clear" w:color="auto" w:fill="E2E8F1"/>
          </w:tcPr>
          <w:p>
            <w:pPr>
              <w:spacing w:after="0"/>
              <w:rPr>
                <w:sz w:val="15"/>
                <w:szCs w:val="15"/>
                <w:color w:val="auto"/>
              </w:rPr>
            </w:pPr>
          </w:p>
        </w:tc>
        <w:tc>
          <w:tcPr>
            <w:tcW w:w="10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10.8</w:t>
            </w:r>
          </w:p>
        </w:tc>
      </w:tr>
      <w:tr>
        <w:trPr>
          <w:trHeight w:val="181"/>
        </w:trPr>
        <w:tc>
          <w:tcPr>
            <w:tcW w:w="8460" w:type="dxa"/>
            <w:vAlign w:val="bottom"/>
            <w:tcBorders>
              <w:bottom w:val="single" w:sz="8" w:color="231F20"/>
            </w:tcBorders>
          </w:tcPr>
          <w:p>
            <w:pPr>
              <w:ind w:left="320"/>
              <w:spacing w:after="0"/>
              <w:rPr>
                <w:sz w:val="20"/>
                <w:szCs w:val="20"/>
                <w:color w:val="auto"/>
              </w:rPr>
            </w:pPr>
            <w:r>
              <w:rPr>
                <w:rFonts w:ascii="Arial" w:cs="Arial" w:eastAsia="Arial" w:hAnsi="Arial"/>
                <w:sz w:val="14"/>
                <w:szCs w:val="14"/>
                <w:color w:val="231F20"/>
              </w:rPr>
              <w:t>Total shareholders’ equity</w:t>
            </w:r>
          </w:p>
        </w:tc>
        <w:tc>
          <w:tcPr>
            <w:tcW w:w="38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right"/>
              <w:ind w:right="89"/>
              <w:spacing w:after="0"/>
              <w:rPr>
                <w:sz w:val="20"/>
                <w:szCs w:val="20"/>
                <w:color w:val="auto"/>
              </w:rPr>
            </w:pPr>
            <w:r>
              <w:rPr>
                <w:rFonts w:ascii="Arial" w:cs="Arial" w:eastAsia="Arial" w:hAnsi="Arial"/>
                <w:sz w:val="14"/>
                <w:szCs w:val="14"/>
                <w:color w:val="231F20"/>
              </w:rPr>
              <w:t>2,126.9</w:t>
            </w:r>
          </w:p>
        </w:tc>
        <w:tc>
          <w:tcPr>
            <w:tcW w:w="34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2,234.1</w:t>
            </w:r>
          </w:p>
        </w:tc>
      </w:tr>
      <w:tr>
        <w:trPr>
          <w:trHeight w:val="181"/>
        </w:trPr>
        <w:tc>
          <w:tcPr>
            <w:tcW w:w="8460" w:type="dxa"/>
            <w:vAlign w:val="bottom"/>
            <w:tcBorders>
              <w:bottom w:val="single" w:sz="8" w:color="231F20"/>
            </w:tcBorders>
            <w:shd w:val="clear" w:color="auto" w:fill="E2E8F1"/>
          </w:tcPr>
          <w:p>
            <w:pPr>
              <w:ind w:left="320"/>
              <w:spacing w:after="0"/>
              <w:rPr>
                <w:sz w:val="20"/>
                <w:szCs w:val="20"/>
                <w:color w:val="auto"/>
              </w:rPr>
            </w:pPr>
            <w:r>
              <w:rPr>
                <w:rFonts w:ascii="Arial" w:cs="Arial" w:eastAsia="Arial" w:hAnsi="Arial"/>
                <w:sz w:val="14"/>
                <w:szCs w:val="14"/>
                <w:color w:val="231F20"/>
              </w:rPr>
              <w:t>Total liabilities and shareholders’ equity</w:t>
            </w:r>
          </w:p>
        </w:tc>
        <w:tc>
          <w:tcPr>
            <w:tcW w:w="380" w:type="dxa"/>
            <w:vAlign w:val="bottom"/>
            <w:tcBorders>
              <w:bottom w:val="single" w:sz="8" w:color="231F20"/>
            </w:tcBorders>
            <w:shd w:val="clear" w:color="auto" w:fill="E2E8F1"/>
          </w:tcPr>
          <w:p>
            <w:pPr>
              <w:jc w:val="right"/>
              <w:ind w:right="109"/>
              <w:spacing w:after="0"/>
              <w:rPr>
                <w:sz w:val="20"/>
                <w:szCs w:val="20"/>
                <w:color w:val="auto"/>
              </w:rPr>
            </w:pPr>
            <w:r>
              <w:rPr>
                <w:rFonts w:ascii="Arial" w:cs="Arial" w:eastAsia="Arial" w:hAnsi="Arial"/>
                <w:sz w:val="14"/>
                <w:szCs w:val="14"/>
                <w:color w:val="231F20"/>
              </w:rPr>
              <w:t>$</w:t>
            </w:r>
          </w:p>
        </w:tc>
        <w:tc>
          <w:tcPr>
            <w:tcW w:w="104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8,201.0</w:t>
            </w:r>
          </w:p>
        </w:tc>
        <w:tc>
          <w:tcPr>
            <w:tcW w:w="34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w:t>
            </w:r>
          </w:p>
        </w:tc>
        <w:tc>
          <w:tcPr>
            <w:tcW w:w="10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8,830.2</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282A32"/>
        </w:rPr>
        <w:t>The accompanying Notes to Consolidated Financial Statements are an integral part of these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51" w:name="page52"/>
    <w:bookmarkEnd w:id="51"/>
    <w:p>
      <w:pPr>
        <w:ind w:left="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CONSOLIDATED STATEMENTS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in millions</w:t>
      </w:r>
    </w:p>
    <w:tbl>
      <w:tblPr>
        <w:tblLayout w:type="fixed"/>
        <w:tblInd w:w="0" w:type="dxa"/>
        <w:tblCellMar>
          <w:top w:w="0" w:type="dxa"/>
          <w:left w:w="0" w:type="dxa"/>
          <w:bottom w:w="0" w:type="dxa"/>
          <w:right w:w="0" w:type="dxa"/>
        </w:tblCellMar>
      </w:tblPr>
      <w:tr>
        <w:trPr>
          <w:trHeight w:val="211"/>
        </w:trPr>
        <w:tc>
          <w:tcPr>
            <w:tcW w:w="7660" w:type="dxa"/>
            <w:vAlign w:val="bottom"/>
            <w:tcBorders>
              <w:top w:val="single" w:sz="8" w:color="auto"/>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Year Ended December 31</w:t>
            </w:r>
          </w:p>
        </w:tc>
        <w:tc>
          <w:tcPr>
            <w:tcW w:w="340" w:type="dxa"/>
            <w:vAlign w:val="bottom"/>
            <w:tcBorders>
              <w:top w:val="single" w:sz="8" w:color="auto"/>
              <w:bottom w:val="single" w:sz="8" w:color="auto"/>
            </w:tcBorders>
            <w:shd w:val="clear" w:color="auto" w:fill="98B0CF"/>
          </w:tcPr>
          <w:p>
            <w:pPr>
              <w:spacing w:after="0"/>
              <w:rPr>
                <w:sz w:val="18"/>
                <w:szCs w:val="18"/>
                <w:color w:val="auto"/>
              </w:rPr>
            </w:pPr>
          </w:p>
        </w:tc>
        <w:tc>
          <w:tcPr>
            <w:tcW w:w="920" w:type="dxa"/>
            <w:vAlign w:val="bottom"/>
            <w:tcBorders>
              <w:top w:val="single" w:sz="8" w:color="auto"/>
              <w:bottom w:val="single" w:sz="8" w:color="auto"/>
            </w:tcBorders>
            <w:shd w:val="clear" w:color="auto" w:fill="98B0CF"/>
          </w:tcPr>
          <w:p>
            <w:pPr>
              <w:jc w:val="right"/>
              <w:ind w:right="429"/>
              <w:spacing w:after="0"/>
              <w:rPr>
                <w:sz w:val="20"/>
                <w:szCs w:val="20"/>
                <w:color w:val="auto"/>
              </w:rPr>
            </w:pPr>
            <w:r>
              <w:rPr>
                <w:rFonts w:ascii="Arial" w:cs="Arial" w:eastAsia="Arial" w:hAnsi="Arial"/>
                <w:sz w:val="13"/>
                <w:szCs w:val="13"/>
                <w:b w:val="1"/>
                <w:bCs w:val="1"/>
                <w:color w:val="231F20"/>
              </w:rPr>
              <w:t>2024</w:t>
            </w:r>
          </w:p>
        </w:tc>
        <w:tc>
          <w:tcPr>
            <w:tcW w:w="300" w:type="dxa"/>
            <w:vAlign w:val="bottom"/>
            <w:tcBorders>
              <w:top w:val="single" w:sz="8" w:color="auto"/>
              <w:bottom w:val="single" w:sz="8" w:color="auto"/>
            </w:tcBorders>
            <w:shd w:val="clear" w:color="auto" w:fill="98B0CF"/>
          </w:tcPr>
          <w:p>
            <w:pPr>
              <w:spacing w:after="0"/>
              <w:rPr>
                <w:sz w:val="18"/>
                <w:szCs w:val="18"/>
                <w:color w:val="auto"/>
              </w:rPr>
            </w:pPr>
          </w:p>
        </w:tc>
        <w:tc>
          <w:tcPr>
            <w:tcW w:w="880" w:type="dxa"/>
            <w:vAlign w:val="bottom"/>
            <w:tcBorders>
              <w:top w:val="single" w:sz="8" w:color="auto"/>
              <w:bottom w:val="single" w:sz="8" w:color="auto"/>
            </w:tcBorders>
            <w:shd w:val="clear" w:color="auto" w:fill="98B0CF"/>
          </w:tcPr>
          <w:p>
            <w:pPr>
              <w:jc w:val="right"/>
              <w:ind w:right="409"/>
              <w:spacing w:after="0"/>
              <w:rPr>
                <w:sz w:val="20"/>
                <w:szCs w:val="20"/>
                <w:color w:val="auto"/>
              </w:rPr>
            </w:pPr>
            <w:r>
              <w:rPr>
                <w:rFonts w:ascii="Arial" w:cs="Arial" w:eastAsia="Arial" w:hAnsi="Arial"/>
                <w:sz w:val="13"/>
                <w:szCs w:val="13"/>
                <w:b w:val="1"/>
                <w:bCs w:val="1"/>
                <w:color w:val="231F20"/>
              </w:rPr>
              <w:t>2023</w:t>
            </w:r>
          </w:p>
        </w:tc>
        <w:tc>
          <w:tcPr>
            <w:tcW w:w="300" w:type="dxa"/>
            <w:vAlign w:val="bottom"/>
            <w:tcBorders>
              <w:top w:val="single" w:sz="8" w:color="auto"/>
              <w:bottom w:val="single" w:sz="8" w:color="auto"/>
            </w:tcBorders>
            <w:shd w:val="clear" w:color="auto" w:fill="98B0CF"/>
          </w:tcPr>
          <w:p>
            <w:pPr>
              <w:spacing w:after="0"/>
              <w:rPr>
                <w:sz w:val="18"/>
                <w:szCs w:val="18"/>
                <w:color w:val="auto"/>
              </w:rPr>
            </w:pPr>
          </w:p>
        </w:tc>
        <w:tc>
          <w:tcPr>
            <w:tcW w:w="860" w:type="dxa"/>
            <w:vAlign w:val="bottom"/>
            <w:tcBorders>
              <w:top w:val="single" w:sz="8" w:color="auto"/>
              <w:bottom w:val="single" w:sz="8" w:color="auto"/>
            </w:tcBorders>
            <w:shd w:val="clear" w:color="auto" w:fill="98B0CF"/>
          </w:tcPr>
          <w:p>
            <w:pPr>
              <w:jc w:val="right"/>
              <w:ind w:right="389"/>
              <w:spacing w:after="0"/>
              <w:rPr>
                <w:sz w:val="20"/>
                <w:szCs w:val="20"/>
                <w:color w:val="auto"/>
              </w:rPr>
            </w:pPr>
            <w:r>
              <w:rPr>
                <w:rFonts w:ascii="Arial" w:cs="Arial" w:eastAsia="Arial" w:hAnsi="Arial"/>
                <w:sz w:val="13"/>
                <w:szCs w:val="13"/>
                <w:b w:val="1"/>
                <w:bCs w:val="1"/>
                <w:color w:val="231F20"/>
              </w:rPr>
              <w:t>2022</w:t>
            </w:r>
          </w:p>
        </w:tc>
      </w:tr>
      <w:tr>
        <w:trPr>
          <w:trHeight w:val="187"/>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231F20"/>
              </w:rPr>
              <w:t>Cash Flows from Operating Activities</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spacing w:after="0"/>
              <w:rPr>
                <w:sz w:val="16"/>
                <w:szCs w:val="16"/>
                <w:color w:val="auto"/>
              </w:rPr>
            </w:pPr>
          </w:p>
        </w:tc>
      </w:tr>
      <w:tr>
        <w:trPr>
          <w:trHeight w:val="189"/>
        </w:trPr>
        <w:tc>
          <w:tcPr>
            <w:tcW w:w="7660" w:type="dxa"/>
            <w:vAlign w:val="bottom"/>
          </w:tcPr>
          <w:p>
            <w:pPr>
              <w:ind w:left="80"/>
              <w:spacing w:after="0"/>
              <w:rPr>
                <w:sz w:val="20"/>
                <w:szCs w:val="20"/>
                <w:color w:val="auto"/>
              </w:rPr>
            </w:pPr>
            <w:r>
              <w:rPr>
                <w:rFonts w:ascii="Arial" w:cs="Arial" w:eastAsia="Arial" w:hAnsi="Arial"/>
                <w:sz w:val="14"/>
                <w:szCs w:val="14"/>
                <w:color w:val="231F20"/>
              </w:rPr>
              <w:t>Net earnings</w:t>
            </w:r>
          </w:p>
        </w:tc>
        <w:tc>
          <w:tcPr>
            <w:tcW w:w="340" w:type="dxa"/>
            <w:vAlign w:val="bottom"/>
          </w:tcPr>
          <w:p>
            <w:pPr>
              <w:jc w:val="right"/>
              <w:ind w:right="49"/>
              <w:spacing w:after="0"/>
              <w:rPr>
                <w:sz w:val="20"/>
                <w:szCs w:val="20"/>
                <w:color w:val="auto"/>
              </w:rPr>
            </w:pPr>
            <w:r>
              <w:rPr>
                <w:rFonts w:ascii="Arial" w:cs="Arial" w:eastAsia="Arial" w:hAnsi="Arial"/>
                <w:sz w:val="14"/>
                <w:szCs w:val="14"/>
                <w:color w:val="231F20"/>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231F20"/>
              </w:rPr>
              <w:t>145.1</w:t>
            </w:r>
          </w:p>
        </w:tc>
        <w:tc>
          <w:tcPr>
            <w:tcW w:w="300" w:type="dxa"/>
            <w:vAlign w:val="bottom"/>
          </w:tcPr>
          <w:p>
            <w:pPr>
              <w:jc w:val="right"/>
              <w:ind w:right="49"/>
              <w:spacing w:after="0"/>
              <w:rPr>
                <w:sz w:val="20"/>
                <w:szCs w:val="20"/>
                <w:color w:val="auto"/>
              </w:rPr>
            </w:pPr>
            <w:r>
              <w:rPr>
                <w:rFonts w:ascii="Arial" w:cs="Arial" w:eastAsia="Arial" w:hAnsi="Arial"/>
                <w:sz w:val="14"/>
                <w:szCs w:val="14"/>
                <w:color w:val="231F20"/>
              </w:rPr>
              <w:t>$</w:t>
            </w:r>
          </w:p>
        </w:tc>
        <w:tc>
          <w:tcPr>
            <w:tcW w:w="880" w:type="dxa"/>
            <w:vAlign w:val="bottom"/>
          </w:tcPr>
          <w:p>
            <w:pPr>
              <w:jc w:val="right"/>
              <w:ind w:right="89"/>
              <w:spacing w:after="0"/>
              <w:rPr>
                <w:sz w:val="20"/>
                <w:szCs w:val="20"/>
                <w:color w:val="auto"/>
              </w:rPr>
            </w:pPr>
            <w:r>
              <w:rPr>
                <w:rFonts w:ascii="Arial" w:cs="Arial" w:eastAsia="Arial" w:hAnsi="Arial"/>
                <w:sz w:val="14"/>
                <w:szCs w:val="14"/>
                <w:color w:val="231F20"/>
              </w:rPr>
              <w:t>88.8</w:t>
            </w:r>
          </w:p>
        </w:tc>
        <w:tc>
          <w:tcPr>
            <w:tcW w:w="300" w:type="dxa"/>
            <w:vAlign w:val="bottom"/>
          </w:tcPr>
          <w:p>
            <w:pPr>
              <w:jc w:val="right"/>
              <w:ind w:right="69"/>
              <w:spacing w:after="0"/>
              <w:rPr>
                <w:sz w:val="20"/>
                <w:szCs w:val="20"/>
                <w:color w:val="auto"/>
              </w:rPr>
            </w:pPr>
            <w:r>
              <w:rPr>
                <w:rFonts w:ascii="Arial" w:cs="Arial" w:eastAsia="Arial" w:hAnsi="Arial"/>
                <w:sz w:val="14"/>
                <w:szCs w:val="14"/>
                <w:color w:val="231F20"/>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231F20"/>
              </w:rPr>
              <w:t>373.8</w:t>
            </w:r>
          </w:p>
        </w:tc>
      </w:tr>
      <w:tr>
        <w:trPr>
          <w:trHeight w:val="189"/>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Adjustments to reconcile net earnings to net cash provided by operating activities:</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spacing w:after="0"/>
              <w:rPr>
                <w:sz w:val="16"/>
                <w:szCs w:val="16"/>
                <w:color w:val="auto"/>
              </w:rPr>
            </w:pPr>
          </w:p>
        </w:tc>
      </w:tr>
      <w:tr>
        <w:trPr>
          <w:trHeight w:val="189"/>
        </w:trPr>
        <w:tc>
          <w:tcPr>
            <w:tcW w:w="7660" w:type="dxa"/>
            <w:vAlign w:val="bottom"/>
          </w:tcPr>
          <w:p>
            <w:pPr>
              <w:ind w:left="240"/>
              <w:spacing w:after="0"/>
              <w:rPr>
                <w:sz w:val="20"/>
                <w:szCs w:val="20"/>
                <w:color w:val="auto"/>
              </w:rPr>
            </w:pPr>
            <w:r>
              <w:rPr>
                <w:rFonts w:ascii="Arial" w:cs="Arial" w:eastAsia="Arial" w:hAnsi="Arial"/>
                <w:sz w:val="14"/>
                <w:szCs w:val="14"/>
                <w:color w:val="231F20"/>
              </w:rPr>
              <w:t>Depreciation and amortization</w:t>
            </w:r>
          </w:p>
        </w:tc>
        <w:tc>
          <w:tcPr>
            <w:tcW w:w="34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231F20"/>
              </w:rPr>
              <w:t>86.6</w:t>
            </w:r>
          </w:p>
        </w:tc>
        <w:tc>
          <w:tcPr>
            <w:tcW w:w="300" w:type="dxa"/>
            <w:vAlign w:val="bottom"/>
          </w:tcPr>
          <w:p>
            <w:pPr>
              <w:spacing w:after="0"/>
              <w:rPr>
                <w:sz w:val="16"/>
                <w:szCs w:val="16"/>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231F20"/>
              </w:rPr>
              <w:t>88.6</w:t>
            </w:r>
          </w:p>
        </w:tc>
        <w:tc>
          <w:tcPr>
            <w:tcW w:w="30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231F20"/>
              </w:rPr>
              <w:t>84.6</w:t>
            </w:r>
          </w:p>
        </w:tc>
      </w:tr>
      <w:tr>
        <w:trPr>
          <w:trHeight w:val="189"/>
        </w:trPr>
        <w:tc>
          <w:tcPr>
            <w:tcW w:w="766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Loss on sales of subsidiaries, net</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231F20"/>
              </w:rPr>
              <w:t>8.2</w:t>
            </w: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1.3</w:t>
            </w: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6.0</w:t>
            </w:r>
          </w:p>
        </w:tc>
      </w:tr>
      <w:tr>
        <w:trPr>
          <w:trHeight w:val="189"/>
        </w:trPr>
        <w:tc>
          <w:tcPr>
            <w:tcW w:w="7660" w:type="dxa"/>
            <w:vAlign w:val="bottom"/>
          </w:tcPr>
          <w:p>
            <w:pPr>
              <w:ind w:left="240"/>
              <w:spacing w:after="0"/>
              <w:rPr>
                <w:sz w:val="20"/>
                <w:szCs w:val="20"/>
                <w:color w:val="auto"/>
              </w:rPr>
            </w:pPr>
            <w:r>
              <w:rPr>
                <w:rFonts w:ascii="Arial" w:cs="Arial" w:eastAsia="Arial" w:hAnsi="Arial"/>
                <w:sz w:val="14"/>
                <w:szCs w:val="14"/>
                <w:color w:val="231F20"/>
              </w:rPr>
              <w:t>Non-cash goodwill and other impairment charges</w:t>
            </w:r>
          </w:p>
        </w:tc>
        <w:tc>
          <w:tcPr>
            <w:tcW w:w="34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231F20"/>
              </w:rPr>
              <w:t>—</w:t>
            </w:r>
          </w:p>
        </w:tc>
        <w:tc>
          <w:tcPr>
            <w:tcW w:w="300" w:type="dxa"/>
            <w:vAlign w:val="bottom"/>
          </w:tcPr>
          <w:p>
            <w:pPr>
              <w:spacing w:after="0"/>
              <w:rPr>
                <w:sz w:val="16"/>
                <w:szCs w:val="16"/>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231F20"/>
              </w:rPr>
              <w:t>57.3</w:t>
            </w:r>
          </w:p>
        </w:tc>
        <w:tc>
          <w:tcPr>
            <w:tcW w:w="30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231F20"/>
              </w:rPr>
              <w:t>50.0</w:t>
            </w:r>
          </w:p>
        </w:tc>
      </w:tr>
      <w:tr>
        <w:trPr>
          <w:trHeight w:val="189"/>
        </w:trPr>
        <w:tc>
          <w:tcPr>
            <w:tcW w:w="766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Deferred income taxes</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(32.4 )</w:t>
            </w: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231F20"/>
              </w:rPr>
              <w:t>(20.6 )</w:t>
            </w: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4.8</w:t>
            </w:r>
          </w:p>
        </w:tc>
      </w:tr>
      <w:tr>
        <w:trPr>
          <w:trHeight w:val="189"/>
        </w:trPr>
        <w:tc>
          <w:tcPr>
            <w:tcW w:w="7660" w:type="dxa"/>
            <w:vAlign w:val="bottom"/>
          </w:tcPr>
          <w:p>
            <w:pPr>
              <w:ind w:left="240"/>
              <w:spacing w:after="0"/>
              <w:rPr>
                <w:sz w:val="20"/>
                <w:szCs w:val="20"/>
                <w:color w:val="auto"/>
              </w:rPr>
            </w:pPr>
            <w:r>
              <w:rPr>
                <w:rFonts w:ascii="Arial" w:cs="Arial" w:eastAsia="Arial" w:hAnsi="Arial"/>
                <w:sz w:val="14"/>
                <w:szCs w:val="14"/>
                <w:color w:val="231F20"/>
              </w:rPr>
              <w:t>Allowance for expected credit losses</w:t>
            </w:r>
          </w:p>
        </w:tc>
        <w:tc>
          <w:tcPr>
            <w:tcW w:w="34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231F20"/>
              </w:rPr>
              <w:t>9.0</w:t>
            </w:r>
          </w:p>
        </w:tc>
        <w:tc>
          <w:tcPr>
            <w:tcW w:w="300" w:type="dxa"/>
            <w:vAlign w:val="bottom"/>
          </w:tcPr>
          <w:p>
            <w:pPr>
              <w:spacing w:after="0"/>
              <w:rPr>
                <w:sz w:val="16"/>
                <w:szCs w:val="16"/>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231F20"/>
              </w:rPr>
              <w:t>5.4</w:t>
            </w:r>
          </w:p>
        </w:tc>
        <w:tc>
          <w:tcPr>
            <w:tcW w:w="30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231F20"/>
              </w:rPr>
              <w:t>6.2</w:t>
            </w:r>
          </w:p>
        </w:tc>
      </w:tr>
      <w:tr>
        <w:trPr>
          <w:trHeight w:val="189"/>
        </w:trPr>
        <w:tc>
          <w:tcPr>
            <w:tcW w:w="766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Share-based compensation</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231F20"/>
              </w:rPr>
              <w:t>27.3</w:t>
            </w: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28.7</w:t>
            </w: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37.6</w:t>
            </w:r>
          </w:p>
        </w:tc>
      </w:tr>
      <w:tr>
        <w:trPr>
          <w:trHeight w:val="189"/>
        </w:trPr>
        <w:tc>
          <w:tcPr>
            <w:tcW w:w="7660" w:type="dxa"/>
            <w:vAlign w:val="bottom"/>
          </w:tcPr>
          <w:p>
            <w:pPr>
              <w:ind w:left="240"/>
              <w:spacing w:after="0"/>
              <w:rPr>
                <w:sz w:val="20"/>
                <w:szCs w:val="20"/>
                <w:color w:val="auto"/>
              </w:rPr>
            </w:pPr>
            <w:r>
              <w:rPr>
                <w:rFonts w:ascii="Arial" w:cs="Arial" w:eastAsia="Arial" w:hAnsi="Arial"/>
                <w:sz w:val="14"/>
                <w:szCs w:val="14"/>
                <w:color w:val="231F20"/>
              </w:rPr>
              <w:t>Change in operating assets and liabilities: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7660" w:type="dxa"/>
            <w:vAlign w:val="bottom"/>
            <w:shd w:val="clear" w:color="auto" w:fill="E2E8F1"/>
          </w:tcPr>
          <w:p>
            <w:pPr>
              <w:ind w:left="400"/>
              <w:spacing w:after="0"/>
              <w:rPr>
                <w:sz w:val="20"/>
                <w:szCs w:val="20"/>
                <w:color w:val="auto"/>
              </w:rPr>
            </w:pPr>
            <w:r>
              <w:rPr>
                <w:rFonts w:ascii="Arial" w:cs="Arial" w:eastAsia="Arial" w:hAnsi="Arial"/>
                <w:sz w:val="14"/>
                <w:szCs w:val="14"/>
                <w:color w:val="231F20"/>
              </w:rPr>
              <w:t>Accounts receivable</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231F20"/>
              </w:rPr>
              <w:t>261.1</w:t>
            </w: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391.8</w:t>
            </w: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28.8</w:t>
            </w:r>
          </w:p>
        </w:tc>
      </w:tr>
      <w:tr>
        <w:trPr>
          <w:trHeight w:val="189"/>
        </w:trPr>
        <w:tc>
          <w:tcPr>
            <w:tcW w:w="7660" w:type="dxa"/>
            <w:vAlign w:val="bottom"/>
          </w:tcPr>
          <w:p>
            <w:pPr>
              <w:ind w:left="400"/>
              <w:spacing w:after="0"/>
              <w:rPr>
                <w:sz w:val="20"/>
                <w:szCs w:val="20"/>
                <w:color w:val="auto"/>
              </w:rPr>
            </w:pPr>
            <w:r>
              <w:rPr>
                <w:rFonts w:ascii="Arial" w:cs="Arial" w:eastAsia="Arial" w:hAnsi="Arial"/>
                <w:sz w:val="14"/>
                <w:szCs w:val="14"/>
                <w:color w:val="231F20"/>
              </w:rPr>
              <w:t>Other assets</w:t>
            </w:r>
          </w:p>
        </w:tc>
        <w:tc>
          <w:tcPr>
            <w:tcW w:w="3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231F20"/>
              </w:rPr>
              <w:t>(131.8 )</w:t>
            </w:r>
          </w:p>
        </w:tc>
        <w:tc>
          <w:tcPr>
            <w:tcW w:w="3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231F20"/>
              </w:rPr>
              <w:t>(45.2 )</w:t>
            </w:r>
          </w:p>
        </w:tc>
        <w:tc>
          <w:tcPr>
            <w:tcW w:w="30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231F20"/>
              </w:rPr>
              <w:t>47.5</w:t>
            </w:r>
          </w:p>
        </w:tc>
      </w:tr>
      <w:tr>
        <w:trPr>
          <w:trHeight w:val="189"/>
        </w:trPr>
        <w:tc>
          <w:tcPr>
            <w:tcW w:w="7660" w:type="dxa"/>
            <w:vAlign w:val="bottom"/>
            <w:shd w:val="clear" w:color="auto" w:fill="E2E8F1"/>
          </w:tcPr>
          <w:p>
            <w:pPr>
              <w:ind w:left="400"/>
              <w:spacing w:after="0"/>
              <w:rPr>
                <w:sz w:val="20"/>
                <w:szCs w:val="20"/>
                <w:color w:val="auto"/>
              </w:rPr>
            </w:pPr>
            <w:r>
              <w:rPr>
                <w:rFonts w:ascii="Arial" w:cs="Arial" w:eastAsia="Arial" w:hAnsi="Arial"/>
                <w:sz w:val="14"/>
                <w:szCs w:val="14"/>
                <w:color w:val="231F20"/>
              </w:rPr>
              <w:t>Accounts payable</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231F20"/>
              </w:rPr>
              <w:t>15.7</w:t>
            </w: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231F20"/>
              </w:rPr>
              <w:t>(144.7 )</w:t>
            </w: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(80.9 )</w:t>
            </w:r>
          </w:p>
        </w:tc>
      </w:tr>
      <w:tr>
        <w:trPr>
          <w:trHeight w:val="189"/>
        </w:trPr>
        <w:tc>
          <w:tcPr>
            <w:tcW w:w="7660" w:type="dxa"/>
            <w:vAlign w:val="bottom"/>
            <w:tcBorders>
              <w:bottom w:val="single" w:sz="8" w:color="231F20"/>
            </w:tcBorders>
          </w:tcPr>
          <w:p>
            <w:pPr>
              <w:ind w:left="400"/>
              <w:spacing w:after="0"/>
              <w:rPr>
                <w:sz w:val="20"/>
                <w:szCs w:val="20"/>
                <w:color w:val="auto"/>
              </w:rPr>
            </w:pPr>
            <w:r>
              <w:rPr>
                <w:rFonts w:ascii="Arial" w:cs="Arial" w:eastAsia="Arial" w:hAnsi="Arial"/>
                <w:sz w:val="14"/>
                <w:szCs w:val="14"/>
                <w:color w:val="231F20"/>
              </w:rPr>
              <w:t>Other liabilities</w:t>
            </w:r>
          </w:p>
        </w:tc>
        <w:tc>
          <w:tcPr>
            <w:tcW w:w="34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29"/>
              <w:spacing w:after="0"/>
              <w:rPr>
                <w:sz w:val="20"/>
                <w:szCs w:val="20"/>
                <w:color w:val="auto"/>
              </w:rPr>
            </w:pPr>
            <w:r>
              <w:rPr>
                <w:rFonts w:ascii="Arial" w:cs="Arial" w:eastAsia="Arial" w:hAnsi="Arial"/>
                <w:sz w:val="14"/>
                <w:szCs w:val="14"/>
                <w:color w:val="231F20"/>
              </w:rPr>
              <w:t>(79.6 )</w:t>
            </w:r>
          </w:p>
        </w:tc>
        <w:tc>
          <w:tcPr>
            <w:tcW w:w="300" w:type="dxa"/>
            <w:vAlign w:val="bottom"/>
            <w:tcBorders>
              <w:bottom w:val="single" w:sz="8" w:color="231F20"/>
            </w:tcBorders>
          </w:tcPr>
          <w:p>
            <w:pPr>
              <w:spacing w:after="0"/>
              <w:rPr>
                <w:sz w:val="16"/>
                <w:szCs w:val="16"/>
                <w:color w:val="auto"/>
              </w:rPr>
            </w:pPr>
          </w:p>
        </w:tc>
        <w:tc>
          <w:tcPr>
            <w:tcW w:w="880" w:type="dxa"/>
            <w:vAlign w:val="bottom"/>
            <w:tcBorders>
              <w:bottom w:val="single" w:sz="8" w:color="231F20"/>
            </w:tcBorders>
          </w:tcPr>
          <w:p>
            <w:pPr>
              <w:jc w:val="right"/>
              <w:ind w:right="9"/>
              <w:spacing w:after="0"/>
              <w:rPr>
                <w:sz w:val="20"/>
                <w:szCs w:val="20"/>
                <w:color w:val="auto"/>
              </w:rPr>
            </w:pPr>
            <w:r>
              <w:rPr>
                <w:rFonts w:ascii="Arial" w:cs="Arial" w:eastAsia="Arial" w:hAnsi="Arial"/>
                <w:sz w:val="14"/>
                <w:szCs w:val="14"/>
                <w:color w:val="231F20"/>
              </w:rPr>
              <w:t>(103.2 )</w:t>
            </w:r>
          </w:p>
        </w:tc>
        <w:tc>
          <w:tcPr>
            <w:tcW w:w="30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(135.1 )</w:t>
            </w:r>
          </w:p>
        </w:tc>
      </w:tr>
      <w:tr>
        <w:trPr>
          <w:trHeight w:val="181"/>
        </w:trPr>
        <w:tc>
          <w:tcPr>
            <w:tcW w:w="7660" w:type="dxa"/>
            <w:vAlign w:val="bottom"/>
            <w:tcBorders>
              <w:bottom w:val="single" w:sz="8" w:color="231F20"/>
            </w:tcBorders>
            <w:shd w:val="clear" w:color="auto" w:fill="E2E8F1"/>
          </w:tcPr>
          <w:p>
            <w:pPr>
              <w:ind w:left="560"/>
              <w:spacing w:after="0"/>
              <w:rPr>
                <w:sz w:val="20"/>
                <w:szCs w:val="20"/>
                <w:color w:val="auto"/>
              </w:rPr>
            </w:pPr>
            <w:r>
              <w:rPr>
                <w:rFonts w:ascii="Arial" w:cs="Arial" w:eastAsia="Arial" w:hAnsi="Arial"/>
                <w:sz w:val="14"/>
                <w:szCs w:val="14"/>
                <w:color w:val="231F20"/>
              </w:rPr>
              <w:t>Cash provided by operating activities</w:t>
            </w:r>
          </w:p>
        </w:tc>
        <w:tc>
          <w:tcPr>
            <w:tcW w:w="340" w:type="dxa"/>
            <w:vAlign w:val="bottom"/>
            <w:tcBorders>
              <w:bottom w:val="single" w:sz="8" w:color="231F20"/>
            </w:tcBorders>
            <w:shd w:val="clear" w:color="auto" w:fill="E2E8F1"/>
          </w:tcPr>
          <w:p>
            <w:pPr>
              <w:spacing w:after="0"/>
              <w:rPr>
                <w:sz w:val="15"/>
                <w:szCs w:val="15"/>
                <w:color w:val="auto"/>
              </w:rPr>
            </w:pPr>
          </w:p>
        </w:tc>
        <w:tc>
          <w:tcPr>
            <w:tcW w:w="920" w:type="dxa"/>
            <w:vAlign w:val="bottom"/>
            <w:tcBorders>
              <w:bottom w:val="single" w:sz="8" w:color="231F20"/>
            </w:tcBorders>
            <w:shd w:val="clear" w:color="auto" w:fill="E2E8F1"/>
          </w:tcPr>
          <w:p>
            <w:pPr>
              <w:jc w:val="right"/>
              <w:ind w:right="109"/>
              <w:spacing w:after="0"/>
              <w:rPr>
                <w:sz w:val="20"/>
                <w:szCs w:val="20"/>
                <w:color w:val="auto"/>
              </w:rPr>
            </w:pPr>
            <w:r>
              <w:rPr>
                <w:rFonts w:ascii="Arial" w:cs="Arial" w:eastAsia="Arial" w:hAnsi="Arial"/>
                <w:sz w:val="14"/>
                <w:szCs w:val="14"/>
                <w:color w:val="231F20"/>
              </w:rPr>
              <w:t>309.2</w:t>
            </w:r>
          </w:p>
        </w:tc>
        <w:tc>
          <w:tcPr>
            <w:tcW w:w="300" w:type="dxa"/>
            <w:vAlign w:val="bottom"/>
            <w:tcBorders>
              <w:bottom w:val="single" w:sz="8" w:color="231F20"/>
            </w:tcBorders>
            <w:shd w:val="clear" w:color="auto" w:fill="E2E8F1"/>
          </w:tcPr>
          <w:p>
            <w:pPr>
              <w:spacing w:after="0"/>
              <w:rPr>
                <w:sz w:val="15"/>
                <w:szCs w:val="15"/>
                <w:color w:val="auto"/>
              </w:rPr>
            </w:pPr>
          </w:p>
        </w:tc>
        <w:tc>
          <w:tcPr>
            <w:tcW w:w="88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348.2</w:t>
            </w:r>
          </w:p>
        </w:tc>
        <w:tc>
          <w:tcPr>
            <w:tcW w:w="300" w:type="dxa"/>
            <w:vAlign w:val="bottom"/>
            <w:tcBorders>
              <w:bottom w:val="single" w:sz="8" w:color="231F20"/>
            </w:tcBorders>
            <w:shd w:val="clear" w:color="auto" w:fill="E2E8F1"/>
          </w:tcPr>
          <w:p>
            <w:pPr>
              <w:spacing w:after="0"/>
              <w:rPr>
                <w:sz w:val="15"/>
                <w:szCs w:val="15"/>
                <w:color w:val="auto"/>
              </w:rPr>
            </w:pPr>
          </w:p>
        </w:tc>
        <w:tc>
          <w:tcPr>
            <w:tcW w:w="86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423.3</w:t>
            </w:r>
          </w:p>
        </w:tc>
      </w:tr>
      <w:tr>
        <w:trPr>
          <w:trHeight w:val="181"/>
        </w:trPr>
        <w:tc>
          <w:tcPr>
            <w:tcW w:w="7660" w:type="dxa"/>
            <w:vAlign w:val="bottom"/>
          </w:tcPr>
          <w:p>
            <w:pPr>
              <w:ind w:left="80"/>
              <w:spacing w:after="0"/>
              <w:rPr>
                <w:sz w:val="20"/>
                <w:szCs w:val="20"/>
                <w:color w:val="auto"/>
              </w:rPr>
            </w:pPr>
            <w:r>
              <w:rPr>
                <w:rFonts w:ascii="Arial" w:cs="Arial" w:eastAsia="Arial" w:hAnsi="Arial"/>
                <w:sz w:val="14"/>
                <w:szCs w:val="14"/>
                <w:b w:val="1"/>
                <w:bCs w:val="1"/>
                <w:color w:val="231F20"/>
              </w:rPr>
              <w:t>Cash Flows from Investing Activities</w:t>
            </w: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9"/>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Capital expenditures</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(51.1 )</w:t>
            </w: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231F20"/>
              </w:rPr>
              <w:t>(78.2 )</w:t>
            </w: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(75.6 )</w:t>
            </w:r>
          </w:p>
        </w:tc>
      </w:tr>
      <w:tr>
        <w:trPr>
          <w:trHeight w:val="189"/>
        </w:trPr>
        <w:tc>
          <w:tcPr>
            <w:tcW w:w="7660" w:type="dxa"/>
            <w:vAlign w:val="bottom"/>
          </w:tcPr>
          <w:p>
            <w:pPr>
              <w:ind w:left="80"/>
              <w:spacing w:after="0"/>
              <w:rPr>
                <w:sz w:val="20"/>
                <w:szCs w:val="20"/>
                <w:color w:val="auto"/>
              </w:rPr>
            </w:pPr>
            <w:r>
              <w:rPr>
                <w:rFonts w:ascii="Arial" w:cs="Arial" w:eastAsia="Arial" w:hAnsi="Arial"/>
                <w:sz w:val="14"/>
                <w:szCs w:val="14"/>
                <w:color w:val="231F20"/>
              </w:rPr>
              <w:t>Acquisitions of businesses, net of cash acquired</w:t>
            </w:r>
          </w:p>
        </w:tc>
        <w:tc>
          <w:tcPr>
            <w:tcW w:w="3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231F20"/>
              </w:rPr>
              <w:t>(4.9 )</w:t>
            </w:r>
          </w:p>
        </w:tc>
        <w:tc>
          <w:tcPr>
            <w:tcW w:w="300" w:type="dxa"/>
            <w:vAlign w:val="bottom"/>
          </w:tcPr>
          <w:p>
            <w:pPr>
              <w:spacing w:after="0"/>
              <w:rPr>
                <w:sz w:val="16"/>
                <w:szCs w:val="16"/>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231F20"/>
              </w:rPr>
              <w:t>—</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231F20"/>
              </w:rPr>
              <w:t>(16.4 )</w:t>
            </w:r>
          </w:p>
        </w:tc>
      </w:tr>
      <w:tr>
        <w:trPr>
          <w:trHeight w:val="189"/>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Impact to cash resulting from sales of subsidiaries</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(14.6 )</w:t>
            </w: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w:t>
            </w: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r>
      <w:tr>
        <w:trPr>
          <w:trHeight w:val="189"/>
        </w:trPr>
        <w:tc>
          <w:tcPr>
            <w:tcW w:w="766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Proceeds from the sale of subsidiaries and property and equipment</w:t>
            </w:r>
          </w:p>
        </w:tc>
        <w:tc>
          <w:tcPr>
            <w:tcW w:w="34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109"/>
              <w:spacing w:after="0"/>
              <w:rPr>
                <w:sz w:val="20"/>
                <w:szCs w:val="20"/>
                <w:color w:val="auto"/>
              </w:rPr>
            </w:pPr>
            <w:r>
              <w:rPr>
                <w:rFonts w:ascii="Arial" w:cs="Arial" w:eastAsia="Arial" w:hAnsi="Arial"/>
                <w:sz w:val="14"/>
                <w:szCs w:val="14"/>
                <w:color w:val="231F20"/>
              </w:rPr>
              <w:t>2.4</w:t>
            </w:r>
          </w:p>
        </w:tc>
        <w:tc>
          <w:tcPr>
            <w:tcW w:w="300" w:type="dxa"/>
            <w:vAlign w:val="bottom"/>
            <w:tcBorders>
              <w:bottom w:val="single" w:sz="8" w:color="231F20"/>
            </w:tcBorders>
          </w:tcPr>
          <w:p>
            <w:pPr>
              <w:spacing w:after="0"/>
              <w:rPr>
                <w:sz w:val="16"/>
                <w:szCs w:val="16"/>
                <w:color w:val="auto"/>
              </w:rPr>
            </w:pPr>
          </w:p>
        </w:tc>
        <w:tc>
          <w:tcPr>
            <w:tcW w:w="880" w:type="dxa"/>
            <w:vAlign w:val="bottom"/>
            <w:tcBorders>
              <w:bottom w:val="single" w:sz="8" w:color="231F20"/>
            </w:tcBorders>
          </w:tcPr>
          <w:p>
            <w:pPr>
              <w:jc w:val="right"/>
              <w:ind w:right="89"/>
              <w:spacing w:after="0"/>
              <w:rPr>
                <w:sz w:val="20"/>
                <w:szCs w:val="20"/>
                <w:color w:val="auto"/>
              </w:rPr>
            </w:pPr>
            <w:r>
              <w:rPr>
                <w:rFonts w:ascii="Arial" w:cs="Arial" w:eastAsia="Arial" w:hAnsi="Arial"/>
                <w:sz w:val="14"/>
                <w:szCs w:val="14"/>
                <w:color w:val="231F20"/>
              </w:rPr>
              <w:t>4.1</w:t>
            </w:r>
          </w:p>
        </w:tc>
        <w:tc>
          <w:tcPr>
            <w:tcW w:w="30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6.7</w:t>
            </w:r>
          </w:p>
        </w:tc>
      </w:tr>
      <w:tr>
        <w:trPr>
          <w:trHeight w:val="181"/>
        </w:trPr>
        <w:tc>
          <w:tcPr>
            <w:tcW w:w="7660" w:type="dxa"/>
            <w:vAlign w:val="bottom"/>
            <w:tcBorders>
              <w:bottom w:val="single" w:sz="8" w:color="231F20"/>
            </w:tcBorders>
            <w:shd w:val="clear" w:color="auto" w:fill="E2E8F1"/>
          </w:tcPr>
          <w:p>
            <w:pPr>
              <w:ind w:left="560"/>
              <w:spacing w:after="0"/>
              <w:rPr>
                <w:sz w:val="20"/>
                <w:szCs w:val="20"/>
                <w:color w:val="auto"/>
              </w:rPr>
            </w:pPr>
            <w:r>
              <w:rPr>
                <w:rFonts w:ascii="Arial" w:cs="Arial" w:eastAsia="Arial" w:hAnsi="Arial"/>
                <w:sz w:val="14"/>
                <w:szCs w:val="14"/>
                <w:color w:val="231F20"/>
              </w:rPr>
              <w:t>Cash used in investing activities</w:t>
            </w:r>
          </w:p>
        </w:tc>
        <w:tc>
          <w:tcPr>
            <w:tcW w:w="340" w:type="dxa"/>
            <w:vAlign w:val="bottom"/>
            <w:tcBorders>
              <w:bottom w:val="single" w:sz="8" w:color="231F20"/>
            </w:tcBorders>
            <w:shd w:val="clear" w:color="auto" w:fill="E2E8F1"/>
          </w:tcPr>
          <w:p>
            <w:pPr>
              <w:spacing w:after="0"/>
              <w:rPr>
                <w:sz w:val="15"/>
                <w:szCs w:val="15"/>
                <w:color w:val="auto"/>
              </w:rPr>
            </w:pPr>
          </w:p>
        </w:tc>
        <w:tc>
          <w:tcPr>
            <w:tcW w:w="920" w:type="dxa"/>
            <w:vAlign w:val="bottom"/>
            <w:tcBorders>
              <w:bottom w:val="single" w:sz="8" w:color="231F20"/>
            </w:tcBorders>
            <w:shd w:val="clear" w:color="auto" w:fill="E2E8F1"/>
          </w:tcPr>
          <w:p>
            <w:pPr>
              <w:jc w:val="right"/>
              <w:ind w:right="29"/>
              <w:spacing w:after="0"/>
              <w:rPr>
                <w:sz w:val="20"/>
                <w:szCs w:val="20"/>
                <w:color w:val="auto"/>
              </w:rPr>
            </w:pPr>
            <w:r>
              <w:rPr>
                <w:rFonts w:ascii="Arial" w:cs="Arial" w:eastAsia="Arial" w:hAnsi="Arial"/>
                <w:sz w:val="14"/>
                <w:szCs w:val="14"/>
                <w:color w:val="231F20"/>
              </w:rPr>
              <w:t>(68.2 )</w:t>
            </w:r>
          </w:p>
        </w:tc>
        <w:tc>
          <w:tcPr>
            <w:tcW w:w="300" w:type="dxa"/>
            <w:vAlign w:val="bottom"/>
            <w:tcBorders>
              <w:bottom w:val="single" w:sz="8" w:color="231F20"/>
            </w:tcBorders>
            <w:shd w:val="clear" w:color="auto" w:fill="E2E8F1"/>
          </w:tcPr>
          <w:p>
            <w:pPr>
              <w:spacing w:after="0"/>
              <w:rPr>
                <w:sz w:val="15"/>
                <w:szCs w:val="15"/>
                <w:color w:val="auto"/>
              </w:rPr>
            </w:pPr>
          </w:p>
        </w:tc>
        <w:tc>
          <w:tcPr>
            <w:tcW w:w="880" w:type="dxa"/>
            <w:vAlign w:val="bottom"/>
            <w:tcBorders>
              <w:bottom w:val="single" w:sz="8" w:color="231F20"/>
            </w:tcBorders>
            <w:shd w:val="clear" w:color="auto" w:fill="E2E8F1"/>
          </w:tcPr>
          <w:p>
            <w:pPr>
              <w:jc w:val="right"/>
              <w:ind w:right="9"/>
              <w:spacing w:after="0"/>
              <w:rPr>
                <w:sz w:val="20"/>
                <w:szCs w:val="20"/>
                <w:color w:val="auto"/>
              </w:rPr>
            </w:pPr>
            <w:r>
              <w:rPr>
                <w:rFonts w:ascii="Arial" w:cs="Arial" w:eastAsia="Arial" w:hAnsi="Arial"/>
                <w:sz w:val="14"/>
                <w:szCs w:val="14"/>
                <w:color w:val="231F20"/>
              </w:rPr>
              <w:t>(74.1 )</w:t>
            </w:r>
          </w:p>
        </w:tc>
        <w:tc>
          <w:tcPr>
            <w:tcW w:w="300" w:type="dxa"/>
            <w:vAlign w:val="bottom"/>
            <w:tcBorders>
              <w:bottom w:val="single" w:sz="8" w:color="231F20"/>
            </w:tcBorders>
            <w:shd w:val="clear" w:color="auto" w:fill="E2E8F1"/>
          </w:tcPr>
          <w:p>
            <w:pPr>
              <w:spacing w:after="0"/>
              <w:rPr>
                <w:sz w:val="15"/>
                <w:szCs w:val="15"/>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(85.3 )</w:t>
            </w:r>
          </w:p>
        </w:tc>
      </w:tr>
      <w:tr>
        <w:trPr>
          <w:trHeight w:val="181"/>
        </w:trPr>
        <w:tc>
          <w:tcPr>
            <w:tcW w:w="7660" w:type="dxa"/>
            <w:vAlign w:val="bottom"/>
          </w:tcPr>
          <w:p>
            <w:pPr>
              <w:ind w:left="80"/>
              <w:spacing w:after="0"/>
              <w:rPr>
                <w:sz w:val="20"/>
                <w:szCs w:val="20"/>
                <w:color w:val="auto"/>
              </w:rPr>
            </w:pPr>
            <w:r>
              <w:rPr>
                <w:rFonts w:ascii="Arial" w:cs="Arial" w:eastAsia="Arial" w:hAnsi="Arial"/>
                <w:sz w:val="14"/>
                <w:szCs w:val="14"/>
                <w:b w:val="1"/>
                <w:bCs w:val="1"/>
                <w:color w:val="231F20"/>
              </w:rPr>
              <w:t>Cash Flows from Financing Activities</w:t>
            </w: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9"/>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Net change in short-term borrowings</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231F20"/>
              </w:rPr>
              <w:t>14.0</w:t>
            </w: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231F20"/>
              </w:rPr>
              <w:t>(12.8 )</w:t>
            </w: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7.2</w:t>
            </w:r>
          </w:p>
        </w:tc>
      </w:tr>
      <w:tr>
        <w:trPr>
          <w:trHeight w:val="189"/>
        </w:trPr>
        <w:tc>
          <w:tcPr>
            <w:tcW w:w="7660" w:type="dxa"/>
            <w:vAlign w:val="bottom"/>
          </w:tcPr>
          <w:p>
            <w:pPr>
              <w:ind w:left="80"/>
              <w:spacing w:after="0"/>
              <w:rPr>
                <w:sz w:val="20"/>
                <w:szCs w:val="20"/>
                <w:color w:val="auto"/>
              </w:rPr>
            </w:pPr>
            <w:r>
              <w:rPr>
                <w:rFonts w:ascii="Arial" w:cs="Arial" w:eastAsia="Arial" w:hAnsi="Arial"/>
                <w:sz w:val="14"/>
                <w:szCs w:val="14"/>
                <w:color w:val="231F20"/>
              </w:rPr>
              <w:t>Net repayments of revolving debt facility</w:t>
            </w:r>
          </w:p>
        </w:tc>
        <w:tc>
          <w:tcPr>
            <w:tcW w:w="34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231F20"/>
              </w:rPr>
              <w:t>—</w:t>
            </w:r>
          </w:p>
        </w:tc>
        <w:tc>
          <w:tcPr>
            <w:tcW w:w="300" w:type="dxa"/>
            <w:vAlign w:val="bottom"/>
          </w:tcPr>
          <w:p>
            <w:pPr>
              <w:spacing w:after="0"/>
              <w:rPr>
                <w:sz w:val="16"/>
                <w:szCs w:val="16"/>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231F20"/>
              </w:rPr>
              <w:t>—</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231F20"/>
              </w:rPr>
              <w:t>(75.0 )</w:t>
            </w:r>
          </w:p>
        </w:tc>
      </w:tr>
      <w:tr>
        <w:trPr>
          <w:trHeight w:val="189"/>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Proceeds from long-term debt</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231F20"/>
              </w:rPr>
              <w:t>3.7</w:t>
            </w: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1.0</w:t>
            </w: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421.3</w:t>
            </w:r>
          </w:p>
        </w:tc>
      </w:tr>
      <w:tr>
        <w:trPr>
          <w:trHeight w:val="189"/>
        </w:trPr>
        <w:tc>
          <w:tcPr>
            <w:tcW w:w="7660" w:type="dxa"/>
            <w:vAlign w:val="bottom"/>
          </w:tcPr>
          <w:p>
            <w:pPr>
              <w:ind w:left="80"/>
              <w:spacing w:after="0"/>
              <w:rPr>
                <w:sz w:val="20"/>
                <w:szCs w:val="20"/>
                <w:color w:val="auto"/>
              </w:rPr>
            </w:pPr>
            <w:r>
              <w:rPr>
                <w:rFonts w:ascii="Arial" w:cs="Arial" w:eastAsia="Arial" w:hAnsi="Arial"/>
                <w:sz w:val="14"/>
                <w:szCs w:val="14"/>
                <w:color w:val="231F20"/>
              </w:rPr>
              <w:t>Repayments of long-term debt</w:t>
            </w:r>
          </w:p>
        </w:tc>
        <w:tc>
          <w:tcPr>
            <w:tcW w:w="3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231F20"/>
              </w:rPr>
              <w:t>(1.6 )</w:t>
            </w:r>
          </w:p>
        </w:tc>
        <w:tc>
          <w:tcPr>
            <w:tcW w:w="3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231F20"/>
              </w:rPr>
              <w:t>(4.4 )</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231F20"/>
              </w:rPr>
              <w:t>(412.2 )</w:t>
            </w:r>
          </w:p>
        </w:tc>
      </w:tr>
      <w:tr>
        <w:trPr>
          <w:trHeight w:val="189"/>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Payments for debt issuance costs</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231F20"/>
              </w:rPr>
              <w:t>—</w:t>
            </w: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w:t>
            </w: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(2.4 )</w:t>
            </w:r>
          </w:p>
        </w:tc>
      </w:tr>
      <w:tr>
        <w:trPr>
          <w:trHeight w:val="189"/>
        </w:trPr>
        <w:tc>
          <w:tcPr>
            <w:tcW w:w="7660" w:type="dxa"/>
            <w:vAlign w:val="bottom"/>
          </w:tcPr>
          <w:p>
            <w:pPr>
              <w:ind w:left="80"/>
              <w:spacing w:after="0"/>
              <w:rPr>
                <w:sz w:val="20"/>
                <w:szCs w:val="20"/>
                <w:color w:val="auto"/>
              </w:rPr>
            </w:pPr>
            <w:r>
              <w:rPr>
                <w:rFonts w:ascii="Arial" w:cs="Arial" w:eastAsia="Arial" w:hAnsi="Arial"/>
                <w:sz w:val="14"/>
                <w:szCs w:val="14"/>
                <w:color w:val="231F20"/>
              </w:rPr>
              <w:t>Proceeds from derivative settlement</w:t>
            </w:r>
          </w:p>
        </w:tc>
        <w:tc>
          <w:tcPr>
            <w:tcW w:w="34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231F20"/>
              </w:rPr>
              <w:t>—</w:t>
            </w:r>
          </w:p>
        </w:tc>
        <w:tc>
          <w:tcPr>
            <w:tcW w:w="300" w:type="dxa"/>
            <w:vAlign w:val="bottom"/>
          </w:tcPr>
          <w:p>
            <w:pPr>
              <w:spacing w:after="0"/>
              <w:rPr>
                <w:sz w:val="16"/>
                <w:szCs w:val="16"/>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231F20"/>
              </w:rPr>
              <w:t>—</w:t>
            </w:r>
          </w:p>
        </w:tc>
        <w:tc>
          <w:tcPr>
            <w:tcW w:w="30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231F20"/>
              </w:rPr>
              <w:t>2.0</w:t>
            </w:r>
          </w:p>
        </w:tc>
      </w:tr>
      <w:tr>
        <w:trPr>
          <w:trHeight w:val="189"/>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Payments of contingent consideration for acquisitions</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(2.8 )</w:t>
            </w: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w:t>
            </w: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(3.8 )</w:t>
            </w:r>
          </w:p>
        </w:tc>
      </w:tr>
      <w:tr>
        <w:trPr>
          <w:trHeight w:val="189"/>
        </w:trPr>
        <w:tc>
          <w:tcPr>
            <w:tcW w:w="7660" w:type="dxa"/>
            <w:vAlign w:val="bottom"/>
          </w:tcPr>
          <w:p>
            <w:pPr>
              <w:ind w:left="80"/>
              <w:spacing w:after="0"/>
              <w:rPr>
                <w:sz w:val="20"/>
                <w:szCs w:val="20"/>
                <w:color w:val="auto"/>
              </w:rPr>
            </w:pPr>
            <w:r>
              <w:rPr>
                <w:rFonts w:ascii="Arial" w:cs="Arial" w:eastAsia="Arial" w:hAnsi="Arial"/>
                <w:sz w:val="14"/>
                <w:szCs w:val="14"/>
                <w:color w:val="231F20"/>
              </w:rPr>
              <w:t>Proceeds from share-based awards</w:t>
            </w:r>
          </w:p>
        </w:tc>
        <w:tc>
          <w:tcPr>
            <w:tcW w:w="34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231F20"/>
              </w:rPr>
              <w:t>0.8</w:t>
            </w:r>
          </w:p>
        </w:tc>
        <w:tc>
          <w:tcPr>
            <w:tcW w:w="300" w:type="dxa"/>
            <w:vAlign w:val="bottom"/>
          </w:tcPr>
          <w:p>
            <w:pPr>
              <w:spacing w:after="0"/>
              <w:rPr>
                <w:sz w:val="16"/>
                <w:szCs w:val="16"/>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231F20"/>
              </w:rPr>
              <w:t>1.8</w:t>
            </w:r>
          </w:p>
        </w:tc>
        <w:tc>
          <w:tcPr>
            <w:tcW w:w="30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231F20"/>
              </w:rPr>
              <w:t>0.3</w:t>
            </w:r>
          </w:p>
        </w:tc>
      </w:tr>
      <w:tr>
        <w:trPr>
          <w:trHeight w:val="189"/>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Payments to noncontrolling interests</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(0.2 )</w:t>
            </w: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231F20"/>
              </w:rPr>
              <w:t>(0.6 )</w:t>
            </w: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(1.1 )</w:t>
            </w:r>
          </w:p>
        </w:tc>
      </w:tr>
      <w:tr>
        <w:trPr>
          <w:trHeight w:val="189"/>
        </w:trPr>
        <w:tc>
          <w:tcPr>
            <w:tcW w:w="7660" w:type="dxa"/>
            <w:vAlign w:val="bottom"/>
          </w:tcPr>
          <w:p>
            <w:pPr>
              <w:ind w:left="80"/>
              <w:spacing w:after="0"/>
              <w:rPr>
                <w:sz w:val="20"/>
                <w:szCs w:val="20"/>
                <w:color w:val="auto"/>
              </w:rPr>
            </w:pPr>
            <w:r>
              <w:rPr>
                <w:rFonts w:ascii="Arial" w:cs="Arial" w:eastAsia="Arial" w:hAnsi="Arial"/>
                <w:sz w:val="14"/>
                <w:szCs w:val="14"/>
                <w:color w:val="231F20"/>
              </w:rPr>
              <w:t>Other share-based award transactions</w:t>
            </w:r>
          </w:p>
        </w:tc>
        <w:tc>
          <w:tcPr>
            <w:tcW w:w="3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231F20"/>
              </w:rPr>
              <w:t>(10.5 )</w:t>
            </w:r>
          </w:p>
        </w:tc>
        <w:tc>
          <w:tcPr>
            <w:tcW w:w="3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231F20"/>
              </w:rPr>
              <w:t>(10.4 )</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231F20"/>
              </w:rPr>
              <w:t>(8.5 )</w:t>
            </w:r>
          </w:p>
        </w:tc>
      </w:tr>
      <w:tr>
        <w:trPr>
          <w:trHeight w:val="189"/>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Repurchases of common stock</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(140.0 )</w:t>
            </w: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231F20"/>
              </w:rPr>
              <w:t>(179.8 )</w:t>
            </w: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(270.0 )</w:t>
            </w:r>
          </w:p>
        </w:tc>
      </w:tr>
      <w:tr>
        <w:trPr>
          <w:trHeight w:val="189"/>
        </w:trPr>
        <w:tc>
          <w:tcPr>
            <w:tcW w:w="766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Dividends paid</w:t>
            </w:r>
          </w:p>
        </w:tc>
        <w:tc>
          <w:tcPr>
            <w:tcW w:w="34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29"/>
              <w:spacing w:after="0"/>
              <w:rPr>
                <w:sz w:val="20"/>
                <w:szCs w:val="20"/>
                <w:color w:val="auto"/>
              </w:rPr>
            </w:pPr>
            <w:r>
              <w:rPr>
                <w:rFonts w:ascii="Arial" w:cs="Arial" w:eastAsia="Arial" w:hAnsi="Arial"/>
                <w:sz w:val="14"/>
                <w:szCs w:val="14"/>
                <w:color w:val="231F20"/>
              </w:rPr>
              <w:t>(145.8 )</w:t>
            </w:r>
          </w:p>
        </w:tc>
        <w:tc>
          <w:tcPr>
            <w:tcW w:w="300" w:type="dxa"/>
            <w:vAlign w:val="bottom"/>
            <w:tcBorders>
              <w:bottom w:val="single" w:sz="8" w:color="231F20"/>
            </w:tcBorders>
          </w:tcPr>
          <w:p>
            <w:pPr>
              <w:spacing w:after="0"/>
              <w:rPr>
                <w:sz w:val="16"/>
                <w:szCs w:val="16"/>
                <w:color w:val="auto"/>
              </w:rPr>
            </w:pPr>
          </w:p>
        </w:tc>
        <w:tc>
          <w:tcPr>
            <w:tcW w:w="880" w:type="dxa"/>
            <w:vAlign w:val="bottom"/>
            <w:tcBorders>
              <w:bottom w:val="single" w:sz="8" w:color="231F20"/>
            </w:tcBorders>
          </w:tcPr>
          <w:p>
            <w:pPr>
              <w:jc w:val="right"/>
              <w:ind w:right="9"/>
              <w:spacing w:after="0"/>
              <w:rPr>
                <w:sz w:val="20"/>
                <w:szCs w:val="20"/>
                <w:color w:val="auto"/>
              </w:rPr>
            </w:pPr>
            <w:r>
              <w:rPr>
                <w:rFonts w:ascii="Arial" w:cs="Arial" w:eastAsia="Arial" w:hAnsi="Arial"/>
                <w:sz w:val="14"/>
                <w:szCs w:val="14"/>
                <w:color w:val="231F20"/>
              </w:rPr>
              <w:t>(144.3 )</w:t>
            </w:r>
          </w:p>
        </w:tc>
        <w:tc>
          <w:tcPr>
            <w:tcW w:w="30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(139.9 )</w:t>
            </w:r>
          </w:p>
        </w:tc>
      </w:tr>
      <w:tr>
        <w:trPr>
          <w:trHeight w:val="181"/>
        </w:trPr>
        <w:tc>
          <w:tcPr>
            <w:tcW w:w="7660" w:type="dxa"/>
            <w:vAlign w:val="bottom"/>
            <w:shd w:val="clear" w:color="auto" w:fill="E2E8F1"/>
          </w:tcPr>
          <w:p>
            <w:pPr>
              <w:ind w:left="560"/>
              <w:spacing w:after="0"/>
              <w:rPr>
                <w:sz w:val="20"/>
                <w:szCs w:val="20"/>
                <w:color w:val="auto"/>
              </w:rPr>
            </w:pPr>
            <w:r>
              <w:rPr>
                <w:rFonts w:ascii="Arial" w:cs="Arial" w:eastAsia="Arial" w:hAnsi="Arial"/>
                <w:sz w:val="14"/>
                <w:szCs w:val="14"/>
                <w:color w:val="231F20"/>
              </w:rPr>
              <w:t>Cash used in financing activities</w:t>
            </w:r>
          </w:p>
        </w:tc>
        <w:tc>
          <w:tcPr>
            <w:tcW w:w="340" w:type="dxa"/>
            <w:vAlign w:val="bottom"/>
            <w:shd w:val="clear" w:color="auto" w:fill="E2E8F1"/>
          </w:tcPr>
          <w:p>
            <w:pPr>
              <w:spacing w:after="0"/>
              <w:rPr>
                <w:sz w:val="15"/>
                <w:szCs w:val="15"/>
                <w:color w:val="auto"/>
              </w:rPr>
            </w:pPr>
          </w:p>
        </w:tc>
        <w:tc>
          <w:tcPr>
            <w:tcW w:w="92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(282.4 )</w:t>
            </w:r>
          </w:p>
        </w:tc>
        <w:tc>
          <w:tcPr>
            <w:tcW w:w="300" w:type="dxa"/>
            <w:vAlign w:val="bottom"/>
            <w:shd w:val="clear" w:color="auto" w:fill="E2E8F1"/>
          </w:tcPr>
          <w:p>
            <w:pPr>
              <w:spacing w:after="0"/>
              <w:rPr>
                <w:sz w:val="15"/>
                <w:szCs w:val="15"/>
                <w:color w:val="auto"/>
              </w:rPr>
            </w:pPr>
          </w:p>
        </w:tc>
        <w:tc>
          <w:tcPr>
            <w:tcW w:w="88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231F20"/>
              </w:rPr>
              <w:t>(349.5 )</w:t>
            </w:r>
          </w:p>
        </w:tc>
        <w:tc>
          <w:tcPr>
            <w:tcW w:w="300" w:type="dxa"/>
            <w:vAlign w:val="bottom"/>
            <w:shd w:val="clear" w:color="auto" w:fill="E2E8F1"/>
          </w:tcPr>
          <w:p>
            <w:pPr>
              <w:spacing w:after="0"/>
              <w:rPr>
                <w:sz w:val="15"/>
                <w:szCs w:val="15"/>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(482.1 )</w:t>
            </w:r>
          </w:p>
        </w:tc>
      </w:tr>
      <w:tr>
        <w:trPr>
          <w:trHeight w:val="189"/>
        </w:trPr>
        <w:tc>
          <w:tcPr>
            <w:tcW w:w="766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Effect of exchange rate changes on cash</w:t>
            </w:r>
          </w:p>
        </w:tc>
        <w:tc>
          <w:tcPr>
            <w:tcW w:w="34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29"/>
              <w:spacing w:after="0"/>
              <w:rPr>
                <w:sz w:val="20"/>
                <w:szCs w:val="20"/>
                <w:color w:val="auto"/>
              </w:rPr>
            </w:pPr>
            <w:r>
              <w:rPr>
                <w:rFonts w:ascii="Arial" w:cs="Arial" w:eastAsia="Arial" w:hAnsi="Arial"/>
                <w:sz w:val="14"/>
                <w:szCs w:val="14"/>
                <w:color w:val="231F20"/>
              </w:rPr>
              <w:t>(30.5 )</w:t>
            </w:r>
          </w:p>
        </w:tc>
        <w:tc>
          <w:tcPr>
            <w:tcW w:w="300" w:type="dxa"/>
            <w:vAlign w:val="bottom"/>
            <w:tcBorders>
              <w:bottom w:val="single" w:sz="8" w:color="231F20"/>
            </w:tcBorders>
          </w:tcPr>
          <w:p>
            <w:pPr>
              <w:spacing w:after="0"/>
              <w:rPr>
                <w:sz w:val="16"/>
                <w:szCs w:val="16"/>
                <w:color w:val="auto"/>
              </w:rPr>
            </w:pPr>
          </w:p>
        </w:tc>
        <w:tc>
          <w:tcPr>
            <w:tcW w:w="880" w:type="dxa"/>
            <w:vAlign w:val="bottom"/>
            <w:tcBorders>
              <w:bottom w:val="single" w:sz="8" w:color="231F20"/>
            </w:tcBorders>
          </w:tcPr>
          <w:p>
            <w:pPr>
              <w:jc w:val="right"/>
              <w:ind w:right="89"/>
              <w:spacing w:after="0"/>
              <w:rPr>
                <w:sz w:val="20"/>
                <w:szCs w:val="20"/>
                <w:color w:val="auto"/>
              </w:rPr>
            </w:pPr>
            <w:r>
              <w:rPr>
                <w:rFonts w:ascii="Arial" w:cs="Arial" w:eastAsia="Arial" w:hAnsi="Arial"/>
                <w:sz w:val="14"/>
                <w:szCs w:val="14"/>
                <w:color w:val="231F20"/>
              </w:rPr>
              <w:t>17.7</w:t>
            </w:r>
          </w:p>
        </w:tc>
        <w:tc>
          <w:tcPr>
            <w:tcW w:w="30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(64.7 )</w:t>
            </w:r>
          </w:p>
        </w:tc>
      </w:tr>
      <w:tr>
        <w:trPr>
          <w:trHeight w:val="181"/>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Change in cash and cash equivalents</w:t>
            </w:r>
          </w:p>
        </w:tc>
        <w:tc>
          <w:tcPr>
            <w:tcW w:w="340" w:type="dxa"/>
            <w:vAlign w:val="bottom"/>
            <w:shd w:val="clear" w:color="auto" w:fill="E2E8F1"/>
          </w:tcPr>
          <w:p>
            <w:pPr>
              <w:spacing w:after="0"/>
              <w:rPr>
                <w:sz w:val="15"/>
                <w:szCs w:val="15"/>
                <w:color w:val="auto"/>
              </w:rPr>
            </w:pPr>
          </w:p>
        </w:tc>
        <w:tc>
          <w:tcPr>
            <w:tcW w:w="92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(71.9 )</w:t>
            </w:r>
          </w:p>
        </w:tc>
        <w:tc>
          <w:tcPr>
            <w:tcW w:w="300" w:type="dxa"/>
            <w:vAlign w:val="bottom"/>
            <w:shd w:val="clear" w:color="auto" w:fill="E2E8F1"/>
          </w:tcPr>
          <w:p>
            <w:pPr>
              <w:spacing w:after="0"/>
              <w:rPr>
                <w:sz w:val="15"/>
                <w:szCs w:val="15"/>
                <w:color w:val="auto"/>
              </w:rPr>
            </w:pPr>
          </w:p>
        </w:tc>
        <w:tc>
          <w:tcPr>
            <w:tcW w:w="88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231F20"/>
              </w:rPr>
              <w:t>(57.7 )</w:t>
            </w:r>
          </w:p>
        </w:tc>
        <w:tc>
          <w:tcPr>
            <w:tcW w:w="300" w:type="dxa"/>
            <w:vAlign w:val="bottom"/>
            <w:shd w:val="clear" w:color="auto" w:fill="E2E8F1"/>
          </w:tcPr>
          <w:p>
            <w:pPr>
              <w:spacing w:after="0"/>
              <w:rPr>
                <w:sz w:val="15"/>
                <w:szCs w:val="15"/>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(208.8 )</w:t>
            </w:r>
          </w:p>
        </w:tc>
      </w:tr>
      <w:tr>
        <w:trPr>
          <w:trHeight w:val="189"/>
        </w:trPr>
        <w:tc>
          <w:tcPr>
            <w:tcW w:w="766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Cash and cash equivalents, beginning of year</w:t>
            </w:r>
          </w:p>
        </w:tc>
        <w:tc>
          <w:tcPr>
            <w:tcW w:w="34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109"/>
              <w:spacing w:after="0"/>
              <w:rPr>
                <w:sz w:val="20"/>
                <w:szCs w:val="20"/>
                <w:color w:val="auto"/>
              </w:rPr>
            </w:pPr>
            <w:r>
              <w:rPr>
                <w:rFonts w:ascii="Arial" w:cs="Arial" w:eastAsia="Arial" w:hAnsi="Arial"/>
                <w:sz w:val="14"/>
                <w:szCs w:val="14"/>
                <w:color w:val="231F20"/>
              </w:rPr>
              <w:t>581.3</w:t>
            </w:r>
          </w:p>
        </w:tc>
        <w:tc>
          <w:tcPr>
            <w:tcW w:w="300" w:type="dxa"/>
            <w:vAlign w:val="bottom"/>
            <w:tcBorders>
              <w:bottom w:val="single" w:sz="8" w:color="231F20"/>
            </w:tcBorders>
          </w:tcPr>
          <w:p>
            <w:pPr>
              <w:spacing w:after="0"/>
              <w:rPr>
                <w:sz w:val="16"/>
                <w:szCs w:val="16"/>
                <w:color w:val="auto"/>
              </w:rPr>
            </w:pPr>
          </w:p>
        </w:tc>
        <w:tc>
          <w:tcPr>
            <w:tcW w:w="880" w:type="dxa"/>
            <w:vAlign w:val="bottom"/>
            <w:tcBorders>
              <w:bottom w:val="single" w:sz="8" w:color="231F20"/>
            </w:tcBorders>
          </w:tcPr>
          <w:p>
            <w:pPr>
              <w:jc w:val="right"/>
              <w:ind w:right="89"/>
              <w:spacing w:after="0"/>
              <w:rPr>
                <w:sz w:val="20"/>
                <w:szCs w:val="20"/>
                <w:color w:val="auto"/>
              </w:rPr>
            </w:pPr>
            <w:r>
              <w:rPr>
                <w:rFonts w:ascii="Arial" w:cs="Arial" w:eastAsia="Arial" w:hAnsi="Arial"/>
                <w:sz w:val="14"/>
                <w:szCs w:val="14"/>
                <w:color w:val="231F20"/>
              </w:rPr>
              <w:t>639.0</w:t>
            </w:r>
          </w:p>
        </w:tc>
        <w:tc>
          <w:tcPr>
            <w:tcW w:w="30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847.8</w:t>
            </w:r>
          </w:p>
        </w:tc>
      </w:tr>
      <w:tr>
        <w:trPr>
          <w:trHeight w:val="181"/>
        </w:trPr>
        <w:tc>
          <w:tcPr>
            <w:tcW w:w="766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231F20"/>
              </w:rPr>
              <w:t>Cash and cash equivalents, end of year</w:t>
            </w:r>
          </w:p>
        </w:tc>
        <w:tc>
          <w:tcPr>
            <w:tcW w:w="340" w:type="dxa"/>
            <w:vAlign w:val="bottom"/>
            <w:tcBorders>
              <w:bottom w:val="single" w:sz="8" w:color="231F20"/>
            </w:tcBorders>
            <w:shd w:val="clear" w:color="auto" w:fill="E2E8F1"/>
          </w:tcPr>
          <w:p>
            <w:pPr>
              <w:jc w:val="right"/>
              <w:ind w:right="49"/>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1F20"/>
            </w:tcBorders>
            <w:shd w:val="clear" w:color="auto" w:fill="E2E8F1"/>
          </w:tcPr>
          <w:p>
            <w:pPr>
              <w:jc w:val="right"/>
              <w:ind w:right="109"/>
              <w:spacing w:after="0"/>
              <w:rPr>
                <w:sz w:val="20"/>
                <w:szCs w:val="20"/>
                <w:color w:val="auto"/>
              </w:rPr>
            </w:pPr>
            <w:r>
              <w:rPr>
                <w:rFonts w:ascii="Arial" w:cs="Arial" w:eastAsia="Arial" w:hAnsi="Arial"/>
                <w:sz w:val="14"/>
                <w:szCs w:val="14"/>
                <w:color w:val="231F20"/>
              </w:rPr>
              <w:t>509.4</w:t>
            </w:r>
          </w:p>
        </w:tc>
        <w:tc>
          <w:tcPr>
            <w:tcW w:w="300" w:type="dxa"/>
            <w:vAlign w:val="bottom"/>
            <w:tcBorders>
              <w:bottom w:val="single" w:sz="8" w:color="231F20"/>
            </w:tcBorders>
            <w:shd w:val="clear" w:color="auto" w:fill="E2E8F1"/>
          </w:tcPr>
          <w:p>
            <w:pPr>
              <w:jc w:val="right"/>
              <w:ind w:right="49"/>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581.3</w:t>
            </w:r>
          </w:p>
        </w:tc>
        <w:tc>
          <w:tcPr>
            <w:tcW w:w="30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86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639.0</w:t>
            </w:r>
          </w:p>
        </w:tc>
      </w:tr>
      <w:tr>
        <w:trPr>
          <w:trHeight w:val="181"/>
        </w:trPr>
        <w:tc>
          <w:tcPr>
            <w:tcW w:w="7660" w:type="dxa"/>
            <w:vAlign w:val="bottom"/>
          </w:tcPr>
          <w:p>
            <w:pPr>
              <w:ind w:left="80"/>
              <w:spacing w:after="0"/>
              <w:rPr>
                <w:sz w:val="20"/>
                <w:szCs w:val="20"/>
                <w:color w:val="auto"/>
              </w:rPr>
            </w:pPr>
            <w:r>
              <w:rPr>
                <w:rFonts w:ascii="Arial" w:cs="Arial" w:eastAsia="Arial" w:hAnsi="Arial"/>
                <w:sz w:val="14"/>
                <w:szCs w:val="14"/>
                <w:b w:val="1"/>
                <w:bCs w:val="1"/>
                <w:color w:val="231F20"/>
              </w:rPr>
              <w:t>Supplemental Cash Flow Information</w:t>
            </w: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9"/>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Cash paid during the period for:</w:t>
            </w:r>
          </w:p>
        </w:tc>
        <w:tc>
          <w:tcPr>
            <w:tcW w:w="340" w:type="dxa"/>
            <w:vAlign w:val="bottom"/>
            <w:shd w:val="clear" w:color="auto" w:fill="E2E8F1"/>
          </w:tcPr>
          <w:p>
            <w:pPr>
              <w:spacing w:after="0"/>
              <w:rPr>
                <w:sz w:val="16"/>
                <w:szCs w:val="16"/>
                <w:color w:val="auto"/>
              </w:rPr>
            </w:pPr>
          </w:p>
        </w:tc>
        <w:tc>
          <w:tcPr>
            <w:tcW w:w="92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860" w:type="dxa"/>
            <w:vAlign w:val="bottom"/>
            <w:shd w:val="clear" w:color="auto" w:fill="E2E8F1"/>
          </w:tcPr>
          <w:p>
            <w:pPr>
              <w:spacing w:after="0"/>
              <w:rPr>
                <w:sz w:val="16"/>
                <w:szCs w:val="16"/>
                <w:color w:val="auto"/>
              </w:rPr>
            </w:pPr>
          </w:p>
        </w:tc>
      </w:tr>
      <w:tr>
        <w:trPr>
          <w:trHeight w:val="189"/>
        </w:trPr>
        <w:tc>
          <w:tcPr>
            <w:tcW w:w="7660" w:type="dxa"/>
            <w:vAlign w:val="bottom"/>
          </w:tcPr>
          <w:p>
            <w:pPr>
              <w:ind w:left="240"/>
              <w:spacing w:after="0"/>
              <w:rPr>
                <w:sz w:val="20"/>
                <w:szCs w:val="20"/>
                <w:color w:val="auto"/>
              </w:rPr>
            </w:pPr>
            <w:r>
              <w:rPr>
                <w:rFonts w:ascii="Arial" w:cs="Arial" w:eastAsia="Arial" w:hAnsi="Arial"/>
                <w:sz w:val="14"/>
                <w:szCs w:val="14"/>
                <w:color w:val="231F20"/>
              </w:rPr>
              <w:t>Interest</w:t>
            </w:r>
          </w:p>
        </w:tc>
        <w:tc>
          <w:tcPr>
            <w:tcW w:w="340" w:type="dxa"/>
            <w:vAlign w:val="bottom"/>
          </w:tcPr>
          <w:p>
            <w:pPr>
              <w:jc w:val="right"/>
              <w:ind w:right="49"/>
              <w:spacing w:after="0"/>
              <w:rPr>
                <w:sz w:val="20"/>
                <w:szCs w:val="20"/>
                <w:color w:val="auto"/>
              </w:rPr>
            </w:pPr>
            <w:r>
              <w:rPr>
                <w:rFonts w:ascii="Arial" w:cs="Arial" w:eastAsia="Arial" w:hAnsi="Arial"/>
                <w:sz w:val="14"/>
                <w:szCs w:val="14"/>
                <w:color w:val="231F20"/>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231F20"/>
              </w:rPr>
              <w:t>84.9</w:t>
            </w:r>
          </w:p>
        </w:tc>
        <w:tc>
          <w:tcPr>
            <w:tcW w:w="300" w:type="dxa"/>
            <w:vAlign w:val="bottom"/>
          </w:tcPr>
          <w:p>
            <w:pPr>
              <w:jc w:val="right"/>
              <w:ind w:right="49"/>
              <w:spacing w:after="0"/>
              <w:rPr>
                <w:sz w:val="20"/>
                <w:szCs w:val="20"/>
                <w:color w:val="auto"/>
              </w:rPr>
            </w:pPr>
            <w:r>
              <w:rPr>
                <w:rFonts w:ascii="Arial" w:cs="Arial" w:eastAsia="Arial" w:hAnsi="Arial"/>
                <w:sz w:val="14"/>
                <w:szCs w:val="14"/>
                <w:color w:val="231F20"/>
              </w:rPr>
              <w:t>$</w:t>
            </w:r>
          </w:p>
        </w:tc>
        <w:tc>
          <w:tcPr>
            <w:tcW w:w="880" w:type="dxa"/>
            <w:vAlign w:val="bottom"/>
          </w:tcPr>
          <w:p>
            <w:pPr>
              <w:jc w:val="right"/>
              <w:ind w:right="89"/>
              <w:spacing w:after="0"/>
              <w:rPr>
                <w:sz w:val="20"/>
                <w:szCs w:val="20"/>
                <w:color w:val="auto"/>
              </w:rPr>
            </w:pPr>
            <w:r>
              <w:rPr>
                <w:rFonts w:ascii="Arial" w:cs="Arial" w:eastAsia="Arial" w:hAnsi="Arial"/>
                <w:sz w:val="14"/>
                <w:szCs w:val="14"/>
                <w:color w:val="231F20"/>
              </w:rPr>
              <w:t>75.9</w:t>
            </w:r>
          </w:p>
        </w:tc>
        <w:tc>
          <w:tcPr>
            <w:tcW w:w="300" w:type="dxa"/>
            <w:vAlign w:val="bottom"/>
          </w:tcPr>
          <w:p>
            <w:pPr>
              <w:jc w:val="right"/>
              <w:ind w:right="69"/>
              <w:spacing w:after="0"/>
              <w:rPr>
                <w:sz w:val="20"/>
                <w:szCs w:val="20"/>
                <w:color w:val="auto"/>
              </w:rPr>
            </w:pPr>
            <w:r>
              <w:rPr>
                <w:rFonts w:ascii="Arial" w:cs="Arial" w:eastAsia="Arial" w:hAnsi="Arial"/>
                <w:sz w:val="14"/>
                <w:szCs w:val="14"/>
                <w:color w:val="231F20"/>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231F20"/>
              </w:rPr>
              <w:t>38.2</w:t>
            </w:r>
          </w:p>
        </w:tc>
      </w:tr>
      <w:tr>
        <w:trPr>
          <w:trHeight w:val="189"/>
        </w:trPr>
        <w:tc>
          <w:tcPr>
            <w:tcW w:w="766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Income taxes, net</w:t>
            </w:r>
          </w:p>
        </w:tc>
        <w:tc>
          <w:tcPr>
            <w:tcW w:w="340" w:type="dxa"/>
            <w:vAlign w:val="bottom"/>
            <w:shd w:val="clear" w:color="auto" w:fill="E2E8F1"/>
          </w:tcPr>
          <w:p>
            <w:pPr>
              <w:jc w:val="right"/>
              <w:ind w:right="49"/>
              <w:spacing w:after="0"/>
              <w:rPr>
                <w:sz w:val="20"/>
                <w:szCs w:val="20"/>
                <w:color w:val="auto"/>
              </w:rPr>
            </w:pPr>
            <w:r>
              <w:rPr>
                <w:rFonts w:ascii="Arial" w:cs="Arial" w:eastAsia="Arial" w:hAnsi="Arial"/>
                <w:sz w:val="14"/>
                <w:szCs w:val="14"/>
                <w:color w:val="231F20"/>
              </w:rPr>
              <w:t>$</w:t>
            </w:r>
          </w:p>
        </w:tc>
        <w:tc>
          <w:tcPr>
            <w:tcW w:w="92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231F20"/>
              </w:rPr>
              <w:t>187.6</w:t>
            </w:r>
          </w:p>
        </w:tc>
        <w:tc>
          <w:tcPr>
            <w:tcW w:w="300" w:type="dxa"/>
            <w:vAlign w:val="bottom"/>
            <w:shd w:val="clear" w:color="auto" w:fill="E2E8F1"/>
          </w:tcPr>
          <w:p>
            <w:pPr>
              <w:jc w:val="right"/>
              <w:ind w:right="49"/>
              <w:spacing w:after="0"/>
              <w:rPr>
                <w:sz w:val="20"/>
                <w:szCs w:val="20"/>
                <w:color w:val="auto"/>
              </w:rPr>
            </w:pPr>
            <w:r>
              <w:rPr>
                <w:rFonts w:ascii="Arial" w:cs="Arial" w:eastAsia="Arial" w:hAnsi="Arial"/>
                <w:sz w:val="14"/>
                <w:szCs w:val="14"/>
                <w:color w:val="231F20"/>
              </w:rPr>
              <w:t>$</w:t>
            </w:r>
          </w:p>
        </w:tc>
        <w:tc>
          <w:tcPr>
            <w:tcW w:w="88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182.2</w:t>
            </w:r>
          </w:p>
        </w:tc>
        <w:tc>
          <w:tcPr>
            <w:tcW w:w="30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86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201.6</w:t>
            </w:r>
          </w:p>
        </w:tc>
      </w:tr>
      <w:tr>
        <w:trPr>
          <w:trHeight w:val="189"/>
        </w:trPr>
        <w:tc>
          <w:tcPr>
            <w:tcW w:w="7660" w:type="dxa"/>
            <w:vAlign w:val="bottom"/>
            <w:tcBorders>
              <w:bottom w:val="single" w:sz="8" w:color="231F20"/>
            </w:tcBorders>
          </w:tcPr>
          <w:p>
            <w:pPr>
              <w:ind w:left="240"/>
              <w:spacing w:after="0"/>
              <w:rPr>
                <w:sz w:val="20"/>
                <w:szCs w:val="20"/>
                <w:color w:val="auto"/>
              </w:rPr>
            </w:pPr>
            <w:r>
              <w:rPr>
                <w:rFonts w:ascii="Arial" w:cs="Arial" w:eastAsia="Arial" w:hAnsi="Arial"/>
                <w:sz w:val="14"/>
                <w:szCs w:val="14"/>
                <w:color w:val="231F20"/>
              </w:rPr>
              <w:t>Operating lease liabilities</w:t>
            </w:r>
          </w:p>
        </w:tc>
        <w:tc>
          <w:tcPr>
            <w:tcW w:w="340" w:type="dxa"/>
            <w:vAlign w:val="bottom"/>
            <w:tcBorders>
              <w:bottom w:val="single" w:sz="8" w:color="231F20"/>
            </w:tcBorders>
          </w:tcPr>
          <w:p>
            <w:pPr>
              <w:jc w:val="right"/>
              <w:ind w:right="49"/>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1F20"/>
            </w:tcBorders>
          </w:tcPr>
          <w:p>
            <w:pPr>
              <w:jc w:val="right"/>
              <w:ind w:right="109"/>
              <w:spacing w:after="0"/>
              <w:rPr>
                <w:sz w:val="20"/>
                <w:szCs w:val="20"/>
                <w:color w:val="auto"/>
              </w:rPr>
            </w:pPr>
            <w:r>
              <w:rPr>
                <w:rFonts w:ascii="Arial" w:cs="Arial" w:eastAsia="Arial" w:hAnsi="Arial"/>
                <w:sz w:val="14"/>
                <w:szCs w:val="14"/>
                <w:color w:val="231F20"/>
              </w:rPr>
              <w:t>119.7</w:t>
            </w:r>
          </w:p>
        </w:tc>
        <w:tc>
          <w:tcPr>
            <w:tcW w:w="300" w:type="dxa"/>
            <w:vAlign w:val="bottom"/>
            <w:tcBorders>
              <w:bottom w:val="single" w:sz="8" w:color="231F20"/>
            </w:tcBorders>
          </w:tcPr>
          <w:p>
            <w:pPr>
              <w:jc w:val="right"/>
              <w:ind w:right="49"/>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231F20"/>
            </w:tcBorders>
          </w:tcPr>
          <w:p>
            <w:pPr>
              <w:jc w:val="right"/>
              <w:ind w:right="89"/>
              <w:spacing w:after="0"/>
              <w:rPr>
                <w:sz w:val="20"/>
                <w:szCs w:val="20"/>
                <w:color w:val="auto"/>
              </w:rPr>
            </w:pPr>
            <w:r>
              <w:rPr>
                <w:rFonts w:ascii="Arial" w:cs="Arial" w:eastAsia="Arial" w:hAnsi="Arial"/>
                <w:sz w:val="14"/>
                <w:szCs w:val="14"/>
                <w:color w:val="231F20"/>
              </w:rPr>
              <w:t>132.0</w:t>
            </w:r>
          </w:p>
        </w:tc>
        <w:tc>
          <w:tcPr>
            <w:tcW w:w="30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w:t>
            </w:r>
          </w:p>
        </w:tc>
        <w:tc>
          <w:tcPr>
            <w:tcW w:w="86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127.7</w:t>
            </w:r>
          </w:p>
        </w:tc>
      </w:tr>
      <w:tr>
        <w:trPr>
          <w:trHeight w:val="181"/>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Non-cash operating activity:</w:t>
            </w:r>
          </w:p>
        </w:tc>
        <w:tc>
          <w:tcPr>
            <w:tcW w:w="340" w:type="dxa"/>
            <w:vAlign w:val="bottom"/>
            <w:shd w:val="clear" w:color="auto" w:fill="E2E8F1"/>
          </w:tcPr>
          <w:p>
            <w:pPr>
              <w:spacing w:after="0"/>
              <w:rPr>
                <w:sz w:val="15"/>
                <w:szCs w:val="15"/>
                <w:color w:val="auto"/>
              </w:rPr>
            </w:pPr>
          </w:p>
        </w:tc>
        <w:tc>
          <w:tcPr>
            <w:tcW w:w="92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860" w:type="dxa"/>
            <w:vAlign w:val="bottom"/>
            <w:shd w:val="clear" w:color="auto" w:fill="E2E8F1"/>
          </w:tcPr>
          <w:p>
            <w:pPr>
              <w:spacing w:after="0"/>
              <w:rPr>
                <w:sz w:val="15"/>
                <w:szCs w:val="15"/>
                <w:color w:val="auto"/>
              </w:rPr>
            </w:pPr>
          </w:p>
        </w:tc>
      </w:tr>
      <w:tr>
        <w:trPr>
          <w:trHeight w:val="198"/>
        </w:trPr>
        <w:tc>
          <w:tcPr>
            <w:tcW w:w="7660" w:type="dxa"/>
            <w:vAlign w:val="bottom"/>
          </w:tcPr>
          <w:p>
            <w:pPr>
              <w:ind w:left="240"/>
              <w:spacing w:after="0"/>
              <w:rPr>
                <w:sz w:val="20"/>
                <w:szCs w:val="20"/>
                <w:color w:val="auto"/>
              </w:rPr>
            </w:pPr>
            <w:r>
              <w:rPr>
                <w:rFonts w:ascii="Arial" w:cs="Arial" w:eastAsia="Arial" w:hAnsi="Arial"/>
                <w:sz w:val="14"/>
                <w:szCs w:val="14"/>
                <w:color w:val="231F20"/>
              </w:rPr>
              <w:t>Right-of-use assets obtained in exchange for new operating lease liabilities</w:t>
            </w:r>
          </w:p>
        </w:tc>
        <w:tc>
          <w:tcPr>
            <w:tcW w:w="340" w:type="dxa"/>
            <w:vAlign w:val="bottom"/>
          </w:tcPr>
          <w:p>
            <w:pPr>
              <w:jc w:val="right"/>
              <w:ind w:right="49"/>
              <w:spacing w:after="0"/>
              <w:rPr>
                <w:sz w:val="20"/>
                <w:szCs w:val="20"/>
                <w:color w:val="auto"/>
              </w:rPr>
            </w:pPr>
            <w:r>
              <w:rPr>
                <w:rFonts w:ascii="Arial" w:cs="Arial" w:eastAsia="Arial" w:hAnsi="Arial"/>
                <w:sz w:val="14"/>
                <w:szCs w:val="14"/>
                <w:color w:val="231F20"/>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231F20"/>
              </w:rPr>
              <w:t>82.2</w:t>
            </w:r>
          </w:p>
        </w:tc>
        <w:tc>
          <w:tcPr>
            <w:tcW w:w="300" w:type="dxa"/>
            <w:vAlign w:val="bottom"/>
          </w:tcPr>
          <w:p>
            <w:pPr>
              <w:jc w:val="right"/>
              <w:ind w:right="49"/>
              <w:spacing w:after="0"/>
              <w:rPr>
                <w:sz w:val="20"/>
                <w:szCs w:val="20"/>
                <w:color w:val="auto"/>
              </w:rPr>
            </w:pPr>
            <w:r>
              <w:rPr>
                <w:rFonts w:ascii="Arial" w:cs="Arial" w:eastAsia="Arial" w:hAnsi="Arial"/>
                <w:sz w:val="14"/>
                <w:szCs w:val="14"/>
                <w:color w:val="231F20"/>
              </w:rPr>
              <w:t>$</w:t>
            </w:r>
          </w:p>
        </w:tc>
        <w:tc>
          <w:tcPr>
            <w:tcW w:w="880" w:type="dxa"/>
            <w:vAlign w:val="bottom"/>
          </w:tcPr>
          <w:p>
            <w:pPr>
              <w:jc w:val="right"/>
              <w:ind w:right="89"/>
              <w:spacing w:after="0"/>
              <w:rPr>
                <w:sz w:val="20"/>
                <w:szCs w:val="20"/>
                <w:color w:val="auto"/>
              </w:rPr>
            </w:pPr>
            <w:r>
              <w:rPr>
                <w:rFonts w:ascii="Arial" w:cs="Arial" w:eastAsia="Arial" w:hAnsi="Arial"/>
                <w:sz w:val="14"/>
                <w:szCs w:val="14"/>
                <w:color w:val="231F20"/>
              </w:rPr>
              <w:t>135.6</w:t>
            </w:r>
          </w:p>
        </w:tc>
        <w:tc>
          <w:tcPr>
            <w:tcW w:w="300" w:type="dxa"/>
            <w:vAlign w:val="bottom"/>
          </w:tcPr>
          <w:p>
            <w:pPr>
              <w:jc w:val="right"/>
              <w:ind w:right="69"/>
              <w:spacing w:after="0"/>
              <w:rPr>
                <w:sz w:val="20"/>
                <w:szCs w:val="20"/>
                <w:color w:val="auto"/>
              </w:rPr>
            </w:pPr>
            <w:r>
              <w:rPr>
                <w:rFonts w:ascii="Arial" w:cs="Arial" w:eastAsia="Arial" w:hAnsi="Arial"/>
                <w:sz w:val="14"/>
                <w:szCs w:val="14"/>
                <w:color w:val="231F20"/>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231F20"/>
              </w:rPr>
              <w:t>92.5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14946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231F20"/>
        </w:rPr>
        <w:t>The accompanying Notes to Consolidated Financial Statements are an integral part of these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52" w:name="page53"/>
    <w:bookmarkEnd w:id="52"/>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CONSOLIDATED STATEMENTS OF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in millions, except share and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20" w:type="dxa"/>
            <w:vAlign w:val="bottom"/>
            <w:tcBorders>
              <w:top w:val="single" w:sz="8" w:color="auto"/>
              <w:bottom w:val="single" w:sz="8" w:color="98B0CF"/>
            </w:tcBorders>
            <w:shd w:val="clear" w:color="auto" w:fill="98B0CF"/>
          </w:tcPr>
          <w:p>
            <w:pPr>
              <w:spacing w:after="0"/>
              <w:rPr>
                <w:sz w:val="18"/>
                <w:szCs w:val="18"/>
                <w:color w:val="auto"/>
              </w:rPr>
            </w:pPr>
          </w:p>
        </w:tc>
        <w:tc>
          <w:tcPr>
            <w:tcW w:w="940" w:type="dxa"/>
            <w:vAlign w:val="bottom"/>
            <w:tcBorders>
              <w:top w:val="single" w:sz="8" w:color="auto"/>
              <w:bottom w:val="single" w:sz="8" w:color="auto"/>
            </w:tcBorders>
            <w:shd w:val="clear" w:color="auto" w:fill="98B0CF"/>
          </w:tcPr>
          <w:p>
            <w:pPr>
              <w:spacing w:after="0"/>
              <w:rPr>
                <w:sz w:val="18"/>
                <w:szCs w:val="18"/>
                <w:color w:val="auto"/>
              </w:rPr>
            </w:pPr>
          </w:p>
        </w:tc>
        <w:tc>
          <w:tcPr>
            <w:tcW w:w="340" w:type="dxa"/>
            <w:vAlign w:val="bottom"/>
            <w:tcBorders>
              <w:top w:val="single" w:sz="8" w:color="auto"/>
              <w:bottom w:val="single" w:sz="8" w:color="auto"/>
            </w:tcBorders>
            <w:shd w:val="clear" w:color="auto" w:fill="98B0CF"/>
          </w:tcPr>
          <w:p>
            <w:pPr>
              <w:spacing w:after="0"/>
              <w:rPr>
                <w:sz w:val="18"/>
                <w:szCs w:val="18"/>
                <w:color w:val="auto"/>
              </w:rPr>
            </w:pPr>
          </w:p>
        </w:tc>
        <w:tc>
          <w:tcPr>
            <w:tcW w:w="600" w:type="dxa"/>
            <w:vAlign w:val="bottom"/>
            <w:tcBorders>
              <w:top w:val="single" w:sz="8" w:color="auto"/>
              <w:bottom w:val="single" w:sz="8" w:color="auto"/>
            </w:tcBorders>
            <w:shd w:val="clear" w:color="auto" w:fill="98B0CF"/>
          </w:tcPr>
          <w:p>
            <w:pPr>
              <w:spacing w:after="0"/>
              <w:rPr>
                <w:sz w:val="18"/>
                <w:szCs w:val="18"/>
                <w:color w:val="auto"/>
              </w:rPr>
            </w:pPr>
          </w:p>
        </w:tc>
        <w:tc>
          <w:tcPr>
            <w:tcW w:w="220" w:type="dxa"/>
            <w:vAlign w:val="bottom"/>
            <w:tcBorders>
              <w:top w:val="single" w:sz="8" w:color="auto"/>
              <w:bottom w:val="single" w:sz="8" w:color="auto"/>
            </w:tcBorders>
            <w:shd w:val="clear" w:color="auto" w:fill="98B0CF"/>
          </w:tcPr>
          <w:p>
            <w:pPr>
              <w:spacing w:after="0"/>
              <w:rPr>
                <w:sz w:val="18"/>
                <w:szCs w:val="18"/>
                <w:color w:val="auto"/>
              </w:rPr>
            </w:pPr>
          </w:p>
        </w:tc>
        <w:tc>
          <w:tcPr>
            <w:tcW w:w="2040" w:type="dxa"/>
            <w:vAlign w:val="bottom"/>
            <w:tcBorders>
              <w:top w:val="single" w:sz="8" w:color="auto"/>
              <w:bottom w:val="single" w:sz="8" w:color="auto"/>
            </w:tcBorders>
            <w:gridSpan w:val="3"/>
            <w:shd w:val="clear" w:color="auto" w:fill="98B0CF"/>
          </w:tcPr>
          <w:p>
            <w:pPr>
              <w:jc w:val="center"/>
              <w:spacing w:after="0"/>
              <w:rPr>
                <w:sz w:val="20"/>
                <w:szCs w:val="20"/>
                <w:color w:val="auto"/>
              </w:rPr>
            </w:pPr>
            <w:r>
              <w:rPr>
                <w:rFonts w:ascii="Arial" w:cs="Arial" w:eastAsia="Arial" w:hAnsi="Arial"/>
                <w:sz w:val="13"/>
                <w:szCs w:val="13"/>
                <w:b w:val="1"/>
                <w:bCs w:val="1"/>
                <w:color w:val="231F20"/>
                <w:w w:val="96"/>
              </w:rPr>
              <w:t>ManpowerGroup Shareholders</w:t>
            </w:r>
          </w:p>
        </w:tc>
        <w:tc>
          <w:tcPr>
            <w:tcW w:w="160" w:type="dxa"/>
            <w:vAlign w:val="bottom"/>
            <w:tcBorders>
              <w:top w:val="single" w:sz="8" w:color="auto"/>
              <w:bottom w:val="single" w:sz="8" w:color="auto"/>
            </w:tcBorders>
            <w:shd w:val="clear" w:color="auto" w:fill="98B0CF"/>
          </w:tcPr>
          <w:p>
            <w:pPr>
              <w:spacing w:after="0"/>
              <w:rPr>
                <w:sz w:val="18"/>
                <w:szCs w:val="18"/>
                <w:color w:val="auto"/>
              </w:rPr>
            </w:pPr>
          </w:p>
        </w:tc>
        <w:tc>
          <w:tcPr>
            <w:tcW w:w="1260" w:type="dxa"/>
            <w:vAlign w:val="bottom"/>
            <w:tcBorders>
              <w:top w:val="single" w:sz="8" w:color="auto"/>
              <w:bottom w:val="single" w:sz="8" w:color="auto"/>
            </w:tcBorders>
            <w:shd w:val="clear" w:color="auto" w:fill="98B0CF"/>
          </w:tcPr>
          <w:p>
            <w:pPr>
              <w:spacing w:after="0"/>
              <w:rPr>
                <w:sz w:val="18"/>
                <w:szCs w:val="18"/>
                <w:color w:val="auto"/>
              </w:rPr>
            </w:pPr>
          </w:p>
        </w:tc>
        <w:tc>
          <w:tcPr>
            <w:tcW w:w="840" w:type="dxa"/>
            <w:vAlign w:val="bottom"/>
            <w:tcBorders>
              <w:top w:val="single" w:sz="8" w:color="auto"/>
              <w:bottom w:val="single" w:sz="8" w:color="auto"/>
            </w:tcBorders>
            <w:shd w:val="clear" w:color="auto" w:fill="98B0CF"/>
          </w:tcPr>
          <w:p>
            <w:pPr>
              <w:spacing w:after="0"/>
              <w:rPr>
                <w:sz w:val="18"/>
                <w:szCs w:val="18"/>
                <w:color w:val="auto"/>
              </w:rPr>
            </w:pPr>
          </w:p>
        </w:tc>
        <w:tc>
          <w:tcPr>
            <w:tcW w:w="240" w:type="dxa"/>
            <w:vAlign w:val="bottom"/>
            <w:tcBorders>
              <w:top w:val="single" w:sz="8" w:color="auto"/>
              <w:bottom w:val="single" w:sz="8" w:color="98B0CF"/>
            </w:tcBorders>
            <w:shd w:val="clear" w:color="auto" w:fill="98B0CF"/>
          </w:tcPr>
          <w:p>
            <w:pPr>
              <w:spacing w:after="0"/>
              <w:rPr>
                <w:sz w:val="18"/>
                <w:szCs w:val="18"/>
                <w:color w:val="auto"/>
              </w:rPr>
            </w:pPr>
          </w:p>
        </w:tc>
        <w:tc>
          <w:tcPr>
            <w:tcW w:w="680" w:type="dxa"/>
            <w:vAlign w:val="bottom"/>
            <w:tcBorders>
              <w:top w:val="single" w:sz="8" w:color="auto"/>
              <w:bottom w:val="single" w:sz="8" w:color="98B0CF"/>
            </w:tcBorders>
            <w:shd w:val="clear" w:color="auto" w:fill="98B0CF"/>
          </w:tcPr>
          <w:p>
            <w:pPr>
              <w:spacing w:after="0"/>
              <w:rPr>
                <w:sz w:val="18"/>
                <w:szCs w:val="18"/>
                <w:color w:val="auto"/>
              </w:rPr>
            </w:pPr>
          </w:p>
        </w:tc>
        <w:tc>
          <w:tcPr>
            <w:tcW w:w="820" w:type="dxa"/>
            <w:vAlign w:val="bottom"/>
            <w:tcBorders>
              <w:top w:val="single" w:sz="8" w:color="auto"/>
              <w:bottom w:val="single" w:sz="8" w:color="98B0CF"/>
            </w:tcBorders>
            <w:shd w:val="clear" w:color="auto" w:fill="98B0C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tcBorders>
              <w:bottom w:val="single" w:sz="8" w:color="98B0CF"/>
            </w:tcBorders>
            <w:shd w:val="clear" w:color="auto" w:fill="98B0CF"/>
          </w:tcPr>
          <w:p>
            <w:pPr>
              <w:spacing w:after="0"/>
              <w:rPr>
                <w:sz w:val="19"/>
                <w:szCs w:val="19"/>
                <w:color w:val="auto"/>
              </w:rPr>
            </w:pPr>
          </w:p>
        </w:tc>
        <w:tc>
          <w:tcPr>
            <w:tcW w:w="1880" w:type="dxa"/>
            <w:vAlign w:val="bottom"/>
            <w:tcBorders>
              <w:bottom w:val="single" w:sz="8" w:color="auto"/>
            </w:tcBorders>
            <w:gridSpan w:val="3"/>
            <w:shd w:val="clear" w:color="auto" w:fill="98B0CF"/>
          </w:tcPr>
          <w:p>
            <w:pPr>
              <w:jc w:val="right"/>
              <w:ind w:right="472"/>
              <w:spacing w:after="0"/>
              <w:rPr>
                <w:sz w:val="20"/>
                <w:szCs w:val="20"/>
                <w:color w:val="auto"/>
              </w:rPr>
            </w:pPr>
            <w:r>
              <w:rPr>
                <w:rFonts w:ascii="Arial" w:cs="Arial" w:eastAsia="Arial" w:hAnsi="Arial"/>
                <w:sz w:val="13"/>
                <w:szCs w:val="13"/>
                <w:b w:val="1"/>
                <w:bCs w:val="1"/>
                <w:color w:val="231F20"/>
              </w:rPr>
              <w:t>Common Stock</w:t>
            </w:r>
          </w:p>
        </w:tc>
        <w:tc>
          <w:tcPr>
            <w:tcW w:w="220" w:type="dxa"/>
            <w:vAlign w:val="bottom"/>
            <w:tcBorders>
              <w:bottom w:val="single" w:sz="8" w:color="98B0CF"/>
            </w:tcBorders>
            <w:shd w:val="clear" w:color="auto" w:fill="98B0CF"/>
          </w:tcPr>
          <w:p>
            <w:pPr>
              <w:spacing w:after="0"/>
              <w:rPr>
                <w:sz w:val="19"/>
                <w:szCs w:val="19"/>
                <w:color w:val="auto"/>
              </w:rPr>
            </w:pPr>
          </w:p>
        </w:tc>
        <w:tc>
          <w:tcPr>
            <w:tcW w:w="880" w:type="dxa"/>
            <w:vAlign w:val="bottom"/>
            <w:tcBorders>
              <w:bottom w:val="single" w:sz="8" w:color="98B0CF"/>
            </w:tcBorders>
            <w:shd w:val="clear" w:color="auto" w:fill="98B0CF"/>
          </w:tcPr>
          <w:p>
            <w:pPr>
              <w:spacing w:after="0"/>
              <w:rPr>
                <w:sz w:val="19"/>
                <w:szCs w:val="19"/>
                <w:color w:val="auto"/>
              </w:rPr>
            </w:pPr>
          </w:p>
        </w:tc>
        <w:tc>
          <w:tcPr>
            <w:tcW w:w="260" w:type="dxa"/>
            <w:vAlign w:val="bottom"/>
            <w:tcBorders>
              <w:bottom w:val="single" w:sz="8" w:color="98B0CF"/>
            </w:tcBorders>
            <w:shd w:val="clear" w:color="auto" w:fill="98B0CF"/>
          </w:tcPr>
          <w:p>
            <w:pPr>
              <w:spacing w:after="0"/>
              <w:rPr>
                <w:sz w:val="19"/>
                <w:szCs w:val="19"/>
                <w:color w:val="auto"/>
              </w:rPr>
            </w:pPr>
          </w:p>
        </w:tc>
        <w:tc>
          <w:tcPr>
            <w:tcW w:w="900" w:type="dxa"/>
            <w:vAlign w:val="bottom"/>
            <w:tcBorders>
              <w:bottom w:val="single" w:sz="8" w:color="98B0CF"/>
            </w:tcBorders>
            <w:shd w:val="clear" w:color="auto" w:fill="98B0CF"/>
          </w:tcPr>
          <w:p>
            <w:pPr>
              <w:spacing w:after="0"/>
              <w:rPr>
                <w:sz w:val="19"/>
                <w:szCs w:val="19"/>
                <w:color w:val="auto"/>
              </w:rPr>
            </w:pPr>
          </w:p>
        </w:tc>
        <w:tc>
          <w:tcPr>
            <w:tcW w:w="160" w:type="dxa"/>
            <w:vAlign w:val="bottom"/>
            <w:tcBorders>
              <w:bottom w:val="single" w:sz="8" w:color="98B0CF"/>
            </w:tcBorders>
            <w:shd w:val="clear" w:color="auto" w:fill="98B0CF"/>
          </w:tcPr>
          <w:p>
            <w:pPr>
              <w:spacing w:after="0"/>
              <w:rPr>
                <w:sz w:val="19"/>
                <w:szCs w:val="19"/>
                <w:color w:val="auto"/>
              </w:rPr>
            </w:pPr>
          </w:p>
        </w:tc>
        <w:tc>
          <w:tcPr>
            <w:tcW w:w="1260" w:type="dxa"/>
            <w:vAlign w:val="bottom"/>
            <w:tcBorders>
              <w:bottom w:val="single" w:sz="8" w:color="98B0CF"/>
            </w:tcBorders>
            <w:shd w:val="clear" w:color="auto" w:fill="98B0CF"/>
          </w:tcPr>
          <w:p>
            <w:pPr>
              <w:spacing w:after="0"/>
              <w:rPr>
                <w:sz w:val="19"/>
                <w:szCs w:val="19"/>
                <w:color w:val="auto"/>
              </w:rPr>
            </w:pPr>
          </w:p>
        </w:tc>
        <w:tc>
          <w:tcPr>
            <w:tcW w:w="840" w:type="dxa"/>
            <w:vAlign w:val="bottom"/>
            <w:tcBorders>
              <w:bottom w:val="single" w:sz="8" w:color="98B0CF"/>
            </w:tcBorders>
            <w:shd w:val="clear" w:color="auto" w:fill="98B0CF"/>
          </w:tcPr>
          <w:p>
            <w:pPr>
              <w:spacing w:after="0"/>
              <w:rPr>
                <w:sz w:val="19"/>
                <w:szCs w:val="19"/>
                <w:color w:val="auto"/>
              </w:rPr>
            </w:pPr>
          </w:p>
        </w:tc>
        <w:tc>
          <w:tcPr>
            <w:tcW w:w="240" w:type="dxa"/>
            <w:vAlign w:val="bottom"/>
            <w:tcBorders>
              <w:bottom w:val="single" w:sz="8" w:color="98B0CF"/>
            </w:tcBorders>
            <w:shd w:val="clear" w:color="auto" w:fill="98B0CF"/>
          </w:tcPr>
          <w:p>
            <w:pPr>
              <w:spacing w:after="0"/>
              <w:rPr>
                <w:sz w:val="19"/>
                <w:szCs w:val="19"/>
                <w:color w:val="auto"/>
              </w:rPr>
            </w:pPr>
          </w:p>
        </w:tc>
        <w:tc>
          <w:tcPr>
            <w:tcW w:w="680" w:type="dxa"/>
            <w:vAlign w:val="bottom"/>
            <w:tcBorders>
              <w:bottom w:val="single" w:sz="8" w:color="98B0CF"/>
            </w:tcBorders>
            <w:vMerge w:val="restart"/>
            <w:shd w:val="clear" w:color="auto" w:fill="98B0CF"/>
          </w:tcPr>
          <w:p>
            <w:pPr>
              <w:jc w:val="center"/>
              <w:ind w:right="231"/>
              <w:spacing w:after="0"/>
              <w:rPr>
                <w:sz w:val="20"/>
                <w:szCs w:val="20"/>
                <w:color w:val="auto"/>
              </w:rPr>
            </w:pPr>
            <w:r>
              <w:rPr>
                <w:rFonts w:ascii="Arial" w:cs="Arial" w:eastAsia="Arial" w:hAnsi="Arial"/>
                <w:sz w:val="13"/>
                <w:szCs w:val="13"/>
                <w:b w:val="1"/>
                <w:bCs w:val="1"/>
                <w:color w:val="231F20"/>
              </w:rPr>
              <w:t>Non-</w:t>
            </w:r>
          </w:p>
        </w:tc>
        <w:tc>
          <w:tcPr>
            <w:tcW w:w="820" w:type="dxa"/>
            <w:vAlign w:val="bottom"/>
            <w:tcBorders>
              <w:bottom w:val="single" w:sz="8" w:color="98B0CF"/>
            </w:tcBorders>
            <w:shd w:val="clear" w:color="auto" w:fill="98B0C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3120" w:type="dxa"/>
            <w:vAlign w:val="bottom"/>
            <w:shd w:val="clear" w:color="auto" w:fill="98B0CF"/>
          </w:tcPr>
          <w:p>
            <w:pPr>
              <w:spacing w:after="0"/>
              <w:rPr>
                <w:sz w:val="11"/>
                <w:szCs w:val="11"/>
                <w:color w:val="auto"/>
              </w:rPr>
            </w:pPr>
          </w:p>
        </w:tc>
        <w:tc>
          <w:tcPr>
            <w:tcW w:w="940" w:type="dxa"/>
            <w:vAlign w:val="bottom"/>
            <w:shd w:val="clear" w:color="auto" w:fill="98B0CF"/>
          </w:tcPr>
          <w:p>
            <w:pPr>
              <w:spacing w:after="0"/>
              <w:rPr>
                <w:sz w:val="11"/>
                <w:szCs w:val="11"/>
                <w:color w:val="auto"/>
              </w:rPr>
            </w:pPr>
          </w:p>
        </w:tc>
        <w:tc>
          <w:tcPr>
            <w:tcW w:w="340" w:type="dxa"/>
            <w:vAlign w:val="bottom"/>
            <w:shd w:val="clear" w:color="auto" w:fill="98B0CF"/>
          </w:tcPr>
          <w:p>
            <w:pPr>
              <w:spacing w:after="0"/>
              <w:rPr>
                <w:sz w:val="11"/>
                <w:szCs w:val="11"/>
                <w:color w:val="auto"/>
              </w:rPr>
            </w:pPr>
          </w:p>
        </w:tc>
        <w:tc>
          <w:tcPr>
            <w:tcW w:w="600" w:type="dxa"/>
            <w:vAlign w:val="bottom"/>
            <w:shd w:val="clear" w:color="auto" w:fill="98B0CF"/>
          </w:tcPr>
          <w:p>
            <w:pPr>
              <w:spacing w:after="0"/>
              <w:rPr>
                <w:sz w:val="11"/>
                <w:szCs w:val="11"/>
                <w:color w:val="auto"/>
              </w:rPr>
            </w:pPr>
          </w:p>
        </w:tc>
        <w:tc>
          <w:tcPr>
            <w:tcW w:w="220" w:type="dxa"/>
            <w:vAlign w:val="bottom"/>
            <w:shd w:val="clear" w:color="auto" w:fill="98B0CF"/>
          </w:tcPr>
          <w:p>
            <w:pPr>
              <w:spacing w:after="0"/>
              <w:rPr>
                <w:sz w:val="11"/>
                <w:szCs w:val="11"/>
                <w:color w:val="auto"/>
              </w:rPr>
            </w:pPr>
          </w:p>
        </w:tc>
        <w:tc>
          <w:tcPr>
            <w:tcW w:w="88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900" w:type="dxa"/>
            <w:vAlign w:val="bottom"/>
            <w:shd w:val="clear" w:color="auto" w:fill="98B0CF"/>
          </w:tcPr>
          <w:p>
            <w:pPr>
              <w:spacing w:after="0"/>
              <w:rPr>
                <w:sz w:val="11"/>
                <w:szCs w:val="11"/>
                <w:color w:val="auto"/>
              </w:rPr>
            </w:pPr>
          </w:p>
        </w:tc>
        <w:tc>
          <w:tcPr>
            <w:tcW w:w="160" w:type="dxa"/>
            <w:vAlign w:val="bottom"/>
            <w:shd w:val="clear" w:color="auto" w:fill="98B0CF"/>
          </w:tcPr>
          <w:p>
            <w:pPr>
              <w:spacing w:after="0"/>
              <w:rPr>
                <w:sz w:val="11"/>
                <w:szCs w:val="11"/>
                <w:color w:val="auto"/>
              </w:rPr>
            </w:pPr>
          </w:p>
        </w:tc>
        <w:tc>
          <w:tcPr>
            <w:tcW w:w="1260" w:type="dxa"/>
            <w:vAlign w:val="bottom"/>
            <w:shd w:val="clear" w:color="auto" w:fill="98B0CF"/>
          </w:tcPr>
          <w:p>
            <w:pPr>
              <w:spacing w:after="0"/>
              <w:rPr>
                <w:sz w:val="11"/>
                <w:szCs w:val="11"/>
                <w:color w:val="auto"/>
              </w:rPr>
            </w:pPr>
          </w:p>
        </w:tc>
        <w:tc>
          <w:tcPr>
            <w:tcW w:w="840" w:type="dxa"/>
            <w:vAlign w:val="bottom"/>
            <w:shd w:val="clear" w:color="auto" w:fill="98B0CF"/>
          </w:tcPr>
          <w:p>
            <w:pPr>
              <w:spacing w:after="0"/>
              <w:rPr>
                <w:sz w:val="11"/>
                <w:szCs w:val="11"/>
                <w:color w:val="auto"/>
              </w:rPr>
            </w:pPr>
          </w:p>
        </w:tc>
        <w:tc>
          <w:tcPr>
            <w:tcW w:w="240" w:type="dxa"/>
            <w:vAlign w:val="bottom"/>
            <w:shd w:val="clear" w:color="auto" w:fill="98B0CF"/>
          </w:tcPr>
          <w:p>
            <w:pPr>
              <w:spacing w:after="0"/>
              <w:rPr>
                <w:sz w:val="11"/>
                <w:szCs w:val="11"/>
                <w:color w:val="auto"/>
              </w:rPr>
            </w:pPr>
          </w:p>
        </w:tc>
        <w:tc>
          <w:tcPr>
            <w:tcW w:w="680" w:type="dxa"/>
            <w:vAlign w:val="bottom"/>
            <w:vMerge w:val="continue"/>
            <w:shd w:val="clear" w:color="auto" w:fill="98B0CF"/>
          </w:tcPr>
          <w:p>
            <w:pPr>
              <w:spacing w:after="0"/>
              <w:rPr>
                <w:sz w:val="11"/>
                <w:szCs w:val="11"/>
                <w:color w:val="auto"/>
              </w:rPr>
            </w:pPr>
          </w:p>
        </w:tc>
        <w:tc>
          <w:tcPr>
            <w:tcW w:w="820" w:type="dxa"/>
            <w:vAlign w:val="bottom"/>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98B0CF"/>
          </w:tcPr>
          <w:p>
            <w:pPr>
              <w:spacing w:after="0"/>
              <w:rPr>
                <w:sz w:val="12"/>
                <w:szCs w:val="12"/>
                <w:color w:val="auto"/>
              </w:rPr>
            </w:pPr>
          </w:p>
        </w:tc>
        <w:tc>
          <w:tcPr>
            <w:tcW w:w="940" w:type="dxa"/>
            <w:vAlign w:val="bottom"/>
            <w:shd w:val="clear" w:color="auto" w:fill="98B0CF"/>
          </w:tcPr>
          <w:p>
            <w:pPr>
              <w:spacing w:after="0"/>
              <w:rPr>
                <w:sz w:val="12"/>
                <w:szCs w:val="12"/>
                <w:color w:val="auto"/>
              </w:rPr>
            </w:pPr>
          </w:p>
        </w:tc>
        <w:tc>
          <w:tcPr>
            <w:tcW w:w="340" w:type="dxa"/>
            <w:vAlign w:val="bottom"/>
            <w:shd w:val="clear" w:color="auto" w:fill="98B0CF"/>
          </w:tcPr>
          <w:p>
            <w:pPr>
              <w:spacing w:after="0"/>
              <w:rPr>
                <w:sz w:val="12"/>
                <w:szCs w:val="12"/>
                <w:color w:val="auto"/>
              </w:rPr>
            </w:pPr>
          </w:p>
        </w:tc>
        <w:tc>
          <w:tcPr>
            <w:tcW w:w="60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880" w:type="dxa"/>
            <w:vAlign w:val="bottom"/>
            <w:shd w:val="clear" w:color="auto" w:fill="98B0CF"/>
          </w:tcPr>
          <w:p>
            <w:pPr>
              <w:jc w:val="right"/>
              <w:ind w:right="191"/>
              <w:spacing w:after="0" w:line="142" w:lineRule="exact"/>
              <w:rPr>
                <w:sz w:val="20"/>
                <w:szCs w:val="20"/>
                <w:color w:val="auto"/>
              </w:rPr>
            </w:pPr>
            <w:r>
              <w:rPr>
                <w:rFonts w:ascii="Arial" w:cs="Arial" w:eastAsia="Arial" w:hAnsi="Arial"/>
                <w:sz w:val="13"/>
                <w:szCs w:val="13"/>
                <w:b w:val="1"/>
                <w:bCs w:val="1"/>
                <w:color w:val="231F20"/>
              </w:rPr>
              <w:t>Capital in</w:t>
            </w:r>
          </w:p>
        </w:tc>
        <w:tc>
          <w:tcPr>
            <w:tcW w:w="260" w:type="dxa"/>
            <w:vAlign w:val="bottom"/>
            <w:shd w:val="clear" w:color="auto" w:fill="98B0CF"/>
          </w:tcPr>
          <w:p>
            <w:pPr>
              <w:spacing w:after="0"/>
              <w:rPr>
                <w:sz w:val="12"/>
                <w:szCs w:val="12"/>
                <w:color w:val="auto"/>
              </w:rPr>
            </w:pPr>
          </w:p>
        </w:tc>
        <w:tc>
          <w:tcPr>
            <w:tcW w:w="900" w:type="dxa"/>
            <w:vAlign w:val="bottom"/>
            <w:shd w:val="clear" w:color="auto" w:fill="98B0CF"/>
          </w:tcPr>
          <w:p>
            <w:pPr>
              <w:spacing w:after="0"/>
              <w:rPr>
                <w:sz w:val="12"/>
                <w:szCs w:val="12"/>
                <w:color w:val="auto"/>
              </w:rPr>
            </w:pPr>
          </w:p>
        </w:tc>
        <w:tc>
          <w:tcPr>
            <w:tcW w:w="1420" w:type="dxa"/>
            <w:vAlign w:val="bottom"/>
            <w:gridSpan w:val="2"/>
            <w:shd w:val="clear" w:color="auto" w:fill="98B0CF"/>
          </w:tcPr>
          <w:p>
            <w:pPr>
              <w:ind w:left="80"/>
              <w:spacing w:after="0" w:line="142" w:lineRule="exact"/>
              <w:rPr>
                <w:sz w:val="20"/>
                <w:szCs w:val="20"/>
                <w:color w:val="auto"/>
              </w:rPr>
            </w:pPr>
            <w:r>
              <w:rPr>
                <w:rFonts w:ascii="Arial" w:cs="Arial" w:eastAsia="Arial" w:hAnsi="Arial"/>
                <w:sz w:val="13"/>
                <w:szCs w:val="13"/>
                <w:b w:val="1"/>
                <w:bCs w:val="1"/>
                <w:color w:val="231F20"/>
              </w:rPr>
              <w:t>Accumulated Other</w:t>
            </w:r>
          </w:p>
        </w:tc>
        <w:tc>
          <w:tcPr>
            <w:tcW w:w="840" w:type="dxa"/>
            <w:vAlign w:val="bottom"/>
            <w:shd w:val="clear" w:color="auto" w:fill="98B0CF"/>
          </w:tcPr>
          <w:p>
            <w:pPr>
              <w:spacing w:after="0"/>
              <w:rPr>
                <w:sz w:val="12"/>
                <w:szCs w:val="12"/>
                <w:color w:val="auto"/>
              </w:rPr>
            </w:pPr>
          </w:p>
        </w:tc>
        <w:tc>
          <w:tcPr>
            <w:tcW w:w="920" w:type="dxa"/>
            <w:vAlign w:val="bottom"/>
            <w:gridSpan w:val="2"/>
            <w:shd w:val="clear" w:color="auto" w:fill="98B0CF"/>
          </w:tcPr>
          <w:p>
            <w:pPr>
              <w:jc w:val="center"/>
              <w:spacing w:after="0" w:line="142" w:lineRule="exact"/>
              <w:rPr>
                <w:sz w:val="20"/>
                <w:szCs w:val="20"/>
                <w:color w:val="auto"/>
              </w:rPr>
            </w:pPr>
            <w:r>
              <w:rPr>
                <w:rFonts w:ascii="Arial" w:cs="Arial" w:eastAsia="Arial" w:hAnsi="Arial"/>
                <w:sz w:val="13"/>
                <w:szCs w:val="13"/>
                <w:b w:val="1"/>
                <w:bCs w:val="1"/>
                <w:color w:val="231F20"/>
                <w:w w:val="97"/>
              </w:rPr>
              <w:t>controllin</w:t>
            </w:r>
          </w:p>
        </w:tc>
        <w:tc>
          <w:tcPr>
            <w:tcW w:w="820" w:type="dxa"/>
            <w:vAlign w:val="bottom"/>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98B0CF"/>
          </w:tcPr>
          <w:p>
            <w:pPr>
              <w:spacing w:after="0"/>
              <w:rPr>
                <w:sz w:val="12"/>
                <w:szCs w:val="12"/>
                <w:color w:val="auto"/>
              </w:rPr>
            </w:pPr>
          </w:p>
        </w:tc>
        <w:tc>
          <w:tcPr>
            <w:tcW w:w="940" w:type="dxa"/>
            <w:vAlign w:val="bottom"/>
            <w:shd w:val="clear" w:color="auto" w:fill="98B0CF"/>
          </w:tcPr>
          <w:p>
            <w:pPr>
              <w:jc w:val="right"/>
              <w:ind w:right="191"/>
              <w:spacing w:after="0" w:line="142" w:lineRule="exact"/>
              <w:rPr>
                <w:sz w:val="20"/>
                <w:szCs w:val="20"/>
                <w:color w:val="auto"/>
              </w:rPr>
            </w:pPr>
            <w:r>
              <w:rPr>
                <w:rFonts w:ascii="Arial" w:cs="Arial" w:eastAsia="Arial" w:hAnsi="Arial"/>
                <w:sz w:val="13"/>
                <w:szCs w:val="13"/>
                <w:b w:val="1"/>
                <w:bCs w:val="1"/>
                <w:color w:val="231F20"/>
              </w:rPr>
              <w:t>Shares</w:t>
            </w:r>
          </w:p>
        </w:tc>
        <w:tc>
          <w:tcPr>
            <w:tcW w:w="340" w:type="dxa"/>
            <w:vAlign w:val="bottom"/>
            <w:shd w:val="clear" w:color="auto" w:fill="98B0CF"/>
          </w:tcPr>
          <w:p>
            <w:pPr>
              <w:spacing w:after="0"/>
              <w:rPr>
                <w:sz w:val="12"/>
                <w:szCs w:val="12"/>
                <w:color w:val="auto"/>
              </w:rPr>
            </w:pPr>
          </w:p>
        </w:tc>
        <w:tc>
          <w:tcPr>
            <w:tcW w:w="600" w:type="dxa"/>
            <w:vAlign w:val="bottom"/>
            <w:shd w:val="clear" w:color="auto" w:fill="98B0CF"/>
          </w:tcPr>
          <w:p>
            <w:pPr>
              <w:jc w:val="right"/>
              <w:ind w:right="252"/>
              <w:spacing w:after="0" w:line="142" w:lineRule="exact"/>
              <w:rPr>
                <w:sz w:val="20"/>
                <w:szCs w:val="20"/>
                <w:color w:val="auto"/>
              </w:rPr>
            </w:pPr>
            <w:r>
              <w:rPr>
                <w:rFonts w:ascii="Arial" w:cs="Arial" w:eastAsia="Arial" w:hAnsi="Arial"/>
                <w:sz w:val="13"/>
                <w:szCs w:val="13"/>
                <w:b w:val="1"/>
                <w:bCs w:val="1"/>
                <w:color w:val="231F20"/>
              </w:rPr>
              <w:t>Par</w:t>
            </w:r>
          </w:p>
        </w:tc>
        <w:tc>
          <w:tcPr>
            <w:tcW w:w="220" w:type="dxa"/>
            <w:vAlign w:val="bottom"/>
            <w:shd w:val="clear" w:color="auto" w:fill="98B0CF"/>
          </w:tcPr>
          <w:p>
            <w:pPr>
              <w:spacing w:after="0"/>
              <w:rPr>
                <w:sz w:val="12"/>
                <w:szCs w:val="12"/>
                <w:color w:val="auto"/>
              </w:rPr>
            </w:pPr>
          </w:p>
        </w:tc>
        <w:tc>
          <w:tcPr>
            <w:tcW w:w="880" w:type="dxa"/>
            <w:vAlign w:val="bottom"/>
            <w:shd w:val="clear" w:color="auto" w:fill="98B0CF"/>
          </w:tcPr>
          <w:p>
            <w:pPr>
              <w:jc w:val="right"/>
              <w:ind w:right="191"/>
              <w:spacing w:after="0" w:line="142" w:lineRule="exact"/>
              <w:rPr>
                <w:sz w:val="20"/>
                <w:szCs w:val="20"/>
                <w:color w:val="auto"/>
              </w:rPr>
            </w:pPr>
            <w:r>
              <w:rPr>
                <w:rFonts w:ascii="Arial" w:cs="Arial" w:eastAsia="Arial" w:hAnsi="Arial"/>
                <w:sz w:val="13"/>
                <w:szCs w:val="13"/>
                <w:b w:val="1"/>
                <w:bCs w:val="1"/>
                <w:color w:val="231F20"/>
                <w:w w:val="98"/>
              </w:rPr>
              <w:t>Excess of</w:t>
            </w:r>
          </w:p>
        </w:tc>
        <w:tc>
          <w:tcPr>
            <w:tcW w:w="260" w:type="dxa"/>
            <w:vAlign w:val="bottom"/>
            <w:shd w:val="clear" w:color="auto" w:fill="98B0CF"/>
          </w:tcPr>
          <w:p>
            <w:pPr>
              <w:spacing w:after="0"/>
              <w:rPr>
                <w:sz w:val="12"/>
                <w:szCs w:val="12"/>
                <w:color w:val="auto"/>
              </w:rPr>
            </w:pPr>
          </w:p>
        </w:tc>
        <w:tc>
          <w:tcPr>
            <w:tcW w:w="900" w:type="dxa"/>
            <w:vAlign w:val="bottom"/>
            <w:shd w:val="clear" w:color="auto" w:fill="98B0CF"/>
          </w:tcPr>
          <w:p>
            <w:pPr>
              <w:jc w:val="right"/>
              <w:ind w:right="270"/>
              <w:spacing w:after="0" w:line="142" w:lineRule="exact"/>
              <w:rPr>
                <w:sz w:val="20"/>
                <w:szCs w:val="20"/>
                <w:color w:val="auto"/>
              </w:rPr>
            </w:pPr>
            <w:r>
              <w:rPr>
                <w:rFonts w:ascii="Arial" w:cs="Arial" w:eastAsia="Arial" w:hAnsi="Arial"/>
                <w:sz w:val="13"/>
                <w:szCs w:val="13"/>
                <w:b w:val="1"/>
                <w:bCs w:val="1"/>
                <w:color w:val="231F20"/>
                <w:w w:val="98"/>
              </w:rPr>
              <w:t>Retained</w:t>
            </w:r>
          </w:p>
        </w:tc>
        <w:tc>
          <w:tcPr>
            <w:tcW w:w="160" w:type="dxa"/>
            <w:vAlign w:val="bottom"/>
            <w:shd w:val="clear" w:color="auto" w:fill="98B0CF"/>
          </w:tcPr>
          <w:p>
            <w:pPr>
              <w:spacing w:after="0"/>
              <w:rPr>
                <w:sz w:val="12"/>
                <w:szCs w:val="12"/>
                <w:color w:val="auto"/>
              </w:rPr>
            </w:pPr>
          </w:p>
        </w:tc>
        <w:tc>
          <w:tcPr>
            <w:tcW w:w="1260" w:type="dxa"/>
            <w:vAlign w:val="bottom"/>
            <w:shd w:val="clear" w:color="auto" w:fill="98B0CF"/>
          </w:tcPr>
          <w:p>
            <w:pPr>
              <w:jc w:val="right"/>
              <w:ind w:right="211"/>
              <w:spacing w:after="0" w:line="142" w:lineRule="exact"/>
              <w:rPr>
                <w:sz w:val="20"/>
                <w:szCs w:val="20"/>
                <w:color w:val="auto"/>
              </w:rPr>
            </w:pPr>
            <w:r>
              <w:rPr>
                <w:rFonts w:ascii="Arial" w:cs="Arial" w:eastAsia="Arial" w:hAnsi="Arial"/>
                <w:sz w:val="13"/>
                <w:szCs w:val="13"/>
                <w:b w:val="1"/>
                <w:bCs w:val="1"/>
                <w:color w:val="231F20"/>
                <w:w w:val="98"/>
              </w:rPr>
              <w:t>Comprehensive</w:t>
            </w:r>
          </w:p>
        </w:tc>
        <w:tc>
          <w:tcPr>
            <w:tcW w:w="840" w:type="dxa"/>
            <w:vAlign w:val="bottom"/>
            <w:shd w:val="clear" w:color="auto" w:fill="98B0CF"/>
          </w:tcPr>
          <w:p>
            <w:pPr>
              <w:jc w:val="right"/>
              <w:ind w:right="110"/>
              <w:spacing w:after="0" w:line="142" w:lineRule="exact"/>
              <w:rPr>
                <w:sz w:val="20"/>
                <w:szCs w:val="20"/>
                <w:color w:val="auto"/>
              </w:rPr>
            </w:pPr>
            <w:r>
              <w:rPr>
                <w:rFonts w:ascii="Arial" w:cs="Arial" w:eastAsia="Arial" w:hAnsi="Arial"/>
                <w:sz w:val="13"/>
                <w:szCs w:val="13"/>
                <w:b w:val="1"/>
                <w:bCs w:val="1"/>
                <w:color w:val="231F20"/>
              </w:rPr>
              <w:t>Treasury</w:t>
            </w:r>
          </w:p>
        </w:tc>
        <w:tc>
          <w:tcPr>
            <w:tcW w:w="240" w:type="dxa"/>
            <w:vAlign w:val="bottom"/>
            <w:shd w:val="clear" w:color="auto" w:fill="98B0CF"/>
          </w:tcPr>
          <w:p>
            <w:pPr>
              <w:spacing w:after="0"/>
              <w:rPr>
                <w:sz w:val="12"/>
                <w:szCs w:val="12"/>
                <w:color w:val="auto"/>
              </w:rPr>
            </w:pPr>
          </w:p>
        </w:tc>
        <w:tc>
          <w:tcPr>
            <w:tcW w:w="680" w:type="dxa"/>
            <w:vAlign w:val="bottom"/>
            <w:shd w:val="clear" w:color="auto" w:fill="98B0CF"/>
          </w:tcPr>
          <w:p>
            <w:pPr>
              <w:jc w:val="center"/>
              <w:ind w:right="211"/>
              <w:spacing w:after="0" w:line="142" w:lineRule="exact"/>
              <w:rPr>
                <w:sz w:val="20"/>
                <w:szCs w:val="20"/>
                <w:color w:val="auto"/>
              </w:rPr>
            </w:pPr>
            <w:r>
              <w:rPr>
                <w:rFonts w:ascii="Arial" w:cs="Arial" w:eastAsia="Arial" w:hAnsi="Arial"/>
                <w:sz w:val="13"/>
                <w:szCs w:val="13"/>
                <w:b w:val="1"/>
                <w:bCs w:val="1"/>
                <w:color w:val="231F20"/>
              </w:rPr>
              <w:t>g</w:t>
            </w:r>
          </w:p>
        </w:tc>
        <w:tc>
          <w:tcPr>
            <w:tcW w:w="820" w:type="dxa"/>
            <w:vAlign w:val="bottom"/>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20" w:type="dxa"/>
            <w:vAlign w:val="bottom"/>
            <w:tcBorders>
              <w:bottom w:val="single" w:sz="8" w:color="auto"/>
            </w:tcBorders>
            <w:shd w:val="clear" w:color="auto" w:fill="98B0CF"/>
          </w:tcPr>
          <w:p>
            <w:pPr>
              <w:spacing w:after="0"/>
              <w:rPr>
                <w:sz w:val="13"/>
                <w:szCs w:val="13"/>
                <w:color w:val="auto"/>
              </w:rPr>
            </w:pPr>
          </w:p>
        </w:tc>
        <w:tc>
          <w:tcPr>
            <w:tcW w:w="940" w:type="dxa"/>
            <w:vAlign w:val="bottom"/>
            <w:tcBorders>
              <w:bottom w:val="single" w:sz="8" w:color="auto"/>
            </w:tcBorders>
            <w:shd w:val="clear" w:color="auto" w:fill="98B0CF"/>
          </w:tcPr>
          <w:p>
            <w:pPr>
              <w:jc w:val="right"/>
              <w:ind w:right="191"/>
              <w:spacing w:after="0"/>
              <w:rPr>
                <w:sz w:val="20"/>
                <w:szCs w:val="20"/>
                <w:color w:val="auto"/>
              </w:rPr>
            </w:pPr>
            <w:r>
              <w:rPr>
                <w:rFonts w:ascii="Arial" w:cs="Arial" w:eastAsia="Arial" w:hAnsi="Arial"/>
                <w:sz w:val="13"/>
                <w:szCs w:val="13"/>
                <w:b w:val="1"/>
                <w:bCs w:val="1"/>
                <w:color w:val="231F20"/>
              </w:rPr>
              <w:t>Issued</w:t>
            </w:r>
          </w:p>
        </w:tc>
        <w:tc>
          <w:tcPr>
            <w:tcW w:w="340" w:type="dxa"/>
            <w:vAlign w:val="bottom"/>
            <w:tcBorders>
              <w:bottom w:val="single" w:sz="8" w:color="auto"/>
            </w:tcBorders>
            <w:shd w:val="clear" w:color="auto" w:fill="98B0CF"/>
          </w:tcPr>
          <w:p>
            <w:pPr>
              <w:spacing w:after="0"/>
              <w:rPr>
                <w:sz w:val="13"/>
                <w:szCs w:val="13"/>
                <w:color w:val="auto"/>
              </w:rPr>
            </w:pPr>
          </w:p>
        </w:tc>
        <w:tc>
          <w:tcPr>
            <w:tcW w:w="600" w:type="dxa"/>
            <w:vAlign w:val="bottom"/>
            <w:tcBorders>
              <w:bottom w:val="single" w:sz="8" w:color="auto"/>
            </w:tcBorders>
            <w:shd w:val="clear" w:color="auto" w:fill="98B0CF"/>
          </w:tcPr>
          <w:p>
            <w:pPr>
              <w:jc w:val="right"/>
              <w:ind w:right="172"/>
              <w:spacing w:after="0"/>
              <w:rPr>
                <w:sz w:val="20"/>
                <w:szCs w:val="20"/>
                <w:color w:val="auto"/>
              </w:rPr>
            </w:pPr>
            <w:r>
              <w:rPr>
                <w:rFonts w:ascii="Arial" w:cs="Arial" w:eastAsia="Arial" w:hAnsi="Arial"/>
                <w:sz w:val="13"/>
                <w:szCs w:val="13"/>
                <w:b w:val="1"/>
                <w:bCs w:val="1"/>
                <w:color w:val="231F20"/>
                <w:w w:val="97"/>
              </w:rPr>
              <w:t>Value</w:t>
            </w:r>
          </w:p>
        </w:tc>
        <w:tc>
          <w:tcPr>
            <w:tcW w:w="220" w:type="dxa"/>
            <w:vAlign w:val="bottom"/>
            <w:tcBorders>
              <w:bottom w:val="single" w:sz="8" w:color="auto"/>
            </w:tcBorders>
            <w:shd w:val="clear" w:color="auto" w:fill="98B0CF"/>
          </w:tcPr>
          <w:p>
            <w:pPr>
              <w:spacing w:after="0"/>
              <w:rPr>
                <w:sz w:val="13"/>
                <w:szCs w:val="13"/>
                <w:color w:val="auto"/>
              </w:rPr>
            </w:pPr>
          </w:p>
        </w:tc>
        <w:tc>
          <w:tcPr>
            <w:tcW w:w="880" w:type="dxa"/>
            <w:vAlign w:val="bottom"/>
            <w:tcBorders>
              <w:bottom w:val="single" w:sz="8" w:color="auto"/>
            </w:tcBorders>
            <w:shd w:val="clear" w:color="auto" w:fill="98B0CF"/>
          </w:tcPr>
          <w:p>
            <w:pPr>
              <w:jc w:val="right"/>
              <w:ind w:right="191"/>
              <w:spacing w:after="0"/>
              <w:rPr>
                <w:sz w:val="20"/>
                <w:szCs w:val="20"/>
                <w:color w:val="auto"/>
              </w:rPr>
            </w:pPr>
            <w:r>
              <w:rPr>
                <w:rFonts w:ascii="Arial" w:cs="Arial" w:eastAsia="Arial" w:hAnsi="Arial"/>
                <w:sz w:val="13"/>
                <w:szCs w:val="13"/>
                <w:b w:val="1"/>
                <w:bCs w:val="1"/>
                <w:color w:val="231F20"/>
              </w:rPr>
              <w:t>Par Value</w:t>
            </w:r>
          </w:p>
        </w:tc>
        <w:tc>
          <w:tcPr>
            <w:tcW w:w="260" w:type="dxa"/>
            <w:vAlign w:val="bottom"/>
            <w:tcBorders>
              <w:bottom w:val="single" w:sz="8" w:color="auto"/>
            </w:tcBorders>
            <w:shd w:val="clear" w:color="auto" w:fill="98B0CF"/>
          </w:tcPr>
          <w:p>
            <w:pPr>
              <w:spacing w:after="0"/>
              <w:rPr>
                <w:sz w:val="13"/>
                <w:szCs w:val="13"/>
                <w:color w:val="auto"/>
              </w:rPr>
            </w:pPr>
          </w:p>
        </w:tc>
        <w:tc>
          <w:tcPr>
            <w:tcW w:w="900" w:type="dxa"/>
            <w:vAlign w:val="bottom"/>
            <w:tcBorders>
              <w:bottom w:val="single" w:sz="8" w:color="auto"/>
            </w:tcBorders>
            <w:shd w:val="clear" w:color="auto" w:fill="98B0CF"/>
          </w:tcPr>
          <w:p>
            <w:pPr>
              <w:jc w:val="right"/>
              <w:ind w:right="270"/>
              <w:spacing w:after="0"/>
              <w:rPr>
                <w:sz w:val="20"/>
                <w:szCs w:val="20"/>
                <w:color w:val="auto"/>
              </w:rPr>
            </w:pPr>
            <w:r>
              <w:rPr>
                <w:rFonts w:ascii="Arial" w:cs="Arial" w:eastAsia="Arial" w:hAnsi="Arial"/>
                <w:sz w:val="13"/>
                <w:szCs w:val="13"/>
                <w:b w:val="1"/>
                <w:bCs w:val="1"/>
                <w:color w:val="231F20"/>
                <w:w w:val="96"/>
              </w:rPr>
              <w:t>Earnings</w:t>
            </w:r>
          </w:p>
        </w:tc>
        <w:tc>
          <w:tcPr>
            <w:tcW w:w="160" w:type="dxa"/>
            <w:vAlign w:val="bottom"/>
            <w:tcBorders>
              <w:bottom w:val="single" w:sz="8" w:color="auto"/>
            </w:tcBorders>
            <w:shd w:val="clear" w:color="auto" w:fill="98B0CF"/>
          </w:tcPr>
          <w:p>
            <w:pPr>
              <w:spacing w:after="0"/>
              <w:rPr>
                <w:sz w:val="13"/>
                <w:szCs w:val="13"/>
                <w:color w:val="auto"/>
              </w:rPr>
            </w:pPr>
          </w:p>
        </w:tc>
        <w:tc>
          <w:tcPr>
            <w:tcW w:w="1260" w:type="dxa"/>
            <w:vAlign w:val="bottom"/>
            <w:tcBorders>
              <w:bottom w:val="single" w:sz="8" w:color="auto"/>
            </w:tcBorders>
            <w:shd w:val="clear" w:color="auto" w:fill="98B0CF"/>
          </w:tcPr>
          <w:p>
            <w:pPr>
              <w:jc w:val="right"/>
              <w:ind w:right="551"/>
              <w:spacing w:after="0"/>
              <w:rPr>
                <w:sz w:val="20"/>
                <w:szCs w:val="20"/>
                <w:color w:val="auto"/>
              </w:rPr>
            </w:pPr>
            <w:r>
              <w:rPr>
                <w:rFonts w:ascii="Arial" w:cs="Arial" w:eastAsia="Arial" w:hAnsi="Arial"/>
                <w:sz w:val="13"/>
                <w:szCs w:val="13"/>
                <w:b w:val="1"/>
                <w:bCs w:val="1"/>
                <w:color w:val="231F20"/>
              </w:rPr>
              <w:t>Loss</w:t>
            </w:r>
          </w:p>
        </w:tc>
        <w:tc>
          <w:tcPr>
            <w:tcW w:w="840" w:type="dxa"/>
            <w:vAlign w:val="bottom"/>
            <w:tcBorders>
              <w:bottom w:val="single" w:sz="8" w:color="auto"/>
            </w:tcBorders>
            <w:shd w:val="clear" w:color="auto" w:fill="98B0CF"/>
          </w:tcPr>
          <w:p>
            <w:pPr>
              <w:jc w:val="right"/>
              <w:ind w:right="210"/>
              <w:spacing w:after="0"/>
              <w:rPr>
                <w:sz w:val="20"/>
                <w:szCs w:val="20"/>
                <w:color w:val="auto"/>
              </w:rPr>
            </w:pPr>
            <w:r>
              <w:rPr>
                <w:rFonts w:ascii="Arial" w:cs="Arial" w:eastAsia="Arial" w:hAnsi="Arial"/>
                <w:sz w:val="13"/>
                <w:szCs w:val="13"/>
                <w:b w:val="1"/>
                <w:bCs w:val="1"/>
                <w:color w:val="231F20"/>
              </w:rPr>
              <w:t>Stock</w:t>
            </w:r>
          </w:p>
        </w:tc>
        <w:tc>
          <w:tcPr>
            <w:tcW w:w="92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3"/>
                <w:szCs w:val="13"/>
                <w:b w:val="1"/>
                <w:bCs w:val="1"/>
                <w:color w:val="231F20"/>
                <w:w w:val="95"/>
              </w:rPr>
              <w:t>Interests</w:t>
            </w:r>
          </w:p>
        </w:tc>
        <w:tc>
          <w:tcPr>
            <w:tcW w:w="820" w:type="dxa"/>
            <w:vAlign w:val="bottom"/>
            <w:tcBorders>
              <w:bottom w:val="single" w:sz="8" w:color="auto"/>
            </w:tcBorders>
            <w:shd w:val="clear" w:color="auto" w:fill="98B0CF"/>
          </w:tcPr>
          <w:p>
            <w:pPr>
              <w:jc w:val="right"/>
              <w:ind w:right="209"/>
              <w:spacing w:after="0"/>
              <w:rPr>
                <w:sz w:val="20"/>
                <w:szCs w:val="20"/>
                <w:color w:val="auto"/>
              </w:rPr>
            </w:pPr>
            <w:r>
              <w:rPr>
                <w:rFonts w:ascii="Arial" w:cs="Arial" w:eastAsia="Arial" w:hAnsi="Arial"/>
                <w:sz w:val="13"/>
                <w:szCs w:val="13"/>
                <w:b w:val="1"/>
                <w:bCs w:val="1"/>
                <w:color w:val="231F20"/>
              </w:rPr>
              <w:t>Total</w:t>
            </w:r>
          </w:p>
        </w:tc>
        <w:tc>
          <w:tcPr>
            <w:tcW w:w="0" w:type="dxa"/>
            <w:vAlign w:val="bottom"/>
          </w:tcPr>
          <w:p>
            <w:pPr>
              <w:spacing w:after="0"/>
              <w:rPr>
                <w:sz w:val="1"/>
                <w:szCs w:val="1"/>
                <w:color w:val="auto"/>
              </w:rPr>
            </w:pPr>
          </w:p>
        </w:tc>
      </w:tr>
      <w:tr>
        <w:trPr>
          <w:trHeight w:val="151"/>
        </w:trPr>
        <w:tc>
          <w:tcPr>
            <w:tcW w:w="312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1" w:lineRule="exact"/>
              <w:rPr>
                <w:sz w:val="20"/>
                <w:szCs w:val="20"/>
                <w:color w:val="auto"/>
              </w:rPr>
            </w:pPr>
            <w:r>
              <w:rPr>
                <w:rFonts w:ascii="Arial" w:cs="Arial" w:eastAsia="Arial" w:hAnsi="Arial"/>
                <w:sz w:val="14"/>
                <w:szCs w:val="14"/>
                <w:color w:val="231F20"/>
              </w:rPr>
              <w:t>117,762,06</w:t>
            </w:r>
          </w:p>
        </w:tc>
        <w:tc>
          <w:tcPr>
            <w:tcW w:w="340" w:type="dxa"/>
            <w:vAlign w:val="bottom"/>
            <w:shd w:val="clear" w:color="auto" w:fill="E2E8F1"/>
          </w:tcPr>
          <w:p>
            <w:pPr>
              <w:spacing w:after="0"/>
              <w:rPr>
                <w:sz w:val="13"/>
                <w:szCs w:val="13"/>
                <w:color w:val="auto"/>
              </w:rPr>
            </w:pPr>
          </w:p>
        </w:tc>
        <w:tc>
          <w:tcPr>
            <w:tcW w:w="600" w:type="dxa"/>
            <w:vAlign w:val="bottom"/>
            <w:shd w:val="clear" w:color="auto" w:fill="E2E8F1"/>
          </w:tcPr>
          <w:p>
            <w:pPr>
              <w:spacing w:after="0"/>
              <w:rPr>
                <w:sz w:val="13"/>
                <w:szCs w:val="13"/>
                <w:color w:val="auto"/>
              </w:rPr>
            </w:pPr>
          </w:p>
        </w:tc>
        <w:tc>
          <w:tcPr>
            <w:tcW w:w="220" w:type="dxa"/>
            <w:vAlign w:val="bottom"/>
            <w:shd w:val="clear" w:color="auto" w:fill="E2E8F1"/>
          </w:tcPr>
          <w:p>
            <w:pPr>
              <w:spacing w:after="0"/>
              <w:rPr>
                <w:sz w:val="13"/>
                <w:szCs w:val="13"/>
                <w:color w:val="auto"/>
              </w:rPr>
            </w:pPr>
          </w:p>
        </w:tc>
        <w:tc>
          <w:tcPr>
            <w:tcW w:w="88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9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1260" w:type="dxa"/>
            <w:vAlign w:val="bottom"/>
            <w:shd w:val="clear" w:color="auto" w:fill="E2E8F1"/>
          </w:tcPr>
          <w:p>
            <w:pPr>
              <w:spacing w:after="0"/>
              <w:rPr>
                <w:sz w:val="13"/>
                <w:szCs w:val="13"/>
                <w:color w:val="auto"/>
              </w:rPr>
            </w:pPr>
          </w:p>
        </w:tc>
        <w:tc>
          <w:tcPr>
            <w:tcW w:w="84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680" w:type="dxa"/>
            <w:vAlign w:val="bottom"/>
            <w:shd w:val="clear" w:color="auto" w:fill="E2E8F1"/>
          </w:tcPr>
          <w:p>
            <w:pPr>
              <w:spacing w:after="0"/>
              <w:rPr>
                <w:sz w:val="13"/>
                <w:szCs w:val="13"/>
                <w:color w:val="auto"/>
              </w:rPr>
            </w:pPr>
          </w:p>
        </w:tc>
        <w:tc>
          <w:tcPr>
            <w:tcW w:w="82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12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Balance, December 31, 2021</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5</w:t>
            </w:r>
          </w:p>
        </w:tc>
        <w:tc>
          <w:tcPr>
            <w:tcW w:w="34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w:t>
            </w:r>
          </w:p>
        </w:tc>
        <w:tc>
          <w:tcPr>
            <w:tcW w:w="60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231F20"/>
              </w:rPr>
              <w:t>1.2</w:t>
            </w:r>
          </w:p>
        </w:tc>
        <w:tc>
          <w:tcPr>
            <w:tcW w:w="22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w:t>
            </w:r>
          </w:p>
        </w:tc>
        <w:tc>
          <w:tcPr>
            <w:tcW w:w="88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231F20"/>
              </w:rPr>
              <w:t>3,444.7</w:t>
            </w:r>
          </w:p>
        </w:tc>
        <w:tc>
          <w:tcPr>
            <w:tcW w:w="260" w:type="dxa"/>
            <w:vAlign w:val="bottom"/>
            <w:shd w:val="clear" w:color="auto" w:fill="E2E8F1"/>
          </w:tcPr>
          <w:p>
            <w:pPr>
              <w:jc w:val="center"/>
              <w:ind w:left="29"/>
              <w:spacing w:after="0"/>
              <w:rPr>
                <w:sz w:val="20"/>
                <w:szCs w:val="20"/>
                <w:color w:val="auto"/>
              </w:rPr>
            </w:pPr>
            <w:r>
              <w:rPr>
                <w:rFonts w:ascii="Arial" w:cs="Arial" w:eastAsia="Arial" w:hAnsi="Arial"/>
                <w:sz w:val="14"/>
                <w:szCs w:val="14"/>
                <w:color w:val="231F20"/>
              </w:rPr>
              <w:t>$</w:t>
            </w:r>
          </w:p>
        </w:tc>
        <w:tc>
          <w:tcPr>
            <w:tcW w:w="90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231F20"/>
              </w:rPr>
              <w:t>3,634.6</w:t>
            </w:r>
          </w:p>
        </w:tc>
        <w:tc>
          <w:tcPr>
            <w:tcW w:w="160" w:type="dxa"/>
            <w:vAlign w:val="bottom"/>
            <w:shd w:val="clear" w:color="auto" w:fill="E2E8F1"/>
          </w:tcPr>
          <w:p>
            <w:pPr>
              <w:ind w:left="60"/>
              <w:spacing w:after="0"/>
              <w:rPr>
                <w:sz w:val="20"/>
                <w:szCs w:val="20"/>
                <w:color w:val="auto"/>
              </w:rPr>
            </w:pPr>
            <w:r>
              <w:rPr>
                <w:rFonts w:ascii="Arial" w:cs="Arial" w:eastAsia="Arial" w:hAnsi="Arial"/>
                <w:sz w:val="14"/>
                <w:szCs w:val="14"/>
                <w:color w:val="231F20"/>
              </w:rPr>
              <w:t>$</w:t>
            </w:r>
          </w:p>
        </w:tc>
        <w:tc>
          <w:tcPr>
            <w:tcW w:w="1260" w:type="dxa"/>
            <w:vAlign w:val="bottom"/>
            <w:shd w:val="clear" w:color="auto" w:fill="E2E8F1"/>
          </w:tcPr>
          <w:p>
            <w:pPr>
              <w:jc w:val="right"/>
              <w:ind w:right="11"/>
              <w:spacing w:after="0"/>
              <w:rPr>
                <w:sz w:val="20"/>
                <w:szCs w:val="20"/>
                <w:color w:val="auto"/>
              </w:rPr>
            </w:pPr>
            <w:r>
              <w:rPr>
                <w:rFonts w:ascii="Arial" w:cs="Arial" w:eastAsia="Arial" w:hAnsi="Arial"/>
                <w:sz w:val="14"/>
                <w:szCs w:val="14"/>
                <w:color w:val="231F20"/>
              </w:rPr>
              <w:t>(389.4 )</w:t>
            </w:r>
          </w:p>
        </w:tc>
        <w:tc>
          <w:tcPr>
            <w:tcW w:w="84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 (4,169.4 )</w:t>
            </w:r>
          </w:p>
        </w:tc>
        <w:tc>
          <w:tcPr>
            <w:tcW w:w="24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w:t>
            </w:r>
          </w:p>
        </w:tc>
        <w:tc>
          <w:tcPr>
            <w:tcW w:w="680" w:type="dxa"/>
            <w:vAlign w:val="bottom"/>
            <w:shd w:val="clear" w:color="auto" w:fill="E2E8F1"/>
          </w:tcPr>
          <w:p>
            <w:pPr>
              <w:jc w:val="right"/>
              <w:ind w:right="91"/>
              <w:spacing w:after="0"/>
              <w:rPr>
                <w:sz w:val="20"/>
                <w:szCs w:val="20"/>
                <w:color w:val="auto"/>
              </w:rPr>
            </w:pPr>
            <w:r>
              <w:rPr>
                <w:rFonts w:ascii="Arial" w:cs="Arial" w:eastAsia="Arial" w:hAnsi="Arial"/>
                <w:sz w:val="14"/>
                <w:szCs w:val="14"/>
                <w:color w:val="231F20"/>
              </w:rPr>
              <w:t>10.0</w:t>
            </w:r>
          </w:p>
        </w:tc>
        <w:tc>
          <w:tcPr>
            <w:tcW w:w="82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$ 2,531.7</w:t>
            </w:r>
          </w:p>
        </w:tc>
        <w:tc>
          <w:tcPr>
            <w:tcW w:w="0" w:type="dxa"/>
            <w:vAlign w:val="bottom"/>
          </w:tcPr>
          <w:p>
            <w:pPr>
              <w:spacing w:after="0"/>
              <w:rPr>
                <w:sz w:val="1"/>
                <w:szCs w:val="1"/>
                <w:color w:val="auto"/>
              </w:rPr>
            </w:pPr>
          </w:p>
        </w:tc>
      </w:tr>
      <w:tr>
        <w:trPr>
          <w:trHeight w:val="189"/>
        </w:trPr>
        <w:tc>
          <w:tcPr>
            <w:tcW w:w="3120" w:type="dxa"/>
            <w:vAlign w:val="bottom"/>
          </w:tcPr>
          <w:p>
            <w:pPr>
              <w:ind w:left="160"/>
              <w:spacing w:after="0"/>
              <w:rPr>
                <w:sz w:val="20"/>
                <w:szCs w:val="20"/>
                <w:color w:val="auto"/>
              </w:rPr>
            </w:pPr>
            <w:r>
              <w:rPr>
                <w:rFonts w:ascii="Arial" w:cs="Arial" w:eastAsia="Arial" w:hAnsi="Arial"/>
                <w:sz w:val="14"/>
                <w:szCs w:val="14"/>
                <w:color w:val="231F20"/>
              </w:rPr>
              <w:t>Net earnings</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30"/>
              <w:spacing w:after="0"/>
              <w:rPr>
                <w:sz w:val="20"/>
                <w:szCs w:val="20"/>
                <w:color w:val="auto"/>
              </w:rPr>
            </w:pPr>
            <w:r>
              <w:rPr>
                <w:rFonts w:ascii="Arial" w:cs="Arial" w:eastAsia="Arial" w:hAnsi="Arial"/>
                <w:sz w:val="14"/>
                <w:szCs w:val="14"/>
                <w:color w:val="231F20"/>
              </w:rPr>
              <w:t>373.8</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231F20"/>
              </w:rPr>
              <w:t>373.8</w:t>
            </w:r>
          </w:p>
        </w:tc>
        <w:tc>
          <w:tcPr>
            <w:tcW w:w="0" w:type="dxa"/>
            <w:vAlign w:val="bottom"/>
          </w:tcPr>
          <w:p>
            <w:pPr>
              <w:spacing w:after="0"/>
              <w:rPr>
                <w:sz w:val="1"/>
                <w:szCs w:val="1"/>
                <w:color w:val="auto"/>
              </w:rPr>
            </w:pPr>
          </w:p>
        </w:tc>
      </w:tr>
      <w:tr>
        <w:trPr>
          <w:trHeight w:val="189"/>
        </w:trPr>
        <w:tc>
          <w:tcPr>
            <w:tcW w:w="312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Other comprehensive loss</w:t>
            </w:r>
          </w:p>
        </w:tc>
        <w:tc>
          <w:tcPr>
            <w:tcW w:w="94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6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90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60" w:type="dxa"/>
            <w:vAlign w:val="bottom"/>
            <w:shd w:val="clear" w:color="auto" w:fill="E2E8F1"/>
          </w:tcPr>
          <w:p>
            <w:pPr>
              <w:jc w:val="right"/>
              <w:ind w:right="11"/>
              <w:spacing w:after="0"/>
              <w:rPr>
                <w:sz w:val="20"/>
                <w:szCs w:val="20"/>
                <w:color w:val="auto"/>
              </w:rPr>
            </w:pPr>
            <w:r>
              <w:rPr>
                <w:rFonts w:ascii="Arial" w:cs="Arial" w:eastAsia="Arial" w:hAnsi="Arial"/>
                <w:sz w:val="14"/>
                <w:szCs w:val="14"/>
                <w:color w:val="231F20"/>
              </w:rPr>
              <w:t>(69.3 )</w:t>
            </w:r>
          </w:p>
        </w:tc>
        <w:tc>
          <w:tcPr>
            <w:tcW w:w="8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82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(69.3 )</w:t>
            </w:r>
          </w:p>
        </w:tc>
        <w:tc>
          <w:tcPr>
            <w:tcW w:w="0" w:type="dxa"/>
            <w:vAlign w:val="bottom"/>
          </w:tcPr>
          <w:p>
            <w:pPr>
              <w:spacing w:after="0"/>
              <w:rPr>
                <w:sz w:val="1"/>
                <w:szCs w:val="1"/>
                <w:color w:val="auto"/>
              </w:rPr>
            </w:pPr>
          </w:p>
        </w:tc>
      </w:tr>
      <w:tr>
        <w:trPr>
          <w:trHeight w:val="189"/>
        </w:trPr>
        <w:tc>
          <w:tcPr>
            <w:tcW w:w="3120" w:type="dxa"/>
            <w:vAlign w:val="bottom"/>
          </w:tcPr>
          <w:p>
            <w:pPr>
              <w:ind w:left="160"/>
              <w:spacing w:after="0"/>
              <w:rPr>
                <w:sz w:val="20"/>
                <w:szCs w:val="20"/>
                <w:color w:val="auto"/>
              </w:rPr>
            </w:pPr>
            <w:r>
              <w:rPr>
                <w:rFonts w:ascii="Arial" w:cs="Arial" w:eastAsia="Arial" w:hAnsi="Arial"/>
                <w:sz w:val="14"/>
                <w:szCs w:val="14"/>
                <w:color w:val="231F20"/>
              </w:rPr>
              <w:t>Issuances under equity plans</w:t>
            </w:r>
          </w:p>
        </w:tc>
        <w:tc>
          <w:tcPr>
            <w:tcW w:w="940" w:type="dxa"/>
            <w:vAlign w:val="bottom"/>
          </w:tcPr>
          <w:p>
            <w:pPr>
              <w:jc w:val="right"/>
              <w:spacing w:after="0"/>
              <w:rPr>
                <w:sz w:val="20"/>
                <w:szCs w:val="20"/>
                <w:color w:val="auto"/>
              </w:rPr>
            </w:pPr>
            <w:r>
              <w:rPr>
                <w:rFonts w:ascii="Arial" w:cs="Arial" w:eastAsia="Arial" w:hAnsi="Arial"/>
                <w:sz w:val="14"/>
                <w:szCs w:val="14"/>
                <w:color w:val="231F20"/>
              </w:rPr>
              <w:t>265,944</w:t>
            </w: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231F20"/>
              </w:rPr>
              <w:t>0.3</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231F20"/>
              </w:rPr>
              <w:t>(8.5 )</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31F20"/>
              </w:rPr>
              <w:t>(8.2 )</w:t>
            </w:r>
          </w:p>
        </w:tc>
        <w:tc>
          <w:tcPr>
            <w:tcW w:w="0" w:type="dxa"/>
            <w:vAlign w:val="bottom"/>
          </w:tcPr>
          <w:p>
            <w:pPr>
              <w:spacing w:after="0"/>
              <w:rPr>
                <w:sz w:val="1"/>
                <w:szCs w:val="1"/>
                <w:color w:val="auto"/>
              </w:rPr>
            </w:pPr>
          </w:p>
        </w:tc>
      </w:tr>
      <w:tr>
        <w:trPr>
          <w:trHeight w:val="189"/>
        </w:trPr>
        <w:tc>
          <w:tcPr>
            <w:tcW w:w="312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Share-based compensation expense</w:t>
            </w:r>
          </w:p>
        </w:tc>
        <w:tc>
          <w:tcPr>
            <w:tcW w:w="94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6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231F20"/>
              </w:rPr>
              <w:t>37.6</w:t>
            </w:r>
          </w:p>
        </w:tc>
        <w:tc>
          <w:tcPr>
            <w:tcW w:w="260" w:type="dxa"/>
            <w:vAlign w:val="bottom"/>
            <w:shd w:val="clear" w:color="auto" w:fill="E2E8F1"/>
          </w:tcPr>
          <w:p>
            <w:pPr>
              <w:spacing w:after="0"/>
              <w:rPr>
                <w:sz w:val="16"/>
                <w:szCs w:val="16"/>
                <w:color w:val="auto"/>
              </w:rPr>
            </w:pPr>
          </w:p>
        </w:tc>
        <w:tc>
          <w:tcPr>
            <w:tcW w:w="90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c>
          <w:tcPr>
            <w:tcW w:w="8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82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37.6</w:t>
            </w:r>
          </w:p>
        </w:tc>
        <w:tc>
          <w:tcPr>
            <w:tcW w:w="0" w:type="dxa"/>
            <w:vAlign w:val="bottom"/>
          </w:tcPr>
          <w:p>
            <w:pPr>
              <w:spacing w:after="0"/>
              <w:rPr>
                <w:sz w:val="1"/>
                <w:szCs w:val="1"/>
                <w:color w:val="auto"/>
              </w:rPr>
            </w:pPr>
          </w:p>
        </w:tc>
      </w:tr>
      <w:tr>
        <w:trPr>
          <w:trHeight w:val="189"/>
        </w:trPr>
        <w:tc>
          <w:tcPr>
            <w:tcW w:w="3120" w:type="dxa"/>
            <w:vAlign w:val="bottom"/>
          </w:tcPr>
          <w:p>
            <w:pPr>
              <w:ind w:left="160"/>
              <w:spacing w:after="0"/>
              <w:rPr>
                <w:sz w:val="20"/>
                <w:szCs w:val="20"/>
                <w:color w:val="auto"/>
              </w:rPr>
            </w:pPr>
            <w:r>
              <w:rPr>
                <w:rFonts w:ascii="Arial" w:cs="Arial" w:eastAsia="Arial" w:hAnsi="Arial"/>
                <w:sz w:val="14"/>
                <w:szCs w:val="14"/>
                <w:color w:val="231F20"/>
              </w:rPr>
              <w:t>Dividends ($2.72 per share)</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231F20"/>
              </w:rPr>
              <w:t>(139.9 )</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31F20"/>
              </w:rPr>
              <w:t>(139.9 )</w:t>
            </w:r>
          </w:p>
        </w:tc>
        <w:tc>
          <w:tcPr>
            <w:tcW w:w="0" w:type="dxa"/>
            <w:vAlign w:val="bottom"/>
          </w:tcPr>
          <w:p>
            <w:pPr>
              <w:spacing w:after="0"/>
              <w:rPr>
                <w:sz w:val="1"/>
                <w:szCs w:val="1"/>
                <w:color w:val="auto"/>
              </w:rPr>
            </w:pPr>
          </w:p>
        </w:tc>
      </w:tr>
      <w:tr>
        <w:trPr>
          <w:trHeight w:val="189"/>
        </w:trPr>
        <w:tc>
          <w:tcPr>
            <w:tcW w:w="312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Repurchases of common stock</w:t>
            </w:r>
          </w:p>
        </w:tc>
        <w:tc>
          <w:tcPr>
            <w:tcW w:w="94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6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90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c>
          <w:tcPr>
            <w:tcW w:w="84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(270.0 )</w:t>
            </w:r>
          </w:p>
        </w:tc>
        <w:tc>
          <w:tcPr>
            <w:tcW w:w="24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82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(270.0 )</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231F20"/>
            </w:tcBorders>
          </w:tcPr>
          <w:p>
            <w:pPr>
              <w:ind w:left="160"/>
              <w:spacing w:after="0"/>
              <w:rPr>
                <w:sz w:val="20"/>
                <w:szCs w:val="20"/>
                <w:color w:val="auto"/>
              </w:rPr>
            </w:pPr>
            <w:r>
              <w:rPr>
                <w:rFonts w:ascii="Arial" w:cs="Arial" w:eastAsia="Arial" w:hAnsi="Arial"/>
                <w:sz w:val="14"/>
                <w:szCs w:val="14"/>
                <w:color w:val="231F20"/>
              </w:rPr>
              <w:t>Noncontrolling interest transactions</w:t>
            </w:r>
          </w:p>
        </w:tc>
        <w:tc>
          <w:tcPr>
            <w:tcW w:w="940" w:type="dxa"/>
            <w:vAlign w:val="bottom"/>
            <w:tcBorders>
              <w:bottom w:val="single" w:sz="8" w:color="231F20"/>
            </w:tcBorders>
          </w:tcPr>
          <w:p>
            <w:pPr>
              <w:spacing w:after="0"/>
              <w:rPr>
                <w:sz w:val="16"/>
                <w:szCs w:val="16"/>
                <w:color w:val="auto"/>
              </w:rPr>
            </w:pPr>
          </w:p>
        </w:tc>
        <w:tc>
          <w:tcPr>
            <w:tcW w:w="340" w:type="dxa"/>
            <w:vAlign w:val="bottom"/>
            <w:tcBorders>
              <w:bottom w:val="single" w:sz="8" w:color="231F20"/>
            </w:tcBorders>
          </w:tcPr>
          <w:p>
            <w:pPr>
              <w:spacing w:after="0"/>
              <w:rPr>
                <w:sz w:val="16"/>
                <w:szCs w:val="16"/>
                <w:color w:val="auto"/>
              </w:rPr>
            </w:pPr>
          </w:p>
        </w:tc>
        <w:tc>
          <w:tcPr>
            <w:tcW w:w="600" w:type="dxa"/>
            <w:vAlign w:val="bottom"/>
            <w:tcBorders>
              <w:bottom w:val="single" w:sz="8" w:color="231F20"/>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880" w:type="dxa"/>
            <w:vAlign w:val="bottom"/>
            <w:tcBorders>
              <w:bottom w:val="single" w:sz="8" w:color="231F20"/>
            </w:tcBorders>
          </w:tcPr>
          <w:p>
            <w:pPr>
              <w:jc w:val="right"/>
              <w:ind w:right="71"/>
              <w:spacing w:after="0"/>
              <w:rPr>
                <w:sz w:val="20"/>
                <w:szCs w:val="20"/>
                <w:color w:val="auto"/>
              </w:rPr>
            </w:pPr>
            <w:r>
              <w:rPr>
                <w:rFonts w:ascii="Arial" w:cs="Arial" w:eastAsia="Arial" w:hAnsi="Arial"/>
                <w:sz w:val="14"/>
                <w:szCs w:val="14"/>
                <w:color w:val="231F20"/>
              </w:rPr>
              <w:t>1.6</w:t>
            </w:r>
          </w:p>
        </w:tc>
        <w:tc>
          <w:tcPr>
            <w:tcW w:w="260" w:type="dxa"/>
            <w:vAlign w:val="bottom"/>
            <w:tcBorders>
              <w:bottom w:val="single" w:sz="8" w:color="231F20"/>
            </w:tcBorders>
          </w:tcPr>
          <w:p>
            <w:pPr>
              <w:spacing w:after="0"/>
              <w:rPr>
                <w:sz w:val="16"/>
                <w:szCs w:val="16"/>
                <w:color w:val="auto"/>
              </w:rPr>
            </w:pPr>
          </w:p>
        </w:tc>
        <w:tc>
          <w:tcPr>
            <w:tcW w:w="900" w:type="dxa"/>
            <w:vAlign w:val="bottom"/>
            <w:tcBorders>
              <w:bottom w:val="single" w:sz="8" w:color="231F20"/>
            </w:tcBorders>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1260" w:type="dxa"/>
            <w:vAlign w:val="bottom"/>
            <w:tcBorders>
              <w:bottom w:val="single" w:sz="8" w:color="231F20"/>
            </w:tcBorders>
          </w:tcPr>
          <w:p>
            <w:pPr>
              <w:spacing w:after="0"/>
              <w:rPr>
                <w:sz w:val="16"/>
                <w:szCs w:val="16"/>
                <w:color w:val="auto"/>
              </w:rPr>
            </w:pPr>
          </w:p>
        </w:tc>
        <w:tc>
          <w:tcPr>
            <w:tcW w:w="840" w:type="dxa"/>
            <w:vAlign w:val="bottom"/>
            <w:tcBorders>
              <w:bottom w:val="single" w:sz="8" w:color="231F20"/>
            </w:tcBorders>
          </w:tcPr>
          <w:p>
            <w:pPr>
              <w:spacing w:after="0"/>
              <w:rPr>
                <w:sz w:val="16"/>
                <w:szCs w:val="16"/>
                <w:color w:val="auto"/>
              </w:rPr>
            </w:pPr>
          </w:p>
        </w:tc>
        <w:tc>
          <w:tcPr>
            <w:tcW w:w="240" w:type="dxa"/>
            <w:vAlign w:val="bottom"/>
            <w:tcBorders>
              <w:bottom w:val="single" w:sz="8" w:color="231F20"/>
            </w:tcBorders>
          </w:tcPr>
          <w:p>
            <w:pPr>
              <w:spacing w:after="0"/>
              <w:rPr>
                <w:sz w:val="16"/>
                <w:szCs w:val="16"/>
                <w:color w:val="auto"/>
              </w:rPr>
            </w:pPr>
          </w:p>
        </w:tc>
        <w:tc>
          <w:tcPr>
            <w:tcW w:w="680" w:type="dxa"/>
            <w:vAlign w:val="bottom"/>
            <w:tcBorders>
              <w:bottom w:val="single" w:sz="8" w:color="231F20"/>
            </w:tcBorders>
          </w:tcPr>
          <w:p>
            <w:pPr>
              <w:jc w:val="right"/>
              <w:ind w:right="91"/>
              <w:spacing w:after="0"/>
              <w:rPr>
                <w:sz w:val="20"/>
                <w:szCs w:val="20"/>
                <w:color w:val="auto"/>
              </w:rPr>
            </w:pPr>
            <w:r>
              <w:rPr>
                <w:rFonts w:ascii="Arial" w:cs="Arial" w:eastAsia="Arial" w:hAnsi="Arial"/>
                <w:sz w:val="14"/>
                <w:szCs w:val="14"/>
                <w:color w:val="231F20"/>
              </w:rPr>
              <w:t>0.8</w:t>
            </w:r>
          </w:p>
        </w:tc>
        <w:tc>
          <w:tcPr>
            <w:tcW w:w="82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2.4</w:t>
            </w:r>
          </w:p>
        </w:tc>
        <w:tc>
          <w:tcPr>
            <w:tcW w:w="0" w:type="dxa"/>
            <w:vAlign w:val="bottom"/>
          </w:tcPr>
          <w:p>
            <w:pPr>
              <w:spacing w:after="0"/>
              <w:rPr>
                <w:sz w:val="1"/>
                <w:szCs w:val="1"/>
                <w:color w:val="auto"/>
              </w:rPr>
            </w:pPr>
          </w:p>
        </w:tc>
      </w:tr>
      <w:tr>
        <w:trPr>
          <w:trHeight w:val="145"/>
        </w:trPr>
        <w:tc>
          <w:tcPr>
            <w:tcW w:w="3120" w:type="dxa"/>
            <w:vAlign w:val="bottom"/>
            <w:shd w:val="clear" w:color="auto" w:fill="E2E8F1"/>
          </w:tcPr>
          <w:p>
            <w:pPr>
              <w:spacing w:after="0"/>
              <w:rPr>
                <w:sz w:val="12"/>
                <w:szCs w:val="12"/>
                <w:color w:val="auto"/>
              </w:rPr>
            </w:pPr>
          </w:p>
        </w:tc>
        <w:tc>
          <w:tcPr>
            <w:tcW w:w="940" w:type="dxa"/>
            <w:vAlign w:val="bottom"/>
            <w:shd w:val="clear" w:color="auto" w:fill="E2E8F1"/>
          </w:tcPr>
          <w:p>
            <w:pPr>
              <w:jc w:val="right"/>
              <w:spacing w:after="0" w:line="145" w:lineRule="exact"/>
              <w:rPr>
                <w:sz w:val="20"/>
                <w:szCs w:val="20"/>
                <w:color w:val="auto"/>
              </w:rPr>
            </w:pPr>
            <w:r>
              <w:rPr>
                <w:rFonts w:ascii="Arial" w:cs="Arial" w:eastAsia="Arial" w:hAnsi="Arial"/>
                <w:sz w:val="14"/>
                <w:szCs w:val="14"/>
                <w:color w:val="231F20"/>
              </w:rPr>
              <w:t>118,028,00</w:t>
            </w:r>
          </w:p>
        </w:tc>
        <w:tc>
          <w:tcPr>
            <w:tcW w:w="340" w:type="dxa"/>
            <w:vAlign w:val="bottom"/>
            <w:shd w:val="clear" w:color="auto" w:fill="E2E8F1"/>
          </w:tcPr>
          <w:p>
            <w:pPr>
              <w:spacing w:after="0"/>
              <w:rPr>
                <w:sz w:val="12"/>
                <w:szCs w:val="12"/>
                <w:color w:val="auto"/>
              </w:rPr>
            </w:pPr>
          </w:p>
        </w:tc>
        <w:tc>
          <w:tcPr>
            <w:tcW w:w="60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880" w:type="dxa"/>
            <w:vAlign w:val="bottom"/>
            <w:shd w:val="clear" w:color="auto" w:fill="E2E8F1"/>
          </w:tcPr>
          <w:p>
            <w:pPr>
              <w:spacing w:after="0"/>
              <w:rPr>
                <w:sz w:val="12"/>
                <w:szCs w:val="12"/>
                <w:color w:val="auto"/>
              </w:rPr>
            </w:pPr>
          </w:p>
        </w:tc>
        <w:tc>
          <w:tcPr>
            <w:tcW w:w="260" w:type="dxa"/>
            <w:vAlign w:val="bottom"/>
            <w:shd w:val="clear" w:color="auto" w:fill="E2E8F1"/>
          </w:tcPr>
          <w:p>
            <w:pPr>
              <w:spacing w:after="0"/>
              <w:rPr>
                <w:sz w:val="12"/>
                <w:szCs w:val="12"/>
                <w:color w:val="auto"/>
              </w:rPr>
            </w:pPr>
          </w:p>
        </w:tc>
        <w:tc>
          <w:tcPr>
            <w:tcW w:w="900" w:type="dxa"/>
            <w:vAlign w:val="bottom"/>
            <w:shd w:val="clear" w:color="auto" w:fill="E2E8F1"/>
          </w:tcPr>
          <w:p>
            <w:pPr>
              <w:spacing w:after="0"/>
              <w:rPr>
                <w:sz w:val="12"/>
                <w:szCs w:val="12"/>
                <w:color w:val="auto"/>
              </w:rPr>
            </w:pPr>
          </w:p>
        </w:tc>
        <w:tc>
          <w:tcPr>
            <w:tcW w:w="160" w:type="dxa"/>
            <w:vAlign w:val="bottom"/>
            <w:shd w:val="clear" w:color="auto" w:fill="E2E8F1"/>
          </w:tcPr>
          <w:p>
            <w:pPr>
              <w:spacing w:after="0"/>
              <w:rPr>
                <w:sz w:val="12"/>
                <w:szCs w:val="12"/>
                <w:color w:val="auto"/>
              </w:rPr>
            </w:pPr>
          </w:p>
        </w:tc>
        <w:tc>
          <w:tcPr>
            <w:tcW w:w="1260" w:type="dxa"/>
            <w:vAlign w:val="bottom"/>
            <w:shd w:val="clear" w:color="auto" w:fill="E2E8F1"/>
          </w:tcPr>
          <w:p>
            <w:pPr>
              <w:spacing w:after="0"/>
              <w:rPr>
                <w:sz w:val="12"/>
                <w:szCs w:val="12"/>
                <w:color w:val="auto"/>
              </w:rPr>
            </w:pPr>
          </w:p>
        </w:tc>
        <w:tc>
          <w:tcPr>
            <w:tcW w:w="840" w:type="dxa"/>
            <w:vAlign w:val="bottom"/>
            <w:shd w:val="clear" w:color="auto" w:fill="E2E8F1"/>
          </w:tcPr>
          <w:p>
            <w:pPr>
              <w:spacing w:after="0"/>
              <w:rPr>
                <w:sz w:val="12"/>
                <w:szCs w:val="12"/>
                <w:color w:val="auto"/>
              </w:rPr>
            </w:pPr>
          </w:p>
        </w:tc>
        <w:tc>
          <w:tcPr>
            <w:tcW w:w="240" w:type="dxa"/>
            <w:vAlign w:val="bottom"/>
            <w:shd w:val="clear" w:color="auto" w:fill="E2E8F1"/>
          </w:tcPr>
          <w:p>
            <w:pPr>
              <w:spacing w:after="0"/>
              <w:rPr>
                <w:sz w:val="12"/>
                <w:szCs w:val="12"/>
                <w:color w:val="auto"/>
              </w:rPr>
            </w:pPr>
          </w:p>
        </w:tc>
        <w:tc>
          <w:tcPr>
            <w:tcW w:w="680" w:type="dxa"/>
            <w:vAlign w:val="bottom"/>
            <w:shd w:val="clear" w:color="auto" w:fill="E2E8F1"/>
          </w:tcPr>
          <w:p>
            <w:pPr>
              <w:spacing w:after="0"/>
              <w:rPr>
                <w:sz w:val="12"/>
                <w:szCs w:val="12"/>
                <w:color w:val="auto"/>
              </w:rPr>
            </w:pPr>
          </w:p>
        </w:tc>
        <w:tc>
          <w:tcPr>
            <w:tcW w:w="820" w:type="dxa"/>
            <w:vAlign w:val="bottom"/>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12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231F20"/>
              </w:rPr>
              <w:t>Balance, December 31, 2022</w:t>
            </w:r>
          </w:p>
        </w:tc>
        <w:tc>
          <w:tcPr>
            <w:tcW w:w="9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9</w:t>
            </w:r>
          </w:p>
        </w:tc>
        <w:tc>
          <w:tcPr>
            <w:tcW w:w="3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w:t>
            </w:r>
          </w:p>
        </w:tc>
        <w:tc>
          <w:tcPr>
            <w:tcW w:w="600" w:type="dxa"/>
            <w:vAlign w:val="bottom"/>
            <w:tcBorders>
              <w:bottom w:val="single" w:sz="8" w:color="231F20"/>
            </w:tcBorders>
            <w:shd w:val="clear" w:color="auto" w:fill="E2E8F1"/>
          </w:tcPr>
          <w:p>
            <w:pPr>
              <w:jc w:val="right"/>
              <w:ind w:right="72"/>
              <w:spacing w:after="0"/>
              <w:rPr>
                <w:sz w:val="20"/>
                <w:szCs w:val="20"/>
                <w:color w:val="auto"/>
              </w:rPr>
            </w:pPr>
            <w:r>
              <w:rPr>
                <w:rFonts w:ascii="Arial" w:cs="Arial" w:eastAsia="Arial" w:hAnsi="Arial"/>
                <w:sz w:val="14"/>
                <w:szCs w:val="14"/>
                <w:color w:val="231F20"/>
              </w:rPr>
              <w:t>1.2</w:t>
            </w:r>
          </w:p>
        </w:tc>
        <w:tc>
          <w:tcPr>
            <w:tcW w:w="22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231F20"/>
            </w:tcBorders>
            <w:shd w:val="clear" w:color="auto" w:fill="E2E8F1"/>
          </w:tcPr>
          <w:p>
            <w:pPr>
              <w:jc w:val="right"/>
              <w:ind w:right="71"/>
              <w:spacing w:after="0"/>
              <w:rPr>
                <w:sz w:val="20"/>
                <w:szCs w:val="20"/>
                <w:color w:val="auto"/>
              </w:rPr>
            </w:pPr>
            <w:r>
              <w:rPr>
                <w:rFonts w:ascii="Arial" w:cs="Arial" w:eastAsia="Arial" w:hAnsi="Arial"/>
                <w:sz w:val="14"/>
                <w:szCs w:val="14"/>
                <w:color w:val="231F20"/>
              </w:rPr>
              <w:t>3,484.2</w:t>
            </w:r>
          </w:p>
        </w:tc>
        <w:tc>
          <w:tcPr>
            <w:tcW w:w="260" w:type="dxa"/>
            <w:vAlign w:val="bottom"/>
            <w:tcBorders>
              <w:bottom w:val="single" w:sz="8" w:color="231F20"/>
            </w:tcBorders>
            <w:shd w:val="clear" w:color="auto" w:fill="E2E8F1"/>
          </w:tcPr>
          <w:p>
            <w:pPr>
              <w:jc w:val="center"/>
              <w:ind w:left="29"/>
              <w:spacing w:after="0"/>
              <w:rPr>
                <w:sz w:val="20"/>
                <w:szCs w:val="20"/>
                <w:color w:val="auto"/>
              </w:rPr>
            </w:pPr>
            <w:r>
              <w:rPr>
                <w:rFonts w:ascii="Arial" w:cs="Arial" w:eastAsia="Arial" w:hAnsi="Arial"/>
                <w:sz w:val="14"/>
                <w:szCs w:val="14"/>
                <w:color w:val="231F20"/>
              </w:rPr>
              <w:t>$</w:t>
            </w:r>
          </w:p>
        </w:tc>
        <w:tc>
          <w:tcPr>
            <w:tcW w:w="900" w:type="dxa"/>
            <w:vAlign w:val="bottom"/>
            <w:tcBorders>
              <w:bottom w:val="single" w:sz="8" w:color="231F20"/>
            </w:tcBorders>
            <w:shd w:val="clear" w:color="auto" w:fill="E2E8F1"/>
          </w:tcPr>
          <w:p>
            <w:pPr>
              <w:jc w:val="right"/>
              <w:ind w:right="130"/>
              <w:spacing w:after="0"/>
              <w:rPr>
                <w:sz w:val="20"/>
                <w:szCs w:val="20"/>
                <w:color w:val="auto"/>
              </w:rPr>
            </w:pPr>
            <w:r>
              <w:rPr>
                <w:rFonts w:ascii="Arial" w:cs="Arial" w:eastAsia="Arial" w:hAnsi="Arial"/>
                <w:sz w:val="14"/>
                <w:szCs w:val="14"/>
                <w:color w:val="231F20"/>
              </w:rPr>
              <w:t>3,868.5</w:t>
            </w:r>
          </w:p>
        </w:tc>
        <w:tc>
          <w:tcPr>
            <w:tcW w:w="160" w:type="dxa"/>
            <w:vAlign w:val="bottom"/>
            <w:tcBorders>
              <w:bottom w:val="single" w:sz="8" w:color="231F20"/>
            </w:tcBorders>
            <w:shd w:val="clear" w:color="auto" w:fill="E2E8F1"/>
          </w:tcPr>
          <w:p>
            <w:pPr>
              <w:ind w:left="60"/>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1F20"/>
            </w:tcBorders>
            <w:shd w:val="clear" w:color="auto" w:fill="E2E8F1"/>
          </w:tcPr>
          <w:p>
            <w:pPr>
              <w:jc w:val="right"/>
              <w:ind w:right="11"/>
              <w:spacing w:after="0"/>
              <w:rPr>
                <w:sz w:val="20"/>
                <w:szCs w:val="20"/>
                <w:color w:val="auto"/>
              </w:rPr>
            </w:pPr>
            <w:r>
              <w:rPr>
                <w:rFonts w:ascii="Arial" w:cs="Arial" w:eastAsia="Arial" w:hAnsi="Arial"/>
                <w:sz w:val="14"/>
                <w:szCs w:val="14"/>
                <w:color w:val="231F20"/>
              </w:rPr>
              <w:t>(458.7 )</w:t>
            </w:r>
          </w:p>
        </w:tc>
        <w:tc>
          <w:tcPr>
            <w:tcW w:w="8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 (4,447.9 )</w:t>
            </w:r>
          </w:p>
        </w:tc>
        <w:tc>
          <w:tcPr>
            <w:tcW w:w="2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w:t>
            </w:r>
          </w:p>
        </w:tc>
        <w:tc>
          <w:tcPr>
            <w:tcW w:w="680" w:type="dxa"/>
            <w:vAlign w:val="bottom"/>
            <w:tcBorders>
              <w:bottom w:val="single" w:sz="8" w:color="231F20"/>
            </w:tcBorders>
            <w:shd w:val="clear" w:color="auto" w:fill="E2E8F1"/>
          </w:tcPr>
          <w:p>
            <w:pPr>
              <w:jc w:val="right"/>
              <w:ind w:right="91"/>
              <w:spacing w:after="0"/>
              <w:rPr>
                <w:sz w:val="20"/>
                <w:szCs w:val="20"/>
                <w:color w:val="auto"/>
              </w:rPr>
            </w:pPr>
            <w:r>
              <w:rPr>
                <w:rFonts w:ascii="Arial" w:cs="Arial" w:eastAsia="Arial" w:hAnsi="Arial"/>
                <w:sz w:val="14"/>
                <w:szCs w:val="14"/>
                <w:color w:val="231F20"/>
              </w:rPr>
              <w:t>10.8</w:t>
            </w:r>
          </w:p>
        </w:tc>
        <w:tc>
          <w:tcPr>
            <w:tcW w:w="82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$ 2,458.1</w:t>
            </w:r>
          </w:p>
        </w:tc>
        <w:tc>
          <w:tcPr>
            <w:tcW w:w="0" w:type="dxa"/>
            <w:vAlign w:val="bottom"/>
          </w:tcPr>
          <w:p>
            <w:pPr>
              <w:spacing w:after="0"/>
              <w:rPr>
                <w:sz w:val="1"/>
                <w:szCs w:val="1"/>
                <w:color w:val="auto"/>
              </w:rPr>
            </w:pPr>
          </w:p>
        </w:tc>
      </w:tr>
      <w:tr>
        <w:trPr>
          <w:trHeight w:val="181"/>
        </w:trPr>
        <w:tc>
          <w:tcPr>
            <w:tcW w:w="3120" w:type="dxa"/>
            <w:vAlign w:val="bottom"/>
          </w:tcPr>
          <w:p>
            <w:pPr>
              <w:ind w:left="160"/>
              <w:spacing w:after="0"/>
              <w:rPr>
                <w:sz w:val="20"/>
                <w:szCs w:val="20"/>
                <w:color w:val="auto"/>
              </w:rPr>
            </w:pPr>
            <w:r>
              <w:rPr>
                <w:rFonts w:ascii="Arial" w:cs="Arial" w:eastAsia="Arial" w:hAnsi="Arial"/>
                <w:sz w:val="14"/>
                <w:szCs w:val="14"/>
                <w:color w:val="231F20"/>
              </w:rPr>
              <w:t>Net earnings</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130"/>
              <w:spacing w:after="0"/>
              <w:rPr>
                <w:sz w:val="20"/>
                <w:szCs w:val="20"/>
                <w:color w:val="auto"/>
              </w:rPr>
            </w:pPr>
            <w:r>
              <w:rPr>
                <w:rFonts w:ascii="Arial" w:cs="Arial" w:eastAsia="Arial" w:hAnsi="Arial"/>
                <w:sz w:val="14"/>
                <w:szCs w:val="14"/>
                <w:color w:val="231F20"/>
              </w:rPr>
              <w:t>88.8</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231F20"/>
              </w:rPr>
              <w:t>88.8</w:t>
            </w:r>
          </w:p>
        </w:tc>
        <w:tc>
          <w:tcPr>
            <w:tcW w:w="0" w:type="dxa"/>
            <w:vAlign w:val="bottom"/>
          </w:tcPr>
          <w:p>
            <w:pPr>
              <w:spacing w:after="0"/>
              <w:rPr>
                <w:sz w:val="1"/>
                <w:szCs w:val="1"/>
                <w:color w:val="auto"/>
              </w:rPr>
            </w:pPr>
          </w:p>
        </w:tc>
      </w:tr>
      <w:tr>
        <w:trPr>
          <w:trHeight w:val="189"/>
        </w:trPr>
        <w:tc>
          <w:tcPr>
            <w:tcW w:w="312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Other comprehensive loss</w:t>
            </w:r>
          </w:p>
        </w:tc>
        <w:tc>
          <w:tcPr>
            <w:tcW w:w="94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6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90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60" w:type="dxa"/>
            <w:vAlign w:val="bottom"/>
            <w:shd w:val="clear" w:color="auto" w:fill="E2E8F1"/>
          </w:tcPr>
          <w:p>
            <w:pPr>
              <w:jc w:val="right"/>
              <w:ind w:right="11"/>
              <w:spacing w:after="0"/>
              <w:rPr>
                <w:sz w:val="20"/>
                <w:szCs w:val="20"/>
                <w:color w:val="auto"/>
              </w:rPr>
            </w:pPr>
            <w:r>
              <w:rPr>
                <w:rFonts w:ascii="Arial" w:cs="Arial" w:eastAsia="Arial" w:hAnsi="Arial"/>
                <w:sz w:val="14"/>
                <w:szCs w:val="14"/>
                <w:color w:val="231F20"/>
              </w:rPr>
              <w:t>(7.3 )</w:t>
            </w:r>
          </w:p>
        </w:tc>
        <w:tc>
          <w:tcPr>
            <w:tcW w:w="8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82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(7.3 )</w:t>
            </w:r>
          </w:p>
        </w:tc>
        <w:tc>
          <w:tcPr>
            <w:tcW w:w="0" w:type="dxa"/>
            <w:vAlign w:val="bottom"/>
          </w:tcPr>
          <w:p>
            <w:pPr>
              <w:spacing w:after="0"/>
              <w:rPr>
                <w:sz w:val="1"/>
                <w:szCs w:val="1"/>
                <w:color w:val="auto"/>
              </w:rPr>
            </w:pPr>
          </w:p>
        </w:tc>
      </w:tr>
      <w:tr>
        <w:trPr>
          <w:trHeight w:val="189"/>
        </w:trPr>
        <w:tc>
          <w:tcPr>
            <w:tcW w:w="3120" w:type="dxa"/>
            <w:vAlign w:val="bottom"/>
          </w:tcPr>
          <w:p>
            <w:pPr>
              <w:ind w:left="160"/>
              <w:spacing w:after="0"/>
              <w:rPr>
                <w:sz w:val="20"/>
                <w:szCs w:val="20"/>
                <w:color w:val="auto"/>
              </w:rPr>
            </w:pPr>
            <w:r>
              <w:rPr>
                <w:rFonts w:ascii="Arial" w:cs="Arial" w:eastAsia="Arial" w:hAnsi="Arial"/>
                <w:sz w:val="14"/>
                <w:szCs w:val="14"/>
                <w:color w:val="231F20"/>
              </w:rPr>
              <w:t>Issuances under equity plans</w:t>
            </w:r>
          </w:p>
        </w:tc>
        <w:tc>
          <w:tcPr>
            <w:tcW w:w="940" w:type="dxa"/>
            <w:vAlign w:val="bottom"/>
          </w:tcPr>
          <w:p>
            <w:pPr>
              <w:jc w:val="right"/>
              <w:spacing w:after="0"/>
              <w:rPr>
                <w:sz w:val="20"/>
                <w:szCs w:val="20"/>
                <w:color w:val="auto"/>
              </w:rPr>
            </w:pPr>
            <w:r>
              <w:rPr>
                <w:rFonts w:ascii="Arial" w:cs="Arial" w:eastAsia="Arial" w:hAnsi="Arial"/>
                <w:sz w:val="14"/>
                <w:szCs w:val="14"/>
                <w:color w:val="231F20"/>
              </w:rPr>
              <w:t>359,632</w:t>
            </w: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231F20"/>
              </w:rPr>
              <w:t>2.0</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231F20"/>
              </w:rPr>
              <w:t>(10.4 )</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31F20"/>
              </w:rPr>
              <w:t>(8.4 )</w:t>
            </w:r>
          </w:p>
        </w:tc>
        <w:tc>
          <w:tcPr>
            <w:tcW w:w="0" w:type="dxa"/>
            <w:vAlign w:val="bottom"/>
          </w:tcPr>
          <w:p>
            <w:pPr>
              <w:spacing w:after="0"/>
              <w:rPr>
                <w:sz w:val="1"/>
                <w:szCs w:val="1"/>
                <w:color w:val="auto"/>
              </w:rPr>
            </w:pPr>
          </w:p>
        </w:tc>
      </w:tr>
      <w:tr>
        <w:trPr>
          <w:trHeight w:val="189"/>
        </w:trPr>
        <w:tc>
          <w:tcPr>
            <w:tcW w:w="312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Share-based compensation expense</w:t>
            </w:r>
          </w:p>
        </w:tc>
        <w:tc>
          <w:tcPr>
            <w:tcW w:w="94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6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231F20"/>
              </w:rPr>
              <w:t>28.7</w:t>
            </w:r>
          </w:p>
        </w:tc>
        <w:tc>
          <w:tcPr>
            <w:tcW w:w="260" w:type="dxa"/>
            <w:vAlign w:val="bottom"/>
            <w:shd w:val="clear" w:color="auto" w:fill="E2E8F1"/>
          </w:tcPr>
          <w:p>
            <w:pPr>
              <w:spacing w:after="0"/>
              <w:rPr>
                <w:sz w:val="16"/>
                <w:szCs w:val="16"/>
                <w:color w:val="auto"/>
              </w:rPr>
            </w:pPr>
          </w:p>
        </w:tc>
        <w:tc>
          <w:tcPr>
            <w:tcW w:w="90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c>
          <w:tcPr>
            <w:tcW w:w="8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82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28.7</w:t>
            </w:r>
          </w:p>
        </w:tc>
        <w:tc>
          <w:tcPr>
            <w:tcW w:w="0" w:type="dxa"/>
            <w:vAlign w:val="bottom"/>
          </w:tcPr>
          <w:p>
            <w:pPr>
              <w:spacing w:after="0"/>
              <w:rPr>
                <w:sz w:val="1"/>
                <w:szCs w:val="1"/>
                <w:color w:val="auto"/>
              </w:rPr>
            </w:pPr>
          </w:p>
        </w:tc>
      </w:tr>
      <w:tr>
        <w:trPr>
          <w:trHeight w:val="189"/>
        </w:trPr>
        <w:tc>
          <w:tcPr>
            <w:tcW w:w="3120" w:type="dxa"/>
            <w:vAlign w:val="bottom"/>
          </w:tcPr>
          <w:p>
            <w:pPr>
              <w:ind w:left="160"/>
              <w:spacing w:after="0"/>
              <w:rPr>
                <w:sz w:val="20"/>
                <w:szCs w:val="20"/>
                <w:color w:val="auto"/>
              </w:rPr>
            </w:pPr>
            <w:r>
              <w:rPr>
                <w:rFonts w:ascii="Arial" w:cs="Arial" w:eastAsia="Arial" w:hAnsi="Arial"/>
                <w:sz w:val="14"/>
                <w:szCs w:val="14"/>
                <w:color w:val="231F20"/>
              </w:rPr>
              <w:t>Dividends ($2.94 per share)</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231F20"/>
              </w:rPr>
              <w:t>(144.3 )</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31F20"/>
              </w:rPr>
              <w:t>(144.3 )</w:t>
            </w:r>
          </w:p>
        </w:tc>
        <w:tc>
          <w:tcPr>
            <w:tcW w:w="0" w:type="dxa"/>
            <w:vAlign w:val="bottom"/>
          </w:tcPr>
          <w:p>
            <w:pPr>
              <w:spacing w:after="0"/>
              <w:rPr>
                <w:sz w:val="1"/>
                <w:szCs w:val="1"/>
                <w:color w:val="auto"/>
              </w:rPr>
            </w:pPr>
          </w:p>
        </w:tc>
      </w:tr>
      <w:tr>
        <w:trPr>
          <w:trHeight w:val="165"/>
        </w:trPr>
        <w:tc>
          <w:tcPr>
            <w:tcW w:w="312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Repurchases of common stock, including</w:t>
            </w:r>
          </w:p>
        </w:tc>
        <w:tc>
          <w:tcPr>
            <w:tcW w:w="940" w:type="dxa"/>
            <w:vAlign w:val="bottom"/>
            <w:shd w:val="clear" w:color="auto" w:fill="E2E8F1"/>
          </w:tcPr>
          <w:p>
            <w:pPr>
              <w:spacing w:after="0"/>
              <w:rPr>
                <w:sz w:val="14"/>
                <w:szCs w:val="14"/>
                <w:color w:val="auto"/>
              </w:rPr>
            </w:pPr>
          </w:p>
        </w:tc>
        <w:tc>
          <w:tcPr>
            <w:tcW w:w="340" w:type="dxa"/>
            <w:vAlign w:val="bottom"/>
            <w:shd w:val="clear" w:color="auto" w:fill="E2E8F1"/>
          </w:tcPr>
          <w:p>
            <w:pPr>
              <w:spacing w:after="0"/>
              <w:rPr>
                <w:sz w:val="14"/>
                <w:szCs w:val="14"/>
                <w:color w:val="auto"/>
              </w:rPr>
            </w:pPr>
          </w:p>
        </w:tc>
        <w:tc>
          <w:tcPr>
            <w:tcW w:w="60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88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9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260" w:type="dxa"/>
            <w:vAlign w:val="bottom"/>
            <w:shd w:val="clear" w:color="auto" w:fill="E2E8F1"/>
          </w:tcPr>
          <w:p>
            <w:pPr>
              <w:spacing w:after="0"/>
              <w:rPr>
                <w:sz w:val="14"/>
                <w:szCs w:val="14"/>
                <w:color w:val="auto"/>
              </w:rPr>
            </w:pPr>
          </w:p>
        </w:tc>
        <w:tc>
          <w:tcPr>
            <w:tcW w:w="8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680" w:type="dxa"/>
            <w:vAlign w:val="bottom"/>
            <w:shd w:val="clear" w:color="auto" w:fill="E2E8F1"/>
          </w:tcPr>
          <w:p>
            <w:pPr>
              <w:spacing w:after="0"/>
              <w:rPr>
                <w:sz w:val="14"/>
                <w:szCs w:val="14"/>
                <w:color w:val="auto"/>
              </w:rPr>
            </w:pPr>
          </w:p>
        </w:tc>
        <w:tc>
          <w:tcPr>
            <w:tcW w:w="8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20" w:type="dxa"/>
            <w:vAlign w:val="bottom"/>
            <w:tcBorders>
              <w:bottom w:val="single" w:sz="8" w:color="231F20"/>
            </w:tcBorders>
            <w:shd w:val="clear" w:color="auto" w:fill="E2E8F1"/>
          </w:tcPr>
          <w:p>
            <w:pPr>
              <w:ind w:left="280"/>
              <w:spacing w:after="0"/>
              <w:rPr>
                <w:sz w:val="20"/>
                <w:szCs w:val="20"/>
                <w:color w:val="auto"/>
              </w:rPr>
            </w:pPr>
            <w:r>
              <w:rPr>
                <w:rFonts w:ascii="Arial" w:cs="Arial" w:eastAsia="Arial" w:hAnsi="Arial"/>
                <w:sz w:val="14"/>
                <w:szCs w:val="14"/>
                <w:color w:val="231F20"/>
              </w:rPr>
              <w:t>excise tax</w:t>
            </w:r>
          </w:p>
        </w:tc>
        <w:tc>
          <w:tcPr>
            <w:tcW w:w="940" w:type="dxa"/>
            <w:vAlign w:val="bottom"/>
            <w:tcBorders>
              <w:bottom w:val="single" w:sz="8" w:color="231F20"/>
            </w:tcBorders>
            <w:shd w:val="clear" w:color="auto" w:fill="E2E8F1"/>
          </w:tcPr>
          <w:p>
            <w:pPr>
              <w:spacing w:after="0"/>
              <w:rPr>
                <w:sz w:val="15"/>
                <w:szCs w:val="15"/>
                <w:color w:val="auto"/>
              </w:rPr>
            </w:pPr>
          </w:p>
        </w:tc>
        <w:tc>
          <w:tcPr>
            <w:tcW w:w="340" w:type="dxa"/>
            <w:vAlign w:val="bottom"/>
            <w:tcBorders>
              <w:bottom w:val="single" w:sz="8" w:color="231F20"/>
            </w:tcBorders>
            <w:shd w:val="clear" w:color="auto" w:fill="E2E8F1"/>
          </w:tcPr>
          <w:p>
            <w:pPr>
              <w:spacing w:after="0"/>
              <w:rPr>
                <w:sz w:val="15"/>
                <w:szCs w:val="15"/>
                <w:color w:val="auto"/>
              </w:rPr>
            </w:pPr>
          </w:p>
        </w:tc>
        <w:tc>
          <w:tcPr>
            <w:tcW w:w="600" w:type="dxa"/>
            <w:vAlign w:val="bottom"/>
            <w:tcBorders>
              <w:bottom w:val="single" w:sz="8" w:color="231F20"/>
            </w:tcBorders>
            <w:shd w:val="clear" w:color="auto" w:fill="E2E8F1"/>
          </w:tcPr>
          <w:p>
            <w:pPr>
              <w:spacing w:after="0"/>
              <w:rPr>
                <w:sz w:val="15"/>
                <w:szCs w:val="15"/>
                <w:color w:val="auto"/>
              </w:rPr>
            </w:pPr>
          </w:p>
        </w:tc>
        <w:tc>
          <w:tcPr>
            <w:tcW w:w="220" w:type="dxa"/>
            <w:vAlign w:val="bottom"/>
            <w:tcBorders>
              <w:bottom w:val="single" w:sz="8" w:color="231F20"/>
            </w:tcBorders>
            <w:shd w:val="clear" w:color="auto" w:fill="E2E8F1"/>
          </w:tcPr>
          <w:p>
            <w:pPr>
              <w:spacing w:after="0"/>
              <w:rPr>
                <w:sz w:val="15"/>
                <w:szCs w:val="15"/>
                <w:color w:val="auto"/>
              </w:rPr>
            </w:pPr>
          </w:p>
        </w:tc>
        <w:tc>
          <w:tcPr>
            <w:tcW w:w="880" w:type="dxa"/>
            <w:vAlign w:val="bottom"/>
            <w:tcBorders>
              <w:bottom w:val="single" w:sz="8" w:color="231F20"/>
            </w:tcBorders>
            <w:shd w:val="clear" w:color="auto" w:fill="E2E8F1"/>
          </w:tcPr>
          <w:p>
            <w:pPr>
              <w:spacing w:after="0"/>
              <w:rPr>
                <w:sz w:val="15"/>
                <w:szCs w:val="15"/>
                <w:color w:val="auto"/>
              </w:rPr>
            </w:pPr>
          </w:p>
        </w:tc>
        <w:tc>
          <w:tcPr>
            <w:tcW w:w="260" w:type="dxa"/>
            <w:vAlign w:val="bottom"/>
            <w:tcBorders>
              <w:bottom w:val="single" w:sz="8" w:color="231F20"/>
            </w:tcBorders>
            <w:shd w:val="clear" w:color="auto" w:fill="E2E8F1"/>
          </w:tcPr>
          <w:p>
            <w:pPr>
              <w:spacing w:after="0"/>
              <w:rPr>
                <w:sz w:val="15"/>
                <w:szCs w:val="15"/>
                <w:color w:val="auto"/>
              </w:rPr>
            </w:pPr>
          </w:p>
        </w:tc>
        <w:tc>
          <w:tcPr>
            <w:tcW w:w="900" w:type="dxa"/>
            <w:vAlign w:val="bottom"/>
            <w:tcBorders>
              <w:bottom w:val="single" w:sz="8" w:color="231F20"/>
            </w:tcBorders>
            <w:shd w:val="clear" w:color="auto" w:fill="E2E8F1"/>
          </w:tcPr>
          <w:p>
            <w:pPr>
              <w:spacing w:after="0"/>
              <w:rPr>
                <w:sz w:val="15"/>
                <w:szCs w:val="15"/>
                <w:color w:val="auto"/>
              </w:rPr>
            </w:pPr>
          </w:p>
        </w:tc>
        <w:tc>
          <w:tcPr>
            <w:tcW w:w="160" w:type="dxa"/>
            <w:vAlign w:val="bottom"/>
            <w:tcBorders>
              <w:bottom w:val="single" w:sz="8" w:color="231F20"/>
            </w:tcBorders>
            <w:shd w:val="clear" w:color="auto" w:fill="E2E8F1"/>
          </w:tcPr>
          <w:p>
            <w:pPr>
              <w:spacing w:after="0"/>
              <w:rPr>
                <w:sz w:val="15"/>
                <w:szCs w:val="15"/>
                <w:color w:val="auto"/>
              </w:rPr>
            </w:pPr>
          </w:p>
        </w:tc>
        <w:tc>
          <w:tcPr>
            <w:tcW w:w="1260" w:type="dxa"/>
            <w:vAlign w:val="bottom"/>
            <w:tcBorders>
              <w:bottom w:val="single" w:sz="8" w:color="231F20"/>
            </w:tcBorders>
            <w:shd w:val="clear" w:color="auto" w:fill="E2E8F1"/>
          </w:tcPr>
          <w:p>
            <w:pPr>
              <w:spacing w:after="0"/>
              <w:rPr>
                <w:sz w:val="15"/>
                <w:szCs w:val="15"/>
                <w:color w:val="auto"/>
              </w:rPr>
            </w:pPr>
          </w:p>
        </w:tc>
        <w:tc>
          <w:tcPr>
            <w:tcW w:w="8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(181.5 )</w:t>
            </w:r>
          </w:p>
        </w:tc>
        <w:tc>
          <w:tcPr>
            <w:tcW w:w="240" w:type="dxa"/>
            <w:vAlign w:val="bottom"/>
            <w:tcBorders>
              <w:bottom w:val="single" w:sz="8" w:color="231F20"/>
            </w:tcBorders>
            <w:shd w:val="clear" w:color="auto" w:fill="E2E8F1"/>
          </w:tcPr>
          <w:p>
            <w:pPr>
              <w:spacing w:after="0"/>
              <w:rPr>
                <w:sz w:val="15"/>
                <w:szCs w:val="15"/>
                <w:color w:val="auto"/>
              </w:rPr>
            </w:pPr>
          </w:p>
        </w:tc>
        <w:tc>
          <w:tcPr>
            <w:tcW w:w="680" w:type="dxa"/>
            <w:vAlign w:val="bottom"/>
            <w:tcBorders>
              <w:bottom w:val="single" w:sz="8" w:color="231F20"/>
            </w:tcBorders>
            <w:shd w:val="clear" w:color="auto" w:fill="E2E8F1"/>
          </w:tcPr>
          <w:p>
            <w:pPr>
              <w:spacing w:after="0"/>
              <w:rPr>
                <w:sz w:val="15"/>
                <w:szCs w:val="15"/>
                <w:color w:val="auto"/>
              </w:rPr>
            </w:pPr>
          </w:p>
        </w:tc>
        <w:tc>
          <w:tcPr>
            <w:tcW w:w="82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(181.5 )</w:t>
            </w:r>
          </w:p>
        </w:tc>
        <w:tc>
          <w:tcPr>
            <w:tcW w:w="0" w:type="dxa"/>
            <w:vAlign w:val="bottom"/>
          </w:tcPr>
          <w:p>
            <w:pPr>
              <w:spacing w:after="0"/>
              <w:rPr>
                <w:sz w:val="1"/>
                <w:szCs w:val="1"/>
                <w:color w:val="auto"/>
              </w:rPr>
            </w:pPr>
          </w:p>
        </w:tc>
      </w:tr>
      <w:tr>
        <w:trPr>
          <w:trHeight w:val="145"/>
        </w:trPr>
        <w:tc>
          <w:tcPr>
            <w:tcW w:w="312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231F20"/>
              </w:rPr>
              <w:t>118,387,64</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12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Balance, December 31, 2023</w:t>
            </w:r>
          </w:p>
        </w:tc>
        <w:tc>
          <w:tcPr>
            <w:tcW w:w="9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w:t>
            </w:r>
          </w:p>
        </w:tc>
        <w:tc>
          <w:tcPr>
            <w:tcW w:w="3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600" w:type="dxa"/>
            <w:vAlign w:val="bottom"/>
            <w:tcBorders>
              <w:bottom w:val="single" w:sz="8" w:color="231F20"/>
            </w:tcBorders>
          </w:tcPr>
          <w:p>
            <w:pPr>
              <w:jc w:val="right"/>
              <w:ind w:right="72"/>
              <w:spacing w:after="0"/>
              <w:rPr>
                <w:sz w:val="20"/>
                <w:szCs w:val="20"/>
                <w:color w:val="auto"/>
              </w:rPr>
            </w:pPr>
            <w:r>
              <w:rPr>
                <w:rFonts w:ascii="Arial" w:cs="Arial" w:eastAsia="Arial" w:hAnsi="Arial"/>
                <w:sz w:val="14"/>
                <w:szCs w:val="14"/>
                <w:color w:val="231F20"/>
              </w:rPr>
              <w:t>1.2</w:t>
            </w:r>
          </w:p>
        </w:tc>
        <w:tc>
          <w:tcPr>
            <w:tcW w:w="2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231F20"/>
            </w:tcBorders>
          </w:tcPr>
          <w:p>
            <w:pPr>
              <w:jc w:val="right"/>
              <w:ind w:right="71"/>
              <w:spacing w:after="0"/>
              <w:rPr>
                <w:sz w:val="20"/>
                <w:szCs w:val="20"/>
                <w:color w:val="auto"/>
              </w:rPr>
            </w:pPr>
            <w:r>
              <w:rPr>
                <w:rFonts w:ascii="Arial" w:cs="Arial" w:eastAsia="Arial" w:hAnsi="Arial"/>
                <w:sz w:val="14"/>
                <w:szCs w:val="14"/>
                <w:color w:val="231F20"/>
              </w:rPr>
              <w:t>3,514.9</w:t>
            </w:r>
          </w:p>
        </w:tc>
        <w:tc>
          <w:tcPr>
            <w:tcW w:w="260" w:type="dxa"/>
            <w:vAlign w:val="bottom"/>
            <w:tcBorders>
              <w:bottom w:val="single" w:sz="8" w:color="231F20"/>
            </w:tcBorders>
          </w:tcPr>
          <w:p>
            <w:pPr>
              <w:jc w:val="center"/>
              <w:ind w:left="29"/>
              <w:spacing w:after="0"/>
              <w:rPr>
                <w:sz w:val="20"/>
                <w:szCs w:val="20"/>
                <w:color w:val="auto"/>
              </w:rPr>
            </w:pPr>
            <w:r>
              <w:rPr>
                <w:rFonts w:ascii="Arial" w:cs="Arial" w:eastAsia="Arial" w:hAnsi="Arial"/>
                <w:sz w:val="14"/>
                <w:szCs w:val="14"/>
                <w:color w:val="231F20"/>
              </w:rPr>
              <w:t>$</w:t>
            </w:r>
          </w:p>
        </w:tc>
        <w:tc>
          <w:tcPr>
            <w:tcW w:w="900" w:type="dxa"/>
            <w:vAlign w:val="bottom"/>
            <w:tcBorders>
              <w:bottom w:val="single" w:sz="8" w:color="231F20"/>
            </w:tcBorders>
          </w:tcPr>
          <w:p>
            <w:pPr>
              <w:jc w:val="right"/>
              <w:ind w:right="130"/>
              <w:spacing w:after="0"/>
              <w:rPr>
                <w:sz w:val="20"/>
                <w:szCs w:val="20"/>
                <w:color w:val="auto"/>
              </w:rPr>
            </w:pPr>
            <w:r>
              <w:rPr>
                <w:rFonts w:ascii="Arial" w:cs="Arial" w:eastAsia="Arial" w:hAnsi="Arial"/>
                <w:sz w:val="14"/>
                <w:szCs w:val="14"/>
                <w:color w:val="231F20"/>
              </w:rPr>
              <w:t>3,813.0</w:t>
            </w:r>
          </w:p>
        </w:tc>
        <w:tc>
          <w:tcPr>
            <w:tcW w:w="160" w:type="dxa"/>
            <w:vAlign w:val="bottom"/>
            <w:tcBorders>
              <w:bottom w:val="single" w:sz="8" w:color="231F20"/>
            </w:tcBorders>
          </w:tcPr>
          <w:p>
            <w:pPr>
              <w:ind w:left="60"/>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1F20"/>
            </w:tcBorders>
          </w:tcPr>
          <w:p>
            <w:pPr>
              <w:jc w:val="right"/>
              <w:ind w:right="11"/>
              <w:spacing w:after="0"/>
              <w:rPr>
                <w:sz w:val="20"/>
                <w:szCs w:val="20"/>
                <w:color w:val="auto"/>
              </w:rPr>
            </w:pPr>
            <w:r>
              <w:rPr>
                <w:rFonts w:ascii="Arial" w:cs="Arial" w:eastAsia="Arial" w:hAnsi="Arial"/>
                <w:sz w:val="14"/>
                <w:szCs w:val="14"/>
                <w:color w:val="231F20"/>
              </w:rPr>
              <w:t>(466.0 )</w:t>
            </w: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 (4,639.8 )</w:t>
            </w:r>
          </w:p>
        </w:tc>
        <w:tc>
          <w:tcPr>
            <w:tcW w:w="2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680" w:type="dxa"/>
            <w:vAlign w:val="bottom"/>
            <w:tcBorders>
              <w:bottom w:val="single" w:sz="8" w:color="231F20"/>
            </w:tcBorders>
          </w:tcPr>
          <w:p>
            <w:pPr>
              <w:jc w:val="right"/>
              <w:ind w:right="91"/>
              <w:spacing w:after="0"/>
              <w:rPr>
                <w:sz w:val="20"/>
                <w:szCs w:val="20"/>
                <w:color w:val="auto"/>
              </w:rPr>
            </w:pPr>
            <w:r>
              <w:rPr>
                <w:rFonts w:ascii="Arial" w:cs="Arial" w:eastAsia="Arial" w:hAnsi="Arial"/>
                <w:sz w:val="14"/>
                <w:szCs w:val="14"/>
                <w:color w:val="231F20"/>
              </w:rPr>
              <w:t>10.8</w:t>
            </w:r>
          </w:p>
        </w:tc>
        <w:tc>
          <w:tcPr>
            <w:tcW w:w="82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$ 2,234.1</w:t>
            </w:r>
          </w:p>
        </w:tc>
        <w:tc>
          <w:tcPr>
            <w:tcW w:w="0" w:type="dxa"/>
            <w:vAlign w:val="bottom"/>
          </w:tcPr>
          <w:p>
            <w:pPr>
              <w:spacing w:after="0"/>
              <w:rPr>
                <w:sz w:val="1"/>
                <w:szCs w:val="1"/>
                <w:color w:val="auto"/>
              </w:rPr>
            </w:pPr>
          </w:p>
        </w:tc>
      </w:tr>
      <w:tr>
        <w:trPr>
          <w:trHeight w:val="181"/>
        </w:trPr>
        <w:tc>
          <w:tcPr>
            <w:tcW w:w="312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Net earnings</w:t>
            </w:r>
          </w:p>
        </w:tc>
        <w:tc>
          <w:tcPr>
            <w:tcW w:w="940" w:type="dxa"/>
            <w:vAlign w:val="bottom"/>
            <w:shd w:val="clear" w:color="auto" w:fill="E2E8F1"/>
          </w:tcPr>
          <w:p>
            <w:pPr>
              <w:spacing w:after="0"/>
              <w:rPr>
                <w:sz w:val="15"/>
                <w:szCs w:val="15"/>
                <w:color w:val="auto"/>
              </w:rPr>
            </w:pPr>
          </w:p>
        </w:tc>
        <w:tc>
          <w:tcPr>
            <w:tcW w:w="340" w:type="dxa"/>
            <w:vAlign w:val="bottom"/>
            <w:shd w:val="clear" w:color="auto" w:fill="E2E8F1"/>
          </w:tcPr>
          <w:p>
            <w:pPr>
              <w:spacing w:after="0"/>
              <w:rPr>
                <w:sz w:val="15"/>
                <w:szCs w:val="15"/>
                <w:color w:val="auto"/>
              </w:rPr>
            </w:pPr>
          </w:p>
        </w:tc>
        <w:tc>
          <w:tcPr>
            <w:tcW w:w="600" w:type="dxa"/>
            <w:vAlign w:val="bottom"/>
            <w:shd w:val="clear" w:color="auto" w:fill="E2E8F1"/>
          </w:tcPr>
          <w:p>
            <w:pPr>
              <w:spacing w:after="0"/>
              <w:rPr>
                <w:sz w:val="15"/>
                <w:szCs w:val="15"/>
                <w:color w:val="auto"/>
              </w:rPr>
            </w:pPr>
          </w:p>
        </w:tc>
        <w:tc>
          <w:tcPr>
            <w:tcW w:w="22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90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231F20"/>
              </w:rPr>
              <w:t>145.1</w:t>
            </w:r>
          </w:p>
        </w:tc>
        <w:tc>
          <w:tcPr>
            <w:tcW w:w="160" w:type="dxa"/>
            <w:vAlign w:val="bottom"/>
            <w:shd w:val="clear" w:color="auto" w:fill="E2E8F1"/>
          </w:tcPr>
          <w:p>
            <w:pPr>
              <w:spacing w:after="0"/>
              <w:rPr>
                <w:sz w:val="15"/>
                <w:szCs w:val="15"/>
                <w:color w:val="auto"/>
              </w:rPr>
            </w:pPr>
          </w:p>
        </w:tc>
        <w:tc>
          <w:tcPr>
            <w:tcW w:w="1260" w:type="dxa"/>
            <w:vAlign w:val="bottom"/>
            <w:shd w:val="clear" w:color="auto" w:fill="E2E8F1"/>
          </w:tcPr>
          <w:p>
            <w:pPr>
              <w:spacing w:after="0"/>
              <w:rPr>
                <w:sz w:val="15"/>
                <w:szCs w:val="15"/>
                <w:color w:val="auto"/>
              </w:rPr>
            </w:pPr>
          </w:p>
        </w:tc>
        <w:tc>
          <w:tcPr>
            <w:tcW w:w="84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680" w:type="dxa"/>
            <w:vAlign w:val="bottom"/>
            <w:shd w:val="clear" w:color="auto" w:fill="E2E8F1"/>
          </w:tcPr>
          <w:p>
            <w:pPr>
              <w:spacing w:after="0"/>
              <w:rPr>
                <w:sz w:val="15"/>
                <w:szCs w:val="15"/>
                <w:color w:val="auto"/>
              </w:rPr>
            </w:pPr>
          </w:p>
        </w:tc>
        <w:tc>
          <w:tcPr>
            <w:tcW w:w="82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145.1</w:t>
            </w:r>
          </w:p>
        </w:tc>
        <w:tc>
          <w:tcPr>
            <w:tcW w:w="0" w:type="dxa"/>
            <w:vAlign w:val="bottom"/>
          </w:tcPr>
          <w:p>
            <w:pPr>
              <w:spacing w:after="0"/>
              <w:rPr>
                <w:sz w:val="1"/>
                <w:szCs w:val="1"/>
                <w:color w:val="auto"/>
              </w:rPr>
            </w:pPr>
          </w:p>
        </w:tc>
      </w:tr>
      <w:tr>
        <w:trPr>
          <w:trHeight w:val="189"/>
        </w:trPr>
        <w:tc>
          <w:tcPr>
            <w:tcW w:w="3120" w:type="dxa"/>
            <w:vAlign w:val="bottom"/>
          </w:tcPr>
          <w:p>
            <w:pPr>
              <w:ind w:left="160"/>
              <w:spacing w:after="0"/>
              <w:rPr>
                <w:sz w:val="20"/>
                <w:szCs w:val="20"/>
                <w:color w:val="auto"/>
              </w:rPr>
            </w:pPr>
            <w:r>
              <w:rPr>
                <w:rFonts w:ascii="Arial" w:cs="Arial" w:eastAsia="Arial" w:hAnsi="Arial"/>
                <w:sz w:val="14"/>
                <w:szCs w:val="14"/>
                <w:color w:val="231F20"/>
              </w:rPr>
              <w:t>Other comprehensive income</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91"/>
              <w:spacing w:after="0"/>
              <w:rPr>
                <w:sz w:val="20"/>
                <w:szCs w:val="20"/>
                <w:color w:val="auto"/>
              </w:rPr>
            </w:pPr>
            <w:r>
              <w:rPr>
                <w:rFonts w:ascii="Arial" w:cs="Arial" w:eastAsia="Arial" w:hAnsi="Arial"/>
                <w:sz w:val="14"/>
                <w:szCs w:val="14"/>
                <w:color w:val="231F20"/>
              </w:rPr>
              <w:t>23.0</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231F20"/>
              </w:rPr>
              <w:t>23.0</w:t>
            </w:r>
          </w:p>
        </w:tc>
        <w:tc>
          <w:tcPr>
            <w:tcW w:w="0" w:type="dxa"/>
            <w:vAlign w:val="bottom"/>
          </w:tcPr>
          <w:p>
            <w:pPr>
              <w:spacing w:after="0"/>
              <w:rPr>
                <w:sz w:val="1"/>
                <w:szCs w:val="1"/>
                <w:color w:val="auto"/>
              </w:rPr>
            </w:pPr>
          </w:p>
        </w:tc>
      </w:tr>
      <w:tr>
        <w:trPr>
          <w:trHeight w:val="189"/>
        </w:trPr>
        <w:tc>
          <w:tcPr>
            <w:tcW w:w="312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Issuances under equity plans</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465,979</w:t>
            </w:r>
          </w:p>
        </w:tc>
        <w:tc>
          <w:tcPr>
            <w:tcW w:w="340" w:type="dxa"/>
            <w:vAlign w:val="bottom"/>
            <w:shd w:val="clear" w:color="auto" w:fill="E2E8F1"/>
          </w:tcPr>
          <w:p>
            <w:pPr>
              <w:spacing w:after="0"/>
              <w:rPr>
                <w:sz w:val="16"/>
                <w:szCs w:val="16"/>
                <w:color w:val="auto"/>
              </w:rPr>
            </w:pPr>
          </w:p>
        </w:tc>
        <w:tc>
          <w:tcPr>
            <w:tcW w:w="6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231F20"/>
              </w:rPr>
              <w:t>1.0</w:t>
            </w:r>
          </w:p>
        </w:tc>
        <w:tc>
          <w:tcPr>
            <w:tcW w:w="260" w:type="dxa"/>
            <w:vAlign w:val="bottom"/>
            <w:shd w:val="clear" w:color="auto" w:fill="E2E8F1"/>
          </w:tcPr>
          <w:p>
            <w:pPr>
              <w:spacing w:after="0"/>
              <w:rPr>
                <w:sz w:val="16"/>
                <w:szCs w:val="16"/>
                <w:color w:val="auto"/>
              </w:rPr>
            </w:pPr>
          </w:p>
        </w:tc>
        <w:tc>
          <w:tcPr>
            <w:tcW w:w="90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c>
          <w:tcPr>
            <w:tcW w:w="84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(10.7 )</w:t>
            </w:r>
          </w:p>
        </w:tc>
        <w:tc>
          <w:tcPr>
            <w:tcW w:w="24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82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(9.7 )</w:t>
            </w:r>
          </w:p>
        </w:tc>
        <w:tc>
          <w:tcPr>
            <w:tcW w:w="0" w:type="dxa"/>
            <w:vAlign w:val="bottom"/>
          </w:tcPr>
          <w:p>
            <w:pPr>
              <w:spacing w:after="0"/>
              <w:rPr>
                <w:sz w:val="1"/>
                <w:szCs w:val="1"/>
                <w:color w:val="auto"/>
              </w:rPr>
            </w:pPr>
          </w:p>
        </w:tc>
      </w:tr>
      <w:tr>
        <w:trPr>
          <w:trHeight w:val="189"/>
        </w:trPr>
        <w:tc>
          <w:tcPr>
            <w:tcW w:w="3120" w:type="dxa"/>
            <w:vAlign w:val="bottom"/>
          </w:tcPr>
          <w:p>
            <w:pPr>
              <w:ind w:left="160"/>
              <w:spacing w:after="0"/>
              <w:rPr>
                <w:sz w:val="20"/>
                <w:szCs w:val="20"/>
                <w:color w:val="auto"/>
              </w:rPr>
            </w:pPr>
            <w:r>
              <w:rPr>
                <w:rFonts w:ascii="Arial" w:cs="Arial" w:eastAsia="Arial" w:hAnsi="Arial"/>
                <w:sz w:val="14"/>
                <w:szCs w:val="14"/>
                <w:color w:val="231F20"/>
              </w:rPr>
              <w:t>Share-based compensation expense</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231F20"/>
              </w:rPr>
              <w:t>27.3</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231F20"/>
              </w:rPr>
              <w:t>27.3</w:t>
            </w:r>
          </w:p>
        </w:tc>
        <w:tc>
          <w:tcPr>
            <w:tcW w:w="0" w:type="dxa"/>
            <w:vAlign w:val="bottom"/>
          </w:tcPr>
          <w:p>
            <w:pPr>
              <w:spacing w:after="0"/>
              <w:rPr>
                <w:sz w:val="1"/>
                <w:szCs w:val="1"/>
                <w:color w:val="auto"/>
              </w:rPr>
            </w:pPr>
          </w:p>
        </w:tc>
      </w:tr>
      <w:tr>
        <w:trPr>
          <w:trHeight w:val="189"/>
        </w:trPr>
        <w:tc>
          <w:tcPr>
            <w:tcW w:w="312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Dividends ($3.08 per share)</w:t>
            </w:r>
          </w:p>
        </w:tc>
        <w:tc>
          <w:tcPr>
            <w:tcW w:w="94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6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231F20"/>
              </w:rPr>
              <w:t>(145.8 )</w:t>
            </w:r>
          </w:p>
        </w:tc>
        <w:tc>
          <w:tcPr>
            <w:tcW w:w="16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c>
          <w:tcPr>
            <w:tcW w:w="8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82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(145.8 )</w:t>
            </w:r>
          </w:p>
        </w:tc>
        <w:tc>
          <w:tcPr>
            <w:tcW w:w="0" w:type="dxa"/>
            <w:vAlign w:val="bottom"/>
          </w:tcPr>
          <w:p>
            <w:pPr>
              <w:spacing w:after="0"/>
              <w:rPr>
                <w:sz w:val="1"/>
                <w:szCs w:val="1"/>
                <w:color w:val="auto"/>
              </w:rPr>
            </w:pPr>
          </w:p>
        </w:tc>
      </w:tr>
      <w:tr>
        <w:trPr>
          <w:trHeight w:val="165"/>
        </w:trPr>
        <w:tc>
          <w:tcPr>
            <w:tcW w:w="3120" w:type="dxa"/>
            <w:vAlign w:val="bottom"/>
          </w:tcPr>
          <w:p>
            <w:pPr>
              <w:ind w:left="160"/>
              <w:spacing w:after="0"/>
              <w:rPr>
                <w:sz w:val="20"/>
                <w:szCs w:val="20"/>
                <w:color w:val="auto"/>
              </w:rPr>
            </w:pPr>
            <w:r>
              <w:rPr>
                <w:rFonts w:ascii="Arial" w:cs="Arial" w:eastAsia="Arial" w:hAnsi="Arial"/>
                <w:sz w:val="14"/>
                <w:szCs w:val="14"/>
                <w:color w:val="231F20"/>
              </w:rPr>
              <w:t>Repurchases of common stock, including</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20" w:type="dxa"/>
            <w:vAlign w:val="bottom"/>
          </w:tcPr>
          <w:p>
            <w:pPr>
              <w:ind w:left="280"/>
              <w:spacing w:after="0"/>
              <w:rPr>
                <w:sz w:val="20"/>
                <w:szCs w:val="20"/>
                <w:color w:val="auto"/>
              </w:rPr>
            </w:pPr>
            <w:r>
              <w:rPr>
                <w:rFonts w:ascii="Arial" w:cs="Arial" w:eastAsia="Arial" w:hAnsi="Arial"/>
                <w:sz w:val="14"/>
                <w:szCs w:val="14"/>
                <w:color w:val="231F20"/>
              </w:rPr>
              <w:t>excise tax</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231F20"/>
              </w:rPr>
              <w:t>(140.9 )</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31F20"/>
              </w:rPr>
              <w:t>(140.9 )</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231F20"/>
            </w:tcBorders>
            <w:shd w:val="clear" w:color="auto" w:fill="E2E8F1"/>
          </w:tcPr>
          <w:p>
            <w:pPr>
              <w:ind w:left="160"/>
              <w:spacing w:after="0"/>
              <w:rPr>
                <w:sz w:val="20"/>
                <w:szCs w:val="20"/>
                <w:color w:val="auto"/>
              </w:rPr>
            </w:pPr>
            <w:r>
              <w:rPr>
                <w:rFonts w:ascii="Arial" w:cs="Arial" w:eastAsia="Arial" w:hAnsi="Arial"/>
                <w:sz w:val="14"/>
                <w:szCs w:val="14"/>
                <w:color w:val="231F20"/>
              </w:rPr>
              <w:t>Noncontrolling interest transactions</w:t>
            </w:r>
          </w:p>
        </w:tc>
        <w:tc>
          <w:tcPr>
            <w:tcW w:w="940" w:type="dxa"/>
            <w:vAlign w:val="bottom"/>
            <w:tcBorders>
              <w:bottom w:val="single" w:sz="8" w:color="231F20"/>
            </w:tcBorders>
            <w:shd w:val="clear" w:color="auto" w:fill="E2E8F1"/>
          </w:tcPr>
          <w:p>
            <w:pPr>
              <w:spacing w:after="0"/>
              <w:rPr>
                <w:sz w:val="16"/>
                <w:szCs w:val="16"/>
                <w:color w:val="auto"/>
              </w:rPr>
            </w:pPr>
          </w:p>
        </w:tc>
        <w:tc>
          <w:tcPr>
            <w:tcW w:w="340" w:type="dxa"/>
            <w:vAlign w:val="bottom"/>
            <w:tcBorders>
              <w:bottom w:val="single" w:sz="8" w:color="231F20"/>
            </w:tcBorders>
            <w:shd w:val="clear" w:color="auto" w:fill="E2E8F1"/>
          </w:tcPr>
          <w:p>
            <w:pPr>
              <w:spacing w:after="0"/>
              <w:rPr>
                <w:sz w:val="16"/>
                <w:szCs w:val="16"/>
                <w:color w:val="auto"/>
              </w:rPr>
            </w:pPr>
          </w:p>
        </w:tc>
        <w:tc>
          <w:tcPr>
            <w:tcW w:w="600" w:type="dxa"/>
            <w:vAlign w:val="bottom"/>
            <w:tcBorders>
              <w:bottom w:val="single" w:sz="8" w:color="231F20"/>
            </w:tcBorders>
            <w:shd w:val="clear" w:color="auto" w:fill="E2E8F1"/>
          </w:tcPr>
          <w:p>
            <w:pPr>
              <w:spacing w:after="0"/>
              <w:rPr>
                <w:sz w:val="16"/>
                <w:szCs w:val="16"/>
                <w:color w:val="auto"/>
              </w:rPr>
            </w:pPr>
          </w:p>
        </w:tc>
        <w:tc>
          <w:tcPr>
            <w:tcW w:w="220" w:type="dxa"/>
            <w:vAlign w:val="bottom"/>
            <w:tcBorders>
              <w:bottom w:val="single" w:sz="8" w:color="231F20"/>
            </w:tcBorders>
            <w:shd w:val="clear" w:color="auto" w:fill="E2E8F1"/>
          </w:tcPr>
          <w:p>
            <w:pPr>
              <w:spacing w:after="0"/>
              <w:rPr>
                <w:sz w:val="16"/>
                <w:szCs w:val="16"/>
                <w:color w:val="auto"/>
              </w:rPr>
            </w:pPr>
          </w:p>
        </w:tc>
        <w:tc>
          <w:tcPr>
            <w:tcW w:w="880" w:type="dxa"/>
            <w:vAlign w:val="bottom"/>
            <w:tcBorders>
              <w:bottom w:val="single" w:sz="8" w:color="231F20"/>
            </w:tcBorders>
            <w:shd w:val="clear" w:color="auto" w:fill="E2E8F1"/>
          </w:tcPr>
          <w:p>
            <w:pPr>
              <w:jc w:val="right"/>
              <w:ind w:right="71"/>
              <w:spacing w:after="0"/>
              <w:rPr>
                <w:sz w:val="20"/>
                <w:szCs w:val="20"/>
                <w:color w:val="auto"/>
              </w:rPr>
            </w:pPr>
            <w:r>
              <w:rPr>
                <w:rFonts w:ascii="Arial" w:cs="Arial" w:eastAsia="Arial" w:hAnsi="Arial"/>
                <w:sz w:val="14"/>
                <w:szCs w:val="14"/>
                <w:color w:val="231F20"/>
              </w:rPr>
              <w:t>2.9</w:t>
            </w:r>
          </w:p>
        </w:tc>
        <w:tc>
          <w:tcPr>
            <w:tcW w:w="260" w:type="dxa"/>
            <w:vAlign w:val="bottom"/>
            <w:tcBorders>
              <w:bottom w:val="single" w:sz="8" w:color="231F20"/>
            </w:tcBorders>
            <w:shd w:val="clear" w:color="auto" w:fill="E2E8F1"/>
          </w:tcPr>
          <w:p>
            <w:pPr>
              <w:spacing w:after="0"/>
              <w:rPr>
                <w:sz w:val="16"/>
                <w:szCs w:val="16"/>
                <w:color w:val="auto"/>
              </w:rPr>
            </w:pPr>
          </w:p>
        </w:tc>
        <w:tc>
          <w:tcPr>
            <w:tcW w:w="900" w:type="dxa"/>
            <w:vAlign w:val="bottom"/>
            <w:tcBorders>
              <w:bottom w:val="single" w:sz="8" w:color="231F20"/>
            </w:tcBorders>
            <w:shd w:val="clear" w:color="auto" w:fill="E2E8F1"/>
          </w:tcPr>
          <w:p>
            <w:pPr>
              <w:spacing w:after="0"/>
              <w:rPr>
                <w:sz w:val="16"/>
                <w:szCs w:val="16"/>
                <w:color w:val="auto"/>
              </w:rPr>
            </w:pPr>
          </w:p>
        </w:tc>
        <w:tc>
          <w:tcPr>
            <w:tcW w:w="160" w:type="dxa"/>
            <w:vAlign w:val="bottom"/>
            <w:tcBorders>
              <w:bottom w:val="single" w:sz="8" w:color="231F20"/>
            </w:tcBorders>
            <w:shd w:val="clear" w:color="auto" w:fill="E2E8F1"/>
          </w:tcPr>
          <w:p>
            <w:pPr>
              <w:spacing w:after="0"/>
              <w:rPr>
                <w:sz w:val="16"/>
                <w:szCs w:val="16"/>
                <w:color w:val="auto"/>
              </w:rPr>
            </w:pPr>
          </w:p>
        </w:tc>
        <w:tc>
          <w:tcPr>
            <w:tcW w:w="1260" w:type="dxa"/>
            <w:vAlign w:val="bottom"/>
            <w:tcBorders>
              <w:bottom w:val="single" w:sz="8" w:color="231F20"/>
            </w:tcBorders>
            <w:shd w:val="clear" w:color="auto" w:fill="E2E8F1"/>
          </w:tcPr>
          <w:p>
            <w:pPr>
              <w:spacing w:after="0"/>
              <w:rPr>
                <w:sz w:val="16"/>
                <w:szCs w:val="16"/>
                <w:color w:val="auto"/>
              </w:rPr>
            </w:pPr>
          </w:p>
        </w:tc>
        <w:tc>
          <w:tcPr>
            <w:tcW w:w="840" w:type="dxa"/>
            <w:vAlign w:val="bottom"/>
            <w:tcBorders>
              <w:bottom w:val="single" w:sz="8" w:color="231F20"/>
            </w:tcBorders>
            <w:shd w:val="clear" w:color="auto" w:fill="E2E8F1"/>
          </w:tcPr>
          <w:p>
            <w:pPr>
              <w:spacing w:after="0"/>
              <w:rPr>
                <w:sz w:val="16"/>
                <w:szCs w:val="16"/>
                <w:color w:val="auto"/>
              </w:rPr>
            </w:pPr>
          </w:p>
        </w:tc>
        <w:tc>
          <w:tcPr>
            <w:tcW w:w="240" w:type="dxa"/>
            <w:vAlign w:val="bottom"/>
            <w:tcBorders>
              <w:bottom w:val="single" w:sz="8" w:color="231F20"/>
            </w:tcBorders>
            <w:shd w:val="clear" w:color="auto" w:fill="E2E8F1"/>
          </w:tcPr>
          <w:p>
            <w:pPr>
              <w:spacing w:after="0"/>
              <w:rPr>
                <w:sz w:val="16"/>
                <w:szCs w:val="16"/>
                <w:color w:val="auto"/>
              </w:rPr>
            </w:pPr>
          </w:p>
        </w:tc>
        <w:tc>
          <w:tcPr>
            <w:tcW w:w="680" w:type="dxa"/>
            <w:vAlign w:val="bottom"/>
            <w:tcBorders>
              <w:bottom w:val="single" w:sz="8" w:color="231F20"/>
            </w:tcBorders>
            <w:shd w:val="clear" w:color="auto" w:fill="E2E8F1"/>
          </w:tcPr>
          <w:p>
            <w:pPr>
              <w:jc w:val="right"/>
              <w:ind w:right="11"/>
              <w:spacing w:after="0"/>
              <w:rPr>
                <w:sz w:val="20"/>
                <w:szCs w:val="20"/>
                <w:color w:val="auto"/>
              </w:rPr>
            </w:pPr>
            <w:r>
              <w:rPr>
                <w:rFonts w:ascii="Arial" w:cs="Arial" w:eastAsia="Arial" w:hAnsi="Arial"/>
                <w:sz w:val="14"/>
                <w:szCs w:val="14"/>
                <w:color w:val="231F20"/>
              </w:rPr>
              <w:t>(9.1 )</w:t>
            </w:r>
          </w:p>
        </w:tc>
        <w:tc>
          <w:tcPr>
            <w:tcW w:w="82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(6.2 )</w:t>
            </w:r>
          </w:p>
        </w:tc>
        <w:tc>
          <w:tcPr>
            <w:tcW w:w="0" w:type="dxa"/>
            <w:vAlign w:val="bottom"/>
          </w:tcPr>
          <w:p>
            <w:pPr>
              <w:spacing w:after="0"/>
              <w:rPr>
                <w:sz w:val="1"/>
                <w:szCs w:val="1"/>
                <w:color w:val="auto"/>
              </w:rPr>
            </w:pPr>
          </w:p>
        </w:tc>
      </w:tr>
      <w:tr>
        <w:trPr>
          <w:trHeight w:val="145"/>
        </w:trPr>
        <w:tc>
          <w:tcPr>
            <w:tcW w:w="312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231F20"/>
              </w:rPr>
              <w:t>118,853,62</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12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Balance, December 31, 2024</w:t>
            </w:r>
          </w:p>
        </w:tc>
        <w:tc>
          <w:tcPr>
            <w:tcW w:w="9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0</w:t>
            </w:r>
          </w:p>
        </w:tc>
        <w:tc>
          <w:tcPr>
            <w:tcW w:w="3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600" w:type="dxa"/>
            <w:vAlign w:val="bottom"/>
            <w:tcBorders>
              <w:bottom w:val="single" w:sz="8" w:color="231F20"/>
            </w:tcBorders>
          </w:tcPr>
          <w:p>
            <w:pPr>
              <w:jc w:val="right"/>
              <w:ind w:right="72"/>
              <w:spacing w:after="0"/>
              <w:rPr>
                <w:sz w:val="20"/>
                <w:szCs w:val="20"/>
                <w:color w:val="auto"/>
              </w:rPr>
            </w:pPr>
            <w:r>
              <w:rPr>
                <w:rFonts w:ascii="Arial" w:cs="Arial" w:eastAsia="Arial" w:hAnsi="Arial"/>
                <w:sz w:val="14"/>
                <w:szCs w:val="14"/>
                <w:color w:val="231F20"/>
              </w:rPr>
              <w:t>1.2</w:t>
            </w:r>
          </w:p>
        </w:tc>
        <w:tc>
          <w:tcPr>
            <w:tcW w:w="2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231F20"/>
            </w:tcBorders>
          </w:tcPr>
          <w:p>
            <w:pPr>
              <w:jc w:val="right"/>
              <w:ind w:right="71"/>
              <w:spacing w:after="0"/>
              <w:rPr>
                <w:sz w:val="20"/>
                <w:szCs w:val="20"/>
                <w:color w:val="auto"/>
              </w:rPr>
            </w:pPr>
            <w:r>
              <w:rPr>
                <w:rFonts w:ascii="Arial" w:cs="Arial" w:eastAsia="Arial" w:hAnsi="Arial"/>
                <w:sz w:val="14"/>
                <w:szCs w:val="14"/>
                <w:color w:val="231F20"/>
              </w:rPr>
              <w:t>3,546.1</w:t>
            </w:r>
          </w:p>
        </w:tc>
        <w:tc>
          <w:tcPr>
            <w:tcW w:w="260" w:type="dxa"/>
            <w:vAlign w:val="bottom"/>
            <w:tcBorders>
              <w:bottom w:val="single" w:sz="8" w:color="231F20"/>
            </w:tcBorders>
          </w:tcPr>
          <w:p>
            <w:pPr>
              <w:jc w:val="center"/>
              <w:ind w:left="29"/>
              <w:spacing w:after="0"/>
              <w:rPr>
                <w:sz w:val="20"/>
                <w:szCs w:val="20"/>
                <w:color w:val="auto"/>
              </w:rPr>
            </w:pPr>
            <w:r>
              <w:rPr>
                <w:rFonts w:ascii="Arial" w:cs="Arial" w:eastAsia="Arial" w:hAnsi="Arial"/>
                <w:sz w:val="14"/>
                <w:szCs w:val="14"/>
                <w:color w:val="231F20"/>
              </w:rPr>
              <w:t>$</w:t>
            </w:r>
          </w:p>
        </w:tc>
        <w:tc>
          <w:tcPr>
            <w:tcW w:w="900" w:type="dxa"/>
            <w:vAlign w:val="bottom"/>
            <w:tcBorders>
              <w:bottom w:val="single" w:sz="8" w:color="231F20"/>
            </w:tcBorders>
          </w:tcPr>
          <w:p>
            <w:pPr>
              <w:jc w:val="right"/>
              <w:ind w:right="130"/>
              <w:spacing w:after="0"/>
              <w:rPr>
                <w:sz w:val="20"/>
                <w:szCs w:val="20"/>
                <w:color w:val="auto"/>
              </w:rPr>
            </w:pPr>
            <w:r>
              <w:rPr>
                <w:rFonts w:ascii="Arial" w:cs="Arial" w:eastAsia="Arial" w:hAnsi="Arial"/>
                <w:sz w:val="14"/>
                <w:szCs w:val="14"/>
                <w:color w:val="231F20"/>
              </w:rPr>
              <w:t>3,812.3</w:t>
            </w:r>
          </w:p>
        </w:tc>
        <w:tc>
          <w:tcPr>
            <w:tcW w:w="160" w:type="dxa"/>
            <w:vAlign w:val="bottom"/>
            <w:tcBorders>
              <w:bottom w:val="single" w:sz="8" w:color="231F20"/>
            </w:tcBorders>
          </w:tcPr>
          <w:p>
            <w:pPr>
              <w:ind w:left="60"/>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1F20"/>
            </w:tcBorders>
          </w:tcPr>
          <w:p>
            <w:pPr>
              <w:jc w:val="right"/>
              <w:ind w:right="11"/>
              <w:spacing w:after="0"/>
              <w:rPr>
                <w:sz w:val="20"/>
                <w:szCs w:val="20"/>
                <w:color w:val="auto"/>
              </w:rPr>
            </w:pPr>
            <w:r>
              <w:rPr>
                <w:rFonts w:ascii="Arial" w:cs="Arial" w:eastAsia="Arial" w:hAnsi="Arial"/>
                <w:sz w:val="14"/>
                <w:szCs w:val="14"/>
                <w:color w:val="231F20"/>
              </w:rPr>
              <w:t>(443.0 )</w:t>
            </w: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 (4,791.4 )</w:t>
            </w:r>
          </w:p>
        </w:tc>
        <w:tc>
          <w:tcPr>
            <w:tcW w:w="2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680" w:type="dxa"/>
            <w:vAlign w:val="bottom"/>
            <w:tcBorders>
              <w:bottom w:val="single" w:sz="8" w:color="231F20"/>
            </w:tcBorders>
          </w:tcPr>
          <w:p>
            <w:pPr>
              <w:jc w:val="right"/>
              <w:ind w:right="91"/>
              <w:spacing w:after="0"/>
              <w:rPr>
                <w:sz w:val="20"/>
                <w:szCs w:val="20"/>
                <w:color w:val="auto"/>
              </w:rPr>
            </w:pPr>
            <w:r>
              <w:rPr>
                <w:rFonts w:ascii="Arial" w:cs="Arial" w:eastAsia="Arial" w:hAnsi="Arial"/>
                <w:sz w:val="14"/>
                <w:szCs w:val="14"/>
                <w:color w:val="231F20"/>
              </w:rPr>
              <w:t>1.7</w:t>
            </w:r>
          </w:p>
        </w:tc>
        <w:tc>
          <w:tcPr>
            <w:tcW w:w="82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$ 2,126.9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6042025</wp:posOffset>
            </wp:positionH>
            <wp:positionV relativeFrom="paragraph">
              <wp:posOffset>-4024630</wp:posOffset>
            </wp:positionV>
            <wp:extent cx="6731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-3867150</wp:posOffset>
            </wp:positionV>
            <wp:extent cx="7493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231F20"/>
        </w:rPr>
        <w:t>The accompanying Notes to Consolidated Financial Statements are an integral part of these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53" w:name="page54"/>
    <w:bookmarkEnd w:id="53"/>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62" w:lineRule="exact"/>
        <w:rPr>
          <w:sz w:val="20"/>
          <w:szCs w:val="20"/>
          <w:color w:val="auto"/>
        </w:rPr>
      </w:pPr>
    </w:p>
    <w:p>
      <w:pPr>
        <w:ind w:left="5"/>
        <w:spacing w:after="0"/>
        <w:rPr>
          <w:sz w:val="20"/>
          <w:szCs w:val="20"/>
          <w:color w:val="auto"/>
        </w:rPr>
      </w:pPr>
      <w:r>
        <w:rPr>
          <w:rFonts w:ascii="Arial" w:cs="Arial" w:eastAsia="Arial" w:hAnsi="Arial"/>
          <w:sz w:val="36"/>
          <w:szCs w:val="36"/>
          <w:color w:val="5B89B4"/>
        </w:rPr>
        <w:t>NOTES TO CONSOLIDATED FINANCIAL STATEMENTS</w:t>
      </w:r>
    </w:p>
    <w:p>
      <w:pPr>
        <w:spacing w:after="0" w:line="32"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in millions, except share and per share data</w:t>
      </w:r>
    </w:p>
    <w:p>
      <w:pPr>
        <w:spacing w:after="0" w:line="210" w:lineRule="exact"/>
        <w:rPr>
          <w:sz w:val="20"/>
          <w:szCs w:val="20"/>
          <w:color w:val="auto"/>
        </w:rPr>
      </w:pPr>
    </w:p>
    <w:p>
      <w:pPr>
        <w:ind w:left="305" w:hanging="305"/>
        <w:spacing w:after="0"/>
        <w:tabs>
          <w:tab w:leader="none" w:pos="305" w:val="left"/>
        </w:tabs>
        <w:numPr>
          <w:ilvl w:val="0"/>
          <w:numId w:val="31"/>
        </w:numPr>
        <w:rPr>
          <w:rFonts w:ascii="Arial" w:cs="Arial" w:eastAsia="Arial" w:hAnsi="Arial"/>
          <w:sz w:val="22"/>
          <w:szCs w:val="22"/>
          <w:b w:val="1"/>
          <w:bCs w:val="1"/>
          <w:color w:val="5B89B4"/>
        </w:rPr>
      </w:pPr>
      <w:r>
        <w:rPr>
          <w:rFonts w:ascii="Arial" w:cs="Arial" w:eastAsia="Arial" w:hAnsi="Arial"/>
          <w:sz w:val="22"/>
          <w:szCs w:val="22"/>
          <w:b w:val="1"/>
          <w:bCs w:val="1"/>
          <w:u w:val="single" w:color="auto"/>
          <w:color w:val="5B89B4"/>
        </w:rPr>
        <w:t>Summary of Significant Accounting Policies</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Nature of Operations</w:t>
      </w:r>
    </w:p>
    <w:p>
      <w:pPr>
        <w:spacing w:after="0" w:line="88" w:lineRule="exact"/>
        <w:rPr>
          <w:sz w:val="20"/>
          <w:szCs w:val="20"/>
          <w:color w:val="auto"/>
        </w:rPr>
      </w:pPr>
    </w:p>
    <w:p>
      <w:pPr>
        <w:jc w:val="both"/>
        <w:ind w:left="5"/>
        <w:spacing w:after="0" w:line="239" w:lineRule="auto"/>
        <w:rPr>
          <w:sz w:val="20"/>
          <w:szCs w:val="20"/>
          <w:color w:val="auto"/>
        </w:rPr>
      </w:pPr>
      <w:r>
        <w:rPr>
          <w:rFonts w:ascii="Arial" w:cs="Arial" w:eastAsia="Arial" w:hAnsi="Arial"/>
          <w:sz w:val="16"/>
          <w:szCs w:val="16"/>
          <w:color w:val="231F20"/>
        </w:rPr>
        <w:t>ManpowerGroup Inc. is a world leader in the innovative workforce solutions and services industry. Our global network of over 2,100 offices in approximately 75 countries and territories allows us to meet the needs of our global, multinational and local clients across all major industry segments. Our largest operations, based on revenues, are located in France, the United States, Italy, and the United Kingdom.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spacing w:after="0" w:line="101"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Use of Estimates</w:t>
      </w:r>
    </w:p>
    <w:p>
      <w:pPr>
        <w:spacing w:after="0" w:line="88" w:lineRule="exact"/>
        <w:rPr>
          <w:sz w:val="20"/>
          <w:szCs w:val="20"/>
          <w:color w:val="auto"/>
        </w:rPr>
      </w:pPr>
    </w:p>
    <w:p>
      <w:pPr>
        <w:jc w:val="both"/>
        <w:ind w:left="5"/>
        <w:spacing w:after="0" w:line="239" w:lineRule="auto"/>
        <w:rPr>
          <w:sz w:val="20"/>
          <w:szCs w:val="20"/>
          <w:color w:val="auto"/>
        </w:rPr>
      </w:pPr>
      <w:r>
        <w:rPr>
          <w:rFonts w:ascii="Arial" w:cs="Arial" w:eastAsia="Arial" w:hAnsi="Arial"/>
          <w:sz w:val="16"/>
          <w:szCs w:val="16"/>
          <w:color w:val="231F20"/>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Estimates are used for, but not limited to, the accounting for the allowance for doubtful accounts and credit losses, defined benefit plans, workers’ compensation, share-based compensation, annual performance-related incentives, leases, goodwill and long-lived asset impairment, valuation of acquired intangibles and income taxes. Actual results could differ from these estimates.</w:t>
      </w:r>
    </w:p>
    <w:p>
      <w:pPr>
        <w:spacing w:after="0" w:line="89"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Basis of Consolidation</w:t>
      </w:r>
    </w:p>
    <w:p>
      <w:pPr>
        <w:spacing w:after="0" w:line="88" w:lineRule="exact"/>
        <w:rPr>
          <w:sz w:val="20"/>
          <w:szCs w:val="20"/>
          <w:color w:val="auto"/>
        </w:rPr>
      </w:pPr>
    </w:p>
    <w:p>
      <w:pPr>
        <w:jc w:val="both"/>
        <w:ind w:left="5"/>
        <w:spacing w:after="0" w:line="235" w:lineRule="auto"/>
        <w:rPr>
          <w:sz w:val="20"/>
          <w:szCs w:val="20"/>
          <w:color w:val="auto"/>
        </w:rPr>
      </w:pPr>
      <w:r>
        <w:rPr>
          <w:rFonts w:ascii="Arial" w:cs="Arial" w:eastAsia="Arial" w:hAnsi="Arial"/>
          <w:sz w:val="16"/>
          <w:szCs w:val="16"/>
          <w:color w:val="231F20"/>
        </w:rPr>
        <w:t>The Consolidated Financial Statements include our operating results and the operating results of all of our majority-owned subsidiaries and entities in which we have a controlling financial interest.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 We account for equity investments in companies over which we have the ability to exercise significant influence, but not control, using the equity method of accounting. We recognize our ownership share of earnings of these equity method investments, amortization of basis differences, and related gains or losses in the Consolidated Financial Statements. These investments, as well as certain other relationships, are also evaluated for consolidation under the accounting guidance on consolidation of variable interest entities. These investments were $103.9 and $102.2 as of December 31, 2024 and 2023, respectively, and are included in other assets in the Consolidated Balance Sheets. Included in shareholders’ equity as of December 31, 2024 and 2023 are $16.9 and $11.5, respectively, of accumulated unremitted earnings from investments accounted for using the equity method. The amounts relate to accounting for our remaining interest in ManpowerGroup Greater China under the equity method subsequent to deconsolidation in 2019.</w:t>
      </w:r>
    </w:p>
    <w:p>
      <w:pPr>
        <w:spacing w:after="0" w:line="103"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Reclassification</w:t>
      </w:r>
    </w:p>
    <w:p>
      <w:pPr>
        <w:spacing w:after="0" w:line="124"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231F20"/>
        </w:rPr>
        <w:t>Certain amounts within cash provided by operating activities on the Consolidated Statements of Cash Flows have been reclassified to conform to current year presentation. Accounts payable has been separated from other liabilities and is now separately disclosed on the Consolidated Statements of Cash Flows.</w:t>
      </w:r>
    </w:p>
    <w:p>
      <w:pPr>
        <w:spacing w:after="0" w:line="7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Revenues</w:t>
      </w:r>
    </w:p>
    <w:p>
      <w:pPr>
        <w:spacing w:after="0" w:line="88" w:lineRule="exact"/>
        <w:rPr>
          <w:sz w:val="20"/>
          <w:szCs w:val="20"/>
          <w:color w:val="auto"/>
        </w:rPr>
      </w:pPr>
    </w:p>
    <w:p>
      <w:pPr>
        <w:jc w:val="both"/>
        <w:ind w:left="5"/>
        <w:spacing w:after="0" w:line="260" w:lineRule="auto"/>
        <w:rPr>
          <w:sz w:val="20"/>
          <w:szCs w:val="20"/>
          <w:color w:val="auto"/>
        </w:rPr>
      </w:pPr>
      <w:r>
        <w:rPr>
          <w:rFonts w:ascii="Arial" w:cs="Arial" w:eastAsia="Arial" w:hAnsi="Arial"/>
          <w:sz w:val="16"/>
          <w:szCs w:val="16"/>
          <w:color w:val="231F20"/>
        </w:rPr>
        <w:t>We recognize revenues when or as control of the promised services is transferred to our clients, in an amount that reflects the consideration we expect to be entitled to receive in exchange for those services. Our revenues are recorded net of any sales, value added or other taxes collected from our clients.</w:t>
      </w:r>
    </w:p>
    <w:p>
      <w:pPr>
        <w:spacing w:after="0" w:line="14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54" w:name="page55"/>
    <w:bookmarkEnd w:id="54"/>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A performance obligation is a promise in a contract to transfer a distinct service to the client, and it is the unit of account in the accounting guidance for revenue recognition. The majority of our contracts have a single performance obligation as the promise to transfer the individual services is not separately identifiable from other promises in our contracts and, therefore, is not distinct. However, we have multiple performance obligations within our Recruitment Process Outsourcing (RPO) contracts as discussed below. For performance obligations that we satisfy over time, revenues are recognized by consistently applying a method of measuring progress toward satisfaction of that performance obligation. We generally utilize an input measure of time (e.g., hours, weeks, months) of service provided, which most accurately depicts the progress toward completion of each performance obligation.</w:t>
      </w:r>
    </w:p>
    <w:p>
      <w:pPr>
        <w:spacing w:after="0" w:line="6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We generally determine standalone selling prices based on the prices included in the client contracts, using expected costs plus margin or other observable prices. The price as specified in our client contracts is generally considered the standalone selling price as it is an observable input that depicts the price as if separately sold to a similar client in similar circumstances. Certain client contracts have variable consideration, including credits, sales allowances, rebates or other similar items that generally reduce the transaction price. We estimate variable consideration using whichever method, either the expected value method or most likely amount method, better predicts the amount of consideration to which we will become entitled based on the terms of the client contract and historical evidence. These amounts may be constrained and are only included in revenues to the extent we do not expect a significant reversal when the uncertainty associated with the variable consideration is resolved. Our variable consideration amounts are not material, and we do not believe that there will be significant changes to our estimates.</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Our client contracts generally include standard payment terms acceptable in each of the countries and territories in which we operate. The payment terms vary by the type and location of our clients and services offered. Client payments are typically due approximately 60 days after invoicing but may be a shorter or longer term depending on the contract. Our client contracts are generally short-term in nature with a term of one year or less. The timing between satisfaction of the performance obligation, invoicing and payment is not significant. For certain services and client types, we may require payment prior to delivery of services to the client, for which deferred revenue is recorded.</w:t>
      </w:r>
    </w:p>
    <w:p>
      <w:pPr>
        <w:spacing w:after="0" w:line="6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In certain scenarios where a third-party vendor is involved in our revenue transactions with our clients, we evaluate whether we are the principal or the agent in the transaction. In situations where we act as principal in the transaction, we control the performance obligation prior to transfer to the client, and we report the related amounts as gross revenues and cost of services. When we act as agent in the transaction, we do not control the performance obligation prior to transfer to the client, and we report the related amounts as revenues on a net basis.</w:t>
      </w:r>
    </w:p>
    <w:p>
      <w:pPr>
        <w:spacing w:after="0" w:line="6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A majority of these agent transactions occur within our TAPFIN - Managed Service Provider (MSP) programs where our performance obligation is to manage our client’s contingent workforce, and we earn a commission based on the amount of staffing services that are managed through the program. We are the agent in these transactions as we do not control the third-party providers' staffing services provided to the client through our MSP program prior to those services being transferred to the client.</w:t>
      </w:r>
    </w:p>
    <w:p>
      <w:pPr>
        <w:spacing w:after="0" w:line="6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For certain client contracts where we recognize revenues over time, we recognize the amount that we have the right to invoice, which corresponds directly to the value provided to the client of our performance to date.</w:t>
      </w:r>
    </w:p>
    <w:p>
      <w:pPr>
        <w:spacing w:after="0" w:line="5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231F20"/>
        </w:rPr>
        <w:t>As allowed under the guidance, 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December 31, 2024 related to remaining performance obligations, which are not material.</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Accounts Receivable, Contract Assets and Contract Liabilities</w:t>
      </w:r>
    </w:p>
    <w:p>
      <w:pPr>
        <w:spacing w:after="0" w:line="8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65"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Our deferred revenue was $30.3 and $31.9 as of December 31, 2024 and 2023, respectively. We recognized the entire amount of the deferred revenue balance as of December 31, 2023 as revenue during the year ended December 31, 2024. We expect to recognize the entire amount of deferred revenue balance as of December 31, 2024 as revenue in 2025.</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55" w:name="page56"/>
    <w:bookmarkEnd w:id="55"/>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Allowance for Expected Credit Losses</w:t>
      </w:r>
    </w:p>
    <w:p>
      <w:pPr>
        <w:spacing w:after="0" w:line="88"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231F20"/>
        </w:rPr>
        <w:t>We have an allowance for expected credit losses recorded as an estimate of the accounts receivable balance that may not be collected. This allowance is calculated on an entity-by-entity basis with consideration for historical write-off experience, age of receivables, market conditions, and a specific review for expected credit losses. Items that affect this balance mainly include provision for expected credit losses and the write-off of accounts receivable balances.</w:t>
      </w:r>
    </w:p>
    <w:p>
      <w:pPr>
        <w:spacing w:after="0" w:line="61" w:lineRule="exact"/>
        <w:rPr>
          <w:sz w:val="20"/>
          <w:szCs w:val="20"/>
          <w:color w:val="auto"/>
        </w:rPr>
      </w:pPr>
    </w:p>
    <w:p>
      <w:pPr>
        <w:ind w:left="5"/>
        <w:spacing w:after="0"/>
        <w:rPr>
          <w:sz w:val="20"/>
          <w:szCs w:val="20"/>
          <w:color w:val="auto"/>
        </w:rPr>
      </w:pPr>
      <w:r>
        <w:rPr>
          <w:rFonts w:ascii="Arial" w:cs="Arial" w:eastAsia="Arial" w:hAnsi="Arial"/>
          <w:sz w:val="16"/>
          <w:szCs w:val="16"/>
          <w:color w:val="231F20"/>
        </w:rPr>
        <w:t>Changes in allowance for expected credit losses are as follows:</w:t>
      </w:r>
    </w:p>
    <w:p>
      <w:pPr>
        <w:spacing w:after="0" w:line="83" w:lineRule="exact"/>
        <w:rPr>
          <w:sz w:val="20"/>
          <w:szCs w:val="20"/>
          <w:color w:val="auto"/>
        </w:rPr>
      </w:pPr>
    </w:p>
    <w:tbl>
      <w:tblPr>
        <w:tblLayout w:type="fixed"/>
        <w:tblInd w:w="5" w:type="dxa"/>
        <w:tblCellMar>
          <w:top w:w="0" w:type="dxa"/>
          <w:left w:w="0" w:type="dxa"/>
          <w:bottom w:w="0" w:type="dxa"/>
          <w:right w:w="0" w:type="dxa"/>
        </w:tblCellMar>
      </w:tblPr>
      <w:tr>
        <w:trPr>
          <w:trHeight w:val="146"/>
        </w:trPr>
        <w:tc>
          <w:tcPr>
            <w:tcW w:w="3020" w:type="dxa"/>
            <w:vAlign w:val="bottom"/>
            <w:tcBorders>
              <w:top w:val="single" w:sz="8" w:color="231F20"/>
            </w:tcBorders>
            <w:shd w:val="clear" w:color="auto" w:fill="98B0CF"/>
          </w:tcPr>
          <w:p>
            <w:pPr>
              <w:spacing w:after="0"/>
              <w:rPr>
                <w:sz w:val="12"/>
                <w:szCs w:val="12"/>
                <w:color w:val="auto"/>
              </w:rPr>
            </w:pPr>
          </w:p>
        </w:tc>
        <w:tc>
          <w:tcPr>
            <w:tcW w:w="340" w:type="dxa"/>
            <w:vAlign w:val="bottom"/>
            <w:tcBorders>
              <w:top w:val="single" w:sz="8" w:color="231F20"/>
            </w:tcBorders>
            <w:shd w:val="clear" w:color="auto" w:fill="98B0CF"/>
          </w:tcPr>
          <w:p>
            <w:pPr>
              <w:spacing w:after="0"/>
              <w:rPr>
                <w:sz w:val="12"/>
                <w:szCs w:val="12"/>
                <w:color w:val="auto"/>
              </w:rPr>
            </w:pPr>
          </w:p>
        </w:tc>
        <w:tc>
          <w:tcPr>
            <w:tcW w:w="920" w:type="dxa"/>
            <w:vAlign w:val="bottom"/>
            <w:tcBorders>
              <w:top w:val="single" w:sz="8" w:color="231F20"/>
            </w:tcBorders>
            <w:shd w:val="clear" w:color="auto" w:fill="98B0CF"/>
          </w:tcPr>
          <w:p>
            <w:pPr>
              <w:jc w:val="center"/>
              <w:ind w:right="93"/>
              <w:spacing w:after="0" w:line="146" w:lineRule="exact"/>
              <w:rPr>
                <w:sz w:val="20"/>
                <w:szCs w:val="20"/>
                <w:color w:val="auto"/>
              </w:rPr>
            </w:pPr>
            <w:r>
              <w:rPr>
                <w:rFonts w:ascii="Arial" w:cs="Arial" w:eastAsia="Arial" w:hAnsi="Arial"/>
                <w:sz w:val="13"/>
                <w:szCs w:val="13"/>
                <w:b w:val="1"/>
                <w:bCs w:val="1"/>
                <w:color w:val="231F20"/>
                <w:w w:val="98"/>
              </w:rPr>
              <w:t>Balance at</w:t>
            </w:r>
          </w:p>
        </w:tc>
        <w:tc>
          <w:tcPr>
            <w:tcW w:w="380" w:type="dxa"/>
            <w:vAlign w:val="bottom"/>
            <w:tcBorders>
              <w:top w:val="single" w:sz="8" w:color="231F20"/>
            </w:tcBorders>
            <w:shd w:val="clear" w:color="auto" w:fill="98B0CF"/>
          </w:tcPr>
          <w:p>
            <w:pPr>
              <w:spacing w:after="0"/>
              <w:rPr>
                <w:sz w:val="12"/>
                <w:szCs w:val="12"/>
                <w:color w:val="auto"/>
              </w:rPr>
            </w:pPr>
          </w:p>
        </w:tc>
        <w:tc>
          <w:tcPr>
            <w:tcW w:w="880" w:type="dxa"/>
            <w:vAlign w:val="bottom"/>
            <w:tcBorders>
              <w:top w:val="single" w:sz="8" w:color="231F20"/>
            </w:tcBorders>
            <w:shd w:val="clear" w:color="auto" w:fill="98B0CF"/>
          </w:tcPr>
          <w:p>
            <w:pPr>
              <w:spacing w:after="0"/>
              <w:rPr>
                <w:sz w:val="12"/>
                <w:szCs w:val="12"/>
                <w:color w:val="auto"/>
              </w:rPr>
            </w:pPr>
          </w:p>
        </w:tc>
        <w:tc>
          <w:tcPr>
            <w:tcW w:w="400" w:type="dxa"/>
            <w:vAlign w:val="bottom"/>
            <w:tcBorders>
              <w:top w:val="single" w:sz="8" w:color="231F20"/>
            </w:tcBorders>
            <w:shd w:val="clear" w:color="auto" w:fill="98B0CF"/>
          </w:tcPr>
          <w:p>
            <w:pPr>
              <w:spacing w:after="0"/>
              <w:rPr>
                <w:sz w:val="12"/>
                <w:szCs w:val="12"/>
                <w:color w:val="auto"/>
              </w:rPr>
            </w:pPr>
          </w:p>
        </w:tc>
        <w:tc>
          <w:tcPr>
            <w:tcW w:w="980" w:type="dxa"/>
            <w:vAlign w:val="bottom"/>
            <w:tcBorders>
              <w:top w:val="single" w:sz="8" w:color="231F20"/>
            </w:tcBorders>
            <w:shd w:val="clear" w:color="auto" w:fill="98B0CF"/>
          </w:tcPr>
          <w:p>
            <w:pPr>
              <w:spacing w:after="0"/>
              <w:rPr>
                <w:sz w:val="12"/>
                <w:szCs w:val="12"/>
                <w:color w:val="auto"/>
              </w:rPr>
            </w:pPr>
          </w:p>
        </w:tc>
        <w:tc>
          <w:tcPr>
            <w:tcW w:w="280" w:type="dxa"/>
            <w:vAlign w:val="bottom"/>
            <w:tcBorders>
              <w:top w:val="single" w:sz="8" w:color="231F20"/>
            </w:tcBorders>
            <w:shd w:val="clear" w:color="auto" w:fill="98B0CF"/>
          </w:tcPr>
          <w:p>
            <w:pPr>
              <w:spacing w:after="0"/>
              <w:rPr>
                <w:sz w:val="12"/>
                <w:szCs w:val="12"/>
                <w:color w:val="auto"/>
              </w:rPr>
            </w:pPr>
          </w:p>
        </w:tc>
        <w:tc>
          <w:tcPr>
            <w:tcW w:w="980" w:type="dxa"/>
            <w:vAlign w:val="bottom"/>
            <w:tcBorders>
              <w:top w:val="single" w:sz="8" w:color="231F20"/>
            </w:tcBorders>
            <w:shd w:val="clear" w:color="auto" w:fill="98B0CF"/>
          </w:tcPr>
          <w:p>
            <w:pPr>
              <w:spacing w:after="0"/>
              <w:rPr>
                <w:sz w:val="12"/>
                <w:szCs w:val="12"/>
                <w:color w:val="auto"/>
              </w:rPr>
            </w:pPr>
          </w:p>
        </w:tc>
        <w:tc>
          <w:tcPr>
            <w:tcW w:w="360" w:type="dxa"/>
            <w:vAlign w:val="bottom"/>
            <w:tcBorders>
              <w:top w:val="single" w:sz="8" w:color="231F20"/>
            </w:tcBorders>
            <w:shd w:val="clear" w:color="auto" w:fill="98B0CF"/>
          </w:tcPr>
          <w:p>
            <w:pPr>
              <w:spacing w:after="0"/>
              <w:rPr>
                <w:sz w:val="12"/>
                <w:szCs w:val="12"/>
                <w:color w:val="auto"/>
              </w:rPr>
            </w:pPr>
          </w:p>
        </w:tc>
        <w:tc>
          <w:tcPr>
            <w:tcW w:w="1340" w:type="dxa"/>
            <w:vAlign w:val="bottom"/>
            <w:tcBorders>
              <w:top w:val="single" w:sz="8" w:color="231F20"/>
            </w:tcBorders>
            <w:shd w:val="clear" w:color="auto" w:fill="98B0CF"/>
          </w:tcPr>
          <w:p>
            <w:pPr>
              <w:spacing w:after="0"/>
              <w:rPr>
                <w:sz w:val="12"/>
                <w:szCs w:val="12"/>
                <w:color w:val="auto"/>
              </w:rPr>
            </w:pPr>
          </w:p>
        </w:tc>
        <w:tc>
          <w:tcPr>
            <w:tcW w:w="420" w:type="dxa"/>
            <w:vAlign w:val="bottom"/>
            <w:tcBorders>
              <w:top w:val="single" w:sz="8" w:color="231F20"/>
            </w:tcBorders>
            <w:shd w:val="clear" w:color="auto" w:fill="98B0CF"/>
          </w:tcPr>
          <w:p>
            <w:pPr>
              <w:spacing w:after="0"/>
              <w:rPr>
                <w:sz w:val="12"/>
                <w:szCs w:val="12"/>
                <w:color w:val="auto"/>
              </w:rPr>
            </w:pPr>
          </w:p>
        </w:tc>
        <w:tc>
          <w:tcPr>
            <w:tcW w:w="960" w:type="dxa"/>
            <w:vAlign w:val="bottom"/>
            <w:tcBorders>
              <w:top w:val="single" w:sz="8" w:color="231F20"/>
            </w:tcBorders>
            <w:shd w:val="clear" w:color="auto" w:fill="98B0CF"/>
          </w:tcPr>
          <w:p>
            <w:pPr>
              <w:jc w:val="center"/>
              <w:ind w:right="173"/>
              <w:spacing w:after="0" w:line="146" w:lineRule="exact"/>
              <w:rPr>
                <w:sz w:val="20"/>
                <w:szCs w:val="20"/>
                <w:color w:val="auto"/>
              </w:rPr>
            </w:pPr>
            <w:r>
              <w:rPr>
                <w:rFonts w:ascii="Arial" w:cs="Arial" w:eastAsia="Arial" w:hAnsi="Arial"/>
                <w:sz w:val="13"/>
                <w:szCs w:val="13"/>
                <w:b w:val="1"/>
                <w:bCs w:val="1"/>
                <w:color w:val="231F20"/>
                <w:w w:val="96"/>
              </w:rPr>
              <w:t>Balance</w:t>
            </w:r>
          </w:p>
        </w:tc>
      </w:tr>
      <w:tr>
        <w:trPr>
          <w:trHeight w:val="142"/>
        </w:trPr>
        <w:tc>
          <w:tcPr>
            <w:tcW w:w="3020" w:type="dxa"/>
            <w:vAlign w:val="bottom"/>
            <w:shd w:val="clear" w:color="auto" w:fill="98B0CF"/>
          </w:tcPr>
          <w:p>
            <w:pPr>
              <w:spacing w:after="0"/>
              <w:rPr>
                <w:sz w:val="12"/>
                <w:szCs w:val="12"/>
                <w:color w:val="auto"/>
              </w:rPr>
            </w:pPr>
          </w:p>
        </w:tc>
        <w:tc>
          <w:tcPr>
            <w:tcW w:w="340" w:type="dxa"/>
            <w:vAlign w:val="bottom"/>
            <w:shd w:val="clear" w:color="auto" w:fill="98B0CF"/>
          </w:tcPr>
          <w:p>
            <w:pPr>
              <w:spacing w:after="0"/>
              <w:rPr>
                <w:sz w:val="12"/>
                <w:szCs w:val="12"/>
                <w:color w:val="auto"/>
              </w:rPr>
            </w:pPr>
          </w:p>
        </w:tc>
        <w:tc>
          <w:tcPr>
            <w:tcW w:w="920" w:type="dxa"/>
            <w:vAlign w:val="bottom"/>
            <w:shd w:val="clear" w:color="auto" w:fill="98B0CF"/>
          </w:tcPr>
          <w:p>
            <w:pPr>
              <w:jc w:val="center"/>
              <w:ind w:right="73"/>
              <w:spacing w:after="0" w:line="142" w:lineRule="exact"/>
              <w:rPr>
                <w:sz w:val="20"/>
                <w:szCs w:val="20"/>
                <w:color w:val="auto"/>
              </w:rPr>
            </w:pPr>
            <w:r>
              <w:rPr>
                <w:rFonts w:ascii="Arial" w:cs="Arial" w:eastAsia="Arial" w:hAnsi="Arial"/>
                <w:sz w:val="13"/>
                <w:szCs w:val="13"/>
                <w:b w:val="1"/>
                <w:bCs w:val="1"/>
                <w:color w:val="231F20"/>
                <w:w w:val="97"/>
              </w:rPr>
              <w:t>Beginning</w:t>
            </w:r>
          </w:p>
        </w:tc>
        <w:tc>
          <w:tcPr>
            <w:tcW w:w="380" w:type="dxa"/>
            <w:vAlign w:val="bottom"/>
            <w:shd w:val="clear" w:color="auto" w:fill="98B0CF"/>
          </w:tcPr>
          <w:p>
            <w:pPr>
              <w:spacing w:after="0"/>
              <w:rPr>
                <w:sz w:val="12"/>
                <w:szCs w:val="12"/>
                <w:color w:val="auto"/>
              </w:rPr>
            </w:pPr>
          </w:p>
        </w:tc>
        <w:tc>
          <w:tcPr>
            <w:tcW w:w="880" w:type="dxa"/>
            <w:vAlign w:val="bottom"/>
            <w:shd w:val="clear" w:color="auto" w:fill="98B0CF"/>
          </w:tcPr>
          <w:p>
            <w:pPr>
              <w:jc w:val="right"/>
              <w:ind w:right="172"/>
              <w:spacing w:after="0" w:line="142" w:lineRule="exact"/>
              <w:rPr>
                <w:sz w:val="20"/>
                <w:szCs w:val="20"/>
                <w:color w:val="auto"/>
              </w:rPr>
            </w:pPr>
            <w:r>
              <w:rPr>
                <w:rFonts w:ascii="Arial" w:cs="Arial" w:eastAsia="Arial" w:hAnsi="Arial"/>
                <w:sz w:val="13"/>
                <w:szCs w:val="13"/>
                <w:b w:val="1"/>
                <w:bCs w:val="1"/>
                <w:color w:val="231F20"/>
              </w:rPr>
              <w:t>Bad Debt</w:t>
            </w:r>
          </w:p>
        </w:tc>
        <w:tc>
          <w:tcPr>
            <w:tcW w:w="400" w:type="dxa"/>
            <w:vAlign w:val="bottom"/>
            <w:shd w:val="clear" w:color="auto" w:fill="98B0CF"/>
          </w:tcPr>
          <w:p>
            <w:pPr>
              <w:spacing w:after="0"/>
              <w:rPr>
                <w:sz w:val="12"/>
                <w:szCs w:val="12"/>
                <w:color w:val="auto"/>
              </w:rPr>
            </w:pPr>
          </w:p>
        </w:tc>
        <w:tc>
          <w:tcPr>
            <w:tcW w:w="980" w:type="dxa"/>
            <w:vAlign w:val="bottom"/>
            <w:shd w:val="clear" w:color="auto" w:fill="98B0CF"/>
          </w:tcPr>
          <w:p>
            <w:pPr>
              <w:spacing w:after="0"/>
              <w:rPr>
                <w:sz w:val="12"/>
                <w:szCs w:val="12"/>
                <w:color w:val="auto"/>
              </w:rPr>
            </w:pPr>
          </w:p>
        </w:tc>
        <w:tc>
          <w:tcPr>
            <w:tcW w:w="280" w:type="dxa"/>
            <w:vAlign w:val="bottom"/>
            <w:shd w:val="clear" w:color="auto" w:fill="98B0CF"/>
          </w:tcPr>
          <w:p>
            <w:pPr>
              <w:spacing w:after="0"/>
              <w:rPr>
                <w:sz w:val="12"/>
                <w:szCs w:val="12"/>
                <w:color w:val="auto"/>
              </w:rPr>
            </w:pPr>
          </w:p>
        </w:tc>
        <w:tc>
          <w:tcPr>
            <w:tcW w:w="980" w:type="dxa"/>
            <w:vAlign w:val="bottom"/>
            <w:shd w:val="clear" w:color="auto" w:fill="98B0CF"/>
          </w:tcPr>
          <w:p>
            <w:pPr>
              <w:jc w:val="right"/>
              <w:ind w:right="152"/>
              <w:spacing w:after="0" w:line="142" w:lineRule="exact"/>
              <w:rPr>
                <w:sz w:val="20"/>
                <w:szCs w:val="20"/>
                <w:color w:val="auto"/>
              </w:rPr>
            </w:pPr>
            <w:r>
              <w:rPr>
                <w:rFonts w:ascii="Arial" w:cs="Arial" w:eastAsia="Arial" w:hAnsi="Arial"/>
                <w:sz w:val="13"/>
                <w:szCs w:val="13"/>
                <w:b w:val="1"/>
                <w:bCs w:val="1"/>
                <w:color w:val="231F20"/>
              </w:rPr>
              <w:t>Translation</w:t>
            </w:r>
          </w:p>
        </w:tc>
        <w:tc>
          <w:tcPr>
            <w:tcW w:w="360" w:type="dxa"/>
            <w:vAlign w:val="bottom"/>
            <w:shd w:val="clear" w:color="auto" w:fill="98B0CF"/>
          </w:tcPr>
          <w:p>
            <w:pPr>
              <w:spacing w:after="0"/>
              <w:rPr>
                <w:sz w:val="12"/>
                <w:szCs w:val="12"/>
                <w:color w:val="auto"/>
              </w:rPr>
            </w:pPr>
          </w:p>
        </w:tc>
        <w:tc>
          <w:tcPr>
            <w:tcW w:w="1340" w:type="dxa"/>
            <w:vAlign w:val="bottom"/>
            <w:shd w:val="clear" w:color="auto" w:fill="98B0CF"/>
          </w:tcPr>
          <w:p>
            <w:pPr>
              <w:jc w:val="right"/>
              <w:ind w:right="172"/>
              <w:spacing w:after="0" w:line="142" w:lineRule="exact"/>
              <w:rPr>
                <w:sz w:val="20"/>
                <w:szCs w:val="20"/>
                <w:color w:val="auto"/>
              </w:rPr>
            </w:pPr>
            <w:r>
              <w:rPr>
                <w:rFonts w:ascii="Arial" w:cs="Arial" w:eastAsia="Arial" w:hAnsi="Arial"/>
                <w:sz w:val="13"/>
                <w:szCs w:val="13"/>
                <w:b w:val="1"/>
                <w:bCs w:val="1"/>
                <w:color w:val="231F20"/>
              </w:rPr>
              <w:t>Reclassifications</w:t>
            </w:r>
          </w:p>
        </w:tc>
        <w:tc>
          <w:tcPr>
            <w:tcW w:w="420" w:type="dxa"/>
            <w:vAlign w:val="bottom"/>
            <w:shd w:val="clear" w:color="auto" w:fill="98B0CF"/>
          </w:tcPr>
          <w:p>
            <w:pPr>
              <w:spacing w:after="0"/>
              <w:rPr>
                <w:sz w:val="12"/>
                <w:szCs w:val="12"/>
                <w:color w:val="auto"/>
              </w:rPr>
            </w:pPr>
          </w:p>
        </w:tc>
        <w:tc>
          <w:tcPr>
            <w:tcW w:w="960" w:type="dxa"/>
            <w:vAlign w:val="bottom"/>
            <w:shd w:val="clear" w:color="auto" w:fill="98B0CF"/>
          </w:tcPr>
          <w:p>
            <w:pPr>
              <w:jc w:val="center"/>
              <w:ind w:right="153"/>
              <w:spacing w:after="0" w:line="142" w:lineRule="exact"/>
              <w:rPr>
                <w:sz w:val="20"/>
                <w:szCs w:val="20"/>
                <w:color w:val="auto"/>
              </w:rPr>
            </w:pPr>
            <w:r>
              <w:rPr>
                <w:rFonts w:ascii="Arial" w:cs="Arial" w:eastAsia="Arial" w:hAnsi="Arial"/>
                <w:sz w:val="13"/>
                <w:szCs w:val="13"/>
                <w:b w:val="1"/>
                <w:bCs w:val="1"/>
                <w:color w:val="231F20"/>
                <w:w w:val="95"/>
              </w:rPr>
              <w:t>at End</w:t>
            </w:r>
          </w:p>
        </w:tc>
      </w:tr>
      <w:tr>
        <w:trPr>
          <w:trHeight w:val="156"/>
        </w:trPr>
        <w:tc>
          <w:tcPr>
            <w:tcW w:w="3020" w:type="dxa"/>
            <w:vAlign w:val="bottom"/>
            <w:tcBorders>
              <w:bottom w:val="single" w:sz="8" w:color="auto"/>
            </w:tcBorders>
            <w:shd w:val="clear" w:color="auto" w:fill="98B0CF"/>
          </w:tcPr>
          <w:p>
            <w:pPr>
              <w:spacing w:after="0"/>
              <w:rPr>
                <w:sz w:val="13"/>
                <w:szCs w:val="13"/>
                <w:color w:val="auto"/>
              </w:rPr>
            </w:pPr>
          </w:p>
        </w:tc>
        <w:tc>
          <w:tcPr>
            <w:tcW w:w="340" w:type="dxa"/>
            <w:vAlign w:val="bottom"/>
            <w:tcBorders>
              <w:bottom w:val="single" w:sz="8" w:color="auto"/>
            </w:tcBorders>
            <w:shd w:val="clear" w:color="auto" w:fill="98B0CF"/>
          </w:tcPr>
          <w:p>
            <w:pPr>
              <w:spacing w:after="0"/>
              <w:rPr>
                <w:sz w:val="13"/>
                <w:szCs w:val="13"/>
                <w:color w:val="auto"/>
              </w:rPr>
            </w:pPr>
          </w:p>
        </w:tc>
        <w:tc>
          <w:tcPr>
            <w:tcW w:w="920" w:type="dxa"/>
            <w:vAlign w:val="bottom"/>
            <w:tcBorders>
              <w:bottom w:val="single" w:sz="8" w:color="auto"/>
            </w:tcBorders>
            <w:shd w:val="clear" w:color="auto" w:fill="98B0CF"/>
          </w:tcPr>
          <w:p>
            <w:pPr>
              <w:jc w:val="center"/>
              <w:ind w:right="73"/>
              <w:spacing w:after="0"/>
              <w:rPr>
                <w:sz w:val="20"/>
                <w:szCs w:val="20"/>
                <w:color w:val="auto"/>
              </w:rPr>
            </w:pPr>
            <w:r>
              <w:rPr>
                <w:rFonts w:ascii="Arial" w:cs="Arial" w:eastAsia="Arial" w:hAnsi="Arial"/>
                <w:sz w:val="13"/>
                <w:szCs w:val="13"/>
                <w:b w:val="1"/>
                <w:bCs w:val="1"/>
                <w:color w:val="231F20"/>
                <w:w w:val="95"/>
              </w:rPr>
              <w:t>of Year</w:t>
            </w:r>
          </w:p>
        </w:tc>
        <w:tc>
          <w:tcPr>
            <w:tcW w:w="380" w:type="dxa"/>
            <w:vAlign w:val="bottom"/>
            <w:tcBorders>
              <w:bottom w:val="single" w:sz="8" w:color="auto"/>
            </w:tcBorders>
            <w:shd w:val="clear" w:color="auto" w:fill="98B0CF"/>
          </w:tcPr>
          <w:p>
            <w:pPr>
              <w:spacing w:after="0"/>
              <w:rPr>
                <w:sz w:val="13"/>
                <w:szCs w:val="13"/>
                <w:color w:val="auto"/>
              </w:rPr>
            </w:pPr>
          </w:p>
        </w:tc>
        <w:tc>
          <w:tcPr>
            <w:tcW w:w="880" w:type="dxa"/>
            <w:vAlign w:val="bottom"/>
            <w:tcBorders>
              <w:bottom w:val="single" w:sz="8" w:color="auto"/>
            </w:tcBorders>
            <w:shd w:val="clear" w:color="auto" w:fill="98B0CF"/>
          </w:tcPr>
          <w:p>
            <w:pPr>
              <w:jc w:val="right"/>
              <w:ind w:right="172"/>
              <w:spacing w:after="0"/>
              <w:rPr>
                <w:sz w:val="20"/>
                <w:szCs w:val="20"/>
                <w:color w:val="auto"/>
              </w:rPr>
            </w:pPr>
            <w:r>
              <w:rPr>
                <w:rFonts w:ascii="Arial" w:cs="Arial" w:eastAsia="Arial" w:hAnsi="Arial"/>
                <w:sz w:val="13"/>
                <w:szCs w:val="13"/>
                <w:b w:val="1"/>
                <w:bCs w:val="1"/>
                <w:color w:val="231F20"/>
              </w:rPr>
              <w:t>Expense</w:t>
            </w:r>
          </w:p>
        </w:tc>
        <w:tc>
          <w:tcPr>
            <w:tcW w:w="400" w:type="dxa"/>
            <w:vAlign w:val="bottom"/>
            <w:tcBorders>
              <w:bottom w:val="single" w:sz="8" w:color="auto"/>
            </w:tcBorders>
            <w:shd w:val="clear" w:color="auto" w:fill="98B0CF"/>
          </w:tcPr>
          <w:p>
            <w:pPr>
              <w:spacing w:after="0"/>
              <w:rPr>
                <w:sz w:val="13"/>
                <w:szCs w:val="13"/>
                <w:color w:val="auto"/>
              </w:rPr>
            </w:pPr>
          </w:p>
        </w:tc>
        <w:tc>
          <w:tcPr>
            <w:tcW w:w="980" w:type="dxa"/>
            <w:vAlign w:val="bottom"/>
            <w:tcBorders>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Write-Offs</w:t>
            </w:r>
          </w:p>
        </w:tc>
        <w:tc>
          <w:tcPr>
            <w:tcW w:w="280" w:type="dxa"/>
            <w:vAlign w:val="bottom"/>
            <w:tcBorders>
              <w:bottom w:val="single" w:sz="8" w:color="auto"/>
            </w:tcBorders>
            <w:shd w:val="clear" w:color="auto" w:fill="98B0CF"/>
          </w:tcPr>
          <w:p>
            <w:pPr>
              <w:spacing w:after="0"/>
              <w:rPr>
                <w:sz w:val="13"/>
                <w:szCs w:val="13"/>
                <w:color w:val="auto"/>
              </w:rPr>
            </w:pPr>
          </w:p>
        </w:tc>
        <w:tc>
          <w:tcPr>
            <w:tcW w:w="980" w:type="dxa"/>
            <w:vAlign w:val="bottom"/>
            <w:tcBorders>
              <w:bottom w:val="single" w:sz="8" w:color="auto"/>
            </w:tcBorders>
            <w:shd w:val="clear" w:color="auto" w:fill="98B0CF"/>
          </w:tcPr>
          <w:p>
            <w:pPr>
              <w:jc w:val="right"/>
              <w:ind w:right="112"/>
              <w:spacing w:after="0"/>
              <w:rPr>
                <w:sz w:val="20"/>
                <w:szCs w:val="20"/>
                <w:color w:val="auto"/>
              </w:rPr>
            </w:pPr>
            <w:r>
              <w:rPr>
                <w:rFonts w:ascii="Arial" w:cs="Arial" w:eastAsia="Arial" w:hAnsi="Arial"/>
                <w:sz w:val="13"/>
                <w:szCs w:val="13"/>
                <w:b w:val="1"/>
                <w:bCs w:val="1"/>
                <w:color w:val="231F20"/>
                <w:w w:val="99"/>
              </w:rPr>
              <w:t>Adjustments</w:t>
            </w:r>
          </w:p>
        </w:tc>
        <w:tc>
          <w:tcPr>
            <w:tcW w:w="360" w:type="dxa"/>
            <w:vAlign w:val="bottom"/>
            <w:tcBorders>
              <w:bottom w:val="single" w:sz="8" w:color="auto"/>
            </w:tcBorders>
            <w:shd w:val="clear" w:color="auto" w:fill="98B0CF"/>
          </w:tcPr>
          <w:p>
            <w:pPr>
              <w:spacing w:after="0"/>
              <w:rPr>
                <w:sz w:val="13"/>
                <w:szCs w:val="13"/>
                <w:color w:val="auto"/>
              </w:rPr>
            </w:pPr>
          </w:p>
        </w:tc>
        <w:tc>
          <w:tcPr>
            <w:tcW w:w="1340" w:type="dxa"/>
            <w:vAlign w:val="bottom"/>
            <w:tcBorders>
              <w:bottom w:val="single" w:sz="8" w:color="auto"/>
            </w:tcBorders>
            <w:shd w:val="clear" w:color="auto" w:fill="98B0CF"/>
          </w:tcPr>
          <w:p>
            <w:pPr>
              <w:jc w:val="right"/>
              <w:ind w:right="392"/>
              <w:spacing w:after="0"/>
              <w:rPr>
                <w:sz w:val="20"/>
                <w:szCs w:val="20"/>
                <w:color w:val="auto"/>
              </w:rPr>
            </w:pPr>
            <w:r>
              <w:rPr>
                <w:rFonts w:ascii="Arial" w:cs="Arial" w:eastAsia="Arial" w:hAnsi="Arial"/>
                <w:sz w:val="13"/>
                <w:szCs w:val="13"/>
                <w:b w:val="1"/>
                <w:bCs w:val="1"/>
                <w:color w:val="231F20"/>
              </w:rPr>
              <w:t>and Other</w:t>
            </w:r>
          </w:p>
        </w:tc>
        <w:tc>
          <w:tcPr>
            <w:tcW w:w="420" w:type="dxa"/>
            <w:vAlign w:val="bottom"/>
            <w:tcBorders>
              <w:bottom w:val="single" w:sz="8" w:color="auto"/>
            </w:tcBorders>
            <w:shd w:val="clear" w:color="auto" w:fill="98B0CF"/>
          </w:tcPr>
          <w:p>
            <w:pPr>
              <w:spacing w:after="0"/>
              <w:rPr>
                <w:sz w:val="13"/>
                <w:szCs w:val="13"/>
                <w:color w:val="auto"/>
              </w:rPr>
            </w:pPr>
          </w:p>
        </w:tc>
        <w:tc>
          <w:tcPr>
            <w:tcW w:w="960" w:type="dxa"/>
            <w:vAlign w:val="bottom"/>
            <w:tcBorders>
              <w:bottom w:val="single" w:sz="8" w:color="auto"/>
            </w:tcBorders>
            <w:shd w:val="clear" w:color="auto" w:fill="98B0CF"/>
          </w:tcPr>
          <w:p>
            <w:pPr>
              <w:jc w:val="center"/>
              <w:ind w:right="173"/>
              <w:spacing w:after="0"/>
              <w:rPr>
                <w:sz w:val="20"/>
                <w:szCs w:val="20"/>
                <w:color w:val="auto"/>
              </w:rPr>
            </w:pPr>
            <w:r>
              <w:rPr>
                <w:rFonts w:ascii="Arial" w:cs="Arial" w:eastAsia="Arial" w:hAnsi="Arial"/>
                <w:sz w:val="13"/>
                <w:szCs w:val="13"/>
                <w:b w:val="1"/>
                <w:bCs w:val="1"/>
                <w:color w:val="231F20"/>
                <w:w w:val="99"/>
              </w:rPr>
              <w:t>of Year</w:t>
            </w:r>
          </w:p>
        </w:tc>
      </w:tr>
      <w:tr>
        <w:trPr>
          <w:trHeight w:val="187"/>
        </w:trPr>
        <w:tc>
          <w:tcPr>
            <w:tcW w:w="3020" w:type="dxa"/>
            <w:vAlign w:val="bottom"/>
            <w:shd w:val="clear" w:color="auto" w:fill="E2E8F1"/>
          </w:tcPr>
          <w:p>
            <w:pPr>
              <w:jc w:val="right"/>
              <w:ind w:right="1289"/>
              <w:spacing w:after="0"/>
              <w:rPr>
                <w:sz w:val="20"/>
                <w:szCs w:val="20"/>
                <w:color w:val="auto"/>
              </w:rPr>
            </w:pPr>
            <w:r>
              <w:rPr>
                <w:rFonts w:ascii="Arial" w:cs="Arial" w:eastAsia="Arial" w:hAnsi="Arial"/>
                <w:sz w:val="14"/>
                <w:szCs w:val="14"/>
                <w:color w:val="231F20"/>
              </w:rPr>
              <w:t>2024</w:t>
            </w:r>
          </w:p>
        </w:tc>
        <w:tc>
          <w:tcPr>
            <w:tcW w:w="34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231F20"/>
              </w:rPr>
              <w:t>$</w:t>
            </w:r>
          </w:p>
        </w:tc>
        <w:tc>
          <w:tcPr>
            <w:tcW w:w="920" w:type="dxa"/>
            <w:vAlign w:val="bottom"/>
            <w:shd w:val="clear" w:color="auto" w:fill="E2E8F1"/>
          </w:tcPr>
          <w:p>
            <w:pPr>
              <w:jc w:val="right"/>
              <w:ind w:right="353"/>
              <w:spacing w:after="0"/>
              <w:rPr>
                <w:sz w:val="20"/>
                <w:szCs w:val="20"/>
                <w:color w:val="auto"/>
              </w:rPr>
            </w:pPr>
            <w:r>
              <w:rPr>
                <w:rFonts w:ascii="Arial" w:cs="Arial" w:eastAsia="Arial" w:hAnsi="Arial"/>
                <w:sz w:val="14"/>
                <w:szCs w:val="14"/>
                <w:color w:val="231F20"/>
              </w:rPr>
              <w:t>99.2</w:t>
            </w:r>
          </w:p>
        </w:tc>
        <w:tc>
          <w:tcPr>
            <w:tcW w:w="38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w:t>
            </w:r>
          </w:p>
        </w:tc>
        <w:tc>
          <w:tcPr>
            <w:tcW w:w="880" w:type="dxa"/>
            <w:vAlign w:val="bottom"/>
            <w:shd w:val="clear" w:color="auto" w:fill="E2E8F1"/>
          </w:tcPr>
          <w:p>
            <w:pPr>
              <w:jc w:val="right"/>
              <w:ind w:right="312"/>
              <w:spacing w:after="0"/>
              <w:rPr>
                <w:sz w:val="20"/>
                <w:szCs w:val="20"/>
                <w:color w:val="auto"/>
              </w:rPr>
            </w:pPr>
            <w:r>
              <w:rPr>
                <w:rFonts w:ascii="Arial" w:cs="Arial" w:eastAsia="Arial" w:hAnsi="Arial"/>
                <w:sz w:val="14"/>
                <w:szCs w:val="14"/>
                <w:color w:val="231F20"/>
              </w:rPr>
              <w:t>9.0</w:t>
            </w:r>
          </w:p>
        </w:tc>
        <w:tc>
          <w:tcPr>
            <w:tcW w:w="40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231F20"/>
              </w:rPr>
              <w:t>$</w:t>
            </w:r>
          </w:p>
        </w:tc>
        <w:tc>
          <w:tcPr>
            <w:tcW w:w="980" w:type="dxa"/>
            <w:vAlign w:val="bottom"/>
            <w:shd w:val="clear" w:color="auto" w:fill="E2E8F1"/>
          </w:tcPr>
          <w:p>
            <w:pPr>
              <w:ind w:left="180"/>
              <w:spacing w:after="0" w:line="187" w:lineRule="exact"/>
              <w:rPr>
                <w:sz w:val="20"/>
                <w:szCs w:val="20"/>
                <w:color w:val="auto"/>
              </w:rPr>
            </w:pPr>
            <w:r>
              <w:rPr>
                <w:rFonts w:ascii="Arial" w:cs="Arial" w:eastAsia="Arial" w:hAnsi="Arial"/>
                <w:sz w:val="14"/>
                <w:szCs w:val="14"/>
                <w:color w:val="231F20"/>
              </w:rPr>
              <w:t xml:space="preserve">(35.6 )  </w:t>
            </w:r>
            <w:r>
              <w:rPr>
                <w:rFonts w:ascii="Arial" w:cs="Arial" w:eastAsia="Arial" w:hAnsi="Arial"/>
                <w:sz w:val="19"/>
                <w:szCs w:val="19"/>
                <w:color w:val="231F20"/>
                <w:vertAlign w:val="superscript"/>
              </w:rPr>
              <w:t>(a)</w:t>
            </w:r>
          </w:p>
        </w:tc>
        <w:tc>
          <w:tcPr>
            <w:tcW w:w="28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w:t>
            </w:r>
          </w:p>
        </w:tc>
        <w:tc>
          <w:tcPr>
            <w:tcW w:w="980" w:type="dxa"/>
            <w:vAlign w:val="bottom"/>
            <w:shd w:val="clear" w:color="auto" w:fill="E2E8F1"/>
          </w:tcPr>
          <w:p>
            <w:pPr>
              <w:jc w:val="right"/>
              <w:ind w:right="292"/>
              <w:spacing w:after="0"/>
              <w:rPr>
                <w:sz w:val="20"/>
                <w:szCs w:val="20"/>
                <w:color w:val="auto"/>
              </w:rPr>
            </w:pPr>
            <w:r>
              <w:rPr>
                <w:rFonts w:ascii="Arial" w:cs="Arial" w:eastAsia="Arial" w:hAnsi="Arial"/>
                <w:sz w:val="14"/>
                <w:szCs w:val="14"/>
                <w:color w:val="231F20"/>
              </w:rPr>
              <w:t>(5.0 )</w:t>
            </w:r>
          </w:p>
        </w:tc>
        <w:tc>
          <w:tcPr>
            <w:tcW w:w="36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w:t>
            </w:r>
          </w:p>
        </w:tc>
        <w:tc>
          <w:tcPr>
            <w:tcW w:w="1340" w:type="dxa"/>
            <w:vAlign w:val="bottom"/>
            <w:shd w:val="clear" w:color="auto" w:fill="E2E8F1"/>
          </w:tcPr>
          <w:p>
            <w:pPr>
              <w:jc w:val="right"/>
              <w:ind w:right="612"/>
              <w:spacing w:after="0"/>
              <w:rPr>
                <w:sz w:val="20"/>
                <w:szCs w:val="20"/>
                <w:color w:val="auto"/>
              </w:rPr>
            </w:pPr>
            <w:r>
              <w:rPr>
                <w:rFonts w:ascii="Arial" w:cs="Arial" w:eastAsia="Arial" w:hAnsi="Arial"/>
                <w:sz w:val="14"/>
                <w:szCs w:val="14"/>
                <w:color w:val="231F20"/>
              </w:rPr>
              <w:t>—</w:t>
            </w:r>
          </w:p>
        </w:tc>
        <w:tc>
          <w:tcPr>
            <w:tcW w:w="420" w:type="dxa"/>
            <w:vAlign w:val="bottom"/>
            <w:shd w:val="clear" w:color="auto" w:fill="E2E8F1"/>
          </w:tcPr>
          <w:p>
            <w:pPr>
              <w:jc w:val="right"/>
              <w:ind w:right="49"/>
              <w:spacing w:after="0"/>
              <w:rPr>
                <w:sz w:val="20"/>
                <w:szCs w:val="20"/>
                <w:color w:val="auto"/>
              </w:rPr>
            </w:pPr>
            <w:r>
              <w:rPr>
                <w:rFonts w:ascii="Arial" w:cs="Arial" w:eastAsia="Arial" w:hAnsi="Arial"/>
                <w:sz w:val="14"/>
                <w:szCs w:val="14"/>
                <w:color w:val="231F20"/>
              </w:rPr>
              <w:t>$</w:t>
            </w:r>
          </w:p>
        </w:tc>
        <w:tc>
          <w:tcPr>
            <w:tcW w:w="960" w:type="dxa"/>
            <w:vAlign w:val="bottom"/>
            <w:shd w:val="clear" w:color="auto" w:fill="E2E8F1"/>
          </w:tcPr>
          <w:p>
            <w:pPr>
              <w:jc w:val="right"/>
              <w:ind w:right="413"/>
              <w:spacing w:after="0"/>
              <w:rPr>
                <w:sz w:val="20"/>
                <w:szCs w:val="20"/>
                <w:color w:val="auto"/>
              </w:rPr>
            </w:pPr>
            <w:r>
              <w:rPr>
                <w:rFonts w:ascii="Arial" w:cs="Arial" w:eastAsia="Arial" w:hAnsi="Arial"/>
                <w:sz w:val="14"/>
                <w:szCs w:val="14"/>
                <w:color w:val="231F20"/>
              </w:rPr>
              <w:t>67.6</w:t>
            </w:r>
          </w:p>
        </w:tc>
      </w:tr>
      <w:tr>
        <w:trPr>
          <w:trHeight w:val="188"/>
        </w:trPr>
        <w:tc>
          <w:tcPr>
            <w:tcW w:w="3020" w:type="dxa"/>
            <w:vAlign w:val="bottom"/>
          </w:tcPr>
          <w:p>
            <w:pPr>
              <w:jc w:val="right"/>
              <w:ind w:right="1289"/>
              <w:spacing w:after="0"/>
              <w:rPr>
                <w:sz w:val="20"/>
                <w:szCs w:val="20"/>
                <w:color w:val="auto"/>
              </w:rPr>
            </w:pPr>
            <w:r>
              <w:rPr>
                <w:rFonts w:ascii="Arial" w:cs="Arial" w:eastAsia="Arial" w:hAnsi="Arial"/>
                <w:sz w:val="14"/>
                <w:szCs w:val="14"/>
                <w:color w:val="231F20"/>
              </w:rPr>
              <w:t>2023</w:t>
            </w:r>
          </w:p>
        </w:tc>
        <w:tc>
          <w:tcPr>
            <w:tcW w:w="340" w:type="dxa"/>
            <w:vAlign w:val="bottom"/>
          </w:tcPr>
          <w:p>
            <w:pPr>
              <w:spacing w:after="0"/>
              <w:rPr>
                <w:sz w:val="16"/>
                <w:szCs w:val="16"/>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color w:val="231F20"/>
              </w:rPr>
              <w:t>109.3</w:t>
            </w:r>
          </w:p>
        </w:tc>
        <w:tc>
          <w:tcPr>
            <w:tcW w:w="380" w:type="dxa"/>
            <w:vAlign w:val="bottom"/>
          </w:tcPr>
          <w:p>
            <w:pPr>
              <w:spacing w:after="0"/>
              <w:rPr>
                <w:sz w:val="16"/>
                <w:szCs w:val="16"/>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color w:val="231F20"/>
              </w:rPr>
              <w:t>5.4</w:t>
            </w:r>
          </w:p>
        </w:tc>
        <w:tc>
          <w:tcPr>
            <w:tcW w:w="400" w:type="dxa"/>
            <w:vAlign w:val="bottom"/>
          </w:tcPr>
          <w:p>
            <w:pPr>
              <w:spacing w:after="0"/>
              <w:rPr>
                <w:sz w:val="16"/>
                <w:szCs w:val="16"/>
                <w:color w:val="auto"/>
              </w:rPr>
            </w:pPr>
          </w:p>
        </w:tc>
        <w:tc>
          <w:tcPr>
            <w:tcW w:w="980" w:type="dxa"/>
            <w:vAlign w:val="bottom"/>
          </w:tcPr>
          <w:p>
            <w:pPr>
              <w:ind w:left="180"/>
              <w:spacing w:after="0"/>
              <w:rPr>
                <w:sz w:val="20"/>
                <w:szCs w:val="20"/>
                <w:color w:val="auto"/>
              </w:rPr>
            </w:pPr>
            <w:r>
              <w:rPr>
                <w:rFonts w:ascii="Arial" w:cs="Arial" w:eastAsia="Arial" w:hAnsi="Arial"/>
                <w:sz w:val="14"/>
                <w:szCs w:val="14"/>
                <w:color w:val="231F20"/>
              </w:rPr>
              <w:t>(18.2 )</w:t>
            </w:r>
          </w:p>
        </w:tc>
        <w:tc>
          <w:tcPr>
            <w:tcW w:w="280" w:type="dxa"/>
            <w:vAlign w:val="bottom"/>
          </w:tcPr>
          <w:p>
            <w:pPr>
              <w:spacing w:after="0"/>
              <w:rPr>
                <w:sz w:val="16"/>
                <w:szCs w:val="16"/>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color w:val="231F20"/>
              </w:rPr>
              <w:t>2.7</w:t>
            </w:r>
          </w:p>
        </w:tc>
        <w:tc>
          <w:tcPr>
            <w:tcW w:w="360" w:type="dxa"/>
            <w:vAlign w:val="bottom"/>
          </w:tcPr>
          <w:p>
            <w:pPr>
              <w:spacing w:after="0"/>
              <w:rPr>
                <w:sz w:val="16"/>
                <w:szCs w:val="16"/>
                <w:color w:val="auto"/>
              </w:rPr>
            </w:pPr>
          </w:p>
        </w:tc>
        <w:tc>
          <w:tcPr>
            <w:tcW w:w="1340" w:type="dxa"/>
            <w:vAlign w:val="bottom"/>
          </w:tcPr>
          <w:p>
            <w:pPr>
              <w:jc w:val="right"/>
              <w:ind w:right="612"/>
              <w:spacing w:after="0"/>
              <w:rPr>
                <w:sz w:val="20"/>
                <w:szCs w:val="20"/>
                <w:color w:val="auto"/>
              </w:rPr>
            </w:pPr>
            <w:r>
              <w:rPr>
                <w:rFonts w:ascii="Arial" w:cs="Arial" w:eastAsia="Arial" w:hAnsi="Arial"/>
                <w:sz w:val="14"/>
                <w:szCs w:val="14"/>
                <w:color w:val="231F20"/>
              </w:rPr>
              <w:t>—</w:t>
            </w:r>
          </w:p>
        </w:tc>
        <w:tc>
          <w:tcPr>
            <w:tcW w:w="42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color w:val="231F20"/>
              </w:rPr>
              <w:t>99.2</w:t>
            </w:r>
          </w:p>
        </w:tc>
      </w:tr>
      <w:tr>
        <w:trPr>
          <w:trHeight w:val="189"/>
        </w:trPr>
        <w:tc>
          <w:tcPr>
            <w:tcW w:w="3020" w:type="dxa"/>
            <w:vAlign w:val="bottom"/>
            <w:tcBorders>
              <w:bottom w:val="single" w:sz="8" w:color="231F20"/>
            </w:tcBorders>
            <w:shd w:val="clear" w:color="auto" w:fill="E2E8F1"/>
          </w:tcPr>
          <w:p>
            <w:pPr>
              <w:jc w:val="right"/>
              <w:ind w:right="1289"/>
              <w:spacing w:after="0"/>
              <w:rPr>
                <w:sz w:val="20"/>
                <w:szCs w:val="20"/>
                <w:color w:val="auto"/>
              </w:rPr>
            </w:pPr>
            <w:r>
              <w:rPr>
                <w:rFonts w:ascii="Arial" w:cs="Arial" w:eastAsia="Arial" w:hAnsi="Arial"/>
                <w:sz w:val="14"/>
                <w:szCs w:val="14"/>
                <w:color w:val="231F20"/>
              </w:rPr>
              <w:t>2022</w:t>
            </w:r>
          </w:p>
        </w:tc>
        <w:tc>
          <w:tcPr>
            <w:tcW w:w="340" w:type="dxa"/>
            <w:vAlign w:val="bottom"/>
            <w:tcBorders>
              <w:bottom w:val="single" w:sz="8" w:color="231F20"/>
            </w:tcBorders>
            <w:shd w:val="clear" w:color="auto" w:fill="E2E8F1"/>
          </w:tcPr>
          <w:p>
            <w:pPr>
              <w:spacing w:after="0"/>
              <w:rPr>
                <w:sz w:val="16"/>
                <w:szCs w:val="16"/>
                <w:color w:val="auto"/>
              </w:rPr>
            </w:pPr>
          </w:p>
        </w:tc>
        <w:tc>
          <w:tcPr>
            <w:tcW w:w="920" w:type="dxa"/>
            <w:vAlign w:val="bottom"/>
            <w:tcBorders>
              <w:bottom w:val="single" w:sz="8" w:color="231F20"/>
            </w:tcBorders>
            <w:shd w:val="clear" w:color="auto" w:fill="E2E8F1"/>
          </w:tcPr>
          <w:p>
            <w:pPr>
              <w:jc w:val="right"/>
              <w:ind w:right="353"/>
              <w:spacing w:after="0"/>
              <w:rPr>
                <w:sz w:val="20"/>
                <w:szCs w:val="20"/>
                <w:color w:val="auto"/>
              </w:rPr>
            </w:pPr>
            <w:r>
              <w:rPr>
                <w:rFonts w:ascii="Arial" w:cs="Arial" w:eastAsia="Arial" w:hAnsi="Arial"/>
                <w:sz w:val="14"/>
                <w:szCs w:val="14"/>
                <w:color w:val="231F20"/>
              </w:rPr>
              <w:t>121.6</w:t>
            </w:r>
          </w:p>
        </w:tc>
        <w:tc>
          <w:tcPr>
            <w:tcW w:w="380" w:type="dxa"/>
            <w:vAlign w:val="bottom"/>
            <w:tcBorders>
              <w:bottom w:val="single" w:sz="8" w:color="231F20"/>
            </w:tcBorders>
            <w:shd w:val="clear" w:color="auto" w:fill="E2E8F1"/>
          </w:tcPr>
          <w:p>
            <w:pPr>
              <w:spacing w:after="0"/>
              <w:rPr>
                <w:sz w:val="16"/>
                <w:szCs w:val="16"/>
                <w:color w:val="auto"/>
              </w:rPr>
            </w:pPr>
          </w:p>
        </w:tc>
        <w:tc>
          <w:tcPr>
            <w:tcW w:w="880" w:type="dxa"/>
            <w:vAlign w:val="bottom"/>
            <w:tcBorders>
              <w:bottom w:val="single" w:sz="8" w:color="231F20"/>
            </w:tcBorders>
            <w:shd w:val="clear" w:color="auto" w:fill="E2E8F1"/>
          </w:tcPr>
          <w:p>
            <w:pPr>
              <w:jc w:val="right"/>
              <w:ind w:right="312"/>
              <w:spacing w:after="0"/>
              <w:rPr>
                <w:sz w:val="20"/>
                <w:szCs w:val="20"/>
                <w:color w:val="auto"/>
              </w:rPr>
            </w:pPr>
            <w:r>
              <w:rPr>
                <w:rFonts w:ascii="Arial" w:cs="Arial" w:eastAsia="Arial" w:hAnsi="Arial"/>
                <w:sz w:val="14"/>
                <w:szCs w:val="14"/>
                <w:color w:val="231F20"/>
              </w:rPr>
              <w:t>6.2</w:t>
            </w:r>
          </w:p>
        </w:tc>
        <w:tc>
          <w:tcPr>
            <w:tcW w:w="400" w:type="dxa"/>
            <w:vAlign w:val="bottom"/>
            <w:tcBorders>
              <w:bottom w:val="single" w:sz="8" w:color="231F20"/>
            </w:tcBorders>
            <w:shd w:val="clear" w:color="auto" w:fill="E2E8F1"/>
          </w:tcPr>
          <w:p>
            <w:pPr>
              <w:spacing w:after="0"/>
              <w:rPr>
                <w:sz w:val="16"/>
                <w:szCs w:val="16"/>
                <w:color w:val="auto"/>
              </w:rPr>
            </w:pPr>
          </w:p>
        </w:tc>
        <w:tc>
          <w:tcPr>
            <w:tcW w:w="980" w:type="dxa"/>
            <w:vAlign w:val="bottom"/>
            <w:tcBorders>
              <w:bottom w:val="single" w:sz="8" w:color="231F20"/>
            </w:tcBorders>
            <w:shd w:val="clear" w:color="auto" w:fill="E2E8F1"/>
          </w:tcPr>
          <w:p>
            <w:pPr>
              <w:ind w:left="180"/>
              <w:spacing w:after="0"/>
              <w:rPr>
                <w:sz w:val="20"/>
                <w:szCs w:val="20"/>
                <w:color w:val="auto"/>
              </w:rPr>
            </w:pPr>
            <w:r>
              <w:rPr>
                <w:rFonts w:ascii="Arial" w:cs="Arial" w:eastAsia="Arial" w:hAnsi="Arial"/>
                <w:sz w:val="14"/>
                <w:szCs w:val="14"/>
                <w:color w:val="231F20"/>
              </w:rPr>
              <w:t>(12.4 )</w:t>
            </w:r>
          </w:p>
        </w:tc>
        <w:tc>
          <w:tcPr>
            <w:tcW w:w="280" w:type="dxa"/>
            <w:vAlign w:val="bottom"/>
            <w:tcBorders>
              <w:bottom w:val="single" w:sz="8" w:color="231F20"/>
            </w:tcBorders>
            <w:shd w:val="clear" w:color="auto" w:fill="E2E8F1"/>
          </w:tcPr>
          <w:p>
            <w:pPr>
              <w:spacing w:after="0"/>
              <w:rPr>
                <w:sz w:val="16"/>
                <w:szCs w:val="16"/>
                <w:color w:val="auto"/>
              </w:rPr>
            </w:pPr>
          </w:p>
        </w:tc>
        <w:tc>
          <w:tcPr>
            <w:tcW w:w="980" w:type="dxa"/>
            <w:vAlign w:val="bottom"/>
            <w:tcBorders>
              <w:bottom w:val="single" w:sz="8" w:color="231F20"/>
            </w:tcBorders>
            <w:shd w:val="clear" w:color="auto" w:fill="E2E8F1"/>
          </w:tcPr>
          <w:p>
            <w:pPr>
              <w:jc w:val="right"/>
              <w:ind w:right="292"/>
              <w:spacing w:after="0"/>
              <w:rPr>
                <w:sz w:val="20"/>
                <w:szCs w:val="20"/>
                <w:color w:val="auto"/>
              </w:rPr>
            </w:pPr>
            <w:r>
              <w:rPr>
                <w:rFonts w:ascii="Arial" w:cs="Arial" w:eastAsia="Arial" w:hAnsi="Arial"/>
                <w:sz w:val="14"/>
                <w:szCs w:val="14"/>
                <w:color w:val="231F20"/>
              </w:rPr>
              <w:t>(5.8 )</w:t>
            </w:r>
          </w:p>
        </w:tc>
        <w:tc>
          <w:tcPr>
            <w:tcW w:w="360" w:type="dxa"/>
            <w:vAlign w:val="bottom"/>
            <w:tcBorders>
              <w:bottom w:val="single" w:sz="8" w:color="231F20"/>
            </w:tcBorders>
            <w:shd w:val="clear" w:color="auto" w:fill="E2E8F1"/>
          </w:tcPr>
          <w:p>
            <w:pPr>
              <w:spacing w:after="0"/>
              <w:rPr>
                <w:sz w:val="16"/>
                <w:szCs w:val="16"/>
                <w:color w:val="auto"/>
              </w:rPr>
            </w:pPr>
          </w:p>
        </w:tc>
        <w:tc>
          <w:tcPr>
            <w:tcW w:w="1340" w:type="dxa"/>
            <w:vAlign w:val="bottom"/>
            <w:tcBorders>
              <w:bottom w:val="single" w:sz="8" w:color="231F20"/>
            </w:tcBorders>
            <w:shd w:val="clear" w:color="auto" w:fill="E2E8F1"/>
          </w:tcPr>
          <w:p>
            <w:pPr>
              <w:jc w:val="right"/>
              <w:ind w:right="512"/>
              <w:spacing w:after="0"/>
              <w:rPr>
                <w:sz w:val="20"/>
                <w:szCs w:val="20"/>
                <w:color w:val="auto"/>
              </w:rPr>
            </w:pPr>
            <w:r>
              <w:rPr>
                <w:rFonts w:ascii="Arial" w:cs="Arial" w:eastAsia="Arial" w:hAnsi="Arial"/>
                <w:sz w:val="14"/>
                <w:szCs w:val="14"/>
                <w:color w:val="231F20"/>
              </w:rPr>
              <w:t>(0.3 )</w:t>
            </w:r>
          </w:p>
        </w:tc>
        <w:tc>
          <w:tcPr>
            <w:tcW w:w="420" w:type="dxa"/>
            <w:vAlign w:val="bottom"/>
            <w:tcBorders>
              <w:bottom w:val="single" w:sz="8" w:color="231F20"/>
            </w:tcBorders>
            <w:shd w:val="clear" w:color="auto" w:fill="E2E8F1"/>
          </w:tcPr>
          <w:p>
            <w:pPr>
              <w:spacing w:after="0"/>
              <w:rPr>
                <w:sz w:val="16"/>
                <w:szCs w:val="16"/>
                <w:color w:val="auto"/>
              </w:rPr>
            </w:pPr>
          </w:p>
        </w:tc>
        <w:tc>
          <w:tcPr>
            <w:tcW w:w="960" w:type="dxa"/>
            <w:vAlign w:val="bottom"/>
            <w:tcBorders>
              <w:bottom w:val="single" w:sz="8" w:color="231F20"/>
            </w:tcBorders>
            <w:shd w:val="clear" w:color="auto" w:fill="E2E8F1"/>
          </w:tcPr>
          <w:p>
            <w:pPr>
              <w:jc w:val="right"/>
              <w:ind w:right="413"/>
              <w:spacing w:after="0"/>
              <w:rPr>
                <w:sz w:val="20"/>
                <w:szCs w:val="20"/>
                <w:color w:val="auto"/>
              </w:rPr>
            </w:pPr>
            <w:r>
              <w:rPr>
                <w:rFonts w:ascii="Arial" w:cs="Arial" w:eastAsia="Arial" w:hAnsi="Arial"/>
                <w:sz w:val="14"/>
                <w:szCs w:val="14"/>
                <w:color w:val="231F20"/>
              </w:rPr>
              <w:t>109.3</w:t>
            </w:r>
          </w:p>
        </w:tc>
      </w:tr>
    </w:tbl>
    <w:p>
      <w:pPr>
        <w:spacing w:after="0" w:line="69" w:lineRule="exact"/>
        <w:rPr>
          <w:sz w:val="20"/>
          <w:szCs w:val="20"/>
          <w:color w:val="auto"/>
        </w:rPr>
      </w:pPr>
    </w:p>
    <w:p>
      <w:pPr>
        <w:ind w:left="325" w:hanging="325"/>
        <w:spacing w:after="0"/>
        <w:tabs>
          <w:tab w:leader="none" w:pos="325" w:val="left"/>
        </w:tabs>
        <w:numPr>
          <w:ilvl w:val="0"/>
          <w:numId w:val="32"/>
        </w:numPr>
        <w:rPr>
          <w:rFonts w:ascii="Arial" w:cs="Arial" w:eastAsia="Arial" w:hAnsi="Arial"/>
          <w:sz w:val="17"/>
          <w:szCs w:val="17"/>
          <w:color w:val="231F20"/>
          <w:vertAlign w:val="superscript"/>
        </w:rPr>
      </w:pPr>
      <w:r>
        <w:rPr>
          <w:rFonts w:ascii="Arial" w:cs="Arial" w:eastAsia="Arial" w:hAnsi="Arial"/>
          <w:sz w:val="13"/>
          <w:szCs w:val="13"/>
          <w:color w:val="231F20"/>
        </w:rPr>
        <w:t>Includes a $24.7 bad debt write-off in Italy to secure tax benefits.</w:t>
      </w:r>
    </w:p>
    <w:p>
      <w:pPr>
        <w:spacing w:after="0" w:line="111" w:lineRule="exact"/>
        <w:rPr>
          <w:sz w:val="20"/>
          <w:szCs w:val="20"/>
          <w:color w:val="auto"/>
        </w:rPr>
      </w:pPr>
    </w:p>
    <w:p>
      <w:pPr>
        <w:jc w:val="both"/>
        <w:ind w:left="5" w:right="20"/>
        <w:spacing w:after="0" w:line="246" w:lineRule="auto"/>
        <w:rPr>
          <w:sz w:val="20"/>
          <w:szCs w:val="20"/>
          <w:color w:val="auto"/>
        </w:rPr>
      </w:pPr>
      <w:r>
        <w:rPr>
          <w:rFonts w:ascii="Arial" w:cs="Arial" w:eastAsia="Arial" w:hAnsi="Arial"/>
          <w:sz w:val="16"/>
          <w:szCs w:val="16"/>
          <w:color w:val="231F20"/>
        </w:rPr>
        <w:t>Bad debt expense is recorded as selling and administrative expenses in our Consolidated Statements of Operations. Factors that would cause this provision to increase primarily relate to increased bankruptcies by our clients and other difficulties collecting amounts billed. On the other hand, an improved write-off experience and aging of receivables would result in a decrease to the provision.</w:t>
      </w:r>
    </w:p>
    <w:p>
      <w:pPr>
        <w:spacing w:after="0" w:line="85"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Advertising Costs</w:t>
      </w:r>
    </w:p>
    <w:p>
      <w:pPr>
        <w:spacing w:after="0" w:line="8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We expense production costs of advertising as they are incurred. Advertising expenses were $28.3, $28.9 and $29.6 in 2024, 2023 and 2022, respectively.</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Restructuring Costs</w:t>
      </w:r>
    </w:p>
    <w:p>
      <w:pPr>
        <w:spacing w:after="0" w:line="88"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231F20"/>
        </w:rPr>
        <w:t>We recorded net restructuring costs of $53.6, $149.2 and $3.6 in 2024, 2023 and 2022, respectively, in selling and administrative expenses. Payments made from the restructuring reserve were $93.7 and $72.4 during 2024 and 2023, respectively. We use our restructuring reserve for severance, office closures, office consolidations, and professional and other fees related to restructuring in multiple countries and territories. We expect a majority of the remaining $46.5 reserve will be paid by the end of 2025.</w:t>
      </w:r>
    </w:p>
    <w:p>
      <w:pPr>
        <w:spacing w:after="0" w:line="65" w:lineRule="exact"/>
        <w:rPr>
          <w:sz w:val="20"/>
          <w:szCs w:val="20"/>
          <w:color w:val="auto"/>
        </w:rPr>
      </w:pPr>
    </w:p>
    <w:p>
      <w:pPr>
        <w:ind w:left="5"/>
        <w:spacing w:after="0"/>
        <w:rPr>
          <w:sz w:val="20"/>
          <w:szCs w:val="20"/>
          <w:color w:val="auto"/>
        </w:rPr>
      </w:pPr>
      <w:r>
        <w:rPr>
          <w:rFonts w:ascii="Arial" w:cs="Arial" w:eastAsia="Arial" w:hAnsi="Arial"/>
          <w:sz w:val="16"/>
          <w:szCs w:val="16"/>
          <w:color w:val="231F20"/>
        </w:rPr>
        <w:t>Changes in the restructuring reserve by reportable segment and Corporate are shown below:</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130"/>
        </w:trPr>
        <w:tc>
          <w:tcPr>
            <w:tcW w:w="4420" w:type="dxa"/>
            <w:vAlign w:val="bottom"/>
            <w:tcBorders>
              <w:top w:val="single" w:sz="8" w:color="231F20"/>
            </w:tcBorders>
            <w:shd w:val="clear" w:color="auto" w:fill="98B0CF"/>
          </w:tcPr>
          <w:p>
            <w:pPr>
              <w:spacing w:after="0"/>
              <w:rPr>
                <w:sz w:val="11"/>
                <w:szCs w:val="11"/>
                <w:color w:val="auto"/>
              </w:rPr>
            </w:pPr>
          </w:p>
        </w:tc>
        <w:tc>
          <w:tcPr>
            <w:tcW w:w="260" w:type="dxa"/>
            <w:vAlign w:val="bottom"/>
            <w:tcBorders>
              <w:top w:val="single" w:sz="8" w:color="231F20"/>
            </w:tcBorders>
            <w:shd w:val="clear" w:color="auto" w:fill="98B0CF"/>
          </w:tcPr>
          <w:p>
            <w:pPr>
              <w:spacing w:after="0"/>
              <w:rPr>
                <w:sz w:val="11"/>
                <w:szCs w:val="11"/>
                <w:color w:val="auto"/>
              </w:rPr>
            </w:pPr>
          </w:p>
        </w:tc>
        <w:tc>
          <w:tcPr>
            <w:tcW w:w="960" w:type="dxa"/>
            <w:vAlign w:val="bottom"/>
            <w:tcBorders>
              <w:top w:val="single" w:sz="8" w:color="231F20"/>
            </w:tcBorders>
            <w:vMerge w:val="restart"/>
            <w:shd w:val="clear" w:color="auto" w:fill="98B0CF"/>
          </w:tcPr>
          <w:p>
            <w:pPr>
              <w:jc w:val="right"/>
              <w:ind w:right="210"/>
              <w:spacing w:after="0"/>
              <w:rPr>
                <w:sz w:val="20"/>
                <w:szCs w:val="20"/>
                <w:color w:val="auto"/>
              </w:rPr>
            </w:pPr>
            <w:r>
              <w:rPr>
                <w:rFonts w:ascii="Arial" w:cs="Arial" w:eastAsia="Arial" w:hAnsi="Arial"/>
                <w:sz w:val="13"/>
                <w:szCs w:val="13"/>
                <w:b w:val="1"/>
                <w:bCs w:val="1"/>
                <w:color w:val="auto"/>
                <w:w w:val="92"/>
              </w:rPr>
              <w:t>Americas</w:t>
            </w:r>
            <w:r>
              <w:rPr>
                <w:rFonts w:ascii="Arial" w:cs="Arial" w:eastAsia="Arial" w:hAnsi="Arial"/>
                <w:sz w:val="16"/>
                <w:szCs w:val="16"/>
                <w:b w:val="1"/>
                <w:bCs w:val="1"/>
                <w:color w:val="auto"/>
                <w:w w:val="92"/>
                <w:vertAlign w:val="superscript"/>
              </w:rPr>
              <w:t>(a)</w:t>
            </w:r>
          </w:p>
        </w:tc>
        <w:tc>
          <w:tcPr>
            <w:tcW w:w="260" w:type="dxa"/>
            <w:vAlign w:val="bottom"/>
            <w:tcBorders>
              <w:top w:val="single" w:sz="8" w:color="231F20"/>
            </w:tcBorders>
            <w:shd w:val="clear" w:color="auto" w:fill="98B0CF"/>
          </w:tcPr>
          <w:p>
            <w:pPr>
              <w:spacing w:after="0"/>
              <w:rPr>
                <w:sz w:val="11"/>
                <w:szCs w:val="11"/>
                <w:color w:val="auto"/>
              </w:rPr>
            </w:pPr>
          </w:p>
        </w:tc>
        <w:tc>
          <w:tcPr>
            <w:tcW w:w="960" w:type="dxa"/>
            <w:vAlign w:val="bottom"/>
            <w:tcBorders>
              <w:top w:val="single" w:sz="8" w:color="231F20"/>
            </w:tcBorders>
            <w:shd w:val="clear" w:color="auto" w:fill="98B0CF"/>
          </w:tcPr>
          <w:p>
            <w:pPr>
              <w:jc w:val="right"/>
              <w:ind w:right="290"/>
              <w:spacing w:after="0" w:line="130" w:lineRule="exact"/>
              <w:rPr>
                <w:sz w:val="20"/>
                <w:szCs w:val="20"/>
                <w:color w:val="auto"/>
              </w:rPr>
            </w:pPr>
            <w:r>
              <w:rPr>
                <w:rFonts w:ascii="Arial" w:cs="Arial" w:eastAsia="Arial" w:hAnsi="Arial"/>
                <w:sz w:val="13"/>
                <w:szCs w:val="13"/>
                <w:b w:val="1"/>
                <w:bCs w:val="1"/>
                <w:color w:val="auto"/>
              </w:rPr>
              <w:t>Southern</w:t>
            </w:r>
          </w:p>
        </w:tc>
        <w:tc>
          <w:tcPr>
            <w:tcW w:w="240" w:type="dxa"/>
            <w:vAlign w:val="bottom"/>
            <w:tcBorders>
              <w:top w:val="single" w:sz="8" w:color="231F20"/>
            </w:tcBorders>
            <w:shd w:val="clear" w:color="auto" w:fill="98B0CF"/>
          </w:tcPr>
          <w:p>
            <w:pPr>
              <w:spacing w:after="0"/>
              <w:rPr>
                <w:sz w:val="11"/>
                <w:szCs w:val="11"/>
                <w:color w:val="auto"/>
              </w:rPr>
            </w:pPr>
          </w:p>
        </w:tc>
        <w:tc>
          <w:tcPr>
            <w:tcW w:w="920" w:type="dxa"/>
            <w:vAlign w:val="bottom"/>
            <w:tcBorders>
              <w:top w:val="single" w:sz="8" w:color="231F20"/>
            </w:tcBorders>
            <w:shd w:val="clear" w:color="auto" w:fill="98B0CF"/>
          </w:tcPr>
          <w:p>
            <w:pPr>
              <w:jc w:val="right"/>
              <w:ind w:right="270"/>
              <w:spacing w:after="0" w:line="130" w:lineRule="exact"/>
              <w:rPr>
                <w:sz w:val="20"/>
                <w:szCs w:val="20"/>
                <w:color w:val="auto"/>
              </w:rPr>
            </w:pPr>
            <w:r>
              <w:rPr>
                <w:rFonts w:ascii="Arial" w:cs="Arial" w:eastAsia="Arial" w:hAnsi="Arial"/>
                <w:sz w:val="13"/>
                <w:szCs w:val="13"/>
                <w:b w:val="1"/>
                <w:bCs w:val="1"/>
                <w:color w:val="auto"/>
              </w:rPr>
              <w:t>Northern</w:t>
            </w:r>
          </w:p>
        </w:tc>
        <w:tc>
          <w:tcPr>
            <w:tcW w:w="260" w:type="dxa"/>
            <w:vAlign w:val="bottom"/>
            <w:tcBorders>
              <w:top w:val="single" w:sz="8" w:color="231F20"/>
            </w:tcBorders>
            <w:shd w:val="clear" w:color="auto" w:fill="98B0CF"/>
          </w:tcPr>
          <w:p>
            <w:pPr>
              <w:spacing w:after="0"/>
              <w:rPr>
                <w:sz w:val="11"/>
                <w:szCs w:val="11"/>
                <w:color w:val="auto"/>
              </w:rPr>
            </w:pPr>
          </w:p>
        </w:tc>
        <w:tc>
          <w:tcPr>
            <w:tcW w:w="840" w:type="dxa"/>
            <w:vAlign w:val="bottom"/>
            <w:tcBorders>
              <w:top w:val="single" w:sz="8" w:color="231F20"/>
            </w:tcBorders>
            <w:shd w:val="clear" w:color="auto" w:fill="98B0CF"/>
          </w:tcPr>
          <w:p>
            <w:pPr>
              <w:spacing w:after="0"/>
              <w:rPr>
                <w:sz w:val="11"/>
                <w:szCs w:val="11"/>
                <w:color w:val="auto"/>
              </w:rPr>
            </w:pPr>
          </w:p>
        </w:tc>
        <w:tc>
          <w:tcPr>
            <w:tcW w:w="200" w:type="dxa"/>
            <w:vAlign w:val="bottom"/>
            <w:tcBorders>
              <w:top w:val="single" w:sz="8" w:color="231F20"/>
            </w:tcBorders>
            <w:shd w:val="clear" w:color="auto" w:fill="98B0CF"/>
          </w:tcPr>
          <w:p>
            <w:pPr>
              <w:spacing w:after="0"/>
              <w:rPr>
                <w:sz w:val="11"/>
                <w:szCs w:val="11"/>
                <w:color w:val="auto"/>
              </w:rPr>
            </w:pPr>
          </w:p>
        </w:tc>
        <w:tc>
          <w:tcPr>
            <w:tcW w:w="920" w:type="dxa"/>
            <w:vAlign w:val="bottom"/>
            <w:tcBorders>
              <w:top w:val="single" w:sz="8" w:color="231F20"/>
            </w:tcBorders>
            <w:shd w:val="clear" w:color="auto" w:fill="98B0CF"/>
          </w:tcPr>
          <w:p>
            <w:pPr>
              <w:spacing w:after="0"/>
              <w:rPr>
                <w:sz w:val="11"/>
                <w:szCs w:val="11"/>
                <w:color w:val="auto"/>
              </w:rPr>
            </w:pPr>
          </w:p>
        </w:tc>
        <w:tc>
          <w:tcPr>
            <w:tcW w:w="260" w:type="dxa"/>
            <w:vAlign w:val="bottom"/>
            <w:tcBorders>
              <w:top w:val="single" w:sz="8" w:color="231F20"/>
            </w:tcBorders>
            <w:shd w:val="clear" w:color="auto" w:fill="98B0CF"/>
          </w:tcPr>
          <w:p>
            <w:pPr>
              <w:spacing w:after="0"/>
              <w:rPr>
                <w:sz w:val="11"/>
                <w:szCs w:val="11"/>
                <w:color w:val="auto"/>
              </w:rPr>
            </w:pPr>
          </w:p>
        </w:tc>
        <w:tc>
          <w:tcPr>
            <w:tcW w:w="760" w:type="dxa"/>
            <w:vAlign w:val="bottom"/>
            <w:tcBorders>
              <w:top w:val="single" w:sz="8" w:color="231F20"/>
            </w:tcBorders>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20" w:type="dxa"/>
            <w:vAlign w:val="bottom"/>
            <w:tcBorders>
              <w:bottom w:val="single" w:sz="8" w:color="auto"/>
            </w:tcBorders>
            <w:shd w:val="clear" w:color="auto" w:fill="98B0CF"/>
          </w:tcPr>
          <w:p>
            <w:pPr>
              <w:spacing w:after="0"/>
              <w:rPr>
                <w:sz w:val="14"/>
                <w:szCs w:val="14"/>
                <w:color w:val="auto"/>
              </w:rPr>
            </w:pPr>
          </w:p>
        </w:tc>
        <w:tc>
          <w:tcPr>
            <w:tcW w:w="260" w:type="dxa"/>
            <w:vAlign w:val="bottom"/>
            <w:tcBorders>
              <w:bottom w:val="single" w:sz="8" w:color="auto"/>
            </w:tcBorders>
            <w:shd w:val="clear" w:color="auto" w:fill="98B0CF"/>
          </w:tcPr>
          <w:p>
            <w:pPr>
              <w:spacing w:after="0"/>
              <w:rPr>
                <w:sz w:val="14"/>
                <w:szCs w:val="14"/>
                <w:color w:val="auto"/>
              </w:rPr>
            </w:pPr>
          </w:p>
        </w:tc>
        <w:tc>
          <w:tcPr>
            <w:tcW w:w="960" w:type="dxa"/>
            <w:vAlign w:val="bottom"/>
            <w:tcBorders>
              <w:bottom w:val="single" w:sz="8" w:color="auto"/>
            </w:tcBorders>
            <w:vMerge w:val="continue"/>
            <w:shd w:val="clear" w:color="auto" w:fill="98B0CF"/>
          </w:tcPr>
          <w:p>
            <w:pPr>
              <w:spacing w:after="0"/>
              <w:rPr>
                <w:sz w:val="14"/>
                <w:szCs w:val="14"/>
                <w:color w:val="auto"/>
              </w:rPr>
            </w:pPr>
          </w:p>
        </w:tc>
        <w:tc>
          <w:tcPr>
            <w:tcW w:w="260" w:type="dxa"/>
            <w:vAlign w:val="bottom"/>
            <w:tcBorders>
              <w:bottom w:val="single" w:sz="8" w:color="auto"/>
            </w:tcBorders>
            <w:shd w:val="clear" w:color="auto" w:fill="98B0CF"/>
          </w:tcPr>
          <w:p>
            <w:pPr>
              <w:spacing w:after="0"/>
              <w:rPr>
                <w:sz w:val="14"/>
                <w:szCs w:val="14"/>
                <w:color w:val="auto"/>
              </w:rPr>
            </w:pPr>
          </w:p>
        </w:tc>
        <w:tc>
          <w:tcPr>
            <w:tcW w:w="960" w:type="dxa"/>
            <w:vAlign w:val="bottom"/>
            <w:tcBorders>
              <w:bottom w:val="single" w:sz="8" w:color="auto"/>
            </w:tcBorders>
            <w:shd w:val="clear" w:color="auto" w:fill="98B0CF"/>
          </w:tcPr>
          <w:p>
            <w:pPr>
              <w:jc w:val="right"/>
              <w:ind w:right="310"/>
              <w:spacing w:after="0" w:line="165" w:lineRule="exact"/>
              <w:rPr>
                <w:sz w:val="20"/>
                <w:szCs w:val="20"/>
                <w:color w:val="auto"/>
              </w:rPr>
            </w:pPr>
            <w:r>
              <w:rPr>
                <w:rFonts w:ascii="Arial" w:cs="Arial" w:eastAsia="Arial" w:hAnsi="Arial"/>
                <w:sz w:val="13"/>
                <w:szCs w:val="13"/>
                <w:b w:val="1"/>
                <w:bCs w:val="1"/>
                <w:color w:val="auto"/>
                <w:w w:val="95"/>
              </w:rPr>
              <w:t>Europe</w:t>
            </w:r>
            <w:r>
              <w:rPr>
                <w:rFonts w:ascii="Arial" w:cs="Arial" w:eastAsia="Arial" w:hAnsi="Arial"/>
                <w:sz w:val="16"/>
                <w:szCs w:val="16"/>
                <w:b w:val="1"/>
                <w:bCs w:val="1"/>
                <w:color w:val="auto"/>
                <w:w w:val="95"/>
                <w:vertAlign w:val="superscript"/>
              </w:rPr>
              <w:t>(b)</w:t>
            </w:r>
          </w:p>
        </w:tc>
        <w:tc>
          <w:tcPr>
            <w:tcW w:w="240" w:type="dxa"/>
            <w:vAlign w:val="bottom"/>
            <w:tcBorders>
              <w:bottom w:val="single" w:sz="8" w:color="auto"/>
            </w:tcBorders>
            <w:shd w:val="clear" w:color="auto" w:fill="98B0CF"/>
          </w:tcPr>
          <w:p>
            <w:pPr>
              <w:spacing w:after="0"/>
              <w:rPr>
                <w:sz w:val="14"/>
                <w:szCs w:val="14"/>
                <w:color w:val="auto"/>
              </w:rPr>
            </w:pPr>
          </w:p>
        </w:tc>
        <w:tc>
          <w:tcPr>
            <w:tcW w:w="920" w:type="dxa"/>
            <w:vAlign w:val="bottom"/>
            <w:tcBorders>
              <w:bottom w:val="single" w:sz="8" w:color="auto"/>
            </w:tcBorders>
            <w:shd w:val="clear" w:color="auto" w:fill="98B0CF"/>
          </w:tcPr>
          <w:p>
            <w:pPr>
              <w:jc w:val="right"/>
              <w:ind w:right="330"/>
              <w:spacing w:after="0"/>
              <w:rPr>
                <w:sz w:val="20"/>
                <w:szCs w:val="20"/>
                <w:color w:val="auto"/>
              </w:rPr>
            </w:pPr>
            <w:r>
              <w:rPr>
                <w:rFonts w:ascii="Arial" w:cs="Arial" w:eastAsia="Arial" w:hAnsi="Arial"/>
                <w:sz w:val="13"/>
                <w:szCs w:val="13"/>
                <w:b w:val="1"/>
                <w:bCs w:val="1"/>
                <w:color w:val="auto"/>
              </w:rPr>
              <w:t>Europe</w:t>
            </w:r>
          </w:p>
        </w:tc>
        <w:tc>
          <w:tcPr>
            <w:tcW w:w="260" w:type="dxa"/>
            <w:vAlign w:val="bottom"/>
            <w:tcBorders>
              <w:bottom w:val="single" w:sz="8" w:color="auto"/>
            </w:tcBorders>
            <w:shd w:val="clear" w:color="auto" w:fill="98B0CF"/>
          </w:tcPr>
          <w:p>
            <w:pPr>
              <w:spacing w:after="0"/>
              <w:rPr>
                <w:sz w:val="14"/>
                <w:szCs w:val="14"/>
                <w:color w:val="auto"/>
              </w:rPr>
            </w:pPr>
          </w:p>
        </w:tc>
        <w:tc>
          <w:tcPr>
            <w:tcW w:w="840" w:type="dxa"/>
            <w:vAlign w:val="bottom"/>
            <w:tcBorders>
              <w:bottom w:val="single" w:sz="8" w:color="auto"/>
            </w:tcBorders>
            <w:shd w:val="clear" w:color="auto" w:fill="98B0CF"/>
          </w:tcPr>
          <w:p>
            <w:pPr>
              <w:jc w:val="right"/>
              <w:ind w:right="330"/>
              <w:spacing w:after="0"/>
              <w:rPr>
                <w:sz w:val="20"/>
                <w:szCs w:val="20"/>
                <w:color w:val="auto"/>
              </w:rPr>
            </w:pPr>
            <w:r>
              <w:rPr>
                <w:rFonts w:ascii="Arial" w:cs="Arial" w:eastAsia="Arial" w:hAnsi="Arial"/>
                <w:sz w:val="13"/>
                <w:szCs w:val="13"/>
                <w:b w:val="1"/>
                <w:bCs w:val="1"/>
                <w:color w:val="auto"/>
              </w:rPr>
              <w:t>APME</w:t>
            </w:r>
          </w:p>
        </w:tc>
        <w:tc>
          <w:tcPr>
            <w:tcW w:w="200" w:type="dxa"/>
            <w:vAlign w:val="bottom"/>
            <w:tcBorders>
              <w:bottom w:val="single" w:sz="8" w:color="auto"/>
            </w:tcBorders>
            <w:shd w:val="clear" w:color="auto" w:fill="98B0CF"/>
          </w:tcPr>
          <w:p>
            <w:pPr>
              <w:spacing w:after="0"/>
              <w:rPr>
                <w:sz w:val="14"/>
                <w:szCs w:val="14"/>
                <w:color w:val="auto"/>
              </w:rPr>
            </w:pPr>
          </w:p>
        </w:tc>
        <w:tc>
          <w:tcPr>
            <w:tcW w:w="920" w:type="dxa"/>
            <w:vAlign w:val="bottom"/>
            <w:tcBorders>
              <w:bottom w:val="single" w:sz="8" w:color="auto"/>
            </w:tcBorders>
            <w:shd w:val="clear" w:color="auto" w:fill="98B0CF"/>
          </w:tcPr>
          <w:p>
            <w:pPr>
              <w:jc w:val="right"/>
              <w:ind w:right="230"/>
              <w:spacing w:after="0"/>
              <w:rPr>
                <w:sz w:val="20"/>
                <w:szCs w:val="20"/>
                <w:color w:val="auto"/>
              </w:rPr>
            </w:pPr>
            <w:r>
              <w:rPr>
                <w:rFonts w:ascii="Arial" w:cs="Arial" w:eastAsia="Arial" w:hAnsi="Arial"/>
                <w:sz w:val="13"/>
                <w:szCs w:val="13"/>
                <w:b w:val="1"/>
                <w:bCs w:val="1"/>
                <w:color w:val="auto"/>
                <w:w w:val="96"/>
              </w:rPr>
              <w:t>Corporate</w:t>
            </w:r>
          </w:p>
        </w:tc>
        <w:tc>
          <w:tcPr>
            <w:tcW w:w="260" w:type="dxa"/>
            <w:vAlign w:val="bottom"/>
            <w:tcBorders>
              <w:bottom w:val="single" w:sz="8" w:color="auto"/>
            </w:tcBorders>
            <w:shd w:val="clear" w:color="auto" w:fill="98B0CF"/>
          </w:tcPr>
          <w:p>
            <w:pPr>
              <w:spacing w:after="0"/>
              <w:rPr>
                <w:sz w:val="14"/>
                <w:szCs w:val="14"/>
                <w:color w:val="auto"/>
              </w:rPr>
            </w:pPr>
          </w:p>
        </w:tc>
        <w:tc>
          <w:tcPr>
            <w:tcW w:w="760" w:type="dxa"/>
            <w:vAlign w:val="bottom"/>
            <w:tcBorders>
              <w:bottom w:val="single" w:sz="8" w:color="auto"/>
            </w:tcBorders>
            <w:shd w:val="clear" w:color="auto" w:fill="98B0CF"/>
          </w:tcPr>
          <w:p>
            <w:pPr>
              <w:jc w:val="right"/>
              <w:ind w:right="31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7"/>
        </w:trPr>
        <w:tc>
          <w:tcPr>
            <w:tcW w:w="4420" w:type="dxa"/>
            <w:vAlign w:val="bottom"/>
            <w:shd w:val="clear" w:color="auto" w:fill="E2E8F1"/>
          </w:tcPr>
          <w:p>
            <w:pPr>
              <w:ind w:left="80"/>
              <w:spacing w:after="0"/>
              <w:rPr>
                <w:sz w:val="20"/>
                <w:szCs w:val="20"/>
                <w:color w:val="auto"/>
              </w:rPr>
            </w:pPr>
            <w:r>
              <w:rPr>
                <w:rFonts w:ascii="Arial" w:cs="Arial" w:eastAsia="Arial" w:hAnsi="Arial"/>
                <w:sz w:val="14"/>
                <w:szCs w:val="14"/>
                <w:color w:val="auto"/>
              </w:rPr>
              <w:t>Balance, December 31, 2022</w:t>
            </w:r>
          </w:p>
        </w:tc>
        <w:tc>
          <w:tcPr>
            <w:tcW w:w="2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1.0</w:t>
            </w:r>
          </w:p>
        </w:tc>
        <w:tc>
          <w:tcPr>
            <w:tcW w:w="2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1.0</w:t>
            </w:r>
          </w:p>
        </w:tc>
        <w:tc>
          <w:tcPr>
            <w:tcW w:w="2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11.0</w:t>
            </w:r>
          </w:p>
        </w:tc>
        <w:tc>
          <w:tcPr>
            <w:tcW w:w="26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shd w:val="clear" w:color="auto" w:fill="E2E8F1"/>
          </w:tcPr>
          <w:p>
            <w:pPr>
              <w:jc w:val="right"/>
              <w:ind w:right="110"/>
              <w:spacing w:after="0"/>
              <w:rPr>
                <w:sz w:val="20"/>
                <w:szCs w:val="20"/>
                <w:color w:val="auto"/>
              </w:rPr>
            </w:pPr>
            <w:r>
              <w:rPr>
                <w:rFonts w:ascii="Arial" w:cs="Arial" w:eastAsia="Arial" w:hAnsi="Arial"/>
                <w:sz w:val="14"/>
                <w:szCs w:val="14"/>
                <w:color w:val="auto"/>
              </w:rPr>
              <w:t>0.2</w:t>
            </w:r>
          </w:p>
        </w:tc>
        <w:tc>
          <w:tcPr>
            <w:tcW w:w="2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shd w:val="clear" w:color="auto" w:fill="E2E8F1"/>
          </w:tcPr>
          <w:p>
            <w:pPr>
              <w:spacing w:after="0"/>
              <w:rPr>
                <w:sz w:val="16"/>
                <w:szCs w:val="16"/>
                <w:color w:val="auto"/>
              </w:rPr>
            </w:pPr>
          </w:p>
        </w:tc>
        <w:tc>
          <w:tcPr>
            <w:tcW w:w="7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9"/>
        </w:trPr>
        <w:tc>
          <w:tcPr>
            <w:tcW w:w="4420" w:type="dxa"/>
            <w:vAlign w:val="bottom"/>
          </w:tcPr>
          <w:p>
            <w:pPr>
              <w:ind w:left="240"/>
              <w:spacing w:after="0"/>
              <w:rPr>
                <w:sz w:val="20"/>
                <w:szCs w:val="20"/>
                <w:color w:val="auto"/>
              </w:rPr>
            </w:pPr>
            <w:r>
              <w:rPr>
                <w:rFonts w:ascii="Arial" w:cs="Arial" w:eastAsia="Arial" w:hAnsi="Arial"/>
                <w:sz w:val="14"/>
                <w:szCs w:val="14"/>
                <w:color w:val="auto"/>
              </w:rPr>
              <w:t>Severance costs</w:t>
            </w:r>
          </w:p>
        </w:tc>
        <w:tc>
          <w:tcPr>
            <w:tcW w:w="260" w:type="dxa"/>
            <w:vAlign w:val="bottom"/>
          </w:tcPr>
          <w:p>
            <w:pPr>
              <w:spacing w:after="0"/>
              <w:rPr>
                <w:sz w:val="16"/>
                <w:szCs w:val="16"/>
                <w:color w:val="auto"/>
              </w:rPr>
            </w:pP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11.5</w:t>
            </w:r>
          </w:p>
        </w:tc>
        <w:tc>
          <w:tcPr>
            <w:tcW w:w="260" w:type="dxa"/>
            <w:vAlign w:val="bottom"/>
          </w:tcPr>
          <w:p>
            <w:pPr>
              <w:spacing w:after="0"/>
              <w:rPr>
                <w:sz w:val="16"/>
                <w:szCs w:val="16"/>
                <w:color w:val="auto"/>
              </w:rPr>
            </w:pP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11.3</w:t>
            </w:r>
          </w:p>
        </w:tc>
        <w:tc>
          <w:tcPr>
            <w:tcW w:w="240" w:type="dxa"/>
            <w:vAlign w:val="bottom"/>
          </w:tcPr>
          <w:p>
            <w:pPr>
              <w:spacing w:after="0"/>
              <w:rPr>
                <w:sz w:val="16"/>
                <w:szCs w:val="16"/>
                <w:color w:val="auto"/>
              </w:rPr>
            </w:pP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87.4</w:t>
            </w:r>
          </w:p>
        </w:tc>
        <w:tc>
          <w:tcPr>
            <w:tcW w:w="26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16"/>
                <w:szCs w:val="16"/>
                <w:color w:val="auto"/>
              </w:rPr>
            </w:pP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0.4</w:t>
            </w:r>
          </w:p>
        </w:tc>
        <w:tc>
          <w:tcPr>
            <w:tcW w:w="260" w:type="dxa"/>
            <w:vAlign w:val="bottom"/>
          </w:tcPr>
          <w:p>
            <w:pPr>
              <w:spacing w:after="0"/>
              <w:rPr>
                <w:sz w:val="16"/>
                <w:szCs w:val="16"/>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189"/>
        </w:trPr>
        <w:tc>
          <w:tcPr>
            <w:tcW w:w="4420" w:type="dxa"/>
            <w:vAlign w:val="bottom"/>
            <w:shd w:val="clear" w:color="auto" w:fill="E2E8F1"/>
          </w:tcPr>
          <w:p>
            <w:pPr>
              <w:ind w:left="240"/>
              <w:spacing w:after="0"/>
              <w:rPr>
                <w:sz w:val="20"/>
                <w:szCs w:val="20"/>
                <w:color w:val="auto"/>
              </w:rPr>
            </w:pPr>
            <w:r>
              <w:rPr>
                <w:rFonts w:ascii="Arial" w:cs="Arial" w:eastAsia="Arial" w:hAnsi="Arial"/>
                <w:sz w:val="14"/>
                <w:szCs w:val="14"/>
                <w:color w:val="auto"/>
              </w:rPr>
              <w:t>Other costs</w:t>
            </w:r>
          </w:p>
        </w:tc>
        <w:tc>
          <w:tcPr>
            <w:tcW w:w="260" w:type="dxa"/>
            <w:vAlign w:val="bottom"/>
            <w:shd w:val="clear" w:color="auto" w:fill="E2E8F1"/>
          </w:tcPr>
          <w:p>
            <w:pPr>
              <w:spacing w:after="0"/>
              <w:rPr>
                <w:sz w:val="16"/>
                <w:szCs w:val="16"/>
                <w:color w:val="auto"/>
              </w:rPr>
            </w:pPr>
          </w:p>
        </w:tc>
        <w:tc>
          <w:tcPr>
            <w:tcW w:w="96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shd w:val="clear" w:color="auto" w:fill="E2E8F1"/>
          </w:tcPr>
          <w:p>
            <w:pPr>
              <w:spacing w:after="0"/>
              <w:rPr>
                <w:sz w:val="16"/>
                <w:szCs w:val="16"/>
                <w:color w:val="auto"/>
              </w:rPr>
            </w:pPr>
          </w:p>
        </w:tc>
        <w:tc>
          <w:tcPr>
            <w:tcW w:w="96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2.3</w:t>
            </w:r>
          </w:p>
        </w:tc>
        <w:tc>
          <w:tcPr>
            <w:tcW w:w="2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33.0</w:t>
            </w:r>
          </w:p>
        </w:tc>
        <w:tc>
          <w:tcPr>
            <w:tcW w:w="260" w:type="dxa"/>
            <w:vAlign w:val="bottom"/>
            <w:shd w:val="clear" w:color="auto" w:fill="E2E8F1"/>
          </w:tcPr>
          <w:p>
            <w:pPr>
              <w:spacing w:after="0"/>
              <w:rPr>
                <w:sz w:val="16"/>
                <w:szCs w:val="16"/>
                <w:color w:val="auto"/>
              </w:rPr>
            </w:pPr>
          </w:p>
        </w:tc>
        <w:tc>
          <w:tcPr>
            <w:tcW w:w="840" w:type="dxa"/>
            <w:vAlign w:val="bottom"/>
            <w:shd w:val="clear" w:color="auto" w:fill="E2E8F1"/>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shd w:val="clear" w:color="auto" w:fill="E2E8F1"/>
          </w:tcPr>
          <w:p>
            <w:pPr>
              <w:spacing w:after="0"/>
              <w:rPr>
                <w:sz w:val="16"/>
                <w:szCs w:val="16"/>
                <w:color w:val="auto"/>
              </w:rPr>
            </w:pPr>
          </w:p>
        </w:tc>
        <w:tc>
          <w:tcPr>
            <w:tcW w:w="7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231F20"/>
            </w:tcBorders>
          </w:tcPr>
          <w:p>
            <w:pPr>
              <w:ind w:left="240"/>
              <w:spacing w:after="0"/>
              <w:rPr>
                <w:sz w:val="20"/>
                <w:szCs w:val="20"/>
                <w:color w:val="auto"/>
              </w:rPr>
            </w:pPr>
            <w:r>
              <w:rPr>
                <w:rFonts w:ascii="Arial" w:cs="Arial" w:eastAsia="Arial" w:hAnsi="Arial"/>
                <w:sz w:val="14"/>
                <w:szCs w:val="14"/>
                <w:color w:val="auto"/>
              </w:rPr>
              <w:t>Costs paid</w:t>
            </w:r>
          </w:p>
        </w:tc>
        <w:tc>
          <w:tcPr>
            <w:tcW w:w="260" w:type="dxa"/>
            <w:vAlign w:val="bottom"/>
            <w:tcBorders>
              <w:bottom w:val="single" w:sz="8" w:color="231F20"/>
            </w:tcBorders>
          </w:tcPr>
          <w:p>
            <w:pPr>
              <w:spacing w:after="0"/>
              <w:rPr>
                <w:sz w:val="16"/>
                <w:szCs w:val="16"/>
                <w:color w:val="auto"/>
              </w:rPr>
            </w:pPr>
          </w:p>
        </w:tc>
        <w:tc>
          <w:tcPr>
            <w:tcW w:w="96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(7.7 )</w:t>
            </w:r>
          </w:p>
        </w:tc>
        <w:tc>
          <w:tcPr>
            <w:tcW w:w="260" w:type="dxa"/>
            <w:vAlign w:val="bottom"/>
            <w:tcBorders>
              <w:bottom w:val="single" w:sz="8" w:color="231F20"/>
            </w:tcBorders>
          </w:tcPr>
          <w:p>
            <w:pPr>
              <w:spacing w:after="0"/>
              <w:rPr>
                <w:sz w:val="16"/>
                <w:szCs w:val="16"/>
                <w:color w:val="auto"/>
              </w:rPr>
            </w:pPr>
          </w:p>
        </w:tc>
        <w:tc>
          <w:tcPr>
            <w:tcW w:w="96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(8.7 )</w:t>
            </w:r>
          </w:p>
        </w:tc>
        <w:tc>
          <w:tcPr>
            <w:tcW w:w="24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(52.5 )</w:t>
            </w:r>
          </w:p>
        </w:tc>
        <w:tc>
          <w:tcPr>
            <w:tcW w:w="260" w:type="dxa"/>
            <w:vAlign w:val="bottom"/>
            <w:tcBorders>
              <w:bottom w:val="single" w:sz="8" w:color="231F20"/>
            </w:tcBorders>
          </w:tcPr>
          <w:p>
            <w:pPr>
              <w:spacing w:after="0"/>
              <w:rPr>
                <w:sz w:val="16"/>
                <w:szCs w:val="16"/>
                <w:color w:val="auto"/>
              </w:rPr>
            </w:pPr>
          </w:p>
        </w:tc>
        <w:tc>
          <w:tcPr>
            <w:tcW w:w="840" w:type="dxa"/>
            <w:vAlign w:val="bottom"/>
            <w:tcBorders>
              <w:bottom w:val="single" w:sz="8" w:color="231F20"/>
            </w:tcBorders>
          </w:tcPr>
          <w:p>
            <w:pPr>
              <w:jc w:val="right"/>
              <w:ind w:right="30"/>
              <w:spacing w:after="0"/>
              <w:rPr>
                <w:sz w:val="20"/>
                <w:szCs w:val="20"/>
                <w:color w:val="auto"/>
              </w:rPr>
            </w:pPr>
            <w:r>
              <w:rPr>
                <w:rFonts w:ascii="Arial" w:cs="Arial" w:eastAsia="Arial" w:hAnsi="Arial"/>
                <w:sz w:val="14"/>
                <w:szCs w:val="14"/>
                <w:color w:val="auto"/>
              </w:rPr>
              <w:t>(3.1 )</w:t>
            </w:r>
          </w:p>
        </w:tc>
        <w:tc>
          <w:tcPr>
            <w:tcW w:w="20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(0.4 )</w:t>
            </w:r>
          </w:p>
        </w:tc>
        <w:tc>
          <w:tcPr>
            <w:tcW w:w="260" w:type="dxa"/>
            <w:vAlign w:val="bottom"/>
            <w:tcBorders>
              <w:bottom w:val="single" w:sz="8" w:color="231F20"/>
            </w:tcBorders>
          </w:tcPr>
          <w:p>
            <w:pPr>
              <w:spacing w:after="0"/>
              <w:rPr>
                <w:sz w:val="16"/>
                <w:szCs w:val="16"/>
                <w:color w:val="auto"/>
              </w:rPr>
            </w:pPr>
          </w:p>
        </w:tc>
        <w:tc>
          <w:tcPr>
            <w:tcW w:w="7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(72.4 )</w:t>
            </w:r>
          </w:p>
        </w:tc>
        <w:tc>
          <w:tcPr>
            <w:tcW w:w="0" w:type="dxa"/>
            <w:vAlign w:val="bottom"/>
          </w:tcPr>
          <w:p>
            <w:pPr>
              <w:spacing w:after="0"/>
              <w:rPr>
                <w:sz w:val="1"/>
                <w:szCs w:val="1"/>
                <w:color w:val="auto"/>
              </w:rPr>
            </w:pPr>
          </w:p>
        </w:tc>
      </w:tr>
      <w:tr>
        <w:trPr>
          <w:trHeight w:val="181"/>
        </w:trPr>
        <w:tc>
          <w:tcPr>
            <w:tcW w:w="442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auto"/>
              </w:rPr>
              <w:t>Balance, December 31, 2023</w:t>
            </w:r>
          </w:p>
        </w:tc>
        <w:tc>
          <w:tcPr>
            <w:tcW w:w="2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31F20"/>
            </w:tcBorders>
            <w:shd w:val="clear" w:color="auto" w:fill="E2E8F1"/>
          </w:tcPr>
          <w:p>
            <w:pPr>
              <w:jc w:val="right"/>
              <w:ind w:right="130"/>
              <w:spacing w:after="0"/>
              <w:rPr>
                <w:sz w:val="20"/>
                <w:szCs w:val="20"/>
                <w:color w:val="auto"/>
              </w:rPr>
            </w:pPr>
            <w:r>
              <w:rPr>
                <w:rFonts w:ascii="Arial" w:cs="Arial" w:eastAsia="Arial" w:hAnsi="Arial"/>
                <w:sz w:val="14"/>
                <w:szCs w:val="14"/>
                <w:color w:val="auto"/>
              </w:rPr>
              <w:t>4.8</w:t>
            </w:r>
          </w:p>
        </w:tc>
        <w:tc>
          <w:tcPr>
            <w:tcW w:w="2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31F20"/>
            </w:tcBorders>
            <w:shd w:val="clear" w:color="auto" w:fill="E2E8F1"/>
          </w:tcPr>
          <w:p>
            <w:pPr>
              <w:jc w:val="right"/>
              <w:ind w:right="130"/>
              <w:spacing w:after="0"/>
              <w:rPr>
                <w:sz w:val="20"/>
                <w:szCs w:val="20"/>
                <w:color w:val="auto"/>
              </w:rPr>
            </w:pPr>
            <w:r>
              <w:rPr>
                <w:rFonts w:ascii="Arial" w:cs="Arial" w:eastAsia="Arial" w:hAnsi="Arial"/>
                <w:sz w:val="14"/>
                <w:szCs w:val="14"/>
                <w:color w:val="auto"/>
              </w:rPr>
              <w:t>5.9</w:t>
            </w:r>
          </w:p>
        </w:tc>
        <w:tc>
          <w:tcPr>
            <w:tcW w:w="2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231F20"/>
            </w:tcBorders>
            <w:shd w:val="clear" w:color="auto" w:fill="E2E8F1"/>
          </w:tcPr>
          <w:p>
            <w:pPr>
              <w:jc w:val="right"/>
              <w:ind w:right="130"/>
              <w:spacing w:after="0"/>
              <w:rPr>
                <w:sz w:val="20"/>
                <w:szCs w:val="20"/>
                <w:color w:val="auto"/>
              </w:rPr>
            </w:pPr>
            <w:r>
              <w:rPr>
                <w:rFonts w:ascii="Arial" w:cs="Arial" w:eastAsia="Arial" w:hAnsi="Arial"/>
                <w:sz w:val="14"/>
                <w:szCs w:val="14"/>
                <w:color w:val="auto"/>
              </w:rPr>
              <w:t>78.9</w:t>
            </w:r>
          </w:p>
        </w:tc>
        <w:tc>
          <w:tcPr>
            <w:tcW w:w="260" w:type="dxa"/>
            <w:vAlign w:val="bottom"/>
            <w:tcBorders>
              <w:bottom w:val="single" w:sz="8" w:color="231F20"/>
            </w:tcBorders>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31F20"/>
            </w:tcBorders>
            <w:shd w:val="clear" w:color="auto" w:fill="E2E8F1"/>
          </w:tcPr>
          <w:p>
            <w:pPr>
              <w:jc w:val="right"/>
              <w:ind w:right="110"/>
              <w:spacing w:after="0"/>
              <w:rPr>
                <w:sz w:val="20"/>
                <w:szCs w:val="20"/>
                <w:color w:val="auto"/>
              </w:rPr>
            </w:pPr>
            <w:r>
              <w:rPr>
                <w:rFonts w:ascii="Arial" w:cs="Arial" w:eastAsia="Arial" w:hAnsi="Arial"/>
                <w:sz w:val="14"/>
                <w:szCs w:val="14"/>
                <w:color w:val="auto"/>
              </w:rPr>
              <w:t>0.4</w:t>
            </w:r>
          </w:p>
        </w:tc>
        <w:tc>
          <w:tcPr>
            <w:tcW w:w="2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231F20"/>
            </w:tcBorders>
            <w:shd w:val="clear" w:color="auto" w:fill="E2E8F1"/>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231F20"/>
            </w:tcBorders>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81"/>
        </w:trPr>
        <w:tc>
          <w:tcPr>
            <w:tcW w:w="4420" w:type="dxa"/>
            <w:vAlign w:val="bottom"/>
          </w:tcPr>
          <w:p>
            <w:pPr>
              <w:ind w:left="240"/>
              <w:spacing w:after="0"/>
              <w:rPr>
                <w:sz w:val="20"/>
                <w:szCs w:val="20"/>
                <w:color w:val="auto"/>
              </w:rPr>
            </w:pPr>
            <w:r>
              <w:rPr>
                <w:rFonts w:ascii="Arial" w:cs="Arial" w:eastAsia="Arial" w:hAnsi="Arial"/>
                <w:sz w:val="14"/>
                <w:szCs w:val="14"/>
                <w:color w:val="auto"/>
              </w:rPr>
              <w:t>Severance costs</w:t>
            </w:r>
          </w:p>
        </w:tc>
        <w:tc>
          <w:tcPr>
            <w:tcW w:w="260" w:type="dxa"/>
            <w:vAlign w:val="bottom"/>
          </w:tcPr>
          <w:p>
            <w:pPr>
              <w:spacing w:after="0"/>
              <w:rPr>
                <w:sz w:val="15"/>
                <w:szCs w:val="15"/>
                <w:color w:val="auto"/>
              </w:rPr>
            </w:pP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8.6</w:t>
            </w:r>
          </w:p>
        </w:tc>
        <w:tc>
          <w:tcPr>
            <w:tcW w:w="260" w:type="dxa"/>
            <w:vAlign w:val="bottom"/>
          </w:tcPr>
          <w:p>
            <w:pPr>
              <w:spacing w:after="0"/>
              <w:rPr>
                <w:sz w:val="15"/>
                <w:szCs w:val="15"/>
                <w:color w:val="auto"/>
              </w:rPr>
            </w:pP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5.4</w:t>
            </w:r>
          </w:p>
        </w:tc>
        <w:tc>
          <w:tcPr>
            <w:tcW w:w="240" w:type="dxa"/>
            <w:vAlign w:val="bottom"/>
          </w:tcPr>
          <w:p>
            <w:pPr>
              <w:spacing w:after="0"/>
              <w:rPr>
                <w:sz w:val="15"/>
                <w:szCs w:val="15"/>
                <w:color w:val="auto"/>
              </w:rPr>
            </w:pP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28.8</w:t>
            </w:r>
          </w:p>
        </w:tc>
        <w:tc>
          <w:tcPr>
            <w:tcW w:w="260" w:type="dxa"/>
            <w:vAlign w:val="bottom"/>
          </w:tcPr>
          <w:p>
            <w:pPr>
              <w:spacing w:after="0"/>
              <w:rPr>
                <w:sz w:val="15"/>
                <w:szCs w:val="15"/>
                <w:color w:val="auto"/>
              </w:rPr>
            </w:pP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5"/>
                <w:szCs w:val="15"/>
                <w:color w:val="auto"/>
              </w:rPr>
            </w:pP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5"/>
                <w:szCs w:val="15"/>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89"/>
        </w:trPr>
        <w:tc>
          <w:tcPr>
            <w:tcW w:w="4420" w:type="dxa"/>
            <w:vAlign w:val="bottom"/>
            <w:shd w:val="clear" w:color="auto" w:fill="E2E8F1"/>
          </w:tcPr>
          <w:p>
            <w:pPr>
              <w:ind w:left="240"/>
              <w:spacing w:after="0" w:line="189" w:lineRule="exact"/>
              <w:rPr>
                <w:sz w:val="20"/>
                <w:szCs w:val="20"/>
                <w:color w:val="auto"/>
              </w:rPr>
            </w:pPr>
            <w:r>
              <w:rPr>
                <w:rFonts w:ascii="Arial" w:cs="Arial" w:eastAsia="Arial" w:hAnsi="Arial"/>
                <w:sz w:val="14"/>
                <w:szCs w:val="14"/>
                <w:color w:val="auto"/>
              </w:rPr>
              <w:t>Lease costs</w:t>
            </w:r>
            <w:r>
              <w:rPr>
                <w:rFonts w:ascii="Arial" w:cs="Arial" w:eastAsia="Arial" w:hAnsi="Arial"/>
                <w:sz w:val="19"/>
                <w:szCs w:val="19"/>
                <w:color w:val="auto"/>
                <w:vertAlign w:val="superscript"/>
              </w:rPr>
              <w:t>(c)</w:t>
            </w:r>
          </w:p>
        </w:tc>
        <w:tc>
          <w:tcPr>
            <w:tcW w:w="260" w:type="dxa"/>
            <w:vAlign w:val="bottom"/>
            <w:shd w:val="clear" w:color="auto" w:fill="E2E8F1"/>
          </w:tcPr>
          <w:p>
            <w:pPr>
              <w:spacing w:after="0"/>
              <w:rPr>
                <w:sz w:val="16"/>
                <w:szCs w:val="16"/>
                <w:color w:val="auto"/>
              </w:rPr>
            </w:pPr>
          </w:p>
        </w:tc>
        <w:tc>
          <w:tcPr>
            <w:tcW w:w="96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0.5</w:t>
            </w:r>
          </w:p>
        </w:tc>
        <w:tc>
          <w:tcPr>
            <w:tcW w:w="260" w:type="dxa"/>
            <w:vAlign w:val="bottom"/>
            <w:shd w:val="clear" w:color="auto" w:fill="E2E8F1"/>
          </w:tcPr>
          <w:p>
            <w:pPr>
              <w:spacing w:after="0"/>
              <w:rPr>
                <w:sz w:val="16"/>
                <w:szCs w:val="16"/>
                <w:color w:val="auto"/>
              </w:rPr>
            </w:pPr>
          </w:p>
        </w:tc>
        <w:tc>
          <w:tcPr>
            <w:tcW w:w="96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0.1</w:t>
            </w:r>
          </w:p>
        </w:tc>
        <w:tc>
          <w:tcPr>
            <w:tcW w:w="2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2.8</w:t>
            </w:r>
          </w:p>
        </w:tc>
        <w:tc>
          <w:tcPr>
            <w:tcW w:w="260" w:type="dxa"/>
            <w:vAlign w:val="bottom"/>
            <w:shd w:val="clear" w:color="auto" w:fill="E2E8F1"/>
          </w:tcPr>
          <w:p>
            <w:pPr>
              <w:spacing w:after="0"/>
              <w:rPr>
                <w:sz w:val="16"/>
                <w:szCs w:val="16"/>
                <w:color w:val="auto"/>
              </w:rPr>
            </w:pPr>
          </w:p>
        </w:tc>
        <w:tc>
          <w:tcPr>
            <w:tcW w:w="840" w:type="dxa"/>
            <w:vAlign w:val="bottom"/>
            <w:shd w:val="clear" w:color="auto" w:fill="E2E8F1"/>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shd w:val="clear" w:color="auto" w:fill="E2E8F1"/>
          </w:tcPr>
          <w:p>
            <w:pPr>
              <w:spacing w:after="0"/>
              <w:rPr>
                <w:sz w:val="16"/>
                <w:szCs w:val="16"/>
                <w:color w:val="auto"/>
              </w:rPr>
            </w:pPr>
          </w:p>
        </w:tc>
        <w:tc>
          <w:tcPr>
            <w:tcW w:w="7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9"/>
        </w:trPr>
        <w:tc>
          <w:tcPr>
            <w:tcW w:w="4420" w:type="dxa"/>
            <w:vAlign w:val="bottom"/>
          </w:tcPr>
          <w:p>
            <w:pPr>
              <w:ind w:left="240"/>
              <w:spacing w:after="0"/>
              <w:rPr>
                <w:sz w:val="20"/>
                <w:szCs w:val="20"/>
                <w:color w:val="auto"/>
              </w:rPr>
            </w:pPr>
            <w:r>
              <w:rPr>
                <w:rFonts w:ascii="Arial" w:cs="Arial" w:eastAsia="Arial" w:hAnsi="Arial"/>
                <w:sz w:val="14"/>
                <w:szCs w:val="14"/>
                <w:color w:val="auto"/>
              </w:rPr>
              <w:t>Other costs</w:t>
            </w:r>
          </w:p>
        </w:tc>
        <w:tc>
          <w:tcPr>
            <w:tcW w:w="260" w:type="dxa"/>
            <w:vAlign w:val="bottom"/>
          </w:tcPr>
          <w:p>
            <w:pPr>
              <w:spacing w:after="0"/>
              <w:rPr>
                <w:sz w:val="16"/>
                <w:szCs w:val="16"/>
                <w:color w:val="auto"/>
              </w:rPr>
            </w:pP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6"/>
                <w:szCs w:val="16"/>
                <w:color w:val="auto"/>
              </w:rPr>
            </w:pPr>
          </w:p>
        </w:tc>
        <w:tc>
          <w:tcPr>
            <w:tcW w:w="960" w:type="dxa"/>
            <w:vAlign w:val="bottom"/>
          </w:tcPr>
          <w:p>
            <w:pPr>
              <w:jc w:val="right"/>
              <w:ind w:right="130"/>
              <w:spacing w:after="0"/>
              <w:rPr>
                <w:sz w:val="20"/>
                <w:szCs w:val="20"/>
                <w:color w:val="auto"/>
              </w:rPr>
            </w:pPr>
            <w:r>
              <w:rPr>
                <w:rFonts w:ascii="Arial" w:cs="Arial" w:eastAsia="Arial" w:hAnsi="Arial"/>
                <w:sz w:val="14"/>
                <w:szCs w:val="14"/>
                <w:color w:val="auto"/>
              </w:rPr>
              <w:t>0.8</w:t>
            </w:r>
          </w:p>
        </w:tc>
        <w:tc>
          <w:tcPr>
            <w:tcW w:w="240" w:type="dxa"/>
            <w:vAlign w:val="bottom"/>
          </w:tcPr>
          <w:p>
            <w:pPr>
              <w:spacing w:after="0"/>
              <w:rPr>
                <w:sz w:val="16"/>
                <w:szCs w:val="16"/>
                <w:color w:val="auto"/>
              </w:rPr>
            </w:pP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9"/>
        </w:trPr>
        <w:tc>
          <w:tcPr>
            <w:tcW w:w="4420" w:type="dxa"/>
            <w:vAlign w:val="bottom"/>
            <w:shd w:val="clear" w:color="auto" w:fill="E2E8F1"/>
          </w:tcPr>
          <w:p>
            <w:pPr>
              <w:ind w:left="240"/>
              <w:spacing w:after="0"/>
              <w:rPr>
                <w:sz w:val="20"/>
                <w:szCs w:val="20"/>
                <w:color w:val="auto"/>
              </w:rPr>
            </w:pPr>
            <w:r>
              <w:rPr>
                <w:rFonts w:ascii="Arial" w:cs="Arial" w:eastAsia="Arial" w:hAnsi="Arial"/>
                <w:sz w:val="14"/>
                <w:szCs w:val="14"/>
                <w:color w:val="auto"/>
              </w:rPr>
              <w:t>Non-cash charges</w:t>
            </w:r>
          </w:p>
        </w:tc>
        <w:tc>
          <w:tcPr>
            <w:tcW w:w="260" w:type="dxa"/>
            <w:vAlign w:val="bottom"/>
            <w:shd w:val="clear" w:color="auto" w:fill="E2E8F1"/>
          </w:tcPr>
          <w:p>
            <w:pPr>
              <w:spacing w:after="0"/>
              <w:rPr>
                <w:sz w:val="16"/>
                <w:szCs w:val="16"/>
                <w:color w:val="auto"/>
              </w:rPr>
            </w:pPr>
          </w:p>
        </w:tc>
        <w:tc>
          <w:tcPr>
            <w:tcW w:w="96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auto"/>
              </w:rPr>
              <w:t>(0.5 )</w:t>
            </w:r>
          </w:p>
        </w:tc>
        <w:tc>
          <w:tcPr>
            <w:tcW w:w="260" w:type="dxa"/>
            <w:vAlign w:val="bottom"/>
            <w:shd w:val="clear" w:color="auto" w:fill="E2E8F1"/>
          </w:tcPr>
          <w:p>
            <w:pPr>
              <w:spacing w:after="0"/>
              <w:rPr>
                <w:sz w:val="16"/>
                <w:szCs w:val="16"/>
                <w:color w:val="auto"/>
              </w:rPr>
            </w:pPr>
          </w:p>
        </w:tc>
        <w:tc>
          <w:tcPr>
            <w:tcW w:w="96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auto"/>
              </w:rPr>
              <w:t>(0.1 )</w:t>
            </w:r>
          </w:p>
        </w:tc>
        <w:tc>
          <w:tcPr>
            <w:tcW w:w="24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auto"/>
              </w:rPr>
              <w:t>(2.8 )</w:t>
            </w:r>
          </w:p>
        </w:tc>
        <w:tc>
          <w:tcPr>
            <w:tcW w:w="260" w:type="dxa"/>
            <w:vAlign w:val="bottom"/>
            <w:shd w:val="clear" w:color="auto" w:fill="E2E8F1"/>
          </w:tcPr>
          <w:p>
            <w:pPr>
              <w:spacing w:after="0"/>
              <w:rPr>
                <w:sz w:val="16"/>
                <w:szCs w:val="16"/>
                <w:color w:val="auto"/>
              </w:rPr>
            </w:pPr>
          </w:p>
        </w:tc>
        <w:tc>
          <w:tcPr>
            <w:tcW w:w="840" w:type="dxa"/>
            <w:vAlign w:val="bottom"/>
            <w:shd w:val="clear" w:color="auto" w:fill="E2E8F1"/>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shd w:val="clear" w:color="auto" w:fill="E2E8F1"/>
          </w:tcPr>
          <w:p>
            <w:pPr>
              <w:spacing w:after="0"/>
              <w:rPr>
                <w:sz w:val="16"/>
                <w:szCs w:val="16"/>
                <w:color w:val="auto"/>
              </w:rPr>
            </w:pPr>
          </w:p>
        </w:tc>
        <w:tc>
          <w:tcPr>
            <w:tcW w:w="7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231F20"/>
            </w:tcBorders>
          </w:tcPr>
          <w:p>
            <w:pPr>
              <w:ind w:left="240"/>
              <w:spacing w:after="0"/>
              <w:rPr>
                <w:sz w:val="20"/>
                <w:szCs w:val="20"/>
                <w:color w:val="auto"/>
              </w:rPr>
            </w:pPr>
            <w:r>
              <w:rPr>
                <w:rFonts w:ascii="Arial" w:cs="Arial" w:eastAsia="Arial" w:hAnsi="Arial"/>
                <w:sz w:val="14"/>
                <w:szCs w:val="14"/>
                <w:color w:val="auto"/>
              </w:rPr>
              <w:t>Costs paid</w:t>
            </w:r>
          </w:p>
        </w:tc>
        <w:tc>
          <w:tcPr>
            <w:tcW w:w="260" w:type="dxa"/>
            <w:vAlign w:val="bottom"/>
            <w:tcBorders>
              <w:bottom w:val="single" w:sz="8" w:color="231F20"/>
            </w:tcBorders>
          </w:tcPr>
          <w:p>
            <w:pPr>
              <w:spacing w:after="0"/>
              <w:rPr>
                <w:sz w:val="16"/>
                <w:szCs w:val="16"/>
                <w:color w:val="auto"/>
              </w:rPr>
            </w:pPr>
          </w:p>
        </w:tc>
        <w:tc>
          <w:tcPr>
            <w:tcW w:w="96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(7.8 )</w:t>
            </w:r>
          </w:p>
        </w:tc>
        <w:tc>
          <w:tcPr>
            <w:tcW w:w="260" w:type="dxa"/>
            <w:vAlign w:val="bottom"/>
            <w:tcBorders>
              <w:bottom w:val="single" w:sz="8" w:color="231F20"/>
            </w:tcBorders>
          </w:tcPr>
          <w:p>
            <w:pPr>
              <w:spacing w:after="0"/>
              <w:rPr>
                <w:sz w:val="16"/>
                <w:szCs w:val="16"/>
                <w:color w:val="auto"/>
              </w:rPr>
            </w:pPr>
          </w:p>
        </w:tc>
        <w:tc>
          <w:tcPr>
            <w:tcW w:w="96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(7.7 )</w:t>
            </w:r>
          </w:p>
        </w:tc>
        <w:tc>
          <w:tcPr>
            <w:tcW w:w="24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(77.4 )</w:t>
            </w:r>
          </w:p>
        </w:tc>
        <w:tc>
          <w:tcPr>
            <w:tcW w:w="260" w:type="dxa"/>
            <w:vAlign w:val="bottom"/>
            <w:tcBorders>
              <w:bottom w:val="single" w:sz="8" w:color="231F20"/>
            </w:tcBorders>
          </w:tcPr>
          <w:p>
            <w:pPr>
              <w:spacing w:after="0"/>
              <w:rPr>
                <w:sz w:val="16"/>
                <w:szCs w:val="16"/>
                <w:color w:val="auto"/>
              </w:rPr>
            </w:pPr>
          </w:p>
        </w:tc>
        <w:tc>
          <w:tcPr>
            <w:tcW w:w="840" w:type="dxa"/>
            <w:vAlign w:val="bottom"/>
            <w:tcBorders>
              <w:bottom w:val="single" w:sz="8" w:color="231F20"/>
            </w:tcBorders>
          </w:tcPr>
          <w:p>
            <w:pPr>
              <w:jc w:val="right"/>
              <w:ind w:right="30"/>
              <w:spacing w:after="0"/>
              <w:rPr>
                <w:sz w:val="20"/>
                <w:szCs w:val="20"/>
                <w:color w:val="auto"/>
              </w:rPr>
            </w:pPr>
            <w:r>
              <w:rPr>
                <w:rFonts w:ascii="Arial" w:cs="Arial" w:eastAsia="Arial" w:hAnsi="Arial"/>
                <w:sz w:val="14"/>
                <w:szCs w:val="14"/>
                <w:color w:val="auto"/>
              </w:rPr>
              <w:t>(0.8 )</w:t>
            </w:r>
          </w:p>
        </w:tc>
        <w:tc>
          <w:tcPr>
            <w:tcW w:w="20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231F20"/>
            </w:tcBorders>
          </w:tcPr>
          <w:p>
            <w:pPr>
              <w:spacing w:after="0"/>
              <w:rPr>
                <w:sz w:val="16"/>
                <w:szCs w:val="16"/>
                <w:color w:val="auto"/>
              </w:rPr>
            </w:pPr>
          </w:p>
        </w:tc>
        <w:tc>
          <w:tcPr>
            <w:tcW w:w="7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(93.7 )</w:t>
            </w:r>
          </w:p>
        </w:tc>
        <w:tc>
          <w:tcPr>
            <w:tcW w:w="0" w:type="dxa"/>
            <w:vAlign w:val="bottom"/>
          </w:tcPr>
          <w:p>
            <w:pPr>
              <w:spacing w:after="0"/>
              <w:rPr>
                <w:sz w:val="1"/>
                <w:szCs w:val="1"/>
                <w:color w:val="auto"/>
              </w:rPr>
            </w:pPr>
          </w:p>
        </w:tc>
      </w:tr>
      <w:tr>
        <w:trPr>
          <w:trHeight w:val="181"/>
        </w:trPr>
        <w:tc>
          <w:tcPr>
            <w:tcW w:w="442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auto"/>
              </w:rPr>
              <w:t>Balance, December 31, 2024</w:t>
            </w:r>
          </w:p>
        </w:tc>
        <w:tc>
          <w:tcPr>
            <w:tcW w:w="2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31F20"/>
            </w:tcBorders>
            <w:shd w:val="clear" w:color="auto" w:fill="E2E8F1"/>
          </w:tcPr>
          <w:p>
            <w:pPr>
              <w:jc w:val="right"/>
              <w:ind w:right="130"/>
              <w:spacing w:after="0"/>
              <w:rPr>
                <w:sz w:val="20"/>
                <w:szCs w:val="20"/>
                <w:color w:val="auto"/>
              </w:rPr>
            </w:pPr>
            <w:r>
              <w:rPr>
                <w:rFonts w:ascii="Arial" w:cs="Arial" w:eastAsia="Arial" w:hAnsi="Arial"/>
                <w:sz w:val="14"/>
                <w:szCs w:val="14"/>
                <w:color w:val="auto"/>
              </w:rPr>
              <w:t>5.7</w:t>
            </w:r>
          </w:p>
        </w:tc>
        <w:tc>
          <w:tcPr>
            <w:tcW w:w="2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31F20"/>
            </w:tcBorders>
            <w:shd w:val="clear" w:color="auto" w:fill="E2E8F1"/>
          </w:tcPr>
          <w:p>
            <w:pPr>
              <w:jc w:val="right"/>
              <w:ind w:right="130"/>
              <w:spacing w:after="0"/>
              <w:rPr>
                <w:sz w:val="20"/>
                <w:szCs w:val="20"/>
                <w:color w:val="auto"/>
              </w:rPr>
            </w:pPr>
            <w:r>
              <w:rPr>
                <w:rFonts w:ascii="Arial" w:cs="Arial" w:eastAsia="Arial" w:hAnsi="Arial"/>
                <w:sz w:val="14"/>
                <w:szCs w:val="14"/>
                <w:color w:val="auto"/>
              </w:rPr>
              <w:t>4.4</w:t>
            </w:r>
          </w:p>
        </w:tc>
        <w:tc>
          <w:tcPr>
            <w:tcW w:w="2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231F20"/>
            </w:tcBorders>
            <w:shd w:val="clear" w:color="auto" w:fill="E2E8F1"/>
          </w:tcPr>
          <w:p>
            <w:pPr>
              <w:jc w:val="right"/>
              <w:ind w:right="130"/>
              <w:spacing w:after="0"/>
              <w:rPr>
                <w:sz w:val="20"/>
                <w:szCs w:val="20"/>
                <w:color w:val="auto"/>
              </w:rPr>
            </w:pPr>
            <w:r>
              <w:rPr>
                <w:rFonts w:ascii="Arial" w:cs="Arial" w:eastAsia="Arial" w:hAnsi="Arial"/>
                <w:sz w:val="14"/>
                <w:szCs w:val="14"/>
                <w:color w:val="auto"/>
              </w:rPr>
              <w:t>32.1</w:t>
            </w:r>
          </w:p>
        </w:tc>
        <w:tc>
          <w:tcPr>
            <w:tcW w:w="260" w:type="dxa"/>
            <w:vAlign w:val="bottom"/>
            <w:tcBorders>
              <w:bottom w:val="single" w:sz="8" w:color="231F20"/>
            </w:tcBorders>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31F20"/>
            </w:tcBorders>
            <w:shd w:val="clear" w:color="auto" w:fill="E2E8F1"/>
          </w:tcPr>
          <w:p>
            <w:pPr>
              <w:jc w:val="right"/>
              <w:ind w:right="110"/>
              <w:spacing w:after="0"/>
              <w:rPr>
                <w:sz w:val="20"/>
                <w:szCs w:val="20"/>
                <w:color w:val="auto"/>
              </w:rPr>
            </w:pPr>
            <w:r>
              <w:rPr>
                <w:rFonts w:ascii="Arial" w:cs="Arial" w:eastAsia="Arial" w:hAnsi="Arial"/>
                <w:sz w:val="14"/>
                <w:szCs w:val="14"/>
                <w:color w:val="auto"/>
              </w:rPr>
              <w:t>2.4</w:t>
            </w:r>
          </w:p>
        </w:tc>
        <w:tc>
          <w:tcPr>
            <w:tcW w:w="2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231F20"/>
            </w:tcBorders>
            <w:shd w:val="clear" w:color="auto" w:fill="E2E8F1"/>
          </w:tcPr>
          <w:p>
            <w:pPr>
              <w:jc w:val="right"/>
              <w:ind w:right="130"/>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231F20"/>
            </w:tcBorders>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5" w:right="20" w:hanging="325"/>
        <w:spacing w:after="0" w:line="214" w:lineRule="auto"/>
        <w:tabs>
          <w:tab w:leader="none" w:pos="325" w:val="left"/>
        </w:tabs>
        <w:numPr>
          <w:ilvl w:val="0"/>
          <w:numId w:val="33"/>
        </w:numPr>
        <w:rPr>
          <w:rFonts w:ascii="Arial" w:cs="Arial" w:eastAsia="Arial" w:hAnsi="Arial"/>
          <w:sz w:val="17"/>
          <w:szCs w:val="17"/>
          <w:color w:val="231F20"/>
          <w:vertAlign w:val="superscript"/>
        </w:rPr>
      </w:pPr>
      <w:r>
        <w:rPr>
          <w:rFonts w:ascii="Arial" w:cs="Arial" w:eastAsia="Arial" w:hAnsi="Arial"/>
          <w:sz w:val="13"/>
          <w:szCs w:val="13"/>
          <w:color w:val="231F20"/>
        </w:rPr>
        <w:t>Balance related to United States was $0.6 as of December 31, 2022. In 2023, United States incurred $7.7 for severance costs and paid $4.6, leaving a $3.7 liability as of December 31, 2023. In 2024, United States incurred $6.0 for severance costs, $0.1 for other costs and paid $5.8, leaving a $4.0 liability as of December 31, 2024.</w:t>
      </w:r>
    </w:p>
    <w:p>
      <w:pPr>
        <w:spacing w:after="0" w:line="11" w:lineRule="exact"/>
        <w:rPr>
          <w:rFonts w:ascii="Arial" w:cs="Arial" w:eastAsia="Arial" w:hAnsi="Arial"/>
          <w:sz w:val="17"/>
          <w:szCs w:val="17"/>
          <w:color w:val="231F20"/>
          <w:vertAlign w:val="superscript"/>
        </w:rPr>
      </w:pPr>
    </w:p>
    <w:p>
      <w:pPr>
        <w:jc w:val="both"/>
        <w:ind w:left="325" w:right="20" w:hanging="325"/>
        <w:spacing w:after="0" w:line="220" w:lineRule="auto"/>
        <w:tabs>
          <w:tab w:leader="none" w:pos="325" w:val="left"/>
        </w:tabs>
        <w:numPr>
          <w:ilvl w:val="0"/>
          <w:numId w:val="33"/>
        </w:numPr>
        <w:rPr>
          <w:rFonts w:ascii="Arial" w:cs="Arial" w:eastAsia="Arial" w:hAnsi="Arial"/>
          <w:sz w:val="17"/>
          <w:szCs w:val="17"/>
          <w:color w:val="231F20"/>
          <w:vertAlign w:val="superscript"/>
        </w:rPr>
      </w:pPr>
      <w:r>
        <w:rPr>
          <w:rFonts w:ascii="Arial" w:cs="Arial" w:eastAsia="Arial" w:hAnsi="Arial"/>
          <w:sz w:val="13"/>
          <w:szCs w:val="13"/>
          <w:color w:val="231F20"/>
        </w:rPr>
        <w:t>France had a $0.9 liability as of December 31, 2022. In 2023, France incurred $2.1 for severance costs, $0.4 for other costs and paid $0.9, leaving a $2.5 liability as of December 31, 2023. In 2024, France incurred $1.3 for severance costs, $0.5 for other costs and paid $3.1, leaving a $1.2 liability as of December 31, 2024. As of December 31, 2022 Italy had no restructuring liability. In 2023, Italy incurred $1.6 for severance costs and paid $0.6, leaving a $1.0 liability as of December 31, 2023. In 2024, Italy incurred $1.9 for severance costs, $0.1 for other costs and paid $1.0, leaving a $2.0 liability as of December 31, 2024.</w:t>
      </w:r>
    </w:p>
    <w:p>
      <w:pPr>
        <w:spacing w:after="0" w:line="1" w:lineRule="exact"/>
        <w:rPr>
          <w:rFonts w:ascii="Arial" w:cs="Arial" w:eastAsia="Arial" w:hAnsi="Arial"/>
          <w:sz w:val="17"/>
          <w:szCs w:val="17"/>
          <w:color w:val="231F20"/>
          <w:vertAlign w:val="superscript"/>
        </w:rPr>
      </w:pPr>
    </w:p>
    <w:p>
      <w:pPr>
        <w:ind w:left="325" w:hanging="325"/>
        <w:spacing w:after="0" w:line="203" w:lineRule="auto"/>
        <w:tabs>
          <w:tab w:leader="none" w:pos="325" w:val="left"/>
        </w:tabs>
        <w:numPr>
          <w:ilvl w:val="0"/>
          <w:numId w:val="33"/>
        </w:numPr>
        <w:rPr>
          <w:rFonts w:ascii="Arial" w:cs="Arial" w:eastAsia="Arial" w:hAnsi="Arial"/>
          <w:sz w:val="17"/>
          <w:szCs w:val="17"/>
          <w:color w:val="231F20"/>
          <w:vertAlign w:val="superscript"/>
        </w:rPr>
      </w:pPr>
      <w:r>
        <w:rPr>
          <w:rFonts w:ascii="Arial" w:cs="Arial" w:eastAsia="Arial" w:hAnsi="Arial"/>
          <w:sz w:val="13"/>
          <w:szCs w:val="13"/>
          <w:color w:val="231F20"/>
        </w:rPr>
        <w:t>Liabilities related to exited leased facilities are recorded within our short-term and long-term operating lease liabilities within our Consolidated Balance Sheets.</w:t>
      </w:r>
    </w:p>
    <w:p>
      <w:pPr>
        <w:spacing w:after="0" w:line="15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56" w:name="page57"/>
    <w:bookmarkEnd w:id="56"/>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Income Taxes</w:t>
      </w:r>
    </w:p>
    <w:p>
      <w:pPr>
        <w:spacing w:after="0" w:line="8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to reduce the assets to the amounts more likely than not to be realized.</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Fair Value Measurements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231F20"/>
        </w:rPr>
        <w:t>The assets and liabilities measured and recorded at fair value on a recurring basis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73025</wp:posOffset>
            </wp:positionV>
            <wp:extent cx="7493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760" w:type="dxa"/>
            <w:vAlign w:val="bottom"/>
            <w:tcBorders>
              <w:top w:val="single" w:sz="8" w:color="231F20"/>
            </w:tcBorders>
            <w:shd w:val="clear" w:color="auto" w:fill="98B0CF"/>
          </w:tcPr>
          <w:p>
            <w:pPr>
              <w:spacing w:after="0"/>
              <w:rPr>
                <w:sz w:val="13"/>
                <w:szCs w:val="13"/>
                <w:color w:val="auto"/>
              </w:rPr>
            </w:pPr>
          </w:p>
        </w:tc>
        <w:tc>
          <w:tcPr>
            <w:tcW w:w="220" w:type="dxa"/>
            <w:vAlign w:val="bottom"/>
            <w:tcBorders>
              <w:top w:val="single" w:sz="8" w:color="231F20"/>
            </w:tcBorders>
            <w:shd w:val="clear" w:color="auto" w:fill="98B0CF"/>
          </w:tcPr>
          <w:p>
            <w:pPr>
              <w:spacing w:after="0"/>
              <w:rPr>
                <w:sz w:val="13"/>
                <w:szCs w:val="13"/>
                <w:color w:val="auto"/>
              </w:rPr>
            </w:pPr>
          </w:p>
        </w:tc>
        <w:tc>
          <w:tcPr>
            <w:tcW w:w="620" w:type="dxa"/>
            <w:vAlign w:val="bottom"/>
            <w:tcBorders>
              <w:top w:val="single" w:sz="8" w:color="231F20"/>
            </w:tcBorders>
            <w:shd w:val="clear" w:color="auto" w:fill="98B0CF"/>
          </w:tcPr>
          <w:p>
            <w:pPr>
              <w:spacing w:after="0"/>
              <w:rPr>
                <w:sz w:val="13"/>
                <w:szCs w:val="13"/>
                <w:color w:val="auto"/>
              </w:rPr>
            </w:pPr>
          </w:p>
        </w:tc>
        <w:tc>
          <w:tcPr>
            <w:tcW w:w="2140" w:type="dxa"/>
            <w:vAlign w:val="bottom"/>
            <w:tcBorders>
              <w:top w:val="single" w:sz="8" w:color="231F20"/>
            </w:tcBorders>
            <w:gridSpan w:val="4"/>
            <w:shd w:val="clear" w:color="auto" w:fill="98B0CF"/>
          </w:tcPr>
          <w:p>
            <w:pPr>
              <w:jc w:val="right"/>
              <w:ind w:right="32"/>
              <w:spacing w:after="0"/>
              <w:rPr>
                <w:sz w:val="20"/>
                <w:szCs w:val="20"/>
                <w:color w:val="auto"/>
              </w:rPr>
            </w:pPr>
            <w:r>
              <w:rPr>
                <w:rFonts w:ascii="Arial" w:cs="Arial" w:eastAsia="Arial" w:hAnsi="Arial"/>
                <w:sz w:val="13"/>
                <w:szCs w:val="13"/>
                <w:b w:val="1"/>
                <w:bCs w:val="1"/>
                <w:color w:val="auto"/>
              </w:rPr>
              <w:t>Fair Value Measurements Using</w:t>
            </w:r>
          </w:p>
        </w:tc>
        <w:tc>
          <w:tcPr>
            <w:tcW w:w="180" w:type="dxa"/>
            <w:vAlign w:val="bottom"/>
            <w:tcBorders>
              <w:top w:val="single" w:sz="8" w:color="231F20"/>
            </w:tcBorders>
            <w:shd w:val="clear" w:color="auto" w:fill="98B0CF"/>
          </w:tcPr>
          <w:p>
            <w:pPr>
              <w:spacing w:after="0"/>
              <w:rPr>
                <w:sz w:val="13"/>
                <w:szCs w:val="13"/>
                <w:color w:val="auto"/>
              </w:rPr>
            </w:pPr>
          </w:p>
        </w:tc>
        <w:tc>
          <w:tcPr>
            <w:tcW w:w="700" w:type="dxa"/>
            <w:vAlign w:val="bottom"/>
            <w:tcBorders>
              <w:top w:val="single" w:sz="8" w:color="231F20"/>
            </w:tcBorders>
            <w:shd w:val="clear" w:color="auto" w:fill="98B0CF"/>
          </w:tcPr>
          <w:p>
            <w:pPr>
              <w:spacing w:after="0"/>
              <w:rPr>
                <w:sz w:val="13"/>
                <w:szCs w:val="13"/>
                <w:color w:val="auto"/>
              </w:rPr>
            </w:pPr>
          </w:p>
        </w:tc>
        <w:tc>
          <w:tcPr>
            <w:tcW w:w="100" w:type="dxa"/>
            <w:vAlign w:val="bottom"/>
            <w:tcBorders>
              <w:top w:val="single" w:sz="8" w:color="98B0CF"/>
            </w:tcBorders>
            <w:shd w:val="clear" w:color="auto" w:fill="98B0CF"/>
          </w:tcPr>
          <w:p>
            <w:pPr>
              <w:spacing w:after="0"/>
              <w:rPr>
                <w:sz w:val="13"/>
                <w:szCs w:val="13"/>
                <w:color w:val="auto"/>
              </w:rPr>
            </w:pPr>
          </w:p>
        </w:tc>
        <w:tc>
          <w:tcPr>
            <w:tcW w:w="100" w:type="dxa"/>
            <w:vAlign w:val="bottom"/>
            <w:tcBorders>
              <w:top w:val="single" w:sz="8" w:color="231F20"/>
            </w:tcBorders>
            <w:shd w:val="clear" w:color="auto" w:fill="98B0CF"/>
          </w:tcPr>
          <w:p>
            <w:pPr>
              <w:spacing w:after="0"/>
              <w:rPr>
                <w:sz w:val="13"/>
                <w:szCs w:val="13"/>
                <w:color w:val="auto"/>
              </w:rPr>
            </w:pPr>
          </w:p>
        </w:tc>
        <w:tc>
          <w:tcPr>
            <w:tcW w:w="620" w:type="dxa"/>
            <w:vAlign w:val="bottom"/>
            <w:tcBorders>
              <w:top w:val="single" w:sz="8" w:color="231F20"/>
            </w:tcBorders>
            <w:shd w:val="clear" w:color="auto" w:fill="98B0CF"/>
          </w:tcPr>
          <w:p>
            <w:pPr>
              <w:spacing w:after="0"/>
              <w:rPr>
                <w:sz w:val="13"/>
                <w:szCs w:val="13"/>
                <w:color w:val="auto"/>
              </w:rPr>
            </w:pPr>
          </w:p>
        </w:tc>
        <w:tc>
          <w:tcPr>
            <w:tcW w:w="1980" w:type="dxa"/>
            <w:vAlign w:val="bottom"/>
            <w:tcBorders>
              <w:top w:val="single" w:sz="8" w:color="231F20"/>
            </w:tcBorders>
            <w:gridSpan w:val="4"/>
            <w:shd w:val="clear" w:color="auto" w:fill="98B0CF"/>
          </w:tcPr>
          <w:p>
            <w:pPr>
              <w:jc w:val="right"/>
              <w:spacing w:after="0"/>
              <w:rPr>
                <w:sz w:val="20"/>
                <w:szCs w:val="20"/>
                <w:color w:val="auto"/>
              </w:rPr>
            </w:pPr>
            <w:r>
              <w:rPr>
                <w:rFonts w:ascii="Arial" w:cs="Arial" w:eastAsia="Arial" w:hAnsi="Arial"/>
                <w:sz w:val="13"/>
                <w:szCs w:val="13"/>
                <w:b w:val="1"/>
                <w:bCs w:val="1"/>
                <w:color w:val="auto"/>
                <w:w w:val="97"/>
              </w:rPr>
              <w:t>Fair Value Measurements Using</w:t>
            </w:r>
          </w:p>
        </w:tc>
        <w:tc>
          <w:tcPr>
            <w:tcW w:w="160" w:type="dxa"/>
            <w:vAlign w:val="bottom"/>
            <w:tcBorders>
              <w:top w:val="single" w:sz="8" w:color="231F20"/>
            </w:tcBorders>
            <w:shd w:val="clear" w:color="auto" w:fill="98B0CF"/>
          </w:tcPr>
          <w:p>
            <w:pPr>
              <w:spacing w:after="0"/>
              <w:rPr>
                <w:sz w:val="13"/>
                <w:szCs w:val="13"/>
                <w:color w:val="auto"/>
              </w:rPr>
            </w:pPr>
          </w:p>
        </w:tc>
        <w:tc>
          <w:tcPr>
            <w:tcW w:w="680" w:type="dxa"/>
            <w:vAlign w:val="bottom"/>
            <w:tcBorders>
              <w:top w:val="single" w:sz="8" w:color="231F20"/>
            </w:tcBorders>
            <w:shd w:val="clear" w:color="auto" w:fill="98B0CF"/>
          </w:tcPr>
          <w:p>
            <w:pPr>
              <w:spacing w:after="0"/>
              <w:rPr>
                <w:sz w:val="13"/>
                <w:szCs w:val="13"/>
                <w:color w:val="auto"/>
              </w:rPr>
            </w:pPr>
          </w:p>
        </w:tc>
      </w:tr>
      <w:tr>
        <w:trPr>
          <w:trHeight w:val="142"/>
        </w:trPr>
        <w:tc>
          <w:tcPr>
            <w:tcW w:w="3760" w:type="dxa"/>
            <w:vAlign w:val="bottom"/>
            <w:tcBorders>
              <w:bottom w:val="single" w:sz="8" w:color="auto"/>
            </w:tcBorders>
            <w:shd w:val="clear" w:color="auto" w:fill="98B0CF"/>
          </w:tcPr>
          <w:p>
            <w:pPr>
              <w:spacing w:after="0"/>
              <w:rPr>
                <w:sz w:val="12"/>
                <w:szCs w:val="12"/>
                <w:color w:val="auto"/>
              </w:rPr>
            </w:pPr>
          </w:p>
        </w:tc>
        <w:tc>
          <w:tcPr>
            <w:tcW w:w="220" w:type="dxa"/>
            <w:vAlign w:val="bottom"/>
            <w:tcBorders>
              <w:bottom w:val="single" w:sz="8" w:color="auto"/>
            </w:tcBorders>
            <w:shd w:val="clear" w:color="auto" w:fill="98B0CF"/>
          </w:tcPr>
          <w:p>
            <w:pPr>
              <w:spacing w:after="0"/>
              <w:rPr>
                <w:sz w:val="12"/>
                <w:szCs w:val="12"/>
                <w:color w:val="auto"/>
              </w:rPr>
            </w:pPr>
          </w:p>
        </w:tc>
        <w:tc>
          <w:tcPr>
            <w:tcW w:w="620" w:type="dxa"/>
            <w:vAlign w:val="bottom"/>
            <w:tcBorders>
              <w:bottom w:val="single" w:sz="8" w:color="auto"/>
            </w:tcBorders>
            <w:shd w:val="clear" w:color="auto" w:fill="98B0CF"/>
          </w:tcPr>
          <w:p>
            <w:pPr>
              <w:spacing w:after="0"/>
              <w:rPr>
                <w:sz w:val="12"/>
                <w:szCs w:val="12"/>
                <w:color w:val="auto"/>
              </w:rPr>
            </w:pPr>
          </w:p>
        </w:tc>
        <w:tc>
          <w:tcPr>
            <w:tcW w:w="340" w:type="dxa"/>
            <w:vAlign w:val="bottom"/>
            <w:tcBorders>
              <w:bottom w:val="single" w:sz="8" w:color="auto"/>
            </w:tcBorders>
            <w:shd w:val="clear" w:color="auto" w:fill="98B0CF"/>
          </w:tcPr>
          <w:p>
            <w:pPr>
              <w:spacing w:after="0"/>
              <w:rPr>
                <w:sz w:val="12"/>
                <w:szCs w:val="12"/>
                <w:color w:val="auto"/>
              </w:rPr>
            </w:pPr>
          </w:p>
        </w:tc>
        <w:tc>
          <w:tcPr>
            <w:tcW w:w="780" w:type="dxa"/>
            <w:vAlign w:val="bottom"/>
            <w:tcBorders>
              <w:bottom w:val="single" w:sz="8" w:color="auto"/>
            </w:tcBorders>
            <w:shd w:val="clear" w:color="auto" w:fill="98B0CF"/>
          </w:tcPr>
          <w:p>
            <w:pPr>
              <w:spacing w:after="0"/>
              <w:rPr>
                <w:sz w:val="12"/>
                <w:szCs w:val="12"/>
                <w:color w:val="auto"/>
              </w:rPr>
            </w:pPr>
          </w:p>
        </w:tc>
        <w:tc>
          <w:tcPr>
            <w:tcW w:w="220" w:type="dxa"/>
            <w:vAlign w:val="bottom"/>
            <w:tcBorders>
              <w:bottom w:val="single" w:sz="8" w:color="auto"/>
            </w:tcBorders>
            <w:shd w:val="clear" w:color="auto" w:fill="98B0CF"/>
          </w:tcPr>
          <w:p>
            <w:pPr>
              <w:spacing w:after="0"/>
              <w:rPr>
                <w:sz w:val="12"/>
                <w:szCs w:val="12"/>
                <w:color w:val="auto"/>
              </w:rPr>
            </w:pPr>
          </w:p>
        </w:tc>
        <w:tc>
          <w:tcPr>
            <w:tcW w:w="800" w:type="dxa"/>
            <w:vAlign w:val="bottom"/>
            <w:tcBorders>
              <w:bottom w:val="single" w:sz="8" w:color="auto"/>
            </w:tcBorders>
            <w:shd w:val="clear" w:color="auto" w:fill="98B0CF"/>
          </w:tcPr>
          <w:p>
            <w:pPr>
              <w:spacing w:after="0"/>
              <w:rPr>
                <w:sz w:val="12"/>
                <w:szCs w:val="12"/>
                <w:color w:val="auto"/>
              </w:rPr>
            </w:pPr>
          </w:p>
        </w:tc>
        <w:tc>
          <w:tcPr>
            <w:tcW w:w="180" w:type="dxa"/>
            <w:vAlign w:val="bottom"/>
            <w:tcBorders>
              <w:bottom w:val="single" w:sz="8" w:color="auto"/>
            </w:tcBorders>
            <w:shd w:val="clear" w:color="auto" w:fill="98B0CF"/>
          </w:tcPr>
          <w:p>
            <w:pPr>
              <w:spacing w:after="0"/>
              <w:rPr>
                <w:sz w:val="12"/>
                <w:szCs w:val="12"/>
                <w:color w:val="auto"/>
              </w:rPr>
            </w:pPr>
          </w:p>
        </w:tc>
        <w:tc>
          <w:tcPr>
            <w:tcW w:w="700" w:type="dxa"/>
            <w:vAlign w:val="bottom"/>
            <w:tcBorders>
              <w:bottom w:val="single" w:sz="8" w:color="auto"/>
            </w:tcBorders>
            <w:shd w:val="clear" w:color="auto" w:fill="98B0CF"/>
          </w:tcPr>
          <w:p>
            <w:pPr>
              <w:spacing w:after="0"/>
              <w:rPr>
                <w:sz w:val="12"/>
                <w:szCs w:val="12"/>
                <w:color w:val="auto"/>
              </w:rPr>
            </w:pPr>
          </w:p>
        </w:tc>
        <w:tc>
          <w:tcPr>
            <w:tcW w:w="100" w:type="dxa"/>
            <w:vAlign w:val="bottom"/>
            <w:tcBorders>
              <w:bottom w:val="single" w:sz="8" w:color="98B0CF"/>
            </w:tcBorders>
            <w:shd w:val="clear" w:color="auto" w:fill="98B0CF"/>
          </w:tcPr>
          <w:p>
            <w:pPr>
              <w:spacing w:after="0"/>
              <w:rPr>
                <w:sz w:val="12"/>
                <w:szCs w:val="12"/>
                <w:color w:val="auto"/>
              </w:rPr>
            </w:pPr>
          </w:p>
        </w:tc>
        <w:tc>
          <w:tcPr>
            <w:tcW w:w="100" w:type="dxa"/>
            <w:vAlign w:val="bottom"/>
            <w:tcBorders>
              <w:bottom w:val="single" w:sz="8" w:color="auto"/>
            </w:tcBorders>
            <w:shd w:val="clear" w:color="auto" w:fill="98B0CF"/>
          </w:tcPr>
          <w:p>
            <w:pPr>
              <w:spacing w:after="0"/>
              <w:rPr>
                <w:sz w:val="12"/>
                <w:szCs w:val="12"/>
                <w:color w:val="auto"/>
              </w:rPr>
            </w:pPr>
          </w:p>
        </w:tc>
        <w:tc>
          <w:tcPr>
            <w:tcW w:w="620" w:type="dxa"/>
            <w:vAlign w:val="bottom"/>
            <w:tcBorders>
              <w:bottom w:val="single" w:sz="8" w:color="auto"/>
            </w:tcBorders>
            <w:shd w:val="clear" w:color="auto" w:fill="98B0CF"/>
          </w:tcPr>
          <w:p>
            <w:pPr>
              <w:spacing w:after="0"/>
              <w:rPr>
                <w:sz w:val="12"/>
                <w:szCs w:val="12"/>
                <w:color w:val="auto"/>
              </w:rPr>
            </w:pPr>
          </w:p>
        </w:tc>
        <w:tc>
          <w:tcPr>
            <w:tcW w:w="300" w:type="dxa"/>
            <w:vAlign w:val="bottom"/>
            <w:tcBorders>
              <w:bottom w:val="single" w:sz="8" w:color="auto"/>
            </w:tcBorders>
            <w:shd w:val="clear" w:color="auto" w:fill="98B0CF"/>
          </w:tcPr>
          <w:p>
            <w:pPr>
              <w:spacing w:after="0"/>
              <w:rPr>
                <w:sz w:val="12"/>
                <w:szCs w:val="12"/>
                <w:color w:val="auto"/>
              </w:rPr>
            </w:pPr>
          </w:p>
        </w:tc>
        <w:tc>
          <w:tcPr>
            <w:tcW w:w="700" w:type="dxa"/>
            <w:vAlign w:val="bottom"/>
            <w:tcBorders>
              <w:bottom w:val="single" w:sz="8" w:color="auto"/>
            </w:tcBorders>
            <w:shd w:val="clear" w:color="auto" w:fill="98B0CF"/>
          </w:tcPr>
          <w:p>
            <w:pPr>
              <w:spacing w:after="0"/>
              <w:rPr>
                <w:sz w:val="12"/>
                <w:szCs w:val="12"/>
                <w:color w:val="auto"/>
              </w:rPr>
            </w:pPr>
          </w:p>
        </w:tc>
        <w:tc>
          <w:tcPr>
            <w:tcW w:w="240" w:type="dxa"/>
            <w:vAlign w:val="bottom"/>
            <w:tcBorders>
              <w:bottom w:val="single" w:sz="8" w:color="auto"/>
            </w:tcBorders>
            <w:shd w:val="clear" w:color="auto" w:fill="98B0CF"/>
          </w:tcPr>
          <w:p>
            <w:pPr>
              <w:spacing w:after="0"/>
              <w:rPr>
                <w:sz w:val="12"/>
                <w:szCs w:val="12"/>
                <w:color w:val="auto"/>
              </w:rPr>
            </w:pPr>
          </w:p>
        </w:tc>
        <w:tc>
          <w:tcPr>
            <w:tcW w:w="740" w:type="dxa"/>
            <w:vAlign w:val="bottom"/>
            <w:tcBorders>
              <w:bottom w:val="single" w:sz="8" w:color="auto"/>
            </w:tcBorders>
            <w:shd w:val="clear" w:color="auto" w:fill="98B0CF"/>
          </w:tcPr>
          <w:p>
            <w:pPr>
              <w:spacing w:after="0"/>
              <w:rPr>
                <w:sz w:val="12"/>
                <w:szCs w:val="12"/>
                <w:color w:val="auto"/>
              </w:rPr>
            </w:pPr>
          </w:p>
        </w:tc>
        <w:tc>
          <w:tcPr>
            <w:tcW w:w="160" w:type="dxa"/>
            <w:vAlign w:val="bottom"/>
            <w:tcBorders>
              <w:bottom w:val="single" w:sz="8" w:color="auto"/>
            </w:tcBorders>
            <w:shd w:val="clear" w:color="auto" w:fill="98B0CF"/>
          </w:tcPr>
          <w:p>
            <w:pPr>
              <w:spacing w:after="0"/>
              <w:rPr>
                <w:sz w:val="12"/>
                <w:szCs w:val="12"/>
                <w:color w:val="auto"/>
              </w:rPr>
            </w:pPr>
          </w:p>
        </w:tc>
        <w:tc>
          <w:tcPr>
            <w:tcW w:w="680" w:type="dxa"/>
            <w:vAlign w:val="bottom"/>
            <w:tcBorders>
              <w:bottom w:val="single" w:sz="8" w:color="auto"/>
            </w:tcBorders>
            <w:shd w:val="clear" w:color="auto" w:fill="98B0CF"/>
          </w:tcPr>
          <w:p>
            <w:pPr>
              <w:spacing w:after="0"/>
              <w:rPr>
                <w:sz w:val="12"/>
                <w:szCs w:val="12"/>
                <w:color w:val="auto"/>
              </w:rPr>
            </w:pPr>
          </w:p>
        </w:tc>
      </w:tr>
      <w:tr>
        <w:trPr>
          <w:trHeight w:val="268"/>
        </w:trPr>
        <w:tc>
          <w:tcPr>
            <w:tcW w:w="3760" w:type="dxa"/>
            <w:vAlign w:val="bottom"/>
            <w:shd w:val="clear" w:color="auto" w:fill="98B0CF"/>
          </w:tcPr>
          <w:p>
            <w:pPr>
              <w:spacing w:after="0"/>
              <w:rPr>
                <w:sz w:val="23"/>
                <w:szCs w:val="23"/>
                <w:color w:val="auto"/>
              </w:rPr>
            </w:pPr>
          </w:p>
        </w:tc>
        <w:tc>
          <w:tcPr>
            <w:tcW w:w="220" w:type="dxa"/>
            <w:vAlign w:val="bottom"/>
            <w:shd w:val="clear" w:color="auto" w:fill="98B0CF"/>
          </w:tcPr>
          <w:p>
            <w:pPr>
              <w:spacing w:after="0"/>
              <w:rPr>
                <w:sz w:val="23"/>
                <w:szCs w:val="23"/>
                <w:color w:val="auto"/>
              </w:rPr>
            </w:pPr>
          </w:p>
        </w:tc>
        <w:tc>
          <w:tcPr>
            <w:tcW w:w="620" w:type="dxa"/>
            <w:vAlign w:val="bottom"/>
            <w:shd w:val="clear" w:color="auto" w:fill="98B0CF"/>
          </w:tcPr>
          <w:p>
            <w:pPr>
              <w:spacing w:after="0"/>
              <w:rPr>
                <w:sz w:val="23"/>
                <w:szCs w:val="23"/>
                <w:color w:val="auto"/>
              </w:rPr>
            </w:pPr>
          </w:p>
        </w:tc>
        <w:tc>
          <w:tcPr>
            <w:tcW w:w="340" w:type="dxa"/>
            <w:vAlign w:val="bottom"/>
            <w:shd w:val="clear" w:color="auto" w:fill="98B0CF"/>
          </w:tcPr>
          <w:p>
            <w:pPr>
              <w:spacing w:after="0"/>
              <w:rPr>
                <w:sz w:val="23"/>
                <w:szCs w:val="23"/>
                <w:color w:val="auto"/>
              </w:rPr>
            </w:pPr>
          </w:p>
        </w:tc>
        <w:tc>
          <w:tcPr>
            <w:tcW w:w="780" w:type="dxa"/>
            <w:vAlign w:val="bottom"/>
            <w:shd w:val="clear" w:color="auto" w:fill="98B0CF"/>
          </w:tcPr>
          <w:p>
            <w:pPr>
              <w:spacing w:after="0"/>
              <w:rPr>
                <w:sz w:val="23"/>
                <w:szCs w:val="23"/>
                <w:color w:val="auto"/>
              </w:rPr>
            </w:pPr>
          </w:p>
        </w:tc>
        <w:tc>
          <w:tcPr>
            <w:tcW w:w="220" w:type="dxa"/>
            <w:vAlign w:val="bottom"/>
            <w:shd w:val="clear" w:color="auto" w:fill="98B0CF"/>
          </w:tcPr>
          <w:p>
            <w:pPr>
              <w:spacing w:after="0"/>
              <w:rPr>
                <w:sz w:val="23"/>
                <w:szCs w:val="23"/>
                <w:color w:val="auto"/>
              </w:rPr>
            </w:pPr>
          </w:p>
        </w:tc>
        <w:tc>
          <w:tcPr>
            <w:tcW w:w="800" w:type="dxa"/>
            <w:vAlign w:val="bottom"/>
            <w:shd w:val="clear" w:color="auto" w:fill="98B0CF"/>
          </w:tcPr>
          <w:p>
            <w:pPr>
              <w:spacing w:after="0"/>
              <w:rPr>
                <w:sz w:val="23"/>
                <w:szCs w:val="23"/>
                <w:color w:val="auto"/>
              </w:rPr>
            </w:pPr>
          </w:p>
        </w:tc>
        <w:tc>
          <w:tcPr>
            <w:tcW w:w="180" w:type="dxa"/>
            <w:vAlign w:val="bottom"/>
            <w:shd w:val="clear" w:color="auto" w:fill="98B0CF"/>
          </w:tcPr>
          <w:p>
            <w:pPr>
              <w:spacing w:after="0"/>
              <w:rPr>
                <w:sz w:val="23"/>
                <w:szCs w:val="23"/>
                <w:color w:val="auto"/>
              </w:rPr>
            </w:pPr>
          </w:p>
        </w:tc>
        <w:tc>
          <w:tcPr>
            <w:tcW w:w="700" w:type="dxa"/>
            <w:vAlign w:val="bottom"/>
            <w:shd w:val="clear" w:color="auto" w:fill="98B0CF"/>
          </w:tcPr>
          <w:p>
            <w:pPr>
              <w:spacing w:after="0"/>
              <w:rPr>
                <w:sz w:val="23"/>
                <w:szCs w:val="23"/>
                <w:color w:val="auto"/>
              </w:rPr>
            </w:pPr>
          </w:p>
        </w:tc>
        <w:tc>
          <w:tcPr>
            <w:tcW w:w="100" w:type="dxa"/>
            <w:vAlign w:val="bottom"/>
            <w:shd w:val="clear" w:color="auto" w:fill="98B0CF"/>
          </w:tcPr>
          <w:p>
            <w:pPr>
              <w:spacing w:after="0"/>
              <w:rPr>
                <w:sz w:val="23"/>
                <w:szCs w:val="23"/>
                <w:color w:val="auto"/>
              </w:rPr>
            </w:pPr>
          </w:p>
        </w:tc>
        <w:tc>
          <w:tcPr>
            <w:tcW w:w="100" w:type="dxa"/>
            <w:vAlign w:val="bottom"/>
            <w:shd w:val="clear" w:color="auto" w:fill="98B0CF"/>
          </w:tcPr>
          <w:p>
            <w:pPr>
              <w:spacing w:after="0"/>
              <w:rPr>
                <w:sz w:val="23"/>
                <w:szCs w:val="23"/>
                <w:color w:val="auto"/>
              </w:rPr>
            </w:pPr>
          </w:p>
        </w:tc>
        <w:tc>
          <w:tcPr>
            <w:tcW w:w="620" w:type="dxa"/>
            <w:vAlign w:val="bottom"/>
            <w:shd w:val="clear" w:color="auto" w:fill="98B0CF"/>
          </w:tcPr>
          <w:p>
            <w:pPr>
              <w:spacing w:after="0"/>
              <w:rPr>
                <w:sz w:val="23"/>
                <w:szCs w:val="23"/>
                <w:color w:val="auto"/>
              </w:rPr>
            </w:pPr>
          </w:p>
        </w:tc>
        <w:tc>
          <w:tcPr>
            <w:tcW w:w="300" w:type="dxa"/>
            <w:vAlign w:val="bottom"/>
            <w:shd w:val="clear" w:color="auto" w:fill="98B0CF"/>
          </w:tcPr>
          <w:p>
            <w:pPr>
              <w:spacing w:after="0"/>
              <w:rPr>
                <w:sz w:val="23"/>
                <w:szCs w:val="23"/>
                <w:color w:val="auto"/>
              </w:rPr>
            </w:pPr>
          </w:p>
        </w:tc>
        <w:tc>
          <w:tcPr>
            <w:tcW w:w="700" w:type="dxa"/>
            <w:vAlign w:val="bottom"/>
            <w:shd w:val="clear" w:color="auto" w:fill="98B0CF"/>
          </w:tcPr>
          <w:p>
            <w:pPr>
              <w:jc w:val="center"/>
              <w:ind w:right="152"/>
              <w:spacing w:after="0"/>
              <w:rPr>
                <w:sz w:val="20"/>
                <w:szCs w:val="20"/>
                <w:color w:val="auto"/>
              </w:rPr>
            </w:pPr>
            <w:r>
              <w:rPr>
                <w:rFonts w:ascii="Arial" w:cs="Arial" w:eastAsia="Arial" w:hAnsi="Arial"/>
                <w:sz w:val="13"/>
                <w:szCs w:val="13"/>
                <w:b w:val="1"/>
                <w:bCs w:val="1"/>
                <w:color w:val="auto"/>
                <w:w w:val="96"/>
              </w:rPr>
              <w:t>Quoted</w:t>
            </w:r>
          </w:p>
        </w:tc>
        <w:tc>
          <w:tcPr>
            <w:tcW w:w="240" w:type="dxa"/>
            <w:vAlign w:val="bottom"/>
            <w:shd w:val="clear" w:color="auto" w:fill="98B0CF"/>
          </w:tcPr>
          <w:p>
            <w:pPr>
              <w:spacing w:after="0"/>
              <w:rPr>
                <w:sz w:val="23"/>
                <w:szCs w:val="23"/>
                <w:color w:val="auto"/>
              </w:rPr>
            </w:pPr>
          </w:p>
        </w:tc>
        <w:tc>
          <w:tcPr>
            <w:tcW w:w="740" w:type="dxa"/>
            <w:vAlign w:val="bottom"/>
            <w:shd w:val="clear" w:color="auto" w:fill="98B0CF"/>
          </w:tcPr>
          <w:p>
            <w:pPr>
              <w:spacing w:after="0"/>
              <w:rPr>
                <w:sz w:val="23"/>
                <w:szCs w:val="23"/>
                <w:color w:val="auto"/>
              </w:rPr>
            </w:pPr>
          </w:p>
        </w:tc>
        <w:tc>
          <w:tcPr>
            <w:tcW w:w="160" w:type="dxa"/>
            <w:vAlign w:val="bottom"/>
            <w:shd w:val="clear" w:color="auto" w:fill="98B0CF"/>
          </w:tcPr>
          <w:p>
            <w:pPr>
              <w:spacing w:after="0"/>
              <w:rPr>
                <w:sz w:val="23"/>
                <w:szCs w:val="23"/>
                <w:color w:val="auto"/>
              </w:rPr>
            </w:pPr>
          </w:p>
        </w:tc>
        <w:tc>
          <w:tcPr>
            <w:tcW w:w="680" w:type="dxa"/>
            <w:vAlign w:val="bottom"/>
            <w:shd w:val="clear" w:color="auto" w:fill="98B0CF"/>
          </w:tcPr>
          <w:p>
            <w:pPr>
              <w:spacing w:after="0"/>
              <w:rPr>
                <w:sz w:val="23"/>
                <w:szCs w:val="23"/>
                <w:color w:val="auto"/>
              </w:rPr>
            </w:pPr>
          </w:p>
        </w:tc>
      </w:tr>
      <w:tr>
        <w:trPr>
          <w:trHeight w:val="142"/>
        </w:trPr>
        <w:tc>
          <w:tcPr>
            <w:tcW w:w="376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620" w:type="dxa"/>
            <w:vAlign w:val="bottom"/>
            <w:shd w:val="clear" w:color="auto" w:fill="98B0CF"/>
          </w:tcPr>
          <w:p>
            <w:pPr>
              <w:spacing w:after="0"/>
              <w:rPr>
                <w:sz w:val="12"/>
                <w:szCs w:val="12"/>
                <w:color w:val="auto"/>
              </w:rPr>
            </w:pPr>
          </w:p>
        </w:tc>
        <w:tc>
          <w:tcPr>
            <w:tcW w:w="340" w:type="dxa"/>
            <w:vAlign w:val="bottom"/>
            <w:shd w:val="clear" w:color="auto" w:fill="98B0CF"/>
          </w:tcPr>
          <w:p>
            <w:pPr>
              <w:spacing w:after="0"/>
              <w:rPr>
                <w:sz w:val="12"/>
                <w:szCs w:val="12"/>
                <w:color w:val="auto"/>
              </w:rPr>
            </w:pPr>
          </w:p>
        </w:tc>
        <w:tc>
          <w:tcPr>
            <w:tcW w:w="780" w:type="dxa"/>
            <w:vAlign w:val="bottom"/>
            <w:shd w:val="clear" w:color="auto" w:fill="98B0CF"/>
          </w:tcPr>
          <w:p>
            <w:pPr>
              <w:jc w:val="center"/>
              <w:ind w:right="153"/>
              <w:spacing w:after="0" w:line="142" w:lineRule="exact"/>
              <w:rPr>
                <w:sz w:val="20"/>
                <w:szCs w:val="20"/>
                <w:color w:val="auto"/>
              </w:rPr>
            </w:pPr>
            <w:r>
              <w:rPr>
                <w:rFonts w:ascii="Arial" w:cs="Arial" w:eastAsia="Arial" w:hAnsi="Arial"/>
                <w:sz w:val="13"/>
                <w:szCs w:val="13"/>
                <w:b w:val="1"/>
                <w:bCs w:val="1"/>
                <w:color w:val="auto"/>
                <w:w w:val="96"/>
              </w:rPr>
              <w:t>Quoted</w:t>
            </w:r>
          </w:p>
        </w:tc>
        <w:tc>
          <w:tcPr>
            <w:tcW w:w="220" w:type="dxa"/>
            <w:vAlign w:val="bottom"/>
            <w:shd w:val="clear" w:color="auto" w:fill="98B0CF"/>
          </w:tcPr>
          <w:p>
            <w:pPr>
              <w:spacing w:after="0"/>
              <w:rPr>
                <w:sz w:val="12"/>
                <w:szCs w:val="12"/>
                <w:color w:val="auto"/>
              </w:rPr>
            </w:pPr>
          </w:p>
        </w:tc>
        <w:tc>
          <w:tcPr>
            <w:tcW w:w="800" w:type="dxa"/>
            <w:vAlign w:val="bottom"/>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7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620" w:type="dxa"/>
            <w:vAlign w:val="bottom"/>
            <w:shd w:val="clear" w:color="auto" w:fill="98B0CF"/>
          </w:tcPr>
          <w:p>
            <w:pPr>
              <w:spacing w:after="0"/>
              <w:rPr>
                <w:sz w:val="12"/>
                <w:szCs w:val="12"/>
                <w:color w:val="auto"/>
              </w:rPr>
            </w:pPr>
          </w:p>
        </w:tc>
        <w:tc>
          <w:tcPr>
            <w:tcW w:w="300" w:type="dxa"/>
            <w:vAlign w:val="bottom"/>
            <w:shd w:val="clear" w:color="auto" w:fill="98B0CF"/>
          </w:tcPr>
          <w:p>
            <w:pPr>
              <w:spacing w:after="0"/>
              <w:rPr>
                <w:sz w:val="12"/>
                <w:szCs w:val="12"/>
                <w:color w:val="auto"/>
              </w:rPr>
            </w:pPr>
          </w:p>
        </w:tc>
        <w:tc>
          <w:tcPr>
            <w:tcW w:w="700" w:type="dxa"/>
            <w:vAlign w:val="bottom"/>
            <w:shd w:val="clear" w:color="auto" w:fill="98B0CF"/>
          </w:tcPr>
          <w:p>
            <w:pPr>
              <w:jc w:val="center"/>
              <w:ind w:right="172"/>
              <w:spacing w:after="0" w:line="142" w:lineRule="exact"/>
              <w:rPr>
                <w:sz w:val="20"/>
                <w:szCs w:val="20"/>
                <w:color w:val="auto"/>
              </w:rPr>
            </w:pPr>
            <w:r>
              <w:rPr>
                <w:rFonts w:ascii="Arial" w:cs="Arial" w:eastAsia="Arial" w:hAnsi="Arial"/>
                <w:sz w:val="13"/>
                <w:szCs w:val="13"/>
                <w:b w:val="1"/>
                <w:bCs w:val="1"/>
                <w:color w:val="auto"/>
                <w:w w:val="97"/>
              </w:rPr>
              <w:t>Prices</w:t>
            </w:r>
          </w:p>
        </w:tc>
        <w:tc>
          <w:tcPr>
            <w:tcW w:w="240" w:type="dxa"/>
            <w:vAlign w:val="bottom"/>
            <w:shd w:val="clear" w:color="auto" w:fill="98B0CF"/>
          </w:tcPr>
          <w:p>
            <w:pPr>
              <w:spacing w:after="0"/>
              <w:rPr>
                <w:sz w:val="12"/>
                <w:szCs w:val="12"/>
                <w:color w:val="auto"/>
              </w:rPr>
            </w:pPr>
          </w:p>
        </w:tc>
        <w:tc>
          <w:tcPr>
            <w:tcW w:w="740" w:type="dxa"/>
            <w:vAlign w:val="bottom"/>
            <w:shd w:val="clear" w:color="auto" w:fill="98B0CF"/>
          </w:tcPr>
          <w:p>
            <w:pPr>
              <w:spacing w:after="0"/>
              <w:rPr>
                <w:sz w:val="12"/>
                <w:szCs w:val="12"/>
                <w:color w:val="auto"/>
              </w:rPr>
            </w:pPr>
          </w:p>
        </w:tc>
        <w:tc>
          <w:tcPr>
            <w:tcW w:w="160" w:type="dxa"/>
            <w:vAlign w:val="bottom"/>
            <w:shd w:val="clear" w:color="auto" w:fill="98B0CF"/>
          </w:tcPr>
          <w:p>
            <w:pPr>
              <w:spacing w:after="0"/>
              <w:rPr>
                <w:sz w:val="12"/>
                <w:szCs w:val="12"/>
                <w:color w:val="auto"/>
              </w:rPr>
            </w:pPr>
          </w:p>
        </w:tc>
        <w:tc>
          <w:tcPr>
            <w:tcW w:w="680" w:type="dxa"/>
            <w:vAlign w:val="bottom"/>
            <w:shd w:val="clear" w:color="auto" w:fill="98B0CF"/>
          </w:tcPr>
          <w:p>
            <w:pPr>
              <w:spacing w:after="0"/>
              <w:rPr>
                <w:sz w:val="12"/>
                <w:szCs w:val="12"/>
                <w:color w:val="auto"/>
              </w:rPr>
            </w:pPr>
          </w:p>
        </w:tc>
      </w:tr>
      <w:tr>
        <w:trPr>
          <w:trHeight w:val="142"/>
        </w:trPr>
        <w:tc>
          <w:tcPr>
            <w:tcW w:w="376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620" w:type="dxa"/>
            <w:vAlign w:val="bottom"/>
            <w:shd w:val="clear" w:color="auto" w:fill="98B0CF"/>
          </w:tcPr>
          <w:p>
            <w:pPr>
              <w:spacing w:after="0"/>
              <w:rPr>
                <w:sz w:val="12"/>
                <w:szCs w:val="12"/>
                <w:color w:val="auto"/>
              </w:rPr>
            </w:pPr>
          </w:p>
        </w:tc>
        <w:tc>
          <w:tcPr>
            <w:tcW w:w="340" w:type="dxa"/>
            <w:vAlign w:val="bottom"/>
            <w:shd w:val="clear" w:color="auto" w:fill="98B0CF"/>
          </w:tcPr>
          <w:p>
            <w:pPr>
              <w:spacing w:after="0"/>
              <w:rPr>
                <w:sz w:val="12"/>
                <w:szCs w:val="12"/>
                <w:color w:val="auto"/>
              </w:rPr>
            </w:pPr>
          </w:p>
        </w:tc>
        <w:tc>
          <w:tcPr>
            <w:tcW w:w="780" w:type="dxa"/>
            <w:vAlign w:val="bottom"/>
            <w:shd w:val="clear" w:color="auto" w:fill="98B0CF"/>
          </w:tcPr>
          <w:p>
            <w:pPr>
              <w:jc w:val="center"/>
              <w:ind w:right="173"/>
              <w:spacing w:after="0" w:line="142" w:lineRule="exact"/>
              <w:rPr>
                <w:sz w:val="20"/>
                <w:szCs w:val="20"/>
                <w:color w:val="auto"/>
              </w:rPr>
            </w:pPr>
            <w:r>
              <w:rPr>
                <w:rFonts w:ascii="Arial" w:cs="Arial" w:eastAsia="Arial" w:hAnsi="Arial"/>
                <w:sz w:val="13"/>
                <w:szCs w:val="13"/>
                <w:b w:val="1"/>
                <w:bCs w:val="1"/>
                <w:color w:val="auto"/>
                <w:w w:val="97"/>
              </w:rPr>
              <w:t>Prices</w:t>
            </w:r>
          </w:p>
        </w:tc>
        <w:tc>
          <w:tcPr>
            <w:tcW w:w="1020" w:type="dxa"/>
            <w:vAlign w:val="bottom"/>
            <w:gridSpan w:val="2"/>
            <w:shd w:val="clear" w:color="auto" w:fill="98B0CF"/>
          </w:tcPr>
          <w:p>
            <w:pPr>
              <w:ind w:left="160"/>
              <w:spacing w:after="0" w:line="142" w:lineRule="exact"/>
              <w:rPr>
                <w:sz w:val="20"/>
                <w:szCs w:val="20"/>
                <w:color w:val="auto"/>
              </w:rPr>
            </w:pPr>
            <w:r>
              <w:rPr>
                <w:rFonts w:ascii="Arial" w:cs="Arial" w:eastAsia="Arial" w:hAnsi="Arial"/>
                <w:sz w:val="13"/>
                <w:szCs w:val="13"/>
                <w:b w:val="1"/>
                <w:bCs w:val="1"/>
                <w:color w:val="auto"/>
              </w:rPr>
              <w:t>Significant</w:t>
            </w:r>
          </w:p>
        </w:tc>
        <w:tc>
          <w:tcPr>
            <w:tcW w:w="180" w:type="dxa"/>
            <w:vAlign w:val="bottom"/>
            <w:shd w:val="clear" w:color="auto" w:fill="98B0CF"/>
          </w:tcPr>
          <w:p>
            <w:pPr>
              <w:spacing w:after="0"/>
              <w:rPr>
                <w:sz w:val="12"/>
                <w:szCs w:val="12"/>
                <w:color w:val="auto"/>
              </w:rPr>
            </w:pPr>
          </w:p>
        </w:tc>
        <w:tc>
          <w:tcPr>
            <w:tcW w:w="7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620" w:type="dxa"/>
            <w:vAlign w:val="bottom"/>
            <w:shd w:val="clear" w:color="auto" w:fill="98B0CF"/>
          </w:tcPr>
          <w:p>
            <w:pPr>
              <w:spacing w:after="0"/>
              <w:rPr>
                <w:sz w:val="12"/>
                <w:szCs w:val="12"/>
                <w:color w:val="auto"/>
              </w:rPr>
            </w:pPr>
          </w:p>
        </w:tc>
        <w:tc>
          <w:tcPr>
            <w:tcW w:w="1000" w:type="dxa"/>
            <w:vAlign w:val="bottom"/>
            <w:gridSpan w:val="2"/>
            <w:shd w:val="clear" w:color="auto" w:fill="98B0CF"/>
          </w:tcPr>
          <w:p>
            <w:pPr>
              <w:jc w:val="center"/>
              <w:ind w:left="13"/>
              <w:spacing w:after="0" w:line="142" w:lineRule="exact"/>
              <w:rPr>
                <w:sz w:val="20"/>
                <w:szCs w:val="20"/>
                <w:color w:val="auto"/>
              </w:rPr>
            </w:pPr>
            <w:r>
              <w:rPr>
                <w:rFonts w:ascii="Arial" w:cs="Arial" w:eastAsia="Arial" w:hAnsi="Arial"/>
                <w:sz w:val="13"/>
                <w:szCs w:val="13"/>
                <w:b w:val="1"/>
                <w:bCs w:val="1"/>
                <w:color w:val="auto"/>
                <w:w w:val="95"/>
              </w:rPr>
              <w:t>in Active</w:t>
            </w:r>
          </w:p>
        </w:tc>
        <w:tc>
          <w:tcPr>
            <w:tcW w:w="980" w:type="dxa"/>
            <w:vAlign w:val="bottom"/>
            <w:gridSpan w:val="2"/>
            <w:shd w:val="clear" w:color="auto" w:fill="98B0CF"/>
          </w:tcPr>
          <w:p>
            <w:pPr>
              <w:ind w:left="120"/>
              <w:spacing w:after="0" w:line="142" w:lineRule="exact"/>
              <w:rPr>
                <w:sz w:val="20"/>
                <w:szCs w:val="20"/>
                <w:color w:val="auto"/>
              </w:rPr>
            </w:pPr>
            <w:r>
              <w:rPr>
                <w:rFonts w:ascii="Arial" w:cs="Arial" w:eastAsia="Arial" w:hAnsi="Arial"/>
                <w:sz w:val="13"/>
                <w:szCs w:val="13"/>
                <w:b w:val="1"/>
                <w:bCs w:val="1"/>
                <w:color w:val="auto"/>
              </w:rPr>
              <w:t>Significant</w:t>
            </w:r>
          </w:p>
        </w:tc>
        <w:tc>
          <w:tcPr>
            <w:tcW w:w="160" w:type="dxa"/>
            <w:vAlign w:val="bottom"/>
            <w:shd w:val="clear" w:color="auto" w:fill="98B0CF"/>
          </w:tcPr>
          <w:p>
            <w:pPr>
              <w:spacing w:after="0"/>
              <w:rPr>
                <w:sz w:val="12"/>
                <w:szCs w:val="12"/>
                <w:color w:val="auto"/>
              </w:rPr>
            </w:pPr>
          </w:p>
        </w:tc>
        <w:tc>
          <w:tcPr>
            <w:tcW w:w="680" w:type="dxa"/>
            <w:vAlign w:val="bottom"/>
            <w:shd w:val="clear" w:color="auto" w:fill="98B0CF"/>
          </w:tcPr>
          <w:p>
            <w:pPr>
              <w:spacing w:after="0"/>
              <w:rPr>
                <w:sz w:val="12"/>
                <w:szCs w:val="12"/>
                <w:color w:val="auto"/>
              </w:rPr>
            </w:pPr>
          </w:p>
        </w:tc>
      </w:tr>
      <w:tr>
        <w:trPr>
          <w:trHeight w:val="142"/>
        </w:trPr>
        <w:tc>
          <w:tcPr>
            <w:tcW w:w="376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620" w:type="dxa"/>
            <w:vAlign w:val="bottom"/>
            <w:shd w:val="clear" w:color="auto" w:fill="98B0CF"/>
          </w:tcPr>
          <w:p>
            <w:pPr>
              <w:spacing w:after="0"/>
              <w:rPr>
                <w:sz w:val="12"/>
                <w:szCs w:val="12"/>
                <w:color w:val="auto"/>
              </w:rPr>
            </w:pPr>
          </w:p>
        </w:tc>
        <w:tc>
          <w:tcPr>
            <w:tcW w:w="340" w:type="dxa"/>
            <w:vAlign w:val="bottom"/>
            <w:shd w:val="clear" w:color="auto" w:fill="98B0CF"/>
          </w:tcPr>
          <w:p>
            <w:pPr>
              <w:spacing w:after="0"/>
              <w:rPr>
                <w:sz w:val="12"/>
                <w:szCs w:val="12"/>
                <w:color w:val="auto"/>
              </w:rPr>
            </w:pPr>
          </w:p>
        </w:tc>
        <w:tc>
          <w:tcPr>
            <w:tcW w:w="780" w:type="dxa"/>
            <w:vAlign w:val="bottom"/>
            <w:shd w:val="clear" w:color="auto" w:fill="98B0CF"/>
          </w:tcPr>
          <w:p>
            <w:pPr>
              <w:jc w:val="center"/>
              <w:ind w:right="153"/>
              <w:spacing w:after="0" w:line="142" w:lineRule="exact"/>
              <w:rPr>
                <w:sz w:val="20"/>
                <w:szCs w:val="20"/>
                <w:color w:val="auto"/>
              </w:rPr>
            </w:pPr>
            <w:r>
              <w:rPr>
                <w:rFonts w:ascii="Arial" w:cs="Arial" w:eastAsia="Arial" w:hAnsi="Arial"/>
                <w:sz w:val="13"/>
                <w:szCs w:val="13"/>
                <w:b w:val="1"/>
                <w:bCs w:val="1"/>
                <w:color w:val="auto"/>
                <w:w w:val="95"/>
              </w:rPr>
              <w:t>in Active</w:t>
            </w:r>
          </w:p>
        </w:tc>
        <w:tc>
          <w:tcPr>
            <w:tcW w:w="220" w:type="dxa"/>
            <w:vAlign w:val="bottom"/>
            <w:shd w:val="clear" w:color="auto" w:fill="98B0CF"/>
          </w:tcPr>
          <w:p>
            <w:pPr>
              <w:spacing w:after="0"/>
              <w:rPr>
                <w:sz w:val="12"/>
                <w:szCs w:val="12"/>
                <w:color w:val="auto"/>
              </w:rPr>
            </w:pPr>
          </w:p>
        </w:tc>
        <w:tc>
          <w:tcPr>
            <w:tcW w:w="800" w:type="dxa"/>
            <w:vAlign w:val="bottom"/>
            <w:shd w:val="clear" w:color="auto" w:fill="98B0CF"/>
          </w:tcPr>
          <w:p>
            <w:pPr>
              <w:jc w:val="center"/>
              <w:ind w:right="212"/>
              <w:spacing w:after="0" w:line="142" w:lineRule="exact"/>
              <w:rPr>
                <w:sz w:val="20"/>
                <w:szCs w:val="20"/>
                <w:color w:val="auto"/>
              </w:rPr>
            </w:pPr>
            <w:r>
              <w:rPr>
                <w:rFonts w:ascii="Arial" w:cs="Arial" w:eastAsia="Arial" w:hAnsi="Arial"/>
                <w:sz w:val="13"/>
                <w:szCs w:val="13"/>
                <w:b w:val="1"/>
                <w:bCs w:val="1"/>
                <w:color w:val="auto"/>
                <w:w w:val="92"/>
              </w:rPr>
              <w:t>Other</w:t>
            </w:r>
          </w:p>
        </w:tc>
        <w:tc>
          <w:tcPr>
            <w:tcW w:w="880" w:type="dxa"/>
            <w:vAlign w:val="bottom"/>
            <w:gridSpan w:val="2"/>
            <w:shd w:val="clear" w:color="auto" w:fill="98B0CF"/>
          </w:tcPr>
          <w:p>
            <w:pPr>
              <w:ind w:left="80"/>
              <w:spacing w:after="0" w:line="142" w:lineRule="exact"/>
              <w:rPr>
                <w:sz w:val="20"/>
                <w:szCs w:val="20"/>
                <w:color w:val="auto"/>
              </w:rPr>
            </w:pPr>
            <w:r>
              <w:rPr>
                <w:rFonts w:ascii="Arial" w:cs="Arial" w:eastAsia="Arial" w:hAnsi="Arial"/>
                <w:sz w:val="13"/>
                <w:szCs w:val="13"/>
                <w:b w:val="1"/>
                <w:bCs w:val="1"/>
                <w:color w:val="auto"/>
              </w:rPr>
              <w:t>Significant</w:t>
            </w:r>
          </w:p>
        </w:tc>
        <w:tc>
          <w:tcPr>
            <w:tcW w:w="1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620" w:type="dxa"/>
            <w:vAlign w:val="bottom"/>
            <w:shd w:val="clear" w:color="auto" w:fill="98B0CF"/>
          </w:tcPr>
          <w:p>
            <w:pPr>
              <w:spacing w:after="0"/>
              <w:rPr>
                <w:sz w:val="12"/>
                <w:szCs w:val="12"/>
                <w:color w:val="auto"/>
              </w:rPr>
            </w:pPr>
          </w:p>
        </w:tc>
        <w:tc>
          <w:tcPr>
            <w:tcW w:w="300" w:type="dxa"/>
            <w:vAlign w:val="bottom"/>
            <w:shd w:val="clear" w:color="auto" w:fill="98B0CF"/>
          </w:tcPr>
          <w:p>
            <w:pPr>
              <w:spacing w:after="0"/>
              <w:rPr>
                <w:sz w:val="12"/>
                <w:szCs w:val="12"/>
                <w:color w:val="auto"/>
              </w:rPr>
            </w:pPr>
          </w:p>
        </w:tc>
        <w:tc>
          <w:tcPr>
            <w:tcW w:w="700" w:type="dxa"/>
            <w:vAlign w:val="bottom"/>
            <w:shd w:val="clear" w:color="auto" w:fill="98B0CF"/>
          </w:tcPr>
          <w:p>
            <w:pPr>
              <w:jc w:val="center"/>
              <w:ind w:right="152"/>
              <w:spacing w:after="0" w:line="142" w:lineRule="exact"/>
              <w:rPr>
                <w:sz w:val="20"/>
                <w:szCs w:val="20"/>
                <w:color w:val="auto"/>
              </w:rPr>
            </w:pPr>
            <w:r>
              <w:rPr>
                <w:rFonts w:ascii="Arial" w:cs="Arial" w:eastAsia="Arial" w:hAnsi="Arial"/>
                <w:sz w:val="13"/>
                <w:szCs w:val="13"/>
                <w:b w:val="1"/>
                <w:bCs w:val="1"/>
                <w:color w:val="auto"/>
                <w:w w:val="97"/>
              </w:rPr>
              <w:t>Markets</w:t>
            </w:r>
          </w:p>
        </w:tc>
        <w:tc>
          <w:tcPr>
            <w:tcW w:w="240" w:type="dxa"/>
            <w:vAlign w:val="bottom"/>
            <w:shd w:val="clear" w:color="auto" w:fill="98B0CF"/>
          </w:tcPr>
          <w:p>
            <w:pPr>
              <w:spacing w:after="0"/>
              <w:rPr>
                <w:sz w:val="12"/>
                <w:szCs w:val="12"/>
                <w:color w:val="auto"/>
              </w:rPr>
            </w:pPr>
          </w:p>
        </w:tc>
        <w:tc>
          <w:tcPr>
            <w:tcW w:w="740" w:type="dxa"/>
            <w:vAlign w:val="bottom"/>
            <w:shd w:val="clear" w:color="auto" w:fill="98B0CF"/>
          </w:tcPr>
          <w:p>
            <w:pPr>
              <w:jc w:val="center"/>
              <w:ind w:right="251"/>
              <w:spacing w:after="0" w:line="142" w:lineRule="exact"/>
              <w:rPr>
                <w:sz w:val="20"/>
                <w:szCs w:val="20"/>
                <w:color w:val="auto"/>
              </w:rPr>
            </w:pPr>
            <w:r>
              <w:rPr>
                <w:rFonts w:ascii="Arial" w:cs="Arial" w:eastAsia="Arial" w:hAnsi="Arial"/>
                <w:sz w:val="13"/>
                <w:szCs w:val="13"/>
                <w:b w:val="1"/>
                <w:bCs w:val="1"/>
                <w:color w:val="auto"/>
                <w:w w:val="97"/>
              </w:rPr>
              <w:t>Other</w:t>
            </w:r>
          </w:p>
        </w:tc>
        <w:tc>
          <w:tcPr>
            <w:tcW w:w="840" w:type="dxa"/>
            <w:vAlign w:val="bottom"/>
            <w:gridSpan w:val="2"/>
            <w:shd w:val="clear" w:color="auto" w:fill="98B0CF"/>
          </w:tcPr>
          <w:p>
            <w:pPr>
              <w:ind w:left="60"/>
              <w:spacing w:after="0" w:line="142" w:lineRule="exact"/>
              <w:rPr>
                <w:sz w:val="20"/>
                <w:szCs w:val="20"/>
                <w:color w:val="auto"/>
              </w:rPr>
            </w:pPr>
            <w:r>
              <w:rPr>
                <w:rFonts w:ascii="Arial" w:cs="Arial" w:eastAsia="Arial" w:hAnsi="Arial"/>
                <w:sz w:val="13"/>
                <w:szCs w:val="13"/>
                <w:b w:val="1"/>
                <w:bCs w:val="1"/>
                <w:color w:val="auto"/>
              </w:rPr>
              <w:t>Significant</w:t>
            </w:r>
          </w:p>
        </w:tc>
      </w:tr>
      <w:tr>
        <w:trPr>
          <w:trHeight w:val="142"/>
        </w:trPr>
        <w:tc>
          <w:tcPr>
            <w:tcW w:w="376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620" w:type="dxa"/>
            <w:vAlign w:val="bottom"/>
            <w:shd w:val="clear" w:color="auto" w:fill="98B0CF"/>
          </w:tcPr>
          <w:p>
            <w:pPr>
              <w:spacing w:after="0"/>
              <w:rPr>
                <w:sz w:val="12"/>
                <w:szCs w:val="12"/>
                <w:color w:val="auto"/>
              </w:rPr>
            </w:pPr>
          </w:p>
        </w:tc>
        <w:tc>
          <w:tcPr>
            <w:tcW w:w="1120" w:type="dxa"/>
            <w:vAlign w:val="bottom"/>
            <w:gridSpan w:val="2"/>
            <w:shd w:val="clear" w:color="auto" w:fill="98B0CF"/>
          </w:tcPr>
          <w:p>
            <w:pPr>
              <w:jc w:val="center"/>
              <w:ind w:left="52"/>
              <w:spacing w:after="0" w:line="142" w:lineRule="exact"/>
              <w:rPr>
                <w:sz w:val="20"/>
                <w:szCs w:val="20"/>
                <w:color w:val="auto"/>
              </w:rPr>
            </w:pPr>
            <w:r>
              <w:rPr>
                <w:rFonts w:ascii="Arial" w:cs="Arial" w:eastAsia="Arial" w:hAnsi="Arial"/>
                <w:sz w:val="13"/>
                <w:szCs w:val="13"/>
                <w:b w:val="1"/>
                <w:bCs w:val="1"/>
                <w:color w:val="auto"/>
                <w:w w:val="96"/>
              </w:rPr>
              <w:t>Markets for</w:t>
            </w:r>
          </w:p>
        </w:tc>
        <w:tc>
          <w:tcPr>
            <w:tcW w:w="1020" w:type="dxa"/>
            <w:vAlign w:val="bottom"/>
            <w:gridSpan w:val="2"/>
            <w:shd w:val="clear" w:color="auto" w:fill="98B0CF"/>
          </w:tcPr>
          <w:p>
            <w:pPr>
              <w:ind w:left="180"/>
              <w:spacing w:after="0" w:line="142" w:lineRule="exact"/>
              <w:rPr>
                <w:sz w:val="20"/>
                <w:szCs w:val="20"/>
                <w:color w:val="auto"/>
              </w:rPr>
            </w:pPr>
            <w:r>
              <w:rPr>
                <w:rFonts w:ascii="Arial" w:cs="Arial" w:eastAsia="Arial" w:hAnsi="Arial"/>
                <w:sz w:val="13"/>
                <w:szCs w:val="13"/>
                <w:b w:val="1"/>
                <w:bCs w:val="1"/>
                <w:color w:val="auto"/>
              </w:rPr>
              <w:t>Observabl</w:t>
            </w:r>
          </w:p>
        </w:tc>
        <w:tc>
          <w:tcPr>
            <w:tcW w:w="880" w:type="dxa"/>
            <w:vAlign w:val="bottom"/>
            <w:gridSpan w:val="2"/>
            <w:shd w:val="clear" w:color="auto" w:fill="98B0CF"/>
          </w:tcPr>
          <w:p>
            <w:pPr>
              <w:ind w:left="80"/>
              <w:spacing w:after="0" w:line="142" w:lineRule="exact"/>
              <w:rPr>
                <w:sz w:val="20"/>
                <w:szCs w:val="20"/>
                <w:color w:val="auto"/>
              </w:rPr>
            </w:pPr>
            <w:r>
              <w:rPr>
                <w:rFonts w:ascii="Arial" w:cs="Arial" w:eastAsia="Arial" w:hAnsi="Arial"/>
                <w:sz w:val="13"/>
                <w:szCs w:val="13"/>
                <w:b w:val="1"/>
                <w:bCs w:val="1"/>
                <w:color w:val="auto"/>
              </w:rPr>
              <w:t>Unobserva</w:t>
            </w:r>
          </w:p>
        </w:tc>
        <w:tc>
          <w:tcPr>
            <w:tcW w:w="1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620" w:type="dxa"/>
            <w:vAlign w:val="bottom"/>
            <w:shd w:val="clear" w:color="auto" w:fill="98B0CF"/>
          </w:tcPr>
          <w:p>
            <w:pPr>
              <w:spacing w:after="0"/>
              <w:rPr>
                <w:sz w:val="12"/>
                <w:szCs w:val="12"/>
                <w:color w:val="auto"/>
              </w:rPr>
            </w:pPr>
          </w:p>
        </w:tc>
        <w:tc>
          <w:tcPr>
            <w:tcW w:w="300" w:type="dxa"/>
            <w:vAlign w:val="bottom"/>
            <w:shd w:val="clear" w:color="auto" w:fill="98B0CF"/>
          </w:tcPr>
          <w:p>
            <w:pPr>
              <w:spacing w:after="0"/>
              <w:rPr>
                <w:sz w:val="12"/>
                <w:szCs w:val="12"/>
                <w:color w:val="auto"/>
              </w:rPr>
            </w:pPr>
          </w:p>
        </w:tc>
        <w:tc>
          <w:tcPr>
            <w:tcW w:w="700" w:type="dxa"/>
            <w:vAlign w:val="bottom"/>
            <w:shd w:val="clear" w:color="auto" w:fill="98B0CF"/>
          </w:tcPr>
          <w:p>
            <w:pPr>
              <w:jc w:val="center"/>
              <w:ind w:right="152"/>
              <w:spacing w:after="0" w:line="142" w:lineRule="exact"/>
              <w:rPr>
                <w:sz w:val="20"/>
                <w:szCs w:val="20"/>
                <w:color w:val="auto"/>
              </w:rPr>
            </w:pPr>
            <w:r>
              <w:rPr>
                <w:rFonts w:ascii="Arial" w:cs="Arial" w:eastAsia="Arial" w:hAnsi="Arial"/>
                <w:sz w:val="13"/>
                <w:szCs w:val="13"/>
                <w:b w:val="1"/>
                <w:bCs w:val="1"/>
                <w:color w:val="auto"/>
                <w:w w:val="92"/>
              </w:rPr>
              <w:t>for</w:t>
            </w:r>
          </w:p>
        </w:tc>
        <w:tc>
          <w:tcPr>
            <w:tcW w:w="980" w:type="dxa"/>
            <w:vAlign w:val="bottom"/>
            <w:gridSpan w:val="2"/>
            <w:shd w:val="clear" w:color="auto" w:fill="98B0CF"/>
          </w:tcPr>
          <w:p>
            <w:pPr>
              <w:ind w:left="140"/>
              <w:spacing w:after="0" w:line="142" w:lineRule="exact"/>
              <w:rPr>
                <w:sz w:val="20"/>
                <w:szCs w:val="20"/>
                <w:color w:val="auto"/>
              </w:rPr>
            </w:pPr>
            <w:r>
              <w:rPr>
                <w:rFonts w:ascii="Arial" w:cs="Arial" w:eastAsia="Arial" w:hAnsi="Arial"/>
                <w:sz w:val="13"/>
                <w:szCs w:val="13"/>
                <w:b w:val="1"/>
                <w:bCs w:val="1"/>
                <w:color w:val="auto"/>
              </w:rPr>
              <w:t>Observabl</w:t>
            </w:r>
          </w:p>
        </w:tc>
        <w:tc>
          <w:tcPr>
            <w:tcW w:w="840" w:type="dxa"/>
            <w:vAlign w:val="bottom"/>
            <w:gridSpan w:val="2"/>
            <w:shd w:val="clear" w:color="auto" w:fill="98B0CF"/>
          </w:tcPr>
          <w:p>
            <w:pPr>
              <w:ind w:left="60"/>
              <w:spacing w:after="0" w:line="142" w:lineRule="exact"/>
              <w:rPr>
                <w:sz w:val="20"/>
                <w:szCs w:val="20"/>
                <w:color w:val="auto"/>
              </w:rPr>
            </w:pPr>
            <w:r>
              <w:rPr>
                <w:rFonts w:ascii="Arial" w:cs="Arial" w:eastAsia="Arial" w:hAnsi="Arial"/>
                <w:sz w:val="13"/>
                <w:szCs w:val="13"/>
                <w:b w:val="1"/>
                <w:bCs w:val="1"/>
                <w:color w:val="auto"/>
              </w:rPr>
              <w:t>Unobserva</w:t>
            </w:r>
          </w:p>
        </w:tc>
      </w:tr>
      <w:tr>
        <w:trPr>
          <w:trHeight w:val="142"/>
        </w:trPr>
        <w:tc>
          <w:tcPr>
            <w:tcW w:w="376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620" w:type="dxa"/>
            <w:vAlign w:val="bottom"/>
            <w:shd w:val="clear" w:color="auto" w:fill="98B0CF"/>
          </w:tcPr>
          <w:p>
            <w:pPr>
              <w:spacing w:after="0"/>
              <w:rPr>
                <w:sz w:val="12"/>
                <w:szCs w:val="12"/>
                <w:color w:val="auto"/>
              </w:rPr>
            </w:pPr>
          </w:p>
        </w:tc>
        <w:tc>
          <w:tcPr>
            <w:tcW w:w="340" w:type="dxa"/>
            <w:vAlign w:val="bottom"/>
            <w:shd w:val="clear" w:color="auto" w:fill="98B0CF"/>
          </w:tcPr>
          <w:p>
            <w:pPr>
              <w:spacing w:after="0"/>
              <w:rPr>
                <w:sz w:val="12"/>
                <w:szCs w:val="12"/>
                <w:color w:val="auto"/>
              </w:rPr>
            </w:pPr>
          </w:p>
        </w:tc>
        <w:tc>
          <w:tcPr>
            <w:tcW w:w="780" w:type="dxa"/>
            <w:vAlign w:val="bottom"/>
            <w:shd w:val="clear" w:color="auto" w:fill="98B0CF"/>
          </w:tcPr>
          <w:p>
            <w:pPr>
              <w:jc w:val="center"/>
              <w:ind w:right="153"/>
              <w:spacing w:after="0" w:line="142" w:lineRule="exact"/>
              <w:rPr>
                <w:sz w:val="20"/>
                <w:szCs w:val="20"/>
                <w:color w:val="auto"/>
              </w:rPr>
            </w:pPr>
            <w:r>
              <w:rPr>
                <w:rFonts w:ascii="Arial" w:cs="Arial" w:eastAsia="Arial" w:hAnsi="Arial"/>
                <w:sz w:val="13"/>
                <w:szCs w:val="13"/>
                <w:b w:val="1"/>
                <w:bCs w:val="1"/>
                <w:color w:val="auto"/>
                <w:w w:val="98"/>
              </w:rPr>
              <w:t>Identical</w:t>
            </w:r>
          </w:p>
        </w:tc>
        <w:tc>
          <w:tcPr>
            <w:tcW w:w="220" w:type="dxa"/>
            <w:vAlign w:val="bottom"/>
            <w:shd w:val="clear" w:color="auto" w:fill="98B0CF"/>
          </w:tcPr>
          <w:p>
            <w:pPr>
              <w:spacing w:after="0"/>
              <w:rPr>
                <w:sz w:val="12"/>
                <w:szCs w:val="12"/>
                <w:color w:val="auto"/>
              </w:rPr>
            </w:pPr>
          </w:p>
        </w:tc>
        <w:tc>
          <w:tcPr>
            <w:tcW w:w="800" w:type="dxa"/>
            <w:vAlign w:val="bottom"/>
            <w:shd w:val="clear" w:color="auto" w:fill="98B0CF"/>
          </w:tcPr>
          <w:p>
            <w:pPr>
              <w:jc w:val="center"/>
              <w:ind w:right="212"/>
              <w:spacing w:after="0" w:line="142" w:lineRule="exact"/>
              <w:rPr>
                <w:sz w:val="20"/>
                <w:szCs w:val="20"/>
                <w:color w:val="auto"/>
              </w:rPr>
            </w:pPr>
            <w:r>
              <w:rPr>
                <w:rFonts w:ascii="Arial" w:cs="Arial" w:eastAsia="Arial" w:hAnsi="Arial"/>
                <w:sz w:val="13"/>
                <w:szCs w:val="13"/>
                <w:b w:val="1"/>
                <w:bCs w:val="1"/>
                <w:color w:val="auto"/>
              </w:rPr>
              <w:t>e</w:t>
            </w:r>
          </w:p>
        </w:tc>
        <w:tc>
          <w:tcPr>
            <w:tcW w:w="180" w:type="dxa"/>
            <w:vAlign w:val="bottom"/>
            <w:shd w:val="clear" w:color="auto" w:fill="98B0CF"/>
          </w:tcPr>
          <w:p>
            <w:pPr>
              <w:spacing w:after="0"/>
              <w:rPr>
                <w:sz w:val="12"/>
                <w:szCs w:val="12"/>
                <w:color w:val="auto"/>
              </w:rPr>
            </w:pPr>
          </w:p>
        </w:tc>
        <w:tc>
          <w:tcPr>
            <w:tcW w:w="700" w:type="dxa"/>
            <w:vAlign w:val="bottom"/>
            <w:shd w:val="clear" w:color="auto" w:fill="98B0CF"/>
          </w:tcPr>
          <w:p>
            <w:pPr>
              <w:jc w:val="center"/>
              <w:ind w:right="171"/>
              <w:spacing w:after="0" w:line="142" w:lineRule="exact"/>
              <w:rPr>
                <w:sz w:val="20"/>
                <w:szCs w:val="20"/>
                <w:color w:val="auto"/>
              </w:rPr>
            </w:pPr>
            <w:r>
              <w:rPr>
                <w:rFonts w:ascii="Arial" w:cs="Arial" w:eastAsia="Arial" w:hAnsi="Arial"/>
                <w:sz w:val="13"/>
                <w:szCs w:val="13"/>
                <w:b w:val="1"/>
                <w:bCs w:val="1"/>
                <w:color w:val="auto"/>
                <w:w w:val="95"/>
              </w:rPr>
              <w:t>ble</w:t>
            </w:r>
          </w:p>
        </w:tc>
        <w:tc>
          <w:tcPr>
            <w:tcW w:w="1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620" w:type="dxa"/>
            <w:vAlign w:val="bottom"/>
            <w:shd w:val="clear" w:color="auto" w:fill="98B0CF"/>
          </w:tcPr>
          <w:p>
            <w:pPr>
              <w:spacing w:after="0"/>
              <w:rPr>
                <w:sz w:val="12"/>
                <w:szCs w:val="12"/>
                <w:color w:val="auto"/>
              </w:rPr>
            </w:pPr>
          </w:p>
        </w:tc>
        <w:tc>
          <w:tcPr>
            <w:tcW w:w="1000" w:type="dxa"/>
            <w:vAlign w:val="bottom"/>
            <w:gridSpan w:val="2"/>
            <w:shd w:val="clear" w:color="auto" w:fill="98B0CF"/>
          </w:tcPr>
          <w:p>
            <w:pPr>
              <w:jc w:val="center"/>
              <w:ind w:left="13"/>
              <w:spacing w:after="0" w:line="142" w:lineRule="exact"/>
              <w:rPr>
                <w:sz w:val="20"/>
                <w:szCs w:val="20"/>
                <w:color w:val="auto"/>
              </w:rPr>
            </w:pPr>
            <w:r>
              <w:rPr>
                <w:rFonts w:ascii="Arial" w:cs="Arial" w:eastAsia="Arial" w:hAnsi="Arial"/>
                <w:sz w:val="13"/>
                <w:szCs w:val="13"/>
                <w:b w:val="1"/>
                <w:bCs w:val="1"/>
                <w:color w:val="auto"/>
                <w:w w:val="98"/>
              </w:rPr>
              <w:t>Identical</w:t>
            </w:r>
          </w:p>
        </w:tc>
        <w:tc>
          <w:tcPr>
            <w:tcW w:w="240" w:type="dxa"/>
            <w:vAlign w:val="bottom"/>
            <w:shd w:val="clear" w:color="auto" w:fill="98B0CF"/>
          </w:tcPr>
          <w:p>
            <w:pPr>
              <w:spacing w:after="0"/>
              <w:rPr>
                <w:sz w:val="12"/>
                <w:szCs w:val="12"/>
                <w:color w:val="auto"/>
              </w:rPr>
            </w:pPr>
          </w:p>
        </w:tc>
        <w:tc>
          <w:tcPr>
            <w:tcW w:w="740" w:type="dxa"/>
            <w:vAlign w:val="bottom"/>
            <w:shd w:val="clear" w:color="auto" w:fill="98B0CF"/>
          </w:tcPr>
          <w:p>
            <w:pPr>
              <w:jc w:val="center"/>
              <w:ind w:right="251"/>
              <w:spacing w:after="0" w:line="142" w:lineRule="exact"/>
              <w:rPr>
                <w:sz w:val="20"/>
                <w:szCs w:val="20"/>
                <w:color w:val="auto"/>
              </w:rPr>
            </w:pPr>
            <w:r>
              <w:rPr>
                <w:rFonts w:ascii="Arial" w:cs="Arial" w:eastAsia="Arial" w:hAnsi="Arial"/>
                <w:sz w:val="13"/>
                <w:szCs w:val="13"/>
                <w:b w:val="1"/>
                <w:bCs w:val="1"/>
                <w:color w:val="auto"/>
                <w:w w:val="82"/>
              </w:rPr>
              <w:t>e</w:t>
            </w:r>
          </w:p>
        </w:tc>
        <w:tc>
          <w:tcPr>
            <w:tcW w:w="160" w:type="dxa"/>
            <w:vAlign w:val="bottom"/>
            <w:shd w:val="clear" w:color="auto" w:fill="98B0CF"/>
          </w:tcPr>
          <w:p>
            <w:pPr>
              <w:spacing w:after="0"/>
              <w:rPr>
                <w:sz w:val="12"/>
                <w:szCs w:val="12"/>
                <w:color w:val="auto"/>
              </w:rPr>
            </w:pPr>
          </w:p>
        </w:tc>
        <w:tc>
          <w:tcPr>
            <w:tcW w:w="680" w:type="dxa"/>
            <w:vAlign w:val="bottom"/>
            <w:shd w:val="clear" w:color="auto" w:fill="98B0CF"/>
          </w:tcPr>
          <w:p>
            <w:pPr>
              <w:jc w:val="center"/>
              <w:ind w:right="191"/>
              <w:spacing w:after="0" w:line="142" w:lineRule="exact"/>
              <w:rPr>
                <w:sz w:val="20"/>
                <w:szCs w:val="20"/>
                <w:color w:val="auto"/>
              </w:rPr>
            </w:pPr>
            <w:r>
              <w:rPr>
                <w:rFonts w:ascii="Arial" w:cs="Arial" w:eastAsia="Arial" w:hAnsi="Arial"/>
                <w:sz w:val="13"/>
                <w:szCs w:val="13"/>
                <w:b w:val="1"/>
                <w:bCs w:val="1"/>
                <w:color w:val="auto"/>
                <w:w w:val="95"/>
              </w:rPr>
              <w:t>ble</w:t>
            </w:r>
          </w:p>
        </w:tc>
      </w:tr>
      <w:tr>
        <w:trPr>
          <w:trHeight w:val="142"/>
        </w:trPr>
        <w:tc>
          <w:tcPr>
            <w:tcW w:w="3760" w:type="dxa"/>
            <w:vAlign w:val="bottom"/>
            <w:shd w:val="clear" w:color="auto" w:fill="98B0CF"/>
          </w:tcPr>
          <w:p>
            <w:pPr>
              <w:spacing w:after="0"/>
              <w:rPr>
                <w:sz w:val="12"/>
                <w:szCs w:val="12"/>
                <w:color w:val="auto"/>
              </w:rPr>
            </w:pPr>
          </w:p>
        </w:tc>
        <w:tc>
          <w:tcPr>
            <w:tcW w:w="840" w:type="dxa"/>
            <w:vAlign w:val="bottom"/>
            <w:gridSpan w:val="2"/>
            <w:shd w:val="clear" w:color="auto" w:fill="98B0CF"/>
          </w:tcPr>
          <w:p>
            <w:pPr>
              <w:ind w:left="160"/>
              <w:spacing w:after="0" w:line="142" w:lineRule="exact"/>
              <w:rPr>
                <w:sz w:val="20"/>
                <w:szCs w:val="20"/>
                <w:color w:val="auto"/>
              </w:rPr>
            </w:pPr>
            <w:r>
              <w:rPr>
                <w:rFonts w:ascii="Arial" w:cs="Arial" w:eastAsia="Arial" w:hAnsi="Arial"/>
                <w:sz w:val="13"/>
                <w:szCs w:val="13"/>
                <w:b w:val="1"/>
                <w:bCs w:val="1"/>
                <w:color w:val="auto"/>
              </w:rPr>
              <w:t>December</w:t>
            </w:r>
          </w:p>
        </w:tc>
        <w:tc>
          <w:tcPr>
            <w:tcW w:w="340" w:type="dxa"/>
            <w:vAlign w:val="bottom"/>
            <w:shd w:val="clear" w:color="auto" w:fill="98B0CF"/>
          </w:tcPr>
          <w:p>
            <w:pPr>
              <w:spacing w:after="0"/>
              <w:rPr>
                <w:sz w:val="12"/>
                <w:szCs w:val="12"/>
                <w:color w:val="auto"/>
              </w:rPr>
            </w:pPr>
          </w:p>
        </w:tc>
        <w:tc>
          <w:tcPr>
            <w:tcW w:w="780" w:type="dxa"/>
            <w:vAlign w:val="bottom"/>
            <w:shd w:val="clear" w:color="auto" w:fill="98B0CF"/>
          </w:tcPr>
          <w:p>
            <w:pPr>
              <w:jc w:val="center"/>
              <w:ind w:right="173"/>
              <w:spacing w:after="0" w:line="142" w:lineRule="exact"/>
              <w:rPr>
                <w:sz w:val="20"/>
                <w:szCs w:val="20"/>
                <w:color w:val="auto"/>
              </w:rPr>
            </w:pPr>
            <w:r>
              <w:rPr>
                <w:rFonts w:ascii="Arial" w:cs="Arial" w:eastAsia="Arial" w:hAnsi="Arial"/>
                <w:sz w:val="13"/>
                <w:szCs w:val="13"/>
                <w:b w:val="1"/>
                <w:bCs w:val="1"/>
                <w:color w:val="auto"/>
                <w:w w:val="98"/>
              </w:rPr>
              <w:t>Assets</w:t>
            </w:r>
          </w:p>
        </w:tc>
        <w:tc>
          <w:tcPr>
            <w:tcW w:w="220" w:type="dxa"/>
            <w:vAlign w:val="bottom"/>
            <w:shd w:val="clear" w:color="auto" w:fill="98B0CF"/>
          </w:tcPr>
          <w:p>
            <w:pPr>
              <w:spacing w:after="0"/>
              <w:rPr>
                <w:sz w:val="12"/>
                <w:szCs w:val="12"/>
                <w:color w:val="auto"/>
              </w:rPr>
            </w:pPr>
          </w:p>
        </w:tc>
        <w:tc>
          <w:tcPr>
            <w:tcW w:w="800" w:type="dxa"/>
            <w:vAlign w:val="bottom"/>
            <w:shd w:val="clear" w:color="auto" w:fill="98B0CF"/>
          </w:tcPr>
          <w:p>
            <w:pPr>
              <w:jc w:val="center"/>
              <w:ind w:right="232"/>
              <w:spacing w:after="0" w:line="142" w:lineRule="exact"/>
              <w:rPr>
                <w:sz w:val="20"/>
                <w:szCs w:val="20"/>
                <w:color w:val="auto"/>
              </w:rPr>
            </w:pPr>
            <w:r>
              <w:rPr>
                <w:rFonts w:ascii="Arial" w:cs="Arial" w:eastAsia="Arial" w:hAnsi="Arial"/>
                <w:sz w:val="13"/>
                <w:szCs w:val="13"/>
                <w:b w:val="1"/>
                <w:bCs w:val="1"/>
                <w:color w:val="auto"/>
                <w:w w:val="97"/>
              </w:rPr>
              <w:t>Inputs</w:t>
            </w:r>
          </w:p>
        </w:tc>
        <w:tc>
          <w:tcPr>
            <w:tcW w:w="180" w:type="dxa"/>
            <w:vAlign w:val="bottom"/>
            <w:shd w:val="clear" w:color="auto" w:fill="98B0CF"/>
          </w:tcPr>
          <w:p>
            <w:pPr>
              <w:spacing w:after="0"/>
              <w:rPr>
                <w:sz w:val="12"/>
                <w:szCs w:val="12"/>
                <w:color w:val="auto"/>
              </w:rPr>
            </w:pPr>
          </w:p>
        </w:tc>
        <w:tc>
          <w:tcPr>
            <w:tcW w:w="700" w:type="dxa"/>
            <w:vAlign w:val="bottom"/>
            <w:shd w:val="clear" w:color="auto" w:fill="98B0CF"/>
          </w:tcPr>
          <w:p>
            <w:pPr>
              <w:jc w:val="center"/>
              <w:ind w:right="171"/>
              <w:spacing w:after="0" w:line="142" w:lineRule="exact"/>
              <w:rPr>
                <w:sz w:val="20"/>
                <w:szCs w:val="20"/>
                <w:color w:val="auto"/>
              </w:rPr>
            </w:pPr>
            <w:r>
              <w:rPr>
                <w:rFonts w:ascii="Arial" w:cs="Arial" w:eastAsia="Arial" w:hAnsi="Arial"/>
                <w:sz w:val="13"/>
                <w:szCs w:val="13"/>
                <w:b w:val="1"/>
                <w:bCs w:val="1"/>
                <w:color w:val="auto"/>
                <w:w w:val="97"/>
              </w:rPr>
              <w:t>Inputs</w:t>
            </w:r>
          </w:p>
        </w:tc>
        <w:tc>
          <w:tcPr>
            <w:tcW w:w="100" w:type="dxa"/>
            <w:vAlign w:val="bottom"/>
            <w:shd w:val="clear" w:color="auto" w:fill="98B0CF"/>
          </w:tcPr>
          <w:p>
            <w:pPr>
              <w:spacing w:after="0"/>
              <w:rPr>
                <w:sz w:val="12"/>
                <w:szCs w:val="12"/>
                <w:color w:val="auto"/>
              </w:rPr>
            </w:pPr>
          </w:p>
        </w:tc>
        <w:tc>
          <w:tcPr>
            <w:tcW w:w="720" w:type="dxa"/>
            <w:vAlign w:val="bottom"/>
            <w:gridSpan w:val="2"/>
            <w:shd w:val="clear" w:color="auto" w:fill="98B0CF"/>
          </w:tcPr>
          <w:p>
            <w:pPr>
              <w:ind w:left="20"/>
              <w:spacing w:after="0" w:line="142" w:lineRule="exact"/>
              <w:rPr>
                <w:sz w:val="20"/>
                <w:szCs w:val="20"/>
                <w:color w:val="auto"/>
              </w:rPr>
            </w:pPr>
            <w:r>
              <w:rPr>
                <w:rFonts w:ascii="Arial" w:cs="Arial" w:eastAsia="Arial" w:hAnsi="Arial"/>
                <w:sz w:val="13"/>
                <w:szCs w:val="13"/>
                <w:b w:val="1"/>
                <w:bCs w:val="1"/>
                <w:color w:val="auto"/>
              </w:rPr>
              <w:t>December</w:t>
            </w:r>
          </w:p>
        </w:tc>
        <w:tc>
          <w:tcPr>
            <w:tcW w:w="300" w:type="dxa"/>
            <w:vAlign w:val="bottom"/>
            <w:shd w:val="clear" w:color="auto" w:fill="98B0CF"/>
          </w:tcPr>
          <w:p>
            <w:pPr>
              <w:spacing w:after="0"/>
              <w:rPr>
                <w:sz w:val="12"/>
                <w:szCs w:val="12"/>
                <w:color w:val="auto"/>
              </w:rPr>
            </w:pPr>
          </w:p>
        </w:tc>
        <w:tc>
          <w:tcPr>
            <w:tcW w:w="700" w:type="dxa"/>
            <w:vAlign w:val="bottom"/>
            <w:shd w:val="clear" w:color="auto" w:fill="98B0CF"/>
          </w:tcPr>
          <w:p>
            <w:pPr>
              <w:jc w:val="center"/>
              <w:ind w:right="152"/>
              <w:spacing w:after="0" w:line="142" w:lineRule="exact"/>
              <w:rPr>
                <w:sz w:val="20"/>
                <w:szCs w:val="20"/>
                <w:color w:val="auto"/>
              </w:rPr>
            </w:pPr>
            <w:r>
              <w:rPr>
                <w:rFonts w:ascii="Arial" w:cs="Arial" w:eastAsia="Arial" w:hAnsi="Arial"/>
                <w:sz w:val="13"/>
                <w:szCs w:val="13"/>
                <w:b w:val="1"/>
                <w:bCs w:val="1"/>
                <w:color w:val="auto"/>
                <w:w w:val="93"/>
              </w:rPr>
              <w:t>Assets</w:t>
            </w:r>
          </w:p>
        </w:tc>
        <w:tc>
          <w:tcPr>
            <w:tcW w:w="240" w:type="dxa"/>
            <w:vAlign w:val="bottom"/>
            <w:shd w:val="clear" w:color="auto" w:fill="98B0CF"/>
          </w:tcPr>
          <w:p>
            <w:pPr>
              <w:spacing w:after="0"/>
              <w:rPr>
                <w:sz w:val="12"/>
                <w:szCs w:val="12"/>
                <w:color w:val="auto"/>
              </w:rPr>
            </w:pPr>
          </w:p>
        </w:tc>
        <w:tc>
          <w:tcPr>
            <w:tcW w:w="740" w:type="dxa"/>
            <w:vAlign w:val="bottom"/>
            <w:shd w:val="clear" w:color="auto" w:fill="98B0CF"/>
          </w:tcPr>
          <w:p>
            <w:pPr>
              <w:jc w:val="center"/>
              <w:ind w:right="251"/>
              <w:spacing w:after="0" w:line="142" w:lineRule="exact"/>
              <w:rPr>
                <w:sz w:val="20"/>
                <w:szCs w:val="20"/>
                <w:color w:val="auto"/>
              </w:rPr>
            </w:pPr>
            <w:r>
              <w:rPr>
                <w:rFonts w:ascii="Arial" w:cs="Arial" w:eastAsia="Arial" w:hAnsi="Arial"/>
                <w:sz w:val="13"/>
                <w:szCs w:val="13"/>
                <w:b w:val="1"/>
                <w:bCs w:val="1"/>
                <w:color w:val="auto"/>
                <w:w w:val="97"/>
              </w:rPr>
              <w:t>Inputs</w:t>
            </w:r>
          </w:p>
        </w:tc>
        <w:tc>
          <w:tcPr>
            <w:tcW w:w="160" w:type="dxa"/>
            <w:vAlign w:val="bottom"/>
            <w:shd w:val="clear" w:color="auto" w:fill="98B0CF"/>
          </w:tcPr>
          <w:p>
            <w:pPr>
              <w:spacing w:after="0"/>
              <w:rPr>
                <w:sz w:val="12"/>
                <w:szCs w:val="12"/>
                <w:color w:val="auto"/>
              </w:rPr>
            </w:pPr>
          </w:p>
        </w:tc>
        <w:tc>
          <w:tcPr>
            <w:tcW w:w="680" w:type="dxa"/>
            <w:vAlign w:val="bottom"/>
            <w:shd w:val="clear" w:color="auto" w:fill="98B0CF"/>
          </w:tcPr>
          <w:p>
            <w:pPr>
              <w:jc w:val="center"/>
              <w:ind w:right="191"/>
              <w:spacing w:after="0" w:line="142" w:lineRule="exact"/>
              <w:rPr>
                <w:sz w:val="20"/>
                <w:szCs w:val="20"/>
                <w:color w:val="auto"/>
              </w:rPr>
            </w:pPr>
            <w:r>
              <w:rPr>
                <w:rFonts w:ascii="Arial" w:cs="Arial" w:eastAsia="Arial" w:hAnsi="Arial"/>
                <w:sz w:val="13"/>
                <w:szCs w:val="13"/>
                <w:b w:val="1"/>
                <w:bCs w:val="1"/>
                <w:color w:val="auto"/>
                <w:w w:val="97"/>
              </w:rPr>
              <w:t>Inputs</w:t>
            </w:r>
          </w:p>
        </w:tc>
      </w:tr>
      <w:tr>
        <w:trPr>
          <w:trHeight w:val="156"/>
        </w:trPr>
        <w:tc>
          <w:tcPr>
            <w:tcW w:w="3760" w:type="dxa"/>
            <w:vAlign w:val="bottom"/>
            <w:tcBorders>
              <w:bottom w:val="single" w:sz="8" w:color="auto"/>
            </w:tcBorders>
            <w:shd w:val="clear" w:color="auto" w:fill="98B0CF"/>
          </w:tcPr>
          <w:p>
            <w:pPr>
              <w:spacing w:after="0"/>
              <w:rPr>
                <w:sz w:val="13"/>
                <w:szCs w:val="13"/>
                <w:color w:val="auto"/>
              </w:rPr>
            </w:pPr>
          </w:p>
        </w:tc>
        <w:tc>
          <w:tcPr>
            <w:tcW w:w="220" w:type="dxa"/>
            <w:vAlign w:val="bottom"/>
            <w:tcBorders>
              <w:bottom w:val="single" w:sz="8" w:color="auto"/>
            </w:tcBorders>
            <w:shd w:val="clear" w:color="auto" w:fill="98B0CF"/>
          </w:tcPr>
          <w:p>
            <w:pPr>
              <w:spacing w:after="0"/>
              <w:rPr>
                <w:sz w:val="13"/>
                <w:szCs w:val="13"/>
                <w:color w:val="auto"/>
              </w:rPr>
            </w:pPr>
          </w:p>
        </w:tc>
        <w:tc>
          <w:tcPr>
            <w:tcW w:w="620" w:type="dxa"/>
            <w:vAlign w:val="bottom"/>
            <w:tcBorders>
              <w:bottom w:val="single" w:sz="8" w:color="auto"/>
            </w:tcBorders>
            <w:shd w:val="clear" w:color="auto" w:fill="98B0CF"/>
          </w:tcPr>
          <w:p>
            <w:pPr>
              <w:jc w:val="right"/>
              <w:ind w:right="50"/>
              <w:spacing w:after="0"/>
              <w:rPr>
                <w:sz w:val="20"/>
                <w:szCs w:val="20"/>
                <w:color w:val="auto"/>
              </w:rPr>
            </w:pPr>
            <w:r>
              <w:rPr>
                <w:rFonts w:ascii="Arial" w:cs="Arial" w:eastAsia="Arial" w:hAnsi="Arial"/>
                <w:sz w:val="13"/>
                <w:szCs w:val="13"/>
                <w:b w:val="1"/>
                <w:bCs w:val="1"/>
                <w:color w:val="auto"/>
                <w:w w:val="94"/>
              </w:rPr>
              <w:t>31, 2024</w:t>
            </w:r>
          </w:p>
        </w:tc>
        <w:tc>
          <w:tcPr>
            <w:tcW w:w="340" w:type="dxa"/>
            <w:vAlign w:val="bottom"/>
            <w:tcBorders>
              <w:bottom w:val="single" w:sz="8" w:color="auto"/>
            </w:tcBorders>
            <w:shd w:val="clear" w:color="auto" w:fill="98B0CF"/>
          </w:tcPr>
          <w:p>
            <w:pPr>
              <w:spacing w:after="0"/>
              <w:rPr>
                <w:sz w:val="13"/>
                <w:szCs w:val="13"/>
                <w:color w:val="auto"/>
              </w:rPr>
            </w:pPr>
          </w:p>
        </w:tc>
        <w:tc>
          <w:tcPr>
            <w:tcW w:w="780" w:type="dxa"/>
            <w:vAlign w:val="bottom"/>
            <w:tcBorders>
              <w:bottom w:val="single" w:sz="8" w:color="auto"/>
            </w:tcBorders>
            <w:shd w:val="clear" w:color="auto" w:fill="98B0CF"/>
          </w:tcPr>
          <w:p>
            <w:pPr>
              <w:jc w:val="center"/>
              <w:ind w:right="153"/>
              <w:spacing w:after="0"/>
              <w:rPr>
                <w:sz w:val="20"/>
                <w:szCs w:val="20"/>
                <w:color w:val="auto"/>
              </w:rPr>
            </w:pPr>
            <w:r>
              <w:rPr>
                <w:rFonts w:ascii="Arial" w:cs="Arial" w:eastAsia="Arial" w:hAnsi="Arial"/>
                <w:sz w:val="13"/>
                <w:szCs w:val="13"/>
                <w:b w:val="1"/>
                <w:bCs w:val="1"/>
                <w:color w:val="auto"/>
                <w:w w:val="98"/>
              </w:rPr>
              <w:t>(Level 1)</w:t>
            </w:r>
          </w:p>
        </w:tc>
        <w:tc>
          <w:tcPr>
            <w:tcW w:w="220" w:type="dxa"/>
            <w:vAlign w:val="bottom"/>
            <w:tcBorders>
              <w:bottom w:val="single" w:sz="8" w:color="auto"/>
            </w:tcBorders>
            <w:shd w:val="clear" w:color="auto" w:fill="98B0CF"/>
          </w:tcPr>
          <w:p>
            <w:pPr>
              <w:spacing w:after="0"/>
              <w:rPr>
                <w:sz w:val="13"/>
                <w:szCs w:val="13"/>
                <w:color w:val="auto"/>
              </w:rPr>
            </w:pPr>
          </w:p>
        </w:tc>
        <w:tc>
          <w:tcPr>
            <w:tcW w:w="800" w:type="dxa"/>
            <w:vAlign w:val="bottom"/>
            <w:tcBorders>
              <w:bottom w:val="single" w:sz="8" w:color="auto"/>
            </w:tcBorders>
            <w:shd w:val="clear" w:color="auto" w:fill="98B0CF"/>
          </w:tcPr>
          <w:p>
            <w:pPr>
              <w:jc w:val="center"/>
              <w:ind w:right="212"/>
              <w:spacing w:after="0"/>
              <w:rPr>
                <w:sz w:val="20"/>
                <w:szCs w:val="20"/>
                <w:color w:val="auto"/>
              </w:rPr>
            </w:pPr>
            <w:r>
              <w:rPr>
                <w:rFonts w:ascii="Arial" w:cs="Arial" w:eastAsia="Arial" w:hAnsi="Arial"/>
                <w:sz w:val="13"/>
                <w:szCs w:val="13"/>
                <w:b w:val="1"/>
                <w:bCs w:val="1"/>
                <w:color w:val="auto"/>
                <w:w w:val="98"/>
              </w:rPr>
              <w:t>(Level 2)</w:t>
            </w:r>
          </w:p>
        </w:tc>
        <w:tc>
          <w:tcPr>
            <w:tcW w:w="88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3"/>
                <w:szCs w:val="13"/>
                <w:b w:val="1"/>
                <w:bCs w:val="1"/>
                <w:color w:val="auto"/>
                <w:w w:val="94"/>
              </w:rPr>
              <w:t>(Level 3)</w:t>
            </w:r>
          </w:p>
        </w:tc>
        <w:tc>
          <w:tcPr>
            <w:tcW w:w="100" w:type="dxa"/>
            <w:vAlign w:val="bottom"/>
            <w:tcBorders>
              <w:bottom w:val="single" w:sz="8" w:color="98B0CF"/>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620" w:type="dxa"/>
            <w:vAlign w:val="bottom"/>
            <w:tcBorders>
              <w:bottom w:val="single" w:sz="8" w:color="auto"/>
            </w:tcBorders>
            <w:shd w:val="clear" w:color="auto" w:fill="98B0CF"/>
          </w:tcPr>
          <w:p>
            <w:pPr>
              <w:jc w:val="right"/>
              <w:ind w:right="50"/>
              <w:spacing w:after="0"/>
              <w:rPr>
                <w:sz w:val="20"/>
                <w:szCs w:val="20"/>
                <w:color w:val="auto"/>
              </w:rPr>
            </w:pPr>
            <w:r>
              <w:rPr>
                <w:rFonts w:ascii="Arial" w:cs="Arial" w:eastAsia="Arial" w:hAnsi="Arial"/>
                <w:sz w:val="13"/>
                <w:szCs w:val="13"/>
                <w:b w:val="1"/>
                <w:bCs w:val="1"/>
                <w:color w:val="auto"/>
                <w:w w:val="94"/>
              </w:rPr>
              <w:t>31, 2023</w:t>
            </w:r>
          </w:p>
        </w:tc>
        <w:tc>
          <w:tcPr>
            <w:tcW w:w="1000" w:type="dxa"/>
            <w:vAlign w:val="bottom"/>
            <w:tcBorders>
              <w:bottom w:val="single" w:sz="8" w:color="auto"/>
            </w:tcBorders>
            <w:gridSpan w:val="2"/>
            <w:shd w:val="clear" w:color="auto" w:fill="98B0CF"/>
          </w:tcPr>
          <w:p>
            <w:pPr>
              <w:jc w:val="center"/>
              <w:ind w:left="13"/>
              <w:spacing w:after="0"/>
              <w:rPr>
                <w:sz w:val="20"/>
                <w:szCs w:val="20"/>
                <w:color w:val="auto"/>
              </w:rPr>
            </w:pPr>
            <w:r>
              <w:rPr>
                <w:rFonts w:ascii="Arial" w:cs="Arial" w:eastAsia="Arial" w:hAnsi="Arial"/>
                <w:sz w:val="13"/>
                <w:szCs w:val="13"/>
                <w:b w:val="1"/>
                <w:bCs w:val="1"/>
                <w:color w:val="auto"/>
                <w:w w:val="98"/>
              </w:rPr>
              <w:t>(Level 1)</w:t>
            </w:r>
          </w:p>
        </w:tc>
        <w:tc>
          <w:tcPr>
            <w:tcW w:w="980" w:type="dxa"/>
            <w:vAlign w:val="bottom"/>
            <w:tcBorders>
              <w:bottom w:val="single" w:sz="8" w:color="auto"/>
            </w:tcBorders>
            <w:gridSpan w:val="2"/>
            <w:shd w:val="clear" w:color="auto" w:fill="98B0CF"/>
          </w:tcPr>
          <w:p>
            <w:pPr>
              <w:jc w:val="center"/>
              <w:ind w:right="11"/>
              <w:spacing w:after="0"/>
              <w:rPr>
                <w:sz w:val="20"/>
                <w:szCs w:val="20"/>
                <w:color w:val="auto"/>
              </w:rPr>
            </w:pPr>
            <w:r>
              <w:rPr>
                <w:rFonts w:ascii="Arial" w:cs="Arial" w:eastAsia="Arial" w:hAnsi="Arial"/>
                <w:sz w:val="13"/>
                <w:szCs w:val="13"/>
                <w:b w:val="1"/>
                <w:bCs w:val="1"/>
                <w:color w:val="auto"/>
                <w:w w:val="94"/>
              </w:rPr>
              <w:t>(Level 2)</w:t>
            </w:r>
          </w:p>
        </w:tc>
        <w:tc>
          <w:tcPr>
            <w:tcW w:w="840" w:type="dxa"/>
            <w:vAlign w:val="bottom"/>
            <w:tcBorders>
              <w:bottom w:val="single" w:sz="8" w:color="auto"/>
            </w:tcBorders>
            <w:gridSpan w:val="2"/>
            <w:shd w:val="clear" w:color="auto" w:fill="98B0CF"/>
          </w:tcPr>
          <w:p>
            <w:pPr>
              <w:jc w:val="center"/>
              <w:ind w:right="11"/>
              <w:spacing w:after="0"/>
              <w:rPr>
                <w:sz w:val="20"/>
                <w:szCs w:val="20"/>
                <w:color w:val="auto"/>
              </w:rPr>
            </w:pPr>
            <w:r>
              <w:rPr>
                <w:rFonts w:ascii="Arial" w:cs="Arial" w:eastAsia="Arial" w:hAnsi="Arial"/>
                <w:sz w:val="13"/>
                <w:szCs w:val="13"/>
                <w:b w:val="1"/>
                <w:bCs w:val="1"/>
                <w:color w:val="auto"/>
                <w:w w:val="98"/>
              </w:rPr>
              <w:t>(Level 3)</w:t>
            </w:r>
          </w:p>
        </w:tc>
      </w:tr>
      <w:tr>
        <w:trPr>
          <w:trHeight w:val="163"/>
        </w:trPr>
        <w:tc>
          <w:tcPr>
            <w:tcW w:w="376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E2E8F1"/>
          </w:tcPr>
          <w:p>
            <w:pPr>
              <w:spacing w:after="0"/>
              <w:rPr>
                <w:sz w:val="14"/>
                <w:szCs w:val="14"/>
                <w:color w:val="auto"/>
              </w:rPr>
            </w:pPr>
          </w:p>
        </w:tc>
        <w:tc>
          <w:tcPr>
            <w:tcW w:w="620" w:type="dxa"/>
            <w:vAlign w:val="bottom"/>
            <w:shd w:val="clear" w:color="auto" w:fill="E2E8F1"/>
          </w:tcPr>
          <w:p>
            <w:pPr>
              <w:spacing w:after="0"/>
              <w:rPr>
                <w:sz w:val="14"/>
                <w:szCs w:val="14"/>
                <w:color w:val="auto"/>
              </w:rPr>
            </w:pPr>
          </w:p>
        </w:tc>
        <w:tc>
          <w:tcPr>
            <w:tcW w:w="340" w:type="dxa"/>
            <w:vAlign w:val="bottom"/>
            <w:shd w:val="clear" w:color="auto" w:fill="E2E8F1"/>
          </w:tcPr>
          <w:p>
            <w:pPr>
              <w:spacing w:after="0"/>
              <w:rPr>
                <w:sz w:val="14"/>
                <w:szCs w:val="14"/>
                <w:color w:val="auto"/>
              </w:rPr>
            </w:pPr>
          </w:p>
        </w:tc>
        <w:tc>
          <w:tcPr>
            <w:tcW w:w="78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8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7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62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70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7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680" w:type="dxa"/>
            <w:vAlign w:val="bottom"/>
            <w:shd w:val="clear" w:color="auto" w:fill="E2E8F1"/>
          </w:tcPr>
          <w:p>
            <w:pPr>
              <w:spacing w:after="0"/>
              <w:rPr>
                <w:sz w:val="14"/>
                <w:szCs w:val="14"/>
                <w:color w:val="auto"/>
              </w:rPr>
            </w:pPr>
          </w:p>
        </w:tc>
      </w:tr>
      <w:tr>
        <w:trPr>
          <w:trHeight w:val="166"/>
        </w:trPr>
        <w:tc>
          <w:tcPr>
            <w:tcW w:w="3760" w:type="dxa"/>
            <w:vAlign w:val="bottom"/>
          </w:tcPr>
          <w:p>
            <w:pPr>
              <w:ind w:left="80"/>
              <w:spacing w:after="0"/>
              <w:rPr>
                <w:sz w:val="20"/>
                <w:szCs w:val="20"/>
                <w:color w:val="auto"/>
              </w:rPr>
            </w:pPr>
            <w:r>
              <w:rPr>
                <w:rFonts w:ascii="Arial" w:cs="Arial" w:eastAsia="Arial" w:hAnsi="Arial"/>
                <w:sz w:val="14"/>
                <w:szCs w:val="14"/>
                <w:color w:val="auto"/>
              </w:rPr>
              <w:t>Deferred compensation plan assets</w:t>
            </w:r>
          </w:p>
        </w:tc>
        <w:tc>
          <w:tcPr>
            <w:tcW w:w="220" w:type="dxa"/>
            <w:vAlign w:val="bottom"/>
          </w:tcPr>
          <w:p>
            <w:pPr>
              <w:ind w:left="14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165.4</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3"/>
              <w:spacing w:after="0"/>
              <w:rPr>
                <w:sz w:val="20"/>
                <w:szCs w:val="20"/>
                <w:color w:val="auto"/>
              </w:rPr>
            </w:pPr>
            <w:r>
              <w:rPr>
                <w:rFonts w:ascii="Arial" w:cs="Arial" w:eastAsia="Arial" w:hAnsi="Arial"/>
                <w:sz w:val="14"/>
                <w:szCs w:val="14"/>
                <w:color w:val="auto"/>
              </w:rPr>
              <w:t>165.4</w:t>
            </w:r>
          </w:p>
        </w:tc>
        <w:tc>
          <w:tcPr>
            <w:tcW w:w="220" w:type="dxa"/>
            <w:vAlign w:val="bottom"/>
          </w:tcPr>
          <w:p>
            <w:pPr>
              <w:ind w:left="14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700" w:type="dxa"/>
            <w:vAlign w:val="bottom"/>
          </w:tcPr>
          <w:p>
            <w:pPr>
              <w:ind w:left="42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144.2</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144.2</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r>
      <w:tr>
        <w:trPr>
          <w:trHeight w:val="166"/>
        </w:trPr>
        <w:tc>
          <w:tcPr>
            <w:tcW w:w="3760" w:type="dxa"/>
            <w:vAlign w:val="bottom"/>
            <w:shd w:val="clear" w:color="auto" w:fill="E2E8F1"/>
          </w:tcPr>
          <w:p>
            <w:pPr>
              <w:ind w:left="80"/>
              <w:spacing w:after="0"/>
              <w:rPr>
                <w:sz w:val="20"/>
                <w:szCs w:val="20"/>
                <w:color w:val="auto"/>
              </w:rPr>
            </w:pPr>
            <w:r>
              <w:rPr>
                <w:rFonts w:ascii="Arial" w:cs="Arial" w:eastAsia="Arial" w:hAnsi="Arial"/>
                <w:sz w:val="14"/>
                <w:szCs w:val="14"/>
                <w:color w:val="auto"/>
              </w:rPr>
              <w:t>Cross-currency swaps</w:t>
            </w:r>
          </w:p>
        </w:tc>
        <w:tc>
          <w:tcPr>
            <w:tcW w:w="220" w:type="dxa"/>
            <w:vAlign w:val="bottom"/>
            <w:shd w:val="clear" w:color="auto" w:fill="E2E8F1"/>
          </w:tcPr>
          <w:p>
            <w:pPr>
              <w:spacing w:after="0"/>
              <w:rPr>
                <w:sz w:val="14"/>
                <w:szCs w:val="14"/>
                <w:color w:val="auto"/>
              </w:rPr>
            </w:pPr>
          </w:p>
        </w:tc>
        <w:tc>
          <w:tcPr>
            <w:tcW w:w="6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10.3</w:t>
            </w:r>
          </w:p>
        </w:tc>
        <w:tc>
          <w:tcPr>
            <w:tcW w:w="340" w:type="dxa"/>
            <w:vAlign w:val="bottom"/>
            <w:shd w:val="clear" w:color="auto" w:fill="E2E8F1"/>
          </w:tcPr>
          <w:p>
            <w:pPr>
              <w:spacing w:after="0"/>
              <w:rPr>
                <w:sz w:val="14"/>
                <w:szCs w:val="14"/>
                <w:color w:val="auto"/>
              </w:rPr>
            </w:pPr>
          </w:p>
        </w:tc>
        <w:tc>
          <w:tcPr>
            <w:tcW w:w="780" w:type="dxa"/>
            <w:vAlign w:val="bottom"/>
            <w:shd w:val="clear" w:color="auto" w:fill="E2E8F1"/>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E2E8F1"/>
          </w:tcPr>
          <w:p>
            <w:pPr>
              <w:spacing w:after="0"/>
              <w:rPr>
                <w:sz w:val="14"/>
                <w:szCs w:val="14"/>
                <w:color w:val="auto"/>
              </w:rPr>
            </w:pPr>
          </w:p>
        </w:tc>
        <w:tc>
          <w:tcPr>
            <w:tcW w:w="800" w:type="dxa"/>
            <w:vAlign w:val="bottom"/>
            <w:shd w:val="clear" w:color="auto" w:fill="E2E8F1"/>
          </w:tcPr>
          <w:p>
            <w:pPr>
              <w:jc w:val="right"/>
              <w:ind w:right="132"/>
              <w:spacing w:after="0"/>
              <w:rPr>
                <w:sz w:val="20"/>
                <w:szCs w:val="20"/>
                <w:color w:val="auto"/>
              </w:rPr>
            </w:pPr>
            <w:r>
              <w:rPr>
                <w:rFonts w:ascii="Arial" w:cs="Arial" w:eastAsia="Arial" w:hAnsi="Arial"/>
                <w:sz w:val="14"/>
                <w:szCs w:val="14"/>
                <w:color w:val="auto"/>
              </w:rPr>
              <w:t>10.3</w:t>
            </w:r>
          </w:p>
        </w:tc>
        <w:tc>
          <w:tcPr>
            <w:tcW w:w="180" w:type="dxa"/>
            <w:vAlign w:val="bottom"/>
            <w:shd w:val="clear" w:color="auto" w:fill="E2E8F1"/>
          </w:tcPr>
          <w:p>
            <w:pPr>
              <w:spacing w:after="0"/>
              <w:rPr>
                <w:sz w:val="14"/>
                <w:szCs w:val="14"/>
                <w:color w:val="auto"/>
              </w:rPr>
            </w:pPr>
          </w:p>
        </w:tc>
        <w:tc>
          <w:tcPr>
            <w:tcW w:w="700" w:type="dxa"/>
            <w:vAlign w:val="bottom"/>
            <w:shd w:val="clear" w:color="auto" w:fill="E2E8F1"/>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6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31.7</w:t>
            </w:r>
          </w:p>
        </w:tc>
        <w:tc>
          <w:tcPr>
            <w:tcW w:w="300" w:type="dxa"/>
            <w:vAlign w:val="bottom"/>
            <w:shd w:val="clear" w:color="auto" w:fill="E2E8F1"/>
          </w:tcPr>
          <w:p>
            <w:pPr>
              <w:spacing w:after="0"/>
              <w:rPr>
                <w:sz w:val="14"/>
                <w:szCs w:val="14"/>
                <w:color w:val="auto"/>
              </w:rPr>
            </w:pPr>
          </w:p>
        </w:tc>
        <w:tc>
          <w:tcPr>
            <w:tcW w:w="70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shd w:val="clear" w:color="auto" w:fill="E2E8F1"/>
          </w:tcPr>
          <w:p>
            <w:pPr>
              <w:spacing w:after="0"/>
              <w:rPr>
                <w:sz w:val="14"/>
                <w:szCs w:val="14"/>
                <w:color w:val="auto"/>
              </w:rPr>
            </w:pPr>
          </w:p>
        </w:tc>
        <w:tc>
          <w:tcPr>
            <w:tcW w:w="740" w:type="dxa"/>
            <w:vAlign w:val="bottom"/>
            <w:shd w:val="clear" w:color="auto" w:fill="E2E8F1"/>
          </w:tcPr>
          <w:p>
            <w:pPr>
              <w:jc w:val="right"/>
              <w:ind w:right="131"/>
              <w:spacing w:after="0"/>
              <w:rPr>
                <w:sz w:val="20"/>
                <w:szCs w:val="20"/>
                <w:color w:val="auto"/>
              </w:rPr>
            </w:pPr>
            <w:r>
              <w:rPr>
                <w:rFonts w:ascii="Arial" w:cs="Arial" w:eastAsia="Arial" w:hAnsi="Arial"/>
                <w:sz w:val="14"/>
                <w:szCs w:val="14"/>
                <w:color w:val="auto"/>
              </w:rPr>
              <w:t>31.7</w:t>
            </w:r>
          </w:p>
        </w:tc>
        <w:tc>
          <w:tcPr>
            <w:tcW w:w="160" w:type="dxa"/>
            <w:vAlign w:val="bottom"/>
            <w:shd w:val="clear" w:color="auto" w:fill="E2E8F1"/>
          </w:tcPr>
          <w:p>
            <w:pPr>
              <w:spacing w:after="0"/>
              <w:rPr>
                <w:sz w:val="14"/>
                <w:szCs w:val="14"/>
                <w:color w:val="auto"/>
              </w:rPr>
            </w:pPr>
          </w:p>
        </w:tc>
        <w:tc>
          <w:tcPr>
            <w:tcW w:w="680" w:type="dxa"/>
            <w:vAlign w:val="bottom"/>
            <w:shd w:val="clear" w:color="auto" w:fill="E2E8F1"/>
          </w:tcPr>
          <w:p>
            <w:pPr>
              <w:ind w:left="400"/>
              <w:spacing w:after="0"/>
              <w:rPr>
                <w:sz w:val="20"/>
                <w:szCs w:val="20"/>
                <w:color w:val="auto"/>
              </w:rPr>
            </w:pPr>
            <w:r>
              <w:rPr>
                <w:rFonts w:ascii="Arial" w:cs="Arial" w:eastAsia="Arial" w:hAnsi="Arial"/>
                <w:sz w:val="14"/>
                <w:szCs w:val="14"/>
                <w:color w:val="auto"/>
              </w:rPr>
              <w:t>—</w:t>
            </w:r>
          </w:p>
        </w:tc>
      </w:tr>
      <w:tr>
        <w:trPr>
          <w:trHeight w:val="166"/>
        </w:trPr>
        <w:tc>
          <w:tcPr>
            <w:tcW w:w="376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auto"/>
              </w:rPr>
              <w:t>Foreign currency forward contracts</w:t>
            </w:r>
          </w:p>
        </w:tc>
        <w:tc>
          <w:tcPr>
            <w:tcW w:w="220" w:type="dxa"/>
            <w:vAlign w:val="bottom"/>
            <w:tcBorders>
              <w:bottom w:val="single" w:sz="8" w:color="231F20"/>
            </w:tcBorders>
          </w:tcPr>
          <w:p>
            <w:pPr>
              <w:spacing w:after="0"/>
              <w:rPr>
                <w:sz w:val="14"/>
                <w:szCs w:val="14"/>
                <w:color w:val="auto"/>
              </w:rPr>
            </w:pPr>
          </w:p>
        </w:tc>
        <w:tc>
          <w:tcPr>
            <w:tcW w:w="6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231F20"/>
            </w:tcBorders>
          </w:tcPr>
          <w:p>
            <w:pPr>
              <w:spacing w:after="0"/>
              <w:rPr>
                <w:sz w:val="14"/>
                <w:szCs w:val="14"/>
                <w:color w:val="auto"/>
              </w:rPr>
            </w:pPr>
          </w:p>
        </w:tc>
        <w:tc>
          <w:tcPr>
            <w:tcW w:w="780" w:type="dxa"/>
            <w:vAlign w:val="bottom"/>
            <w:tcBorders>
              <w:bottom w:val="single" w:sz="8" w:color="231F20"/>
            </w:tcBorders>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231F20"/>
            </w:tcBorders>
          </w:tcPr>
          <w:p>
            <w:pPr>
              <w:spacing w:after="0"/>
              <w:rPr>
                <w:sz w:val="14"/>
                <w:szCs w:val="14"/>
                <w:color w:val="auto"/>
              </w:rPr>
            </w:pPr>
          </w:p>
        </w:tc>
        <w:tc>
          <w:tcPr>
            <w:tcW w:w="800" w:type="dxa"/>
            <w:vAlign w:val="bottom"/>
            <w:tcBorders>
              <w:bottom w:val="single" w:sz="8" w:color="231F20"/>
            </w:tcBorders>
          </w:tcPr>
          <w:p>
            <w:pPr>
              <w:jc w:val="right"/>
              <w:ind w:right="13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231F20"/>
            </w:tcBorders>
          </w:tcPr>
          <w:p>
            <w:pPr>
              <w:spacing w:after="0"/>
              <w:rPr>
                <w:sz w:val="14"/>
                <w:szCs w:val="14"/>
                <w:color w:val="auto"/>
              </w:rPr>
            </w:pPr>
          </w:p>
        </w:tc>
        <w:tc>
          <w:tcPr>
            <w:tcW w:w="700" w:type="dxa"/>
            <w:vAlign w:val="bottom"/>
            <w:tcBorders>
              <w:bottom w:val="single" w:sz="8" w:color="231F20"/>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6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6.7</w:t>
            </w:r>
          </w:p>
        </w:tc>
        <w:tc>
          <w:tcPr>
            <w:tcW w:w="300" w:type="dxa"/>
            <w:vAlign w:val="bottom"/>
            <w:tcBorders>
              <w:bottom w:val="single" w:sz="8" w:color="231F20"/>
            </w:tcBorders>
          </w:tcPr>
          <w:p>
            <w:pPr>
              <w:spacing w:after="0"/>
              <w:rPr>
                <w:sz w:val="14"/>
                <w:szCs w:val="14"/>
                <w:color w:val="auto"/>
              </w:rPr>
            </w:pPr>
          </w:p>
        </w:tc>
        <w:tc>
          <w:tcPr>
            <w:tcW w:w="700" w:type="dxa"/>
            <w:vAlign w:val="bottom"/>
            <w:tcBorders>
              <w:bottom w:val="single" w:sz="8" w:color="231F20"/>
            </w:tcBorders>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231F20"/>
            </w:tcBorders>
          </w:tcPr>
          <w:p>
            <w:pPr>
              <w:spacing w:after="0"/>
              <w:rPr>
                <w:sz w:val="14"/>
                <w:szCs w:val="14"/>
                <w:color w:val="auto"/>
              </w:rPr>
            </w:pPr>
          </w:p>
        </w:tc>
        <w:tc>
          <w:tcPr>
            <w:tcW w:w="740" w:type="dxa"/>
            <w:vAlign w:val="bottom"/>
            <w:tcBorders>
              <w:bottom w:val="single" w:sz="8" w:color="231F20"/>
            </w:tcBorders>
          </w:tcPr>
          <w:p>
            <w:pPr>
              <w:jc w:val="right"/>
              <w:ind w:right="131"/>
              <w:spacing w:after="0"/>
              <w:rPr>
                <w:sz w:val="20"/>
                <w:szCs w:val="20"/>
                <w:color w:val="auto"/>
              </w:rPr>
            </w:pPr>
            <w:r>
              <w:rPr>
                <w:rFonts w:ascii="Arial" w:cs="Arial" w:eastAsia="Arial" w:hAnsi="Arial"/>
                <w:sz w:val="14"/>
                <w:szCs w:val="14"/>
                <w:color w:val="auto"/>
              </w:rPr>
              <w:t>6.7</w:t>
            </w:r>
          </w:p>
        </w:tc>
        <w:tc>
          <w:tcPr>
            <w:tcW w:w="160" w:type="dxa"/>
            <w:vAlign w:val="bottom"/>
            <w:tcBorders>
              <w:bottom w:val="single" w:sz="8" w:color="231F20"/>
            </w:tcBorders>
          </w:tcPr>
          <w:p>
            <w:pPr>
              <w:spacing w:after="0"/>
              <w:rPr>
                <w:sz w:val="14"/>
                <w:szCs w:val="14"/>
                <w:color w:val="auto"/>
              </w:rPr>
            </w:pPr>
          </w:p>
        </w:tc>
        <w:tc>
          <w:tcPr>
            <w:tcW w:w="680" w:type="dxa"/>
            <w:vAlign w:val="bottom"/>
            <w:tcBorders>
              <w:bottom w:val="single" w:sz="8" w:color="231F20"/>
            </w:tcBorders>
          </w:tcPr>
          <w:p>
            <w:pPr>
              <w:ind w:left="400"/>
              <w:spacing w:after="0"/>
              <w:rPr>
                <w:sz w:val="20"/>
                <w:szCs w:val="20"/>
                <w:color w:val="auto"/>
              </w:rPr>
            </w:pPr>
            <w:r>
              <w:rPr>
                <w:rFonts w:ascii="Arial" w:cs="Arial" w:eastAsia="Arial" w:hAnsi="Arial"/>
                <w:sz w:val="14"/>
                <w:szCs w:val="14"/>
                <w:color w:val="auto"/>
              </w:rPr>
              <w:t>—</w:t>
            </w:r>
          </w:p>
        </w:tc>
      </w:tr>
      <w:tr>
        <w:trPr>
          <w:trHeight w:val="157"/>
        </w:trPr>
        <w:tc>
          <w:tcPr>
            <w:tcW w:w="3760" w:type="dxa"/>
            <w:vAlign w:val="bottom"/>
            <w:shd w:val="clear" w:color="auto" w:fill="E2E8F1"/>
          </w:tcPr>
          <w:p>
            <w:pPr>
              <w:spacing w:after="0"/>
              <w:rPr>
                <w:sz w:val="13"/>
                <w:szCs w:val="13"/>
                <w:color w:val="auto"/>
              </w:rPr>
            </w:pPr>
          </w:p>
        </w:tc>
        <w:tc>
          <w:tcPr>
            <w:tcW w:w="220" w:type="dxa"/>
            <w:vAlign w:val="bottom"/>
            <w:shd w:val="clear" w:color="auto" w:fill="E2E8F1"/>
          </w:tcPr>
          <w:p>
            <w:pPr>
              <w:ind w:left="140"/>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175.7</w:t>
            </w:r>
          </w:p>
        </w:tc>
        <w:tc>
          <w:tcPr>
            <w:tcW w:w="3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w:t>
            </w:r>
          </w:p>
        </w:tc>
        <w:tc>
          <w:tcPr>
            <w:tcW w:w="780" w:type="dxa"/>
            <w:vAlign w:val="bottom"/>
            <w:shd w:val="clear" w:color="auto" w:fill="E2E8F1"/>
          </w:tcPr>
          <w:p>
            <w:pPr>
              <w:jc w:val="right"/>
              <w:ind w:right="73"/>
              <w:spacing w:after="0" w:line="157" w:lineRule="exact"/>
              <w:rPr>
                <w:sz w:val="20"/>
                <w:szCs w:val="20"/>
                <w:color w:val="auto"/>
              </w:rPr>
            </w:pPr>
            <w:r>
              <w:rPr>
                <w:rFonts w:ascii="Arial" w:cs="Arial" w:eastAsia="Arial" w:hAnsi="Arial"/>
                <w:sz w:val="14"/>
                <w:szCs w:val="14"/>
                <w:color w:val="auto"/>
              </w:rPr>
              <w:t>165.4</w:t>
            </w:r>
          </w:p>
        </w:tc>
        <w:tc>
          <w:tcPr>
            <w:tcW w:w="220" w:type="dxa"/>
            <w:vAlign w:val="bottom"/>
            <w:shd w:val="clear" w:color="auto" w:fill="E2E8F1"/>
          </w:tcPr>
          <w:p>
            <w:pPr>
              <w:ind w:left="140"/>
              <w:spacing w:after="0" w:line="157"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E2E8F1"/>
          </w:tcPr>
          <w:p>
            <w:pPr>
              <w:jc w:val="right"/>
              <w:ind w:right="132"/>
              <w:spacing w:after="0" w:line="157" w:lineRule="exact"/>
              <w:rPr>
                <w:sz w:val="20"/>
                <w:szCs w:val="20"/>
                <w:color w:val="auto"/>
              </w:rPr>
            </w:pPr>
            <w:r>
              <w:rPr>
                <w:rFonts w:ascii="Arial" w:cs="Arial" w:eastAsia="Arial" w:hAnsi="Arial"/>
                <w:sz w:val="14"/>
                <w:szCs w:val="14"/>
                <w:color w:val="auto"/>
              </w:rPr>
              <w:t>10.3</w:t>
            </w:r>
          </w:p>
        </w:tc>
        <w:tc>
          <w:tcPr>
            <w:tcW w:w="18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color w:val="auto"/>
              </w:rPr>
              <w:t>$</w:t>
            </w:r>
          </w:p>
        </w:tc>
        <w:tc>
          <w:tcPr>
            <w:tcW w:w="700" w:type="dxa"/>
            <w:vAlign w:val="bottom"/>
            <w:shd w:val="clear" w:color="auto" w:fill="E2E8F1"/>
          </w:tcPr>
          <w:p>
            <w:pPr>
              <w:ind w:left="420"/>
              <w:spacing w:after="0" w:line="157"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E2E8F1"/>
          </w:tcPr>
          <w:p>
            <w:pPr>
              <w:ind w:left="120"/>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182.6</w:t>
            </w:r>
          </w:p>
        </w:tc>
        <w:tc>
          <w:tcPr>
            <w:tcW w:w="30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shd w:val="clear" w:color="auto" w:fill="E2E8F1"/>
          </w:tcPr>
          <w:p>
            <w:pPr>
              <w:jc w:val="right"/>
              <w:ind w:right="72"/>
              <w:spacing w:after="0" w:line="157" w:lineRule="exact"/>
              <w:rPr>
                <w:sz w:val="20"/>
                <w:szCs w:val="20"/>
                <w:color w:val="auto"/>
              </w:rPr>
            </w:pPr>
            <w:r>
              <w:rPr>
                <w:rFonts w:ascii="Arial" w:cs="Arial" w:eastAsia="Arial" w:hAnsi="Arial"/>
                <w:sz w:val="14"/>
                <w:szCs w:val="14"/>
                <w:color w:val="auto"/>
              </w:rPr>
              <w:t>144.2</w:t>
            </w:r>
          </w:p>
        </w:tc>
        <w:tc>
          <w:tcPr>
            <w:tcW w:w="240" w:type="dxa"/>
            <w:vAlign w:val="bottom"/>
            <w:shd w:val="clear" w:color="auto" w:fill="E2E8F1"/>
          </w:tcPr>
          <w:p>
            <w:pPr>
              <w:ind w:left="120"/>
              <w:spacing w:after="0" w:line="157" w:lineRule="exact"/>
              <w:rPr>
                <w:sz w:val="20"/>
                <w:szCs w:val="20"/>
                <w:color w:val="auto"/>
              </w:rPr>
            </w:pPr>
            <w:r>
              <w:rPr>
                <w:rFonts w:ascii="Arial" w:cs="Arial" w:eastAsia="Arial" w:hAnsi="Arial"/>
                <w:sz w:val="14"/>
                <w:szCs w:val="14"/>
                <w:color w:val="auto"/>
              </w:rPr>
              <w:t>$</w:t>
            </w:r>
          </w:p>
        </w:tc>
        <w:tc>
          <w:tcPr>
            <w:tcW w:w="740" w:type="dxa"/>
            <w:vAlign w:val="bottom"/>
            <w:shd w:val="clear" w:color="auto" w:fill="E2E8F1"/>
          </w:tcPr>
          <w:p>
            <w:pPr>
              <w:jc w:val="right"/>
              <w:ind w:right="131"/>
              <w:spacing w:after="0" w:line="157" w:lineRule="exact"/>
              <w:rPr>
                <w:sz w:val="20"/>
                <w:szCs w:val="20"/>
                <w:color w:val="auto"/>
              </w:rPr>
            </w:pPr>
            <w:r>
              <w:rPr>
                <w:rFonts w:ascii="Arial" w:cs="Arial" w:eastAsia="Arial" w:hAnsi="Arial"/>
                <w:sz w:val="14"/>
                <w:szCs w:val="14"/>
                <w:color w:val="auto"/>
              </w:rPr>
              <w:t>38.4</w:t>
            </w:r>
          </w:p>
        </w:tc>
        <w:tc>
          <w:tcPr>
            <w:tcW w:w="16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E2E8F1"/>
          </w:tcPr>
          <w:p>
            <w:pPr>
              <w:ind w:left="400"/>
              <w:spacing w:after="0" w:line="157" w:lineRule="exact"/>
              <w:rPr>
                <w:sz w:val="20"/>
                <w:szCs w:val="20"/>
                <w:color w:val="auto"/>
              </w:rPr>
            </w:pPr>
            <w:r>
              <w:rPr>
                <w:rFonts w:ascii="Arial" w:cs="Arial" w:eastAsia="Arial" w:hAnsi="Arial"/>
                <w:sz w:val="14"/>
                <w:szCs w:val="14"/>
                <w:color w:val="auto"/>
              </w:rPr>
              <w:t>—</w:t>
            </w:r>
          </w:p>
        </w:tc>
      </w:tr>
      <w:tr>
        <w:trPr>
          <w:trHeight w:val="157"/>
        </w:trPr>
        <w:tc>
          <w:tcPr>
            <w:tcW w:w="3760" w:type="dxa"/>
            <w:vAlign w:val="bottom"/>
            <w:tcBorders>
              <w:top w:val="single" w:sz="8" w:color="231F20"/>
            </w:tcBorders>
          </w:tcPr>
          <w:p>
            <w:pPr>
              <w:ind w:left="80"/>
              <w:spacing w:after="0" w:line="157" w:lineRule="exact"/>
              <w:rPr>
                <w:sz w:val="20"/>
                <w:szCs w:val="20"/>
                <w:color w:val="auto"/>
              </w:rPr>
            </w:pPr>
            <w:r>
              <w:rPr>
                <w:rFonts w:ascii="Arial" w:cs="Arial" w:eastAsia="Arial" w:hAnsi="Arial"/>
                <w:sz w:val="14"/>
                <w:szCs w:val="14"/>
                <w:b w:val="1"/>
                <w:bCs w:val="1"/>
                <w:color w:val="auto"/>
              </w:rPr>
              <w:t>Liabilities</w:t>
            </w:r>
          </w:p>
        </w:tc>
        <w:tc>
          <w:tcPr>
            <w:tcW w:w="220" w:type="dxa"/>
            <w:vAlign w:val="bottom"/>
            <w:tcBorders>
              <w:top w:val="single" w:sz="8" w:color="231F20"/>
            </w:tcBorders>
          </w:tcPr>
          <w:p>
            <w:pPr>
              <w:spacing w:after="0"/>
              <w:rPr>
                <w:sz w:val="13"/>
                <w:szCs w:val="13"/>
                <w:color w:val="auto"/>
              </w:rPr>
            </w:pPr>
          </w:p>
        </w:tc>
        <w:tc>
          <w:tcPr>
            <w:tcW w:w="620" w:type="dxa"/>
            <w:vAlign w:val="bottom"/>
            <w:tcBorders>
              <w:top w:val="single" w:sz="8" w:color="231F20"/>
            </w:tcBorders>
          </w:tcPr>
          <w:p>
            <w:pPr>
              <w:spacing w:after="0"/>
              <w:rPr>
                <w:sz w:val="13"/>
                <w:szCs w:val="13"/>
                <w:color w:val="auto"/>
              </w:rPr>
            </w:pPr>
          </w:p>
        </w:tc>
        <w:tc>
          <w:tcPr>
            <w:tcW w:w="340" w:type="dxa"/>
            <w:vAlign w:val="bottom"/>
            <w:tcBorders>
              <w:top w:val="single" w:sz="8" w:color="231F20"/>
            </w:tcBorders>
          </w:tcPr>
          <w:p>
            <w:pPr>
              <w:spacing w:after="0"/>
              <w:rPr>
                <w:sz w:val="13"/>
                <w:szCs w:val="13"/>
                <w:color w:val="auto"/>
              </w:rPr>
            </w:pPr>
          </w:p>
        </w:tc>
        <w:tc>
          <w:tcPr>
            <w:tcW w:w="780" w:type="dxa"/>
            <w:vAlign w:val="bottom"/>
            <w:tcBorders>
              <w:top w:val="single" w:sz="8" w:color="231F20"/>
            </w:tcBorders>
          </w:tcPr>
          <w:p>
            <w:pPr>
              <w:spacing w:after="0"/>
              <w:rPr>
                <w:sz w:val="13"/>
                <w:szCs w:val="13"/>
                <w:color w:val="auto"/>
              </w:rPr>
            </w:pPr>
          </w:p>
        </w:tc>
        <w:tc>
          <w:tcPr>
            <w:tcW w:w="220" w:type="dxa"/>
            <w:vAlign w:val="bottom"/>
            <w:tcBorders>
              <w:top w:val="single" w:sz="8" w:color="231F20"/>
            </w:tcBorders>
          </w:tcPr>
          <w:p>
            <w:pPr>
              <w:spacing w:after="0"/>
              <w:rPr>
                <w:sz w:val="13"/>
                <w:szCs w:val="13"/>
                <w:color w:val="auto"/>
              </w:rPr>
            </w:pPr>
          </w:p>
        </w:tc>
        <w:tc>
          <w:tcPr>
            <w:tcW w:w="800" w:type="dxa"/>
            <w:vAlign w:val="bottom"/>
            <w:tcBorders>
              <w:top w:val="single" w:sz="8" w:color="231F20"/>
            </w:tcBorders>
          </w:tcPr>
          <w:p>
            <w:pPr>
              <w:spacing w:after="0"/>
              <w:rPr>
                <w:sz w:val="13"/>
                <w:szCs w:val="13"/>
                <w:color w:val="auto"/>
              </w:rPr>
            </w:pPr>
          </w:p>
        </w:tc>
        <w:tc>
          <w:tcPr>
            <w:tcW w:w="180" w:type="dxa"/>
            <w:vAlign w:val="bottom"/>
            <w:tcBorders>
              <w:top w:val="single" w:sz="8" w:color="231F20"/>
            </w:tcBorders>
          </w:tcPr>
          <w:p>
            <w:pPr>
              <w:spacing w:after="0"/>
              <w:rPr>
                <w:sz w:val="13"/>
                <w:szCs w:val="13"/>
                <w:color w:val="auto"/>
              </w:rPr>
            </w:pPr>
          </w:p>
        </w:tc>
        <w:tc>
          <w:tcPr>
            <w:tcW w:w="700" w:type="dxa"/>
            <w:vAlign w:val="bottom"/>
            <w:tcBorders>
              <w:top w:val="single" w:sz="8" w:color="231F20"/>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100" w:type="dxa"/>
            <w:vAlign w:val="bottom"/>
            <w:tcBorders>
              <w:top w:val="single" w:sz="8" w:color="231F20"/>
            </w:tcBorders>
          </w:tcPr>
          <w:p>
            <w:pPr>
              <w:spacing w:after="0"/>
              <w:rPr>
                <w:sz w:val="13"/>
                <w:szCs w:val="13"/>
                <w:color w:val="auto"/>
              </w:rPr>
            </w:pPr>
          </w:p>
        </w:tc>
        <w:tc>
          <w:tcPr>
            <w:tcW w:w="620" w:type="dxa"/>
            <w:vAlign w:val="bottom"/>
            <w:tcBorders>
              <w:top w:val="single" w:sz="8" w:color="231F20"/>
            </w:tcBorders>
          </w:tcPr>
          <w:p>
            <w:pPr>
              <w:spacing w:after="0"/>
              <w:rPr>
                <w:sz w:val="13"/>
                <w:szCs w:val="13"/>
                <w:color w:val="auto"/>
              </w:rPr>
            </w:pPr>
          </w:p>
        </w:tc>
        <w:tc>
          <w:tcPr>
            <w:tcW w:w="300" w:type="dxa"/>
            <w:vAlign w:val="bottom"/>
            <w:tcBorders>
              <w:top w:val="single" w:sz="8" w:color="231F20"/>
            </w:tcBorders>
          </w:tcPr>
          <w:p>
            <w:pPr>
              <w:spacing w:after="0"/>
              <w:rPr>
                <w:sz w:val="13"/>
                <w:szCs w:val="13"/>
                <w:color w:val="auto"/>
              </w:rPr>
            </w:pPr>
          </w:p>
        </w:tc>
        <w:tc>
          <w:tcPr>
            <w:tcW w:w="700" w:type="dxa"/>
            <w:vAlign w:val="bottom"/>
            <w:tcBorders>
              <w:top w:val="single" w:sz="8" w:color="231F20"/>
            </w:tcBorders>
          </w:tcPr>
          <w:p>
            <w:pPr>
              <w:spacing w:after="0"/>
              <w:rPr>
                <w:sz w:val="13"/>
                <w:szCs w:val="13"/>
                <w:color w:val="auto"/>
              </w:rPr>
            </w:pPr>
          </w:p>
        </w:tc>
        <w:tc>
          <w:tcPr>
            <w:tcW w:w="240" w:type="dxa"/>
            <w:vAlign w:val="bottom"/>
            <w:tcBorders>
              <w:top w:val="single" w:sz="8" w:color="231F20"/>
            </w:tcBorders>
          </w:tcPr>
          <w:p>
            <w:pPr>
              <w:spacing w:after="0"/>
              <w:rPr>
                <w:sz w:val="13"/>
                <w:szCs w:val="13"/>
                <w:color w:val="auto"/>
              </w:rPr>
            </w:pPr>
          </w:p>
        </w:tc>
        <w:tc>
          <w:tcPr>
            <w:tcW w:w="740" w:type="dxa"/>
            <w:vAlign w:val="bottom"/>
            <w:tcBorders>
              <w:top w:val="single" w:sz="8" w:color="231F20"/>
            </w:tcBorders>
          </w:tcPr>
          <w:p>
            <w:pPr>
              <w:spacing w:after="0"/>
              <w:rPr>
                <w:sz w:val="13"/>
                <w:szCs w:val="13"/>
                <w:color w:val="auto"/>
              </w:rPr>
            </w:pPr>
          </w:p>
        </w:tc>
        <w:tc>
          <w:tcPr>
            <w:tcW w:w="160" w:type="dxa"/>
            <w:vAlign w:val="bottom"/>
            <w:tcBorders>
              <w:top w:val="single" w:sz="8" w:color="231F20"/>
            </w:tcBorders>
          </w:tcPr>
          <w:p>
            <w:pPr>
              <w:spacing w:after="0"/>
              <w:rPr>
                <w:sz w:val="13"/>
                <w:szCs w:val="13"/>
                <w:color w:val="auto"/>
              </w:rPr>
            </w:pPr>
          </w:p>
        </w:tc>
        <w:tc>
          <w:tcPr>
            <w:tcW w:w="680" w:type="dxa"/>
            <w:vAlign w:val="bottom"/>
            <w:tcBorders>
              <w:top w:val="single" w:sz="8" w:color="231F20"/>
            </w:tcBorders>
          </w:tcPr>
          <w:p>
            <w:pPr>
              <w:spacing w:after="0"/>
              <w:rPr>
                <w:sz w:val="13"/>
                <w:szCs w:val="13"/>
                <w:color w:val="auto"/>
              </w:rPr>
            </w:pPr>
          </w:p>
        </w:tc>
      </w:tr>
      <w:tr>
        <w:trPr>
          <w:trHeight w:val="166"/>
        </w:trPr>
        <w:tc>
          <w:tcPr>
            <w:tcW w:w="3760" w:type="dxa"/>
            <w:vAlign w:val="bottom"/>
            <w:shd w:val="clear" w:color="auto" w:fill="E2E8F1"/>
          </w:tcPr>
          <w:p>
            <w:pPr>
              <w:ind w:left="80"/>
              <w:spacing w:after="0"/>
              <w:rPr>
                <w:sz w:val="20"/>
                <w:szCs w:val="20"/>
                <w:color w:val="auto"/>
              </w:rPr>
            </w:pPr>
            <w:r>
              <w:rPr>
                <w:rFonts w:ascii="Arial" w:cs="Arial" w:eastAsia="Arial" w:hAnsi="Arial"/>
                <w:sz w:val="14"/>
                <w:szCs w:val="14"/>
                <w:color w:val="auto"/>
              </w:rPr>
              <w:t>Cross-currency swaps</w:t>
            </w:r>
          </w:p>
        </w:tc>
        <w:tc>
          <w:tcPr>
            <w:tcW w:w="220" w:type="dxa"/>
            <w:vAlign w:val="bottom"/>
            <w:shd w:val="clear" w:color="auto" w:fill="E2E8F1"/>
          </w:tcPr>
          <w:p>
            <w:pPr>
              <w:ind w:left="140"/>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37.0</w:t>
            </w:r>
          </w:p>
        </w:tc>
        <w:tc>
          <w:tcPr>
            <w:tcW w:w="3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2E8F1"/>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E2E8F1"/>
          </w:tcPr>
          <w:p>
            <w:pPr>
              <w:ind w:left="14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E2E8F1"/>
          </w:tcPr>
          <w:p>
            <w:pPr>
              <w:jc w:val="right"/>
              <w:ind w:right="132"/>
              <w:spacing w:after="0"/>
              <w:rPr>
                <w:sz w:val="20"/>
                <w:szCs w:val="20"/>
                <w:color w:val="auto"/>
              </w:rPr>
            </w:pPr>
            <w:r>
              <w:rPr>
                <w:rFonts w:ascii="Arial" w:cs="Arial" w:eastAsia="Arial" w:hAnsi="Arial"/>
                <w:sz w:val="14"/>
                <w:szCs w:val="14"/>
                <w:color w:val="auto"/>
              </w:rPr>
              <w:t>37.0</w:t>
            </w:r>
          </w:p>
        </w:tc>
        <w:tc>
          <w:tcPr>
            <w:tcW w:w="180" w:type="dxa"/>
            <w:vAlign w:val="bottom"/>
            <w:shd w:val="clear" w:color="auto" w:fill="E2E8F1"/>
          </w:tcPr>
          <w:p>
            <w:pPr>
              <w:ind w:lef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E2E8F1"/>
          </w:tcPr>
          <w:p>
            <w:pPr>
              <w:ind w:left="4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2E8F1"/>
          </w:tcPr>
          <w:p>
            <w:pPr>
              <w:ind w:left="120"/>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73.3</w:t>
            </w:r>
          </w:p>
        </w:tc>
        <w:tc>
          <w:tcPr>
            <w:tcW w:w="3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shd w:val="clear" w:color="auto" w:fill="E2E8F1"/>
          </w:tcPr>
          <w:p>
            <w:pPr>
              <w:ind w:lef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E2E8F1"/>
          </w:tcPr>
          <w:p>
            <w:pPr>
              <w:jc w:val="right"/>
              <w:ind w:right="131"/>
              <w:spacing w:after="0"/>
              <w:rPr>
                <w:sz w:val="20"/>
                <w:szCs w:val="20"/>
                <w:color w:val="auto"/>
              </w:rPr>
            </w:pPr>
            <w:r>
              <w:rPr>
                <w:rFonts w:ascii="Arial" w:cs="Arial" w:eastAsia="Arial" w:hAnsi="Arial"/>
                <w:sz w:val="14"/>
                <w:szCs w:val="14"/>
                <w:color w:val="auto"/>
              </w:rPr>
              <w:t>73.3</w:t>
            </w:r>
          </w:p>
        </w:tc>
        <w:tc>
          <w:tcPr>
            <w:tcW w:w="160" w:type="dxa"/>
            <w:vAlign w:val="bottom"/>
            <w:shd w:val="clear" w:color="auto" w:fill="E2E8F1"/>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E2E8F1"/>
          </w:tcPr>
          <w:p>
            <w:pPr>
              <w:ind w:left="400"/>
              <w:spacing w:after="0"/>
              <w:rPr>
                <w:sz w:val="20"/>
                <w:szCs w:val="20"/>
                <w:color w:val="auto"/>
              </w:rPr>
            </w:pPr>
            <w:r>
              <w:rPr>
                <w:rFonts w:ascii="Arial" w:cs="Arial" w:eastAsia="Arial" w:hAnsi="Arial"/>
                <w:sz w:val="14"/>
                <w:szCs w:val="14"/>
                <w:color w:val="auto"/>
              </w:rPr>
              <w:t>—</w:t>
            </w:r>
          </w:p>
        </w:tc>
      </w:tr>
      <w:tr>
        <w:trPr>
          <w:trHeight w:val="166"/>
        </w:trPr>
        <w:tc>
          <w:tcPr>
            <w:tcW w:w="376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auto"/>
              </w:rPr>
              <w:t>Foreign currency forward contracts</w:t>
            </w:r>
          </w:p>
        </w:tc>
        <w:tc>
          <w:tcPr>
            <w:tcW w:w="220" w:type="dxa"/>
            <w:vAlign w:val="bottom"/>
            <w:tcBorders>
              <w:bottom w:val="single" w:sz="8" w:color="231F20"/>
            </w:tcBorders>
          </w:tcPr>
          <w:p>
            <w:pPr>
              <w:spacing w:after="0"/>
              <w:rPr>
                <w:sz w:val="14"/>
                <w:szCs w:val="14"/>
                <w:color w:val="auto"/>
              </w:rPr>
            </w:pPr>
          </w:p>
        </w:tc>
        <w:tc>
          <w:tcPr>
            <w:tcW w:w="6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0.7</w:t>
            </w:r>
          </w:p>
        </w:tc>
        <w:tc>
          <w:tcPr>
            <w:tcW w:w="340" w:type="dxa"/>
            <w:vAlign w:val="bottom"/>
            <w:tcBorders>
              <w:bottom w:val="single" w:sz="8" w:color="231F20"/>
            </w:tcBorders>
          </w:tcPr>
          <w:p>
            <w:pPr>
              <w:spacing w:after="0"/>
              <w:rPr>
                <w:sz w:val="14"/>
                <w:szCs w:val="14"/>
                <w:color w:val="auto"/>
              </w:rPr>
            </w:pPr>
          </w:p>
        </w:tc>
        <w:tc>
          <w:tcPr>
            <w:tcW w:w="780" w:type="dxa"/>
            <w:vAlign w:val="bottom"/>
            <w:tcBorders>
              <w:bottom w:val="single" w:sz="8" w:color="231F20"/>
            </w:tcBorders>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231F20"/>
            </w:tcBorders>
          </w:tcPr>
          <w:p>
            <w:pPr>
              <w:spacing w:after="0"/>
              <w:rPr>
                <w:sz w:val="14"/>
                <w:szCs w:val="14"/>
                <w:color w:val="auto"/>
              </w:rPr>
            </w:pPr>
          </w:p>
        </w:tc>
        <w:tc>
          <w:tcPr>
            <w:tcW w:w="800" w:type="dxa"/>
            <w:vAlign w:val="bottom"/>
            <w:tcBorders>
              <w:bottom w:val="single" w:sz="8" w:color="231F20"/>
            </w:tcBorders>
          </w:tcPr>
          <w:p>
            <w:pPr>
              <w:jc w:val="right"/>
              <w:ind w:right="132"/>
              <w:spacing w:after="0"/>
              <w:rPr>
                <w:sz w:val="20"/>
                <w:szCs w:val="20"/>
                <w:color w:val="auto"/>
              </w:rPr>
            </w:pPr>
            <w:r>
              <w:rPr>
                <w:rFonts w:ascii="Arial" w:cs="Arial" w:eastAsia="Arial" w:hAnsi="Arial"/>
                <w:sz w:val="14"/>
                <w:szCs w:val="14"/>
                <w:color w:val="auto"/>
              </w:rPr>
              <w:t>0.7</w:t>
            </w:r>
          </w:p>
        </w:tc>
        <w:tc>
          <w:tcPr>
            <w:tcW w:w="180" w:type="dxa"/>
            <w:vAlign w:val="bottom"/>
            <w:tcBorders>
              <w:bottom w:val="single" w:sz="8" w:color="231F20"/>
            </w:tcBorders>
          </w:tcPr>
          <w:p>
            <w:pPr>
              <w:spacing w:after="0"/>
              <w:rPr>
                <w:sz w:val="14"/>
                <w:szCs w:val="14"/>
                <w:color w:val="auto"/>
              </w:rPr>
            </w:pPr>
          </w:p>
        </w:tc>
        <w:tc>
          <w:tcPr>
            <w:tcW w:w="700" w:type="dxa"/>
            <w:vAlign w:val="bottom"/>
            <w:tcBorders>
              <w:bottom w:val="single" w:sz="8" w:color="231F20"/>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6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2.3</w:t>
            </w:r>
          </w:p>
        </w:tc>
        <w:tc>
          <w:tcPr>
            <w:tcW w:w="300" w:type="dxa"/>
            <w:vAlign w:val="bottom"/>
            <w:tcBorders>
              <w:bottom w:val="single" w:sz="8" w:color="231F20"/>
            </w:tcBorders>
          </w:tcPr>
          <w:p>
            <w:pPr>
              <w:spacing w:after="0"/>
              <w:rPr>
                <w:sz w:val="14"/>
                <w:szCs w:val="14"/>
                <w:color w:val="auto"/>
              </w:rPr>
            </w:pPr>
          </w:p>
        </w:tc>
        <w:tc>
          <w:tcPr>
            <w:tcW w:w="700" w:type="dxa"/>
            <w:vAlign w:val="bottom"/>
            <w:tcBorders>
              <w:bottom w:val="single" w:sz="8" w:color="231F20"/>
            </w:tcBorders>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231F20"/>
            </w:tcBorders>
          </w:tcPr>
          <w:p>
            <w:pPr>
              <w:spacing w:after="0"/>
              <w:rPr>
                <w:sz w:val="14"/>
                <w:szCs w:val="14"/>
                <w:color w:val="auto"/>
              </w:rPr>
            </w:pPr>
          </w:p>
        </w:tc>
        <w:tc>
          <w:tcPr>
            <w:tcW w:w="740" w:type="dxa"/>
            <w:vAlign w:val="bottom"/>
            <w:tcBorders>
              <w:bottom w:val="single" w:sz="8" w:color="231F20"/>
            </w:tcBorders>
          </w:tcPr>
          <w:p>
            <w:pPr>
              <w:jc w:val="right"/>
              <w:ind w:right="131"/>
              <w:spacing w:after="0"/>
              <w:rPr>
                <w:sz w:val="20"/>
                <w:szCs w:val="20"/>
                <w:color w:val="auto"/>
              </w:rPr>
            </w:pPr>
            <w:r>
              <w:rPr>
                <w:rFonts w:ascii="Arial" w:cs="Arial" w:eastAsia="Arial" w:hAnsi="Arial"/>
                <w:sz w:val="14"/>
                <w:szCs w:val="14"/>
                <w:color w:val="auto"/>
              </w:rPr>
              <w:t>2.3</w:t>
            </w:r>
          </w:p>
        </w:tc>
        <w:tc>
          <w:tcPr>
            <w:tcW w:w="160" w:type="dxa"/>
            <w:vAlign w:val="bottom"/>
            <w:tcBorders>
              <w:bottom w:val="single" w:sz="8" w:color="231F20"/>
            </w:tcBorders>
          </w:tcPr>
          <w:p>
            <w:pPr>
              <w:spacing w:after="0"/>
              <w:rPr>
                <w:sz w:val="14"/>
                <w:szCs w:val="14"/>
                <w:color w:val="auto"/>
              </w:rPr>
            </w:pPr>
          </w:p>
        </w:tc>
        <w:tc>
          <w:tcPr>
            <w:tcW w:w="680" w:type="dxa"/>
            <w:vAlign w:val="bottom"/>
            <w:tcBorders>
              <w:bottom w:val="single" w:sz="8" w:color="231F20"/>
            </w:tcBorders>
          </w:tcPr>
          <w:p>
            <w:pPr>
              <w:ind w:left="400"/>
              <w:spacing w:after="0"/>
              <w:rPr>
                <w:sz w:val="20"/>
                <w:szCs w:val="20"/>
                <w:color w:val="auto"/>
              </w:rPr>
            </w:pPr>
            <w:r>
              <w:rPr>
                <w:rFonts w:ascii="Arial" w:cs="Arial" w:eastAsia="Arial" w:hAnsi="Arial"/>
                <w:sz w:val="14"/>
                <w:szCs w:val="14"/>
                <w:color w:val="auto"/>
              </w:rPr>
              <w:t>—</w:t>
            </w:r>
          </w:p>
        </w:tc>
      </w:tr>
      <w:tr>
        <w:trPr>
          <w:trHeight w:val="157"/>
        </w:trPr>
        <w:tc>
          <w:tcPr>
            <w:tcW w:w="3760" w:type="dxa"/>
            <w:vAlign w:val="bottom"/>
            <w:tcBorders>
              <w:bottom w:val="single" w:sz="8" w:color="231F20"/>
            </w:tcBorders>
            <w:shd w:val="clear" w:color="auto" w:fill="E2E8F1"/>
          </w:tcPr>
          <w:p>
            <w:pPr>
              <w:spacing w:after="0"/>
              <w:rPr>
                <w:sz w:val="13"/>
                <w:szCs w:val="13"/>
                <w:color w:val="auto"/>
              </w:rPr>
            </w:pPr>
          </w:p>
        </w:tc>
        <w:tc>
          <w:tcPr>
            <w:tcW w:w="220" w:type="dxa"/>
            <w:vAlign w:val="bottom"/>
            <w:tcBorders>
              <w:bottom w:val="single" w:sz="8" w:color="231F20"/>
            </w:tcBorders>
            <w:shd w:val="clear" w:color="auto" w:fill="E2E8F1"/>
          </w:tcPr>
          <w:p>
            <w:pPr>
              <w:ind w:left="140"/>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231F20"/>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37.7</w:t>
            </w:r>
          </w:p>
        </w:tc>
        <w:tc>
          <w:tcPr>
            <w:tcW w:w="340" w:type="dxa"/>
            <w:vAlign w:val="bottom"/>
            <w:tcBorders>
              <w:bottom w:val="single" w:sz="8" w:color="231F20"/>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231F20"/>
            </w:tcBorders>
            <w:shd w:val="clear" w:color="auto" w:fill="E2E8F1"/>
          </w:tcPr>
          <w:p>
            <w:pPr>
              <w:jc w:val="right"/>
              <w:ind w:right="73"/>
              <w:spacing w:after="0" w:line="157"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231F20"/>
            </w:tcBorders>
            <w:shd w:val="clear" w:color="auto" w:fill="E2E8F1"/>
          </w:tcPr>
          <w:p>
            <w:pPr>
              <w:ind w:left="140"/>
              <w:spacing w:after="0" w:line="157"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231F20"/>
            </w:tcBorders>
            <w:shd w:val="clear" w:color="auto" w:fill="E2E8F1"/>
          </w:tcPr>
          <w:p>
            <w:pPr>
              <w:jc w:val="right"/>
              <w:ind w:right="132"/>
              <w:spacing w:after="0" w:line="157" w:lineRule="exact"/>
              <w:rPr>
                <w:sz w:val="20"/>
                <w:szCs w:val="20"/>
                <w:color w:val="auto"/>
              </w:rPr>
            </w:pPr>
            <w:r>
              <w:rPr>
                <w:rFonts w:ascii="Arial" w:cs="Arial" w:eastAsia="Arial" w:hAnsi="Arial"/>
                <w:sz w:val="14"/>
                <w:szCs w:val="14"/>
                <w:color w:val="auto"/>
              </w:rPr>
              <w:t>37.7</w:t>
            </w:r>
          </w:p>
        </w:tc>
        <w:tc>
          <w:tcPr>
            <w:tcW w:w="180" w:type="dxa"/>
            <w:vAlign w:val="bottom"/>
            <w:tcBorders>
              <w:bottom w:val="single" w:sz="8" w:color="231F20"/>
            </w:tcBorders>
            <w:shd w:val="clear" w:color="auto" w:fill="E2E8F1"/>
          </w:tcPr>
          <w:p>
            <w:pPr>
              <w:ind w:left="80"/>
              <w:spacing w:after="0" w:line="157"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231F20"/>
            </w:tcBorders>
            <w:shd w:val="clear" w:color="auto" w:fill="E2E8F1"/>
          </w:tcPr>
          <w:p>
            <w:pPr>
              <w:ind w:left="420"/>
              <w:spacing w:after="0" w:line="157"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231F20"/>
            </w:tcBorders>
            <w:shd w:val="clear" w:color="auto" w:fill="E2E8F1"/>
          </w:tcPr>
          <w:p>
            <w:pPr>
              <w:ind w:left="20"/>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231F20"/>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75.6</w:t>
            </w:r>
          </w:p>
        </w:tc>
        <w:tc>
          <w:tcPr>
            <w:tcW w:w="300" w:type="dxa"/>
            <w:vAlign w:val="bottom"/>
            <w:tcBorders>
              <w:bottom w:val="single" w:sz="8" w:color="231F20"/>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231F20"/>
            </w:tcBorders>
            <w:shd w:val="clear" w:color="auto" w:fill="E2E8F1"/>
          </w:tcPr>
          <w:p>
            <w:pPr>
              <w:jc w:val="right"/>
              <w:ind w:right="72"/>
              <w:spacing w:after="0" w:line="157"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231F20"/>
            </w:tcBorders>
            <w:shd w:val="clear" w:color="auto" w:fill="E2E8F1"/>
          </w:tcPr>
          <w:p>
            <w:pPr>
              <w:ind w:left="120"/>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231F20"/>
            </w:tcBorders>
            <w:shd w:val="clear" w:color="auto" w:fill="E2E8F1"/>
          </w:tcPr>
          <w:p>
            <w:pPr>
              <w:jc w:val="right"/>
              <w:ind w:right="131"/>
              <w:spacing w:after="0" w:line="157" w:lineRule="exact"/>
              <w:rPr>
                <w:sz w:val="20"/>
                <w:szCs w:val="20"/>
                <w:color w:val="auto"/>
              </w:rPr>
            </w:pPr>
            <w:r>
              <w:rPr>
                <w:rFonts w:ascii="Arial" w:cs="Arial" w:eastAsia="Arial" w:hAnsi="Arial"/>
                <w:sz w:val="14"/>
                <w:szCs w:val="14"/>
                <w:color w:val="auto"/>
              </w:rPr>
              <w:t>75.6</w:t>
            </w:r>
          </w:p>
        </w:tc>
        <w:tc>
          <w:tcPr>
            <w:tcW w:w="160" w:type="dxa"/>
            <w:vAlign w:val="bottom"/>
            <w:tcBorders>
              <w:bottom w:val="single" w:sz="8" w:color="231F20"/>
            </w:tcBorders>
            <w:shd w:val="clear" w:color="auto" w:fill="E2E8F1"/>
          </w:tcPr>
          <w:p>
            <w:pPr>
              <w:ind w:left="6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231F20"/>
            </w:tcBorders>
            <w:shd w:val="clear" w:color="auto" w:fill="E2E8F1"/>
          </w:tcPr>
          <w:p>
            <w:pPr>
              <w:ind w:left="400"/>
              <w:spacing w:after="0" w:line="157" w:lineRule="exact"/>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-1809115</wp:posOffset>
            </wp:positionV>
            <wp:extent cx="7493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-982980</wp:posOffset>
            </wp:positionV>
            <wp:extent cx="7493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-442595</wp:posOffset>
            </wp:positionV>
            <wp:extent cx="7493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-6985</wp:posOffset>
            </wp:positionV>
            <wp:extent cx="7493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7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Our deferred compensation plan assets are comprised of publicly traded securities, of which fair value is determined using market quotes as of the last day of the period. We record them in other assets in the Consolidated Balance Sheets. The fair value of the cross-currency swaps and foreign currency forward contracts are measured at the value based on a third party valuation model that performs a discounted cash flow analysis based on the terms of the contracts and market observable inputs such as current and forward interest rates and current and forward foreign exchange rates.</w:t>
      </w:r>
    </w:p>
    <w:p>
      <w:pPr>
        <w:spacing w:after="0" w:line="6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The carrying values of cash and cash equivalents, accounts receivable, accounts payable and other current assets and liabilities approximate their fair values because of the short-term nature of these instruments. The carrying value of our variable-rate long-term debt and revolving debt facility approximates fair value. The fair value of the Euro-denominated notes, as observable at commonly quoted intervals (Level 2 inputs), was $928.5 and $977.6 as of December 31, 2024 and 2023, respectively, compared to a carrying value of $928.4 and $988.2,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57" w:name="page58"/>
    <w:bookmarkEnd w:id="57"/>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Goodwill and Other Intangible Assets</w:t>
      </w:r>
    </w:p>
    <w:p>
      <w:pPr>
        <w:spacing w:after="0" w:line="8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We had goodwill, finite-lived intangible assets and indefinite-lived intangible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73025</wp:posOffset>
            </wp:positionV>
            <wp:extent cx="10541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75"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4500" w:type="dxa"/>
            <w:vAlign w:val="bottom"/>
            <w:tcBorders>
              <w:top w:val="single" w:sz="8" w:color="231F20"/>
            </w:tcBorders>
            <w:shd w:val="clear" w:color="auto" w:fill="98B0CF"/>
          </w:tcPr>
          <w:p>
            <w:pPr>
              <w:spacing w:after="0"/>
              <w:rPr>
                <w:sz w:val="17"/>
                <w:szCs w:val="17"/>
                <w:color w:val="auto"/>
              </w:rPr>
            </w:pPr>
          </w:p>
        </w:tc>
        <w:tc>
          <w:tcPr>
            <w:tcW w:w="160" w:type="dxa"/>
            <w:vAlign w:val="bottom"/>
            <w:tcBorders>
              <w:top w:val="single" w:sz="8" w:color="231F20"/>
            </w:tcBorders>
            <w:shd w:val="clear" w:color="auto" w:fill="98B0CF"/>
          </w:tcPr>
          <w:p>
            <w:pPr>
              <w:spacing w:after="0"/>
              <w:rPr>
                <w:sz w:val="17"/>
                <w:szCs w:val="17"/>
                <w:color w:val="auto"/>
              </w:rPr>
            </w:pPr>
          </w:p>
        </w:tc>
        <w:tc>
          <w:tcPr>
            <w:tcW w:w="180" w:type="dxa"/>
            <w:vAlign w:val="bottom"/>
            <w:tcBorders>
              <w:top w:val="single" w:sz="8" w:color="231F20"/>
            </w:tcBorders>
            <w:shd w:val="clear" w:color="auto" w:fill="98B0CF"/>
          </w:tcPr>
          <w:p>
            <w:pPr>
              <w:spacing w:after="0"/>
              <w:rPr>
                <w:sz w:val="17"/>
                <w:szCs w:val="17"/>
                <w:color w:val="auto"/>
              </w:rPr>
            </w:pPr>
          </w:p>
        </w:tc>
        <w:tc>
          <w:tcPr>
            <w:tcW w:w="680" w:type="dxa"/>
            <w:vAlign w:val="bottom"/>
            <w:tcBorders>
              <w:top w:val="single" w:sz="8" w:color="231F20"/>
            </w:tcBorders>
            <w:shd w:val="clear" w:color="auto" w:fill="98B0CF"/>
          </w:tcPr>
          <w:p>
            <w:pPr>
              <w:spacing w:after="0"/>
              <w:rPr>
                <w:sz w:val="17"/>
                <w:szCs w:val="17"/>
                <w:color w:val="auto"/>
              </w:rPr>
            </w:pPr>
          </w:p>
        </w:tc>
        <w:tc>
          <w:tcPr>
            <w:tcW w:w="1400" w:type="dxa"/>
            <w:vAlign w:val="bottom"/>
            <w:tcBorders>
              <w:top w:val="single" w:sz="8" w:color="231F20"/>
            </w:tcBorders>
            <w:gridSpan w:val="2"/>
            <w:shd w:val="clear" w:color="auto" w:fill="98B0CF"/>
          </w:tcPr>
          <w:p>
            <w:pPr>
              <w:jc w:val="center"/>
              <w:spacing w:after="0"/>
              <w:rPr>
                <w:sz w:val="20"/>
                <w:szCs w:val="20"/>
                <w:color w:val="auto"/>
              </w:rPr>
            </w:pPr>
            <w:r>
              <w:rPr>
                <w:rFonts w:ascii="Arial" w:cs="Arial" w:eastAsia="Arial" w:hAnsi="Arial"/>
                <w:sz w:val="13"/>
                <w:szCs w:val="13"/>
                <w:b w:val="1"/>
                <w:bCs w:val="1"/>
                <w:color w:val="auto"/>
                <w:w w:val="97"/>
              </w:rPr>
              <w:t>December 31, 2024</w:t>
            </w:r>
          </w:p>
        </w:tc>
        <w:tc>
          <w:tcPr>
            <w:tcW w:w="280" w:type="dxa"/>
            <w:vAlign w:val="bottom"/>
            <w:tcBorders>
              <w:top w:val="single" w:sz="8" w:color="231F20"/>
            </w:tcBorders>
            <w:shd w:val="clear" w:color="auto" w:fill="98B0CF"/>
          </w:tcPr>
          <w:p>
            <w:pPr>
              <w:spacing w:after="0"/>
              <w:rPr>
                <w:sz w:val="17"/>
                <w:szCs w:val="17"/>
                <w:color w:val="auto"/>
              </w:rPr>
            </w:pPr>
          </w:p>
        </w:tc>
        <w:tc>
          <w:tcPr>
            <w:tcW w:w="760" w:type="dxa"/>
            <w:vAlign w:val="bottom"/>
            <w:tcBorders>
              <w:top w:val="single" w:sz="8" w:color="231F20"/>
            </w:tcBorders>
            <w:shd w:val="clear" w:color="auto" w:fill="98B0CF"/>
          </w:tcPr>
          <w:p>
            <w:pPr>
              <w:spacing w:after="0"/>
              <w:rPr>
                <w:sz w:val="17"/>
                <w:szCs w:val="17"/>
                <w:color w:val="auto"/>
              </w:rPr>
            </w:pPr>
          </w:p>
        </w:tc>
        <w:tc>
          <w:tcPr>
            <w:tcW w:w="180" w:type="dxa"/>
            <w:vAlign w:val="bottom"/>
            <w:tcBorders>
              <w:top w:val="single" w:sz="8" w:color="98B0CF"/>
            </w:tcBorders>
            <w:shd w:val="clear" w:color="auto" w:fill="98B0CF"/>
          </w:tcPr>
          <w:p>
            <w:pPr>
              <w:spacing w:after="0"/>
              <w:rPr>
                <w:sz w:val="17"/>
                <w:szCs w:val="17"/>
                <w:color w:val="auto"/>
              </w:rPr>
            </w:pPr>
          </w:p>
        </w:tc>
        <w:tc>
          <w:tcPr>
            <w:tcW w:w="160" w:type="dxa"/>
            <w:vAlign w:val="bottom"/>
            <w:tcBorders>
              <w:top w:val="single" w:sz="8" w:color="231F20"/>
            </w:tcBorders>
            <w:shd w:val="clear" w:color="auto" w:fill="98B0CF"/>
          </w:tcPr>
          <w:p>
            <w:pPr>
              <w:spacing w:after="0"/>
              <w:rPr>
                <w:sz w:val="17"/>
                <w:szCs w:val="17"/>
                <w:color w:val="auto"/>
              </w:rPr>
            </w:pPr>
          </w:p>
        </w:tc>
        <w:tc>
          <w:tcPr>
            <w:tcW w:w="700" w:type="dxa"/>
            <w:vAlign w:val="bottom"/>
            <w:tcBorders>
              <w:top w:val="single" w:sz="8" w:color="231F20"/>
            </w:tcBorders>
            <w:shd w:val="clear" w:color="auto" w:fill="98B0CF"/>
          </w:tcPr>
          <w:p>
            <w:pPr>
              <w:spacing w:after="0"/>
              <w:rPr>
                <w:sz w:val="17"/>
                <w:szCs w:val="17"/>
                <w:color w:val="auto"/>
              </w:rPr>
            </w:pPr>
          </w:p>
        </w:tc>
        <w:tc>
          <w:tcPr>
            <w:tcW w:w="1260" w:type="dxa"/>
            <w:vAlign w:val="bottom"/>
            <w:tcBorders>
              <w:top w:val="single" w:sz="8" w:color="231F20"/>
            </w:tcBorders>
            <w:gridSpan w:val="2"/>
            <w:shd w:val="clear" w:color="auto" w:fill="98B0CF"/>
          </w:tcPr>
          <w:p>
            <w:pPr>
              <w:jc w:val="right"/>
              <w:spacing w:after="0"/>
              <w:rPr>
                <w:sz w:val="20"/>
                <w:szCs w:val="20"/>
                <w:color w:val="auto"/>
              </w:rPr>
            </w:pPr>
            <w:r>
              <w:rPr>
                <w:rFonts w:ascii="Arial" w:cs="Arial" w:eastAsia="Arial" w:hAnsi="Arial"/>
                <w:sz w:val="13"/>
                <w:szCs w:val="13"/>
                <w:b w:val="1"/>
                <w:bCs w:val="1"/>
                <w:color w:val="auto"/>
              </w:rPr>
              <w:t>December 31, 2023</w:t>
            </w:r>
          </w:p>
        </w:tc>
        <w:tc>
          <w:tcPr>
            <w:tcW w:w="260" w:type="dxa"/>
            <w:vAlign w:val="bottom"/>
            <w:tcBorders>
              <w:top w:val="single" w:sz="8" w:color="231F20"/>
            </w:tcBorders>
            <w:shd w:val="clear" w:color="auto" w:fill="98B0CF"/>
          </w:tcPr>
          <w:p>
            <w:pPr>
              <w:spacing w:after="0"/>
              <w:rPr>
                <w:sz w:val="17"/>
                <w:szCs w:val="17"/>
                <w:color w:val="auto"/>
              </w:rPr>
            </w:pPr>
          </w:p>
        </w:tc>
        <w:tc>
          <w:tcPr>
            <w:tcW w:w="740" w:type="dxa"/>
            <w:vAlign w:val="bottom"/>
            <w:tcBorders>
              <w:top w:val="single" w:sz="8" w:color="231F20"/>
            </w:tcBorders>
            <w:shd w:val="clear" w:color="auto" w:fill="98B0CF"/>
          </w:tcPr>
          <w:p>
            <w:pPr>
              <w:spacing w:after="0"/>
              <w:rPr>
                <w:sz w:val="17"/>
                <w:szCs w:val="17"/>
                <w:color w:val="auto"/>
              </w:rPr>
            </w:pPr>
          </w:p>
        </w:tc>
      </w:tr>
      <w:tr>
        <w:trPr>
          <w:trHeight w:val="142"/>
        </w:trPr>
        <w:tc>
          <w:tcPr>
            <w:tcW w:w="4500" w:type="dxa"/>
            <w:vAlign w:val="bottom"/>
            <w:tcBorders>
              <w:bottom w:val="single" w:sz="8" w:color="98B0CF"/>
            </w:tcBorders>
            <w:shd w:val="clear" w:color="auto" w:fill="98B0CF"/>
          </w:tcPr>
          <w:p>
            <w:pPr>
              <w:spacing w:after="0"/>
              <w:rPr>
                <w:sz w:val="12"/>
                <w:szCs w:val="12"/>
                <w:color w:val="auto"/>
              </w:rPr>
            </w:pPr>
          </w:p>
        </w:tc>
        <w:tc>
          <w:tcPr>
            <w:tcW w:w="160" w:type="dxa"/>
            <w:vAlign w:val="bottom"/>
            <w:tcBorders>
              <w:bottom w:val="single" w:sz="8" w:color="98B0CF"/>
            </w:tcBorders>
            <w:shd w:val="clear" w:color="auto" w:fill="98B0CF"/>
          </w:tcPr>
          <w:p>
            <w:pPr>
              <w:spacing w:after="0"/>
              <w:rPr>
                <w:sz w:val="12"/>
                <w:szCs w:val="12"/>
                <w:color w:val="auto"/>
              </w:rPr>
            </w:pPr>
          </w:p>
        </w:tc>
        <w:tc>
          <w:tcPr>
            <w:tcW w:w="180" w:type="dxa"/>
            <w:vAlign w:val="bottom"/>
            <w:tcBorders>
              <w:bottom w:val="single" w:sz="8" w:color="auto"/>
            </w:tcBorders>
            <w:shd w:val="clear" w:color="auto" w:fill="98B0CF"/>
          </w:tcPr>
          <w:p>
            <w:pPr>
              <w:spacing w:after="0"/>
              <w:rPr>
                <w:sz w:val="12"/>
                <w:szCs w:val="12"/>
                <w:color w:val="auto"/>
              </w:rPr>
            </w:pPr>
          </w:p>
        </w:tc>
        <w:tc>
          <w:tcPr>
            <w:tcW w:w="680" w:type="dxa"/>
            <w:vAlign w:val="bottom"/>
            <w:tcBorders>
              <w:bottom w:val="single" w:sz="8" w:color="auto"/>
            </w:tcBorders>
            <w:shd w:val="clear" w:color="auto" w:fill="98B0CF"/>
          </w:tcPr>
          <w:p>
            <w:pPr>
              <w:spacing w:after="0"/>
              <w:rPr>
                <w:sz w:val="12"/>
                <w:szCs w:val="12"/>
                <w:color w:val="auto"/>
              </w:rPr>
            </w:pPr>
          </w:p>
        </w:tc>
        <w:tc>
          <w:tcPr>
            <w:tcW w:w="1400" w:type="dxa"/>
            <w:vAlign w:val="bottom"/>
            <w:tcBorders>
              <w:bottom w:val="single" w:sz="8" w:color="auto"/>
            </w:tcBorders>
            <w:gridSpan w:val="2"/>
            <w:shd w:val="clear" w:color="auto" w:fill="98B0CF"/>
          </w:tcPr>
          <w:p>
            <w:pPr>
              <w:spacing w:after="0"/>
              <w:rPr>
                <w:sz w:val="12"/>
                <w:szCs w:val="12"/>
                <w:color w:val="auto"/>
              </w:rPr>
            </w:pPr>
          </w:p>
        </w:tc>
        <w:tc>
          <w:tcPr>
            <w:tcW w:w="280" w:type="dxa"/>
            <w:vAlign w:val="bottom"/>
            <w:tcBorders>
              <w:bottom w:val="single" w:sz="8" w:color="auto"/>
            </w:tcBorders>
            <w:shd w:val="clear" w:color="auto" w:fill="98B0CF"/>
          </w:tcPr>
          <w:p>
            <w:pPr>
              <w:spacing w:after="0"/>
              <w:rPr>
                <w:sz w:val="12"/>
                <w:szCs w:val="12"/>
                <w:color w:val="auto"/>
              </w:rPr>
            </w:pPr>
          </w:p>
        </w:tc>
        <w:tc>
          <w:tcPr>
            <w:tcW w:w="760" w:type="dxa"/>
            <w:vAlign w:val="bottom"/>
            <w:tcBorders>
              <w:bottom w:val="single" w:sz="8" w:color="auto"/>
            </w:tcBorders>
            <w:shd w:val="clear" w:color="auto" w:fill="98B0CF"/>
          </w:tcPr>
          <w:p>
            <w:pPr>
              <w:spacing w:after="0"/>
              <w:rPr>
                <w:sz w:val="12"/>
                <w:szCs w:val="12"/>
                <w:color w:val="auto"/>
              </w:rPr>
            </w:pPr>
          </w:p>
        </w:tc>
        <w:tc>
          <w:tcPr>
            <w:tcW w:w="180" w:type="dxa"/>
            <w:vAlign w:val="bottom"/>
            <w:tcBorders>
              <w:bottom w:val="single" w:sz="8" w:color="98B0CF"/>
            </w:tcBorders>
            <w:shd w:val="clear" w:color="auto" w:fill="98B0CF"/>
          </w:tcPr>
          <w:p>
            <w:pPr>
              <w:spacing w:after="0"/>
              <w:rPr>
                <w:sz w:val="12"/>
                <w:szCs w:val="12"/>
                <w:color w:val="auto"/>
              </w:rPr>
            </w:pPr>
          </w:p>
        </w:tc>
        <w:tc>
          <w:tcPr>
            <w:tcW w:w="160" w:type="dxa"/>
            <w:vAlign w:val="bottom"/>
            <w:tcBorders>
              <w:bottom w:val="single" w:sz="8" w:color="auto"/>
            </w:tcBorders>
            <w:shd w:val="clear" w:color="auto" w:fill="98B0CF"/>
          </w:tcPr>
          <w:p>
            <w:pPr>
              <w:spacing w:after="0"/>
              <w:rPr>
                <w:sz w:val="12"/>
                <w:szCs w:val="12"/>
                <w:color w:val="auto"/>
              </w:rPr>
            </w:pPr>
          </w:p>
        </w:tc>
        <w:tc>
          <w:tcPr>
            <w:tcW w:w="700" w:type="dxa"/>
            <w:vAlign w:val="bottom"/>
            <w:tcBorders>
              <w:bottom w:val="single" w:sz="8" w:color="auto"/>
            </w:tcBorders>
            <w:shd w:val="clear" w:color="auto" w:fill="98B0CF"/>
          </w:tcPr>
          <w:p>
            <w:pPr>
              <w:spacing w:after="0"/>
              <w:rPr>
                <w:sz w:val="12"/>
                <w:szCs w:val="12"/>
                <w:color w:val="auto"/>
              </w:rPr>
            </w:pPr>
          </w:p>
        </w:tc>
        <w:tc>
          <w:tcPr>
            <w:tcW w:w="1260" w:type="dxa"/>
            <w:vAlign w:val="bottom"/>
            <w:tcBorders>
              <w:bottom w:val="single" w:sz="8" w:color="auto"/>
            </w:tcBorders>
            <w:gridSpan w:val="2"/>
            <w:shd w:val="clear" w:color="auto" w:fill="98B0CF"/>
          </w:tcPr>
          <w:p>
            <w:pPr>
              <w:spacing w:after="0"/>
              <w:rPr>
                <w:sz w:val="12"/>
                <w:szCs w:val="12"/>
                <w:color w:val="auto"/>
              </w:rPr>
            </w:pPr>
          </w:p>
        </w:tc>
        <w:tc>
          <w:tcPr>
            <w:tcW w:w="260" w:type="dxa"/>
            <w:vAlign w:val="bottom"/>
            <w:tcBorders>
              <w:bottom w:val="single" w:sz="8" w:color="auto"/>
            </w:tcBorders>
            <w:shd w:val="clear" w:color="auto" w:fill="98B0CF"/>
          </w:tcPr>
          <w:p>
            <w:pPr>
              <w:spacing w:after="0"/>
              <w:rPr>
                <w:sz w:val="12"/>
                <w:szCs w:val="12"/>
                <w:color w:val="auto"/>
              </w:rPr>
            </w:pPr>
          </w:p>
        </w:tc>
        <w:tc>
          <w:tcPr>
            <w:tcW w:w="740" w:type="dxa"/>
            <w:vAlign w:val="bottom"/>
            <w:tcBorders>
              <w:bottom w:val="single" w:sz="8" w:color="auto"/>
            </w:tcBorders>
            <w:shd w:val="clear" w:color="auto" w:fill="98B0CF"/>
          </w:tcPr>
          <w:p>
            <w:pPr>
              <w:spacing w:after="0"/>
              <w:rPr>
                <w:sz w:val="12"/>
                <w:szCs w:val="12"/>
                <w:color w:val="auto"/>
              </w:rPr>
            </w:pPr>
          </w:p>
        </w:tc>
      </w:tr>
      <w:tr>
        <w:trPr>
          <w:trHeight w:val="268"/>
        </w:trPr>
        <w:tc>
          <w:tcPr>
            <w:tcW w:w="4500" w:type="dxa"/>
            <w:vAlign w:val="bottom"/>
            <w:shd w:val="clear" w:color="auto" w:fill="98B0CF"/>
          </w:tcPr>
          <w:p>
            <w:pPr>
              <w:spacing w:after="0"/>
              <w:rPr>
                <w:sz w:val="23"/>
                <w:szCs w:val="23"/>
                <w:color w:val="auto"/>
              </w:rPr>
            </w:pPr>
          </w:p>
        </w:tc>
        <w:tc>
          <w:tcPr>
            <w:tcW w:w="160" w:type="dxa"/>
            <w:vAlign w:val="bottom"/>
            <w:shd w:val="clear" w:color="auto" w:fill="98B0CF"/>
          </w:tcPr>
          <w:p>
            <w:pPr>
              <w:spacing w:after="0"/>
              <w:rPr>
                <w:sz w:val="23"/>
                <w:szCs w:val="23"/>
                <w:color w:val="auto"/>
              </w:rPr>
            </w:pPr>
          </w:p>
        </w:tc>
        <w:tc>
          <w:tcPr>
            <w:tcW w:w="180" w:type="dxa"/>
            <w:vAlign w:val="bottom"/>
            <w:shd w:val="clear" w:color="auto" w:fill="98B0CF"/>
          </w:tcPr>
          <w:p>
            <w:pPr>
              <w:spacing w:after="0"/>
              <w:rPr>
                <w:sz w:val="23"/>
                <w:szCs w:val="23"/>
                <w:color w:val="auto"/>
              </w:rPr>
            </w:pPr>
          </w:p>
        </w:tc>
        <w:tc>
          <w:tcPr>
            <w:tcW w:w="680" w:type="dxa"/>
            <w:vAlign w:val="bottom"/>
            <w:shd w:val="clear" w:color="auto" w:fill="98B0CF"/>
          </w:tcPr>
          <w:p>
            <w:pPr>
              <w:spacing w:after="0"/>
              <w:rPr>
                <w:sz w:val="23"/>
                <w:szCs w:val="23"/>
                <w:color w:val="auto"/>
              </w:rPr>
            </w:pPr>
          </w:p>
        </w:tc>
        <w:tc>
          <w:tcPr>
            <w:tcW w:w="1400" w:type="dxa"/>
            <w:vAlign w:val="bottom"/>
            <w:gridSpan w:val="2"/>
            <w:shd w:val="clear" w:color="auto" w:fill="98B0CF"/>
          </w:tcPr>
          <w:p>
            <w:pPr>
              <w:jc w:val="center"/>
              <w:spacing w:after="0"/>
              <w:rPr>
                <w:sz w:val="20"/>
                <w:szCs w:val="20"/>
                <w:color w:val="auto"/>
              </w:rPr>
            </w:pPr>
            <w:r>
              <w:rPr>
                <w:rFonts w:ascii="Arial" w:cs="Arial" w:eastAsia="Arial" w:hAnsi="Arial"/>
                <w:sz w:val="13"/>
                <w:szCs w:val="13"/>
                <w:b w:val="1"/>
                <w:bCs w:val="1"/>
                <w:color w:val="auto"/>
                <w:w w:val="95"/>
              </w:rPr>
              <w:t>Accumulated</w:t>
            </w:r>
          </w:p>
        </w:tc>
        <w:tc>
          <w:tcPr>
            <w:tcW w:w="280" w:type="dxa"/>
            <w:vAlign w:val="bottom"/>
            <w:shd w:val="clear" w:color="auto" w:fill="98B0CF"/>
          </w:tcPr>
          <w:p>
            <w:pPr>
              <w:spacing w:after="0"/>
              <w:rPr>
                <w:sz w:val="23"/>
                <w:szCs w:val="23"/>
                <w:color w:val="auto"/>
              </w:rPr>
            </w:pPr>
          </w:p>
        </w:tc>
        <w:tc>
          <w:tcPr>
            <w:tcW w:w="760" w:type="dxa"/>
            <w:vAlign w:val="bottom"/>
            <w:shd w:val="clear" w:color="auto" w:fill="98B0CF"/>
          </w:tcPr>
          <w:p>
            <w:pPr>
              <w:spacing w:after="0"/>
              <w:rPr>
                <w:sz w:val="23"/>
                <w:szCs w:val="23"/>
                <w:color w:val="auto"/>
              </w:rPr>
            </w:pPr>
          </w:p>
        </w:tc>
        <w:tc>
          <w:tcPr>
            <w:tcW w:w="180" w:type="dxa"/>
            <w:vAlign w:val="bottom"/>
            <w:shd w:val="clear" w:color="auto" w:fill="98B0CF"/>
          </w:tcPr>
          <w:p>
            <w:pPr>
              <w:spacing w:after="0"/>
              <w:rPr>
                <w:sz w:val="23"/>
                <w:szCs w:val="23"/>
                <w:color w:val="auto"/>
              </w:rPr>
            </w:pPr>
          </w:p>
        </w:tc>
        <w:tc>
          <w:tcPr>
            <w:tcW w:w="160" w:type="dxa"/>
            <w:vAlign w:val="bottom"/>
            <w:shd w:val="clear" w:color="auto" w:fill="98B0CF"/>
          </w:tcPr>
          <w:p>
            <w:pPr>
              <w:spacing w:after="0"/>
              <w:rPr>
                <w:sz w:val="23"/>
                <w:szCs w:val="23"/>
                <w:color w:val="auto"/>
              </w:rPr>
            </w:pPr>
          </w:p>
        </w:tc>
        <w:tc>
          <w:tcPr>
            <w:tcW w:w="700" w:type="dxa"/>
            <w:vAlign w:val="bottom"/>
            <w:shd w:val="clear" w:color="auto" w:fill="98B0CF"/>
          </w:tcPr>
          <w:p>
            <w:pPr>
              <w:spacing w:after="0"/>
              <w:rPr>
                <w:sz w:val="23"/>
                <w:szCs w:val="23"/>
                <w:color w:val="auto"/>
              </w:rPr>
            </w:pPr>
          </w:p>
        </w:tc>
        <w:tc>
          <w:tcPr>
            <w:tcW w:w="1260" w:type="dxa"/>
            <w:vAlign w:val="bottom"/>
            <w:gridSpan w:val="2"/>
            <w:shd w:val="clear" w:color="auto" w:fill="98B0CF"/>
          </w:tcPr>
          <w:p>
            <w:pPr>
              <w:ind w:left="240"/>
              <w:spacing w:after="0"/>
              <w:rPr>
                <w:sz w:val="20"/>
                <w:szCs w:val="20"/>
                <w:color w:val="auto"/>
              </w:rPr>
            </w:pPr>
            <w:r>
              <w:rPr>
                <w:rFonts w:ascii="Arial" w:cs="Arial" w:eastAsia="Arial" w:hAnsi="Arial"/>
                <w:sz w:val="13"/>
                <w:szCs w:val="13"/>
                <w:b w:val="1"/>
                <w:bCs w:val="1"/>
                <w:color w:val="auto"/>
              </w:rPr>
              <w:t>Accumulated</w:t>
            </w:r>
          </w:p>
        </w:tc>
        <w:tc>
          <w:tcPr>
            <w:tcW w:w="260" w:type="dxa"/>
            <w:vAlign w:val="bottom"/>
            <w:shd w:val="clear" w:color="auto" w:fill="98B0CF"/>
          </w:tcPr>
          <w:p>
            <w:pPr>
              <w:spacing w:after="0"/>
              <w:rPr>
                <w:sz w:val="23"/>
                <w:szCs w:val="23"/>
                <w:color w:val="auto"/>
              </w:rPr>
            </w:pPr>
          </w:p>
        </w:tc>
        <w:tc>
          <w:tcPr>
            <w:tcW w:w="740" w:type="dxa"/>
            <w:vAlign w:val="bottom"/>
            <w:shd w:val="clear" w:color="auto" w:fill="98B0CF"/>
          </w:tcPr>
          <w:p>
            <w:pPr>
              <w:spacing w:after="0"/>
              <w:rPr>
                <w:sz w:val="23"/>
                <w:szCs w:val="23"/>
                <w:color w:val="auto"/>
              </w:rPr>
            </w:pPr>
          </w:p>
        </w:tc>
      </w:tr>
      <w:tr>
        <w:trPr>
          <w:trHeight w:val="156"/>
        </w:trPr>
        <w:tc>
          <w:tcPr>
            <w:tcW w:w="4500" w:type="dxa"/>
            <w:vAlign w:val="bottom"/>
            <w:tcBorders>
              <w:bottom w:val="single" w:sz="8" w:color="231F20"/>
            </w:tcBorders>
            <w:shd w:val="clear" w:color="auto" w:fill="98B0CF"/>
          </w:tcPr>
          <w:p>
            <w:pPr>
              <w:spacing w:after="0"/>
              <w:rPr>
                <w:sz w:val="13"/>
                <w:szCs w:val="13"/>
                <w:color w:val="auto"/>
              </w:rPr>
            </w:pPr>
          </w:p>
        </w:tc>
        <w:tc>
          <w:tcPr>
            <w:tcW w:w="160" w:type="dxa"/>
            <w:vAlign w:val="bottom"/>
            <w:tcBorders>
              <w:bottom w:val="single" w:sz="8" w:color="231F20"/>
            </w:tcBorders>
            <w:shd w:val="clear" w:color="auto" w:fill="98B0CF"/>
          </w:tcPr>
          <w:p>
            <w:pPr>
              <w:spacing w:after="0"/>
              <w:rPr>
                <w:sz w:val="13"/>
                <w:szCs w:val="13"/>
                <w:color w:val="auto"/>
              </w:rPr>
            </w:pPr>
          </w:p>
        </w:tc>
        <w:tc>
          <w:tcPr>
            <w:tcW w:w="180" w:type="dxa"/>
            <w:vAlign w:val="bottom"/>
            <w:tcBorders>
              <w:bottom w:val="single" w:sz="8" w:color="231F20"/>
            </w:tcBorders>
            <w:shd w:val="clear" w:color="auto" w:fill="98B0CF"/>
          </w:tcPr>
          <w:p>
            <w:pPr>
              <w:spacing w:after="0"/>
              <w:rPr>
                <w:sz w:val="13"/>
                <w:szCs w:val="13"/>
                <w:color w:val="auto"/>
              </w:rPr>
            </w:pPr>
          </w:p>
        </w:tc>
        <w:tc>
          <w:tcPr>
            <w:tcW w:w="680" w:type="dxa"/>
            <w:vAlign w:val="bottom"/>
            <w:tcBorders>
              <w:bottom w:val="single" w:sz="8" w:color="231F20"/>
            </w:tcBorders>
            <w:shd w:val="clear" w:color="auto" w:fill="98B0CF"/>
          </w:tcPr>
          <w:p>
            <w:pPr>
              <w:jc w:val="right"/>
              <w:ind w:right="190"/>
              <w:spacing w:after="0"/>
              <w:rPr>
                <w:sz w:val="20"/>
                <w:szCs w:val="20"/>
                <w:color w:val="auto"/>
              </w:rPr>
            </w:pPr>
            <w:r>
              <w:rPr>
                <w:rFonts w:ascii="Arial" w:cs="Arial" w:eastAsia="Arial" w:hAnsi="Arial"/>
                <w:sz w:val="13"/>
                <w:szCs w:val="13"/>
                <w:b w:val="1"/>
                <w:bCs w:val="1"/>
                <w:color w:val="auto"/>
              </w:rPr>
              <w:t>Gross</w:t>
            </w:r>
          </w:p>
        </w:tc>
        <w:tc>
          <w:tcPr>
            <w:tcW w:w="1400" w:type="dxa"/>
            <w:vAlign w:val="bottom"/>
            <w:tcBorders>
              <w:bottom w:val="single" w:sz="8" w:color="231F20"/>
            </w:tcBorders>
            <w:gridSpan w:val="2"/>
            <w:shd w:val="clear" w:color="auto" w:fill="98B0CF"/>
          </w:tcPr>
          <w:p>
            <w:pPr>
              <w:jc w:val="center"/>
              <w:spacing w:after="0"/>
              <w:rPr>
                <w:sz w:val="20"/>
                <w:szCs w:val="20"/>
                <w:color w:val="auto"/>
              </w:rPr>
            </w:pPr>
            <w:r>
              <w:rPr>
                <w:rFonts w:ascii="Arial" w:cs="Arial" w:eastAsia="Arial" w:hAnsi="Arial"/>
                <w:sz w:val="13"/>
                <w:szCs w:val="13"/>
                <w:b w:val="1"/>
                <w:bCs w:val="1"/>
                <w:color w:val="auto"/>
                <w:w w:val="98"/>
              </w:rPr>
              <w:t>Amortization</w:t>
            </w:r>
          </w:p>
        </w:tc>
        <w:tc>
          <w:tcPr>
            <w:tcW w:w="280" w:type="dxa"/>
            <w:vAlign w:val="bottom"/>
            <w:tcBorders>
              <w:bottom w:val="single" w:sz="8" w:color="231F20"/>
            </w:tcBorders>
            <w:shd w:val="clear" w:color="auto" w:fill="98B0CF"/>
          </w:tcPr>
          <w:p>
            <w:pPr>
              <w:spacing w:after="0"/>
              <w:rPr>
                <w:sz w:val="13"/>
                <w:szCs w:val="13"/>
                <w:color w:val="auto"/>
              </w:rPr>
            </w:pPr>
          </w:p>
        </w:tc>
        <w:tc>
          <w:tcPr>
            <w:tcW w:w="760" w:type="dxa"/>
            <w:vAlign w:val="bottom"/>
            <w:tcBorders>
              <w:bottom w:val="single" w:sz="8" w:color="231F20"/>
            </w:tcBorders>
            <w:shd w:val="clear" w:color="auto" w:fill="98B0CF"/>
          </w:tcPr>
          <w:p>
            <w:pPr>
              <w:jc w:val="right"/>
              <w:ind w:right="370"/>
              <w:spacing w:after="0"/>
              <w:rPr>
                <w:sz w:val="20"/>
                <w:szCs w:val="20"/>
                <w:color w:val="auto"/>
              </w:rPr>
            </w:pPr>
            <w:r>
              <w:rPr>
                <w:rFonts w:ascii="Arial" w:cs="Arial" w:eastAsia="Arial" w:hAnsi="Arial"/>
                <w:sz w:val="13"/>
                <w:szCs w:val="13"/>
                <w:b w:val="1"/>
                <w:bCs w:val="1"/>
                <w:color w:val="auto"/>
              </w:rPr>
              <w:t>Net</w:t>
            </w:r>
          </w:p>
        </w:tc>
        <w:tc>
          <w:tcPr>
            <w:tcW w:w="180" w:type="dxa"/>
            <w:vAlign w:val="bottom"/>
            <w:tcBorders>
              <w:bottom w:val="single" w:sz="8" w:color="98B0CF"/>
            </w:tcBorders>
            <w:shd w:val="clear" w:color="auto" w:fill="98B0CF"/>
          </w:tcPr>
          <w:p>
            <w:pPr>
              <w:spacing w:after="0"/>
              <w:rPr>
                <w:sz w:val="13"/>
                <w:szCs w:val="13"/>
                <w:color w:val="auto"/>
              </w:rPr>
            </w:pPr>
          </w:p>
        </w:tc>
        <w:tc>
          <w:tcPr>
            <w:tcW w:w="160" w:type="dxa"/>
            <w:vAlign w:val="bottom"/>
            <w:tcBorders>
              <w:bottom w:val="single" w:sz="8" w:color="231F20"/>
            </w:tcBorders>
            <w:shd w:val="clear" w:color="auto" w:fill="98B0CF"/>
          </w:tcPr>
          <w:p>
            <w:pPr>
              <w:spacing w:after="0"/>
              <w:rPr>
                <w:sz w:val="13"/>
                <w:szCs w:val="13"/>
                <w:color w:val="auto"/>
              </w:rPr>
            </w:pPr>
          </w:p>
        </w:tc>
        <w:tc>
          <w:tcPr>
            <w:tcW w:w="700" w:type="dxa"/>
            <w:vAlign w:val="bottom"/>
            <w:tcBorders>
              <w:bottom w:val="single" w:sz="8" w:color="231F20"/>
            </w:tcBorders>
            <w:shd w:val="clear" w:color="auto" w:fill="98B0CF"/>
          </w:tcPr>
          <w:p>
            <w:pPr>
              <w:jc w:val="right"/>
              <w:ind w:right="210"/>
              <w:spacing w:after="0"/>
              <w:rPr>
                <w:sz w:val="20"/>
                <w:szCs w:val="20"/>
                <w:color w:val="auto"/>
              </w:rPr>
            </w:pPr>
            <w:r>
              <w:rPr>
                <w:rFonts w:ascii="Arial" w:cs="Arial" w:eastAsia="Arial" w:hAnsi="Arial"/>
                <w:sz w:val="13"/>
                <w:szCs w:val="13"/>
                <w:b w:val="1"/>
                <w:bCs w:val="1"/>
                <w:color w:val="auto"/>
              </w:rPr>
              <w:t>Gross</w:t>
            </w:r>
          </w:p>
        </w:tc>
        <w:tc>
          <w:tcPr>
            <w:tcW w:w="1260" w:type="dxa"/>
            <w:vAlign w:val="bottom"/>
            <w:tcBorders>
              <w:bottom w:val="single" w:sz="8" w:color="231F20"/>
            </w:tcBorders>
            <w:gridSpan w:val="2"/>
            <w:shd w:val="clear" w:color="auto" w:fill="98B0CF"/>
          </w:tcPr>
          <w:p>
            <w:pPr>
              <w:ind w:left="260"/>
              <w:spacing w:after="0"/>
              <w:rPr>
                <w:sz w:val="20"/>
                <w:szCs w:val="20"/>
                <w:color w:val="auto"/>
              </w:rPr>
            </w:pPr>
            <w:r>
              <w:rPr>
                <w:rFonts w:ascii="Arial" w:cs="Arial" w:eastAsia="Arial" w:hAnsi="Arial"/>
                <w:sz w:val="13"/>
                <w:szCs w:val="13"/>
                <w:b w:val="1"/>
                <w:bCs w:val="1"/>
                <w:color w:val="auto"/>
              </w:rPr>
              <w:t>Amortization</w:t>
            </w:r>
          </w:p>
        </w:tc>
        <w:tc>
          <w:tcPr>
            <w:tcW w:w="260" w:type="dxa"/>
            <w:vAlign w:val="bottom"/>
            <w:tcBorders>
              <w:bottom w:val="single" w:sz="8" w:color="231F20"/>
            </w:tcBorders>
            <w:shd w:val="clear" w:color="auto" w:fill="98B0CF"/>
          </w:tcPr>
          <w:p>
            <w:pPr>
              <w:spacing w:after="0"/>
              <w:rPr>
                <w:sz w:val="13"/>
                <w:szCs w:val="13"/>
                <w:color w:val="auto"/>
              </w:rPr>
            </w:pPr>
          </w:p>
        </w:tc>
        <w:tc>
          <w:tcPr>
            <w:tcW w:w="740" w:type="dxa"/>
            <w:vAlign w:val="bottom"/>
            <w:tcBorders>
              <w:bottom w:val="single" w:sz="8" w:color="231F20"/>
            </w:tcBorders>
            <w:shd w:val="clear" w:color="auto" w:fill="98B0CF"/>
          </w:tcPr>
          <w:p>
            <w:pPr>
              <w:jc w:val="right"/>
              <w:ind w:right="370"/>
              <w:spacing w:after="0"/>
              <w:rPr>
                <w:sz w:val="20"/>
                <w:szCs w:val="20"/>
                <w:color w:val="auto"/>
              </w:rPr>
            </w:pPr>
            <w:r>
              <w:rPr>
                <w:rFonts w:ascii="Arial" w:cs="Arial" w:eastAsia="Arial" w:hAnsi="Arial"/>
                <w:sz w:val="13"/>
                <w:szCs w:val="13"/>
                <w:b w:val="1"/>
                <w:bCs w:val="1"/>
                <w:color w:val="auto"/>
              </w:rPr>
              <w:t>Net</w:t>
            </w:r>
          </w:p>
        </w:tc>
      </w:tr>
      <w:tr>
        <w:trPr>
          <w:trHeight w:val="187"/>
        </w:trPr>
        <w:tc>
          <w:tcPr>
            <w:tcW w:w="4500" w:type="dxa"/>
            <w:vAlign w:val="bottom"/>
            <w:shd w:val="clear" w:color="auto" w:fill="E2E8F1"/>
          </w:tcPr>
          <w:p>
            <w:pPr>
              <w:ind w:left="80"/>
              <w:spacing w:after="0" w:line="187" w:lineRule="exact"/>
              <w:rPr>
                <w:sz w:val="20"/>
                <w:szCs w:val="20"/>
                <w:color w:val="auto"/>
              </w:rPr>
            </w:pPr>
            <w:r>
              <w:rPr>
                <w:rFonts w:ascii="Arial" w:cs="Arial" w:eastAsia="Arial" w:hAnsi="Arial"/>
                <w:sz w:val="14"/>
                <w:szCs w:val="14"/>
                <w:color w:val="auto"/>
              </w:rPr>
              <w:t>Goodwill</w:t>
            </w:r>
            <w:r>
              <w:rPr>
                <w:rFonts w:ascii="Arial" w:cs="Arial" w:eastAsia="Arial" w:hAnsi="Arial"/>
                <w:sz w:val="19"/>
                <w:szCs w:val="19"/>
                <w:color w:val="auto"/>
                <w:vertAlign w:val="superscript"/>
              </w:rPr>
              <w:t>(a)</w:t>
            </w:r>
          </w:p>
        </w:tc>
        <w:tc>
          <w:tcPr>
            <w:tcW w:w="34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1,563.4</w:t>
            </w:r>
          </w:p>
        </w:tc>
        <w:tc>
          <w:tcPr>
            <w:tcW w:w="600" w:type="dxa"/>
            <w:vAlign w:val="bottom"/>
            <w:shd w:val="clear" w:color="auto" w:fill="E2E8F1"/>
          </w:tcPr>
          <w:p>
            <w:pPr>
              <w:jc w:val="right"/>
              <w:ind w:right="153"/>
              <w:spacing w:after="0"/>
              <w:rPr>
                <w:sz w:val="20"/>
                <w:szCs w:val="20"/>
                <w:color w:val="auto"/>
              </w:rPr>
            </w:pPr>
            <w:r>
              <w:rPr>
                <w:rFonts w:ascii="Arial" w:cs="Arial" w:eastAsia="Arial" w:hAnsi="Arial"/>
                <w:sz w:val="14"/>
                <w:szCs w:val="14"/>
                <w:color w:val="auto"/>
              </w:rPr>
              <w:t>$</w:t>
            </w:r>
          </w:p>
        </w:tc>
        <w:tc>
          <w:tcPr>
            <w:tcW w:w="800" w:type="dxa"/>
            <w:vAlign w:val="bottom"/>
            <w:shd w:val="clear" w:color="auto" w:fill="E2E8F1"/>
          </w:tcPr>
          <w:p>
            <w:pPr>
              <w:jc w:val="right"/>
              <w:ind w:right="169"/>
              <w:spacing w:after="0"/>
              <w:rPr>
                <w:sz w:val="20"/>
                <w:szCs w:val="20"/>
                <w:color w:val="auto"/>
              </w:rPr>
            </w:pPr>
            <w:r>
              <w:rPr>
                <w:rFonts w:ascii="Arial" w:cs="Arial" w:eastAsia="Arial" w:hAnsi="Arial"/>
                <w:sz w:val="14"/>
                <w:szCs w:val="14"/>
                <w:color w:val="auto"/>
              </w:rPr>
              <w:t>—</w:t>
            </w:r>
          </w:p>
        </w:tc>
        <w:tc>
          <w:tcPr>
            <w:tcW w:w="280" w:type="dxa"/>
            <w:vAlign w:val="bottom"/>
            <w:shd w:val="clear" w:color="auto" w:fill="E2E8F1"/>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1,563.4</w:t>
            </w:r>
          </w:p>
        </w:tc>
        <w:tc>
          <w:tcPr>
            <w:tcW w:w="340" w:type="dxa"/>
            <w:vAlign w:val="bottom"/>
            <w:gridSpan w:val="2"/>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1,586.8</w:t>
            </w:r>
          </w:p>
        </w:tc>
        <w:tc>
          <w:tcPr>
            <w:tcW w:w="500" w:type="dxa"/>
            <w:vAlign w:val="bottom"/>
            <w:shd w:val="clear" w:color="auto" w:fill="E2E8F1"/>
          </w:tcPr>
          <w:p>
            <w:pPr>
              <w:ind w:lef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E2E8F1"/>
          </w:tcPr>
          <w:p>
            <w:pPr>
              <w:jc w:val="right"/>
              <w:ind w:right="149"/>
              <w:spacing w:after="0"/>
              <w:rPr>
                <w:sz w:val="20"/>
                <w:szCs w:val="20"/>
                <w:color w:val="auto"/>
              </w:rPr>
            </w:pPr>
            <w:r>
              <w:rPr>
                <w:rFonts w:ascii="Arial" w:cs="Arial" w:eastAsia="Arial" w:hAnsi="Arial"/>
                <w:sz w:val="14"/>
                <w:szCs w:val="14"/>
                <w:color w:val="auto"/>
              </w:rPr>
              <w:t>—</w:t>
            </w:r>
          </w:p>
        </w:tc>
        <w:tc>
          <w:tcPr>
            <w:tcW w:w="260" w:type="dxa"/>
            <w:vAlign w:val="bottom"/>
            <w:shd w:val="clear" w:color="auto" w:fill="E2E8F1"/>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1,586.8</w:t>
            </w:r>
          </w:p>
        </w:tc>
      </w:tr>
      <w:tr>
        <w:trPr>
          <w:trHeight w:val="180"/>
        </w:trPr>
        <w:tc>
          <w:tcPr>
            <w:tcW w:w="4500" w:type="dxa"/>
            <w:vAlign w:val="bottom"/>
            <w:tcBorders>
              <w:top w:val="single" w:sz="8" w:color="231F20"/>
            </w:tcBorders>
          </w:tcPr>
          <w:p>
            <w:pPr>
              <w:ind w:left="80"/>
              <w:spacing w:after="0"/>
              <w:rPr>
                <w:sz w:val="20"/>
                <w:szCs w:val="20"/>
                <w:color w:val="auto"/>
              </w:rPr>
            </w:pPr>
            <w:r>
              <w:rPr>
                <w:rFonts w:ascii="Arial" w:cs="Arial" w:eastAsia="Arial" w:hAnsi="Arial"/>
                <w:sz w:val="14"/>
                <w:szCs w:val="14"/>
                <w:color w:val="auto"/>
              </w:rPr>
              <w:t>Intangible assets:</w:t>
            </w:r>
          </w:p>
        </w:tc>
        <w:tc>
          <w:tcPr>
            <w:tcW w:w="160" w:type="dxa"/>
            <w:vAlign w:val="bottom"/>
            <w:tcBorders>
              <w:top w:val="single" w:sz="8" w:color="231F20"/>
            </w:tcBorders>
          </w:tcPr>
          <w:p>
            <w:pPr>
              <w:spacing w:after="0"/>
              <w:rPr>
                <w:sz w:val="15"/>
                <w:szCs w:val="15"/>
                <w:color w:val="auto"/>
              </w:rPr>
            </w:pPr>
          </w:p>
        </w:tc>
        <w:tc>
          <w:tcPr>
            <w:tcW w:w="180" w:type="dxa"/>
            <w:vAlign w:val="bottom"/>
            <w:tcBorders>
              <w:top w:val="single" w:sz="8" w:color="231F20"/>
            </w:tcBorders>
          </w:tcPr>
          <w:p>
            <w:pPr>
              <w:spacing w:after="0"/>
              <w:rPr>
                <w:sz w:val="15"/>
                <w:szCs w:val="15"/>
                <w:color w:val="auto"/>
              </w:rPr>
            </w:pPr>
          </w:p>
        </w:tc>
        <w:tc>
          <w:tcPr>
            <w:tcW w:w="680" w:type="dxa"/>
            <w:vAlign w:val="bottom"/>
            <w:tcBorders>
              <w:top w:val="single" w:sz="8" w:color="231F20"/>
            </w:tcBorders>
          </w:tcPr>
          <w:p>
            <w:pPr>
              <w:spacing w:after="0"/>
              <w:rPr>
                <w:sz w:val="15"/>
                <w:szCs w:val="15"/>
                <w:color w:val="auto"/>
              </w:rPr>
            </w:pPr>
          </w:p>
        </w:tc>
        <w:tc>
          <w:tcPr>
            <w:tcW w:w="600" w:type="dxa"/>
            <w:vAlign w:val="bottom"/>
            <w:tcBorders>
              <w:top w:val="single" w:sz="8" w:color="231F20"/>
            </w:tcBorders>
          </w:tcPr>
          <w:p>
            <w:pPr>
              <w:spacing w:after="0"/>
              <w:rPr>
                <w:sz w:val="15"/>
                <w:szCs w:val="15"/>
                <w:color w:val="auto"/>
              </w:rPr>
            </w:pPr>
          </w:p>
        </w:tc>
        <w:tc>
          <w:tcPr>
            <w:tcW w:w="800" w:type="dxa"/>
            <w:vAlign w:val="bottom"/>
            <w:tcBorders>
              <w:top w:val="single" w:sz="8" w:color="231F20"/>
            </w:tcBorders>
          </w:tcPr>
          <w:p>
            <w:pPr>
              <w:spacing w:after="0"/>
              <w:rPr>
                <w:sz w:val="15"/>
                <w:szCs w:val="15"/>
                <w:color w:val="auto"/>
              </w:rPr>
            </w:pPr>
          </w:p>
        </w:tc>
        <w:tc>
          <w:tcPr>
            <w:tcW w:w="280" w:type="dxa"/>
            <w:vAlign w:val="bottom"/>
            <w:tcBorders>
              <w:top w:val="single" w:sz="8" w:color="231F20"/>
            </w:tcBorders>
          </w:tcPr>
          <w:p>
            <w:pPr>
              <w:spacing w:after="0"/>
              <w:rPr>
                <w:sz w:val="15"/>
                <w:szCs w:val="15"/>
                <w:color w:val="auto"/>
              </w:rPr>
            </w:pPr>
          </w:p>
        </w:tc>
        <w:tc>
          <w:tcPr>
            <w:tcW w:w="760" w:type="dxa"/>
            <w:vAlign w:val="bottom"/>
            <w:tcBorders>
              <w:top w:val="single" w:sz="8" w:color="231F20"/>
            </w:tcBorders>
          </w:tcPr>
          <w:p>
            <w:pPr>
              <w:spacing w:after="0"/>
              <w:rPr>
                <w:sz w:val="15"/>
                <w:szCs w:val="15"/>
                <w:color w:val="auto"/>
              </w:rPr>
            </w:pPr>
          </w:p>
        </w:tc>
        <w:tc>
          <w:tcPr>
            <w:tcW w:w="180" w:type="dxa"/>
            <w:vAlign w:val="bottom"/>
            <w:tcBorders>
              <w:top w:val="single" w:sz="8" w:color="E2E8F1"/>
            </w:tcBorders>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700" w:type="dxa"/>
            <w:vAlign w:val="bottom"/>
            <w:tcBorders>
              <w:top w:val="single" w:sz="8" w:color="231F20"/>
            </w:tcBorders>
          </w:tcPr>
          <w:p>
            <w:pPr>
              <w:spacing w:after="0"/>
              <w:rPr>
                <w:sz w:val="15"/>
                <w:szCs w:val="15"/>
                <w:color w:val="auto"/>
              </w:rPr>
            </w:pPr>
          </w:p>
        </w:tc>
        <w:tc>
          <w:tcPr>
            <w:tcW w:w="500" w:type="dxa"/>
            <w:vAlign w:val="bottom"/>
            <w:tcBorders>
              <w:top w:val="single" w:sz="8" w:color="231F20"/>
            </w:tcBorders>
          </w:tcPr>
          <w:p>
            <w:pPr>
              <w:spacing w:after="0"/>
              <w:rPr>
                <w:sz w:val="15"/>
                <w:szCs w:val="15"/>
                <w:color w:val="auto"/>
              </w:rPr>
            </w:pPr>
          </w:p>
        </w:tc>
        <w:tc>
          <w:tcPr>
            <w:tcW w:w="760" w:type="dxa"/>
            <w:vAlign w:val="bottom"/>
            <w:tcBorders>
              <w:top w:val="single" w:sz="8" w:color="231F20"/>
            </w:tcBorders>
          </w:tcPr>
          <w:p>
            <w:pPr>
              <w:spacing w:after="0"/>
              <w:rPr>
                <w:sz w:val="15"/>
                <w:szCs w:val="15"/>
                <w:color w:val="auto"/>
              </w:rPr>
            </w:pPr>
          </w:p>
        </w:tc>
        <w:tc>
          <w:tcPr>
            <w:tcW w:w="260" w:type="dxa"/>
            <w:vAlign w:val="bottom"/>
            <w:tcBorders>
              <w:top w:val="single" w:sz="8" w:color="231F20"/>
            </w:tcBorders>
          </w:tcPr>
          <w:p>
            <w:pPr>
              <w:spacing w:after="0"/>
              <w:rPr>
                <w:sz w:val="15"/>
                <w:szCs w:val="15"/>
                <w:color w:val="auto"/>
              </w:rPr>
            </w:pPr>
          </w:p>
        </w:tc>
        <w:tc>
          <w:tcPr>
            <w:tcW w:w="740" w:type="dxa"/>
            <w:vAlign w:val="bottom"/>
            <w:tcBorders>
              <w:top w:val="single" w:sz="8" w:color="231F20"/>
            </w:tcBorders>
          </w:tcPr>
          <w:p>
            <w:pPr>
              <w:spacing w:after="0"/>
              <w:rPr>
                <w:sz w:val="15"/>
                <w:szCs w:val="15"/>
                <w:color w:val="auto"/>
              </w:rPr>
            </w:pPr>
          </w:p>
        </w:tc>
      </w:tr>
      <w:tr>
        <w:trPr>
          <w:trHeight w:val="191"/>
        </w:trPr>
        <w:tc>
          <w:tcPr>
            <w:tcW w:w="4500" w:type="dxa"/>
            <w:vAlign w:val="bottom"/>
            <w:shd w:val="clear" w:color="auto" w:fill="E2E8F1"/>
          </w:tcPr>
          <w:p>
            <w:pPr>
              <w:ind w:left="240"/>
              <w:spacing w:after="0"/>
              <w:rPr>
                <w:sz w:val="20"/>
                <w:szCs w:val="20"/>
                <w:color w:val="auto"/>
              </w:rPr>
            </w:pPr>
            <w:r>
              <w:rPr>
                <w:rFonts w:ascii="Arial" w:cs="Arial" w:eastAsia="Arial" w:hAnsi="Arial"/>
                <w:sz w:val="14"/>
                <w:szCs w:val="14"/>
                <w:color w:val="auto"/>
              </w:rPr>
              <w:t>Finite-lived:</w:t>
            </w:r>
          </w:p>
        </w:tc>
        <w:tc>
          <w:tcPr>
            <w:tcW w:w="16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600" w:type="dxa"/>
            <w:vAlign w:val="bottom"/>
            <w:shd w:val="clear" w:color="auto" w:fill="E2E8F1"/>
          </w:tcPr>
          <w:p>
            <w:pPr>
              <w:spacing w:after="0"/>
              <w:rPr>
                <w:sz w:val="16"/>
                <w:szCs w:val="16"/>
                <w:color w:val="auto"/>
              </w:rPr>
            </w:pPr>
          </w:p>
        </w:tc>
        <w:tc>
          <w:tcPr>
            <w:tcW w:w="800" w:type="dxa"/>
            <w:vAlign w:val="bottom"/>
            <w:shd w:val="clear" w:color="auto" w:fill="E2E8F1"/>
          </w:tcPr>
          <w:p>
            <w:pPr>
              <w:spacing w:after="0"/>
              <w:rPr>
                <w:sz w:val="16"/>
                <w:szCs w:val="16"/>
                <w:color w:val="auto"/>
              </w:rPr>
            </w:pPr>
          </w:p>
        </w:tc>
        <w:tc>
          <w:tcPr>
            <w:tcW w:w="280" w:type="dxa"/>
            <w:vAlign w:val="bottom"/>
            <w:shd w:val="clear" w:color="auto" w:fill="E2E8F1"/>
          </w:tcPr>
          <w:p>
            <w:pPr>
              <w:spacing w:after="0"/>
              <w:rPr>
                <w:sz w:val="16"/>
                <w:szCs w:val="16"/>
                <w:color w:val="auto"/>
              </w:rPr>
            </w:pPr>
          </w:p>
        </w:tc>
        <w:tc>
          <w:tcPr>
            <w:tcW w:w="76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700" w:type="dxa"/>
            <w:vAlign w:val="bottom"/>
            <w:shd w:val="clear" w:color="auto" w:fill="E2E8F1"/>
          </w:tcPr>
          <w:p>
            <w:pPr>
              <w:spacing w:after="0"/>
              <w:rPr>
                <w:sz w:val="16"/>
                <w:szCs w:val="16"/>
                <w:color w:val="auto"/>
              </w:rPr>
            </w:pPr>
          </w:p>
        </w:tc>
        <w:tc>
          <w:tcPr>
            <w:tcW w:w="500" w:type="dxa"/>
            <w:vAlign w:val="bottom"/>
            <w:shd w:val="clear" w:color="auto" w:fill="E2E8F1"/>
          </w:tcPr>
          <w:p>
            <w:pPr>
              <w:spacing w:after="0"/>
              <w:rPr>
                <w:sz w:val="16"/>
                <w:szCs w:val="16"/>
                <w:color w:val="auto"/>
              </w:rPr>
            </w:pPr>
          </w:p>
        </w:tc>
        <w:tc>
          <w:tcPr>
            <w:tcW w:w="76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740" w:type="dxa"/>
            <w:vAlign w:val="bottom"/>
            <w:shd w:val="clear" w:color="auto" w:fill="E2E8F1"/>
          </w:tcPr>
          <w:p>
            <w:pPr>
              <w:spacing w:after="0"/>
              <w:rPr>
                <w:sz w:val="16"/>
                <w:szCs w:val="16"/>
                <w:color w:val="auto"/>
              </w:rPr>
            </w:pPr>
          </w:p>
        </w:tc>
      </w:tr>
      <w:tr>
        <w:trPr>
          <w:trHeight w:val="189"/>
        </w:trPr>
        <w:tc>
          <w:tcPr>
            <w:tcW w:w="4500" w:type="dxa"/>
            <w:vAlign w:val="bottom"/>
          </w:tcPr>
          <w:p>
            <w:pPr>
              <w:ind w:left="400"/>
              <w:spacing w:after="0"/>
              <w:rPr>
                <w:sz w:val="20"/>
                <w:szCs w:val="20"/>
                <w:color w:val="auto"/>
              </w:rPr>
            </w:pPr>
            <w:r>
              <w:rPr>
                <w:rFonts w:ascii="Arial" w:cs="Arial" w:eastAsia="Arial" w:hAnsi="Arial"/>
                <w:sz w:val="14"/>
                <w:szCs w:val="14"/>
                <w:color w:val="auto"/>
              </w:rPr>
              <w:t>Customer relationships</w:t>
            </w: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814.2</w:t>
            </w:r>
          </w:p>
        </w:tc>
        <w:tc>
          <w:tcPr>
            <w:tcW w:w="60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69"/>
              <w:spacing w:after="0"/>
              <w:rPr>
                <w:sz w:val="20"/>
                <w:szCs w:val="20"/>
                <w:color w:val="auto"/>
              </w:rPr>
            </w:pPr>
            <w:r>
              <w:rPr>
                <w:rFonts w:ascii="Arial" w:cs="Arial" w:eastAsia="Arial" w:hAnsi="Arial"/>
                <w:sz w:val="14"/>
                <w:szCs w:val="14"/>
                <w:color w:val="auto"/>
              </w:rPr>
              <w:t>509.1</w:t>
            </w: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305.1</w:t>
            </w: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824.9</w:t>
            </w: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9"/>
              <w:spacing w:after="0"/>
              <w:rPr>
                <w:sz w:val="20"/>
                <w:szCs w:val="20"/>
                <w:color w:val="auto"/>
              </w:rPr>
            </w:pPr>
            <w:r>
              <w:rPr>
                <w:rFonts w:ascii="Arial" w:cs="Arial" w:eastAsia="Arial" w:hAnsi="Arial"/>
                <w:sz w:val="14"/>
                <w:szCs w:val="14"/>
                <w:color w:val="auto"/>
              </w:rPr>
              <w:t>486.0</w:t>
            </w:r>
          </w:p>
        </w:tc>
        <w:tc>
          <w:tcPr>
            <w:tcW w:w="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338.9</w:t>
            </w:r>
          </w:p>
        </w:tc>
      </w:tr>
      <w:tr>
        <w:trPr>
          <w:trHeight w:val="189"/>
        </w:trPr>
        <w:tc>
          <w:tcPr>
            <w:tcW w:w="4500" w:type="dxa"/>
            <w:vAlign w:val="bottom"/>
            <w:tcBorders>
              <w:bottom w:val="single" w:sz="8" w:color="231F20"/>
            </w:tcBorders>
            <w:shd w:val="clear" w:color="auto" w:fill="E2E8F1"/>
          </w:tcPr>
          <w:p>
            <w:pPr>
              <w:ind w:left="40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231F20"/>
            </w:tcBorders>
            <w:shd w:val="clear" w:color="auto" w:fill="E2E8F1"/>
          </w:tcPr>
          <w:p>
            <w:pPr>
              <w:spacing w:after="0"/>
              <w:rPr>
                <w:sz w:val="16"/>
                <w:szCs w:val="16"/>
                <w:color w:val="auto"/>
              </w:rPr>
            </w:pPr>
          </w:p>
        </w:tc>
        <w:tc>
          <w:tcPr>
            <w:tcW w:w="180" w:type="dxa"/>
            <w:vAlign w:val="bottom"/>
            <w:tcBorders>
              <w:bottom w:val="single" w:sz="8" w:color="231F20"/>
            </w:tcBorders>
            <w:shd w:val="clear" w:color="auto" w:fill="E2E8F1"/>
          </w:tcPr>
          <w:p>
            <w:pPr>
              <w:spacing w:after="0"/>
              <w:rPr>
                <w:sz w:val="16"/>
                <w:szCs w:val="16"/>
                <w:color w:val="auto"/>
              </w:rPr>
            </w:pPr>
          </w:p>
        </w:tc>
        <w:tc>
          <w:tcPr>
            <w:tcW w:w="6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24.4</w:t>
            </w:r>
          </w:p>
        </w:tc>
        <w:tc>
          <w:tcPr>
            <w:tcW w:w="600" w:type="dxa"/>
            <w:vAlign w:val="bottom"/>
            <w:tcBorders>
              <w:bottom w:val="single" w:sz="8" w:color="231F20"/>
            </w:tcBorders>
            <w:shd w:val="clear" w:color="auto" w:fill="E2E8F1"/>
          </w:tcPr>
          <w:p>
            <w:pPr>
              <w:spacing w:after="0"/>
              <w:rPr>
                <w:sz w:val="16"/>
                <w:szCs w:val="16"/>
                <w:color w:val="auto"/>
              </w:rPr>
            </w:pPr>
          </w:p>
        </w:tc>
        <w:tc>
          <w:tcPr>
            <w:tcW w:w="800" w:type="dxa"/>
            <w:vAlign w:val="bottom"/>
            <w:tcBorders>
              <w:bottom w:val="single" w:sz="8" w:color="231F20"/>
            </w:tcBorders>
            <w:shd w:val="clear" w:color="auto" w:fill="E2E8F1"/>
          </w:tcPr>
          <w:p>
            <w:pPr>
              <w:jc w:val="right"/>
              <w:ind w:right="169"/>
              <w:spacing w:after="0"/>
              <w:rPr>
                <w:sz w:val="20"/>
                <w:szCs w:val="20"/>
                <w:color w:val="auto"/>
              </w:rPr>
            </w:pPr>
            <w:r>
              <w:rPr>
                <w:rFonts w:ascii="Arial" w:cs="Arial" w:eastAsia="Arial" w:hAnsi="Arial"/>
                <w:sz w:val="14"/>
                <w:szCs w:val="14"/>
                <w:color w:val="auto"/>
              </w:rPr>
              <w:t>21.3</w:t>
            </w:r>
          </w:p>
        </w:tc>
        <w:tc>
          <w:tcPr>
            <w:tcW w:w="280" w:type="dxa"/>
            <w:vAlign w:val="bottom"/>
            <w:tcBorders>
              <w:bottom w:val="single" w:sz="8" w:color="231F20"/>
            </w:tcBorders>
            <w:shd w:val="clear" w:color="auto" w:fill="E2E8F1"/>
          </w:tcPr>
          <w:p>
            <w:pPr>
              <w:spacing w:after="0"/>
              <w:rPr>
                <w:sz w:val="16"/>
                <w:szCs w:val="16"/>
                <w:color w:val="auto"/>
              </w:rPr>
            </w:pPr>
          </w:p>
        </w:tc>
        <w:tc>
          <w:tcPr>
            <w:tcW w:w="76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3.1</w:t>
            </w:r>
          </w:p>
        </w:tc>
        <w:tc>
          <w:tcPr>
            <w:tcW w:w="180" w:type="dxa"/>
            <w:vAlign w:val="bottom"/>
            <w:tcBorders>
              <w:bottom w:val="single" w:sz="8" w:color="E2E8F1"/>
            </w:tcBorders>
            <w:shd w:val="clear" w:color="auto" w:fill="E2E8F1"/>
          </w:tcPr>
          <w:p>
            <w:pPr>
              <w:spacing w:after="0"/>
              <w:rPr>
                <w:sz w:val="16"/>
                <w:szCs w:val="16"/>
                <w:color w:val="auto"/>
              </w:rPr>
            </w:pPr>
          </w:p>
        </w:tc>
        <w:tc>
          <w:tcPr>
            <w:tcW w:w="160" w:type="dxa"/>
            <w:vAlign w:val="bottom"/>
            <w:tcBorders>
              <w:bottom w:val="single" w:sz="8" w:color="231F20"/>
            </w:tcBorders>
            <w:shd w:val="clear" w:color="auto" w:fill="E2E8F1"/>
          </w:tcPr>
          <w:p>
            <w:pPr>
              <w:spacing w:after="0"/>
              <w:rPr>
                <w:sz w:val="16"/>
                <w:szCs w:val="16"/>
                <w:color w:val="auto"/>
              </w:rPr>
            </w:pPr>
          </w:p>
        </w:tc>
        <w:tc>
          <w:tcPr>
            <w:tcW w:w="7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21.5</w:t>
            </w:r>
          </w:p>
        </w:tc>
        <w:tc>
          <w:tcPr>
            <w:tcW w:w="500" w:type="dxa"/>
            <w:vAlign w:val="bottom"/>
            <w:tcBorders>
              <w:bottom w:val="single" w:sz="8" w:color="231F20"/>
            </w:tcBorders>
            <w:shd w:val="clear" w:color="auto" w:fill="E2E8F1"/>
          </w:tcPr>
          <w:p>
            <w:pPr>
              <w:spacing w:after="0"/>
              <w:rPr>
                <w:sz w:val="16"/>
                <w:szCs w:val="16"/>
                <w:color w:val="auto"/>
              </w:rPr>
            </w:pPr>
          </w:p>
        </w:tc>
        <w:tc>
          <w:tcPr>
            <w:tcW w:w="760" w:type="dxa"/>
            <w:vAlign w:val="bottom"/>
            <w:tcBorders>
              <w:bottom w:val="single" w:sz="8" w:color="231F20"/>
            </w:tcBorders>
            <w:shd w:val="clear" w:color="auto" w:fill="E2E8F1"/>
          </w:tcPr>
          <w:p>
            <w:pPr>
              <w:jc w:val="right"/>
              <w:ind w:right="149"/>
              <w:spacing w:after="0"/>
              <w:rPr>
                <w:sz w:val="20"/>
                <w:szCs w:val="20"/>
                <w:color w:val="auto"/>
              </w:rPr>
            </w:pPr>
            <w:r>
              <w:rPr>
                <w:rFonts w:ascii="Arial" w:cs="Arial" w:eastAsia="Arial" w:hAnsi="Arial"/>
                <w:sz w:val="14"/>
                <w:szCs w:val="14"/>
                <w:color w:val="auto"/>
              </w:rPr>
              <w:t>21.2</w:t>
            </w:r>
          </w:p>
        </w:tc>
        <w:tc>
          <w:tcPr>
            <w:tcW w:w="260" w:type="dxa"/>
            <w:vAlign w:val="bottom"/>
            <w:tcBorders>
              <w:bottom w:val="single" w:sz="8" w:color="231F20"/>
            </w:tcBorders>
            <w:shd w:val="clear" w:color="auto" w:fill="E2E8F1"/>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0.3</w:t>
            </w:r>
          </w:p>
        </w:tc>
      </w:tr>
      <w:tr>
        <w:trPr>
          <w:trHeight w:val="181"/>
        </w:trPr>
        <w:tc>
          <w:tcPr>
            <w:tcW w:w="4500" w:type="dxa"/>
            <w:vAlign w:val="bottom"/>
            <w:tcBorders>
              <w:bottom w:val="single" w:sz="8" w:color="231F20"/>
            </w:tcBorders>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838.6</w:t>
            </w:r>
          </w:p>
        </w:tc>
        <w:tc>
          <w:tcPr>
            <w:tcW w:w="60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169"/>
              <w:spacing w:after="0"/>
              <w:rPr>
                <w:sz w:val="20"/>
                <w:szCs w:val="20"/>
                <w:color w:val="auto"/>
              </w:rPr>
            </w:pPr>
            <w:r>
              <w:rPr>
                <w:rFonts w:ascii="Arial" w:cs="Arial" w:eastAsia="Arial" w:hAnsi="Arial"/>
                <w:sz w:val="14"/>
                <w:szCs w:val="14"/>
                <w:color w:val="auto"/>
              </w:rPr>
              <w:t>530.4</w:t>
            </w:r>
          </w:p>
        </w:tc>
        <w:tc>
          <w:tcPr>
            <w:tcW w:w="28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308.2</w:t>
            </w:r>
          </w:p>
        </w:tc>
        <w:tc>
          <w:tcPr>
            <w:tcW w:w="18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846.4</w:t>
            </w:r>
          </w:p>
        </w:tc>
        <w:tc>
          <w:tcPr>
            <w:tcW w:w="50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149"/>
              <w:spacing w:after="0"/>
              <w:rPr>
                <w:sz w:val="20"/>
                <w:szCs w:val="20"/>
                <w:color w:val="auto"/>
              </w:rPr>
            </w:pPr>
            <w:r>
              <w:rPr>
                <w:rFonts w:ascii="Arial" w:cs="Arial" w:eastAsia="Arial" w:hAnsi="Arial"/>
                <w:sz w:val="14"/>
                <w:szCs w:val="14"/>
                <w:color w:val="auto"/>
              </w:rPr>
              <w:t>507.2</w:t>
            </w:r>
          </w:p>
        </w:tc>
        <w:tc>
          <w:tcPr>
            <w:tcW w:w="26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339.2</w:t>
            </w:r>
          </w:p>
        </w:tc>
      </w:tr>
      <w:tr>
        <w:trPr>
          <w:trHeight w:val="181"/>
        </w:trPr>
        <w:tc>
          <w:tcPr>
            <w:tcW w:w="4500" w:type="dxa"/>
            <w:vAlign w:val="bottom"/>
            <w:shd w:val="clear" w:color="auto" w:fill="E2E8F1"/>
          </w:tcPr>
          <w:p>
            <w:pPr>
              <w:ind w:left="240"/>
              <w:spacing w:after="0"/>
              <w:rPr>
                <w:sz w:val="20"/>
                <w:szCs w:val="20"/>
                <w:color w:val="auto"/>
              </w:rPr>
            </w:pPr>
            <w:r>
              <w:rPr>
                <w:rFonts w:ascii="Arial" w:cs="Arial" w:eastAsia="Arial" w:hAnsi="Arial"/>
                <w:sz w:val="14"/>
                <w:szCs w:val="14"/>
                <w:color w:val="auto"/>
              </w:rPr>
              <w:t>Indefinite-lived:</w:t>
            </w:r>
          </w:p>
        </w:tc>
        <w:tc>
          <w:tcPr>
            <w:tcW w:w="16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680" w:type="dxa"/>
            <w:vAlign w:val="bottom"/>
            <w:shd w:val="clear" w:color="auto" w:fill="E2E8F1"/>
          </w:tcPr>
          <w:p>
            <w:pPr>
              <w:spacing w:after="0"/>
              <w:rPr>
                <w:sz w:val="15"/>
                <w:szCs w:val="15"/>
                <w:color w:val="auto"/>
              </w:rPr>
            </w:pPr>
          </w:p>
        </w:tc>
        <w:tc>
          <w:tcPr>
            <w:tcW w:w="600" w:type="dxa"/>
            <w:vAlign w:val="bottom"/>
            <w:shd w:val="clear" w:color="auto" w:fill="E2E8F1"/>
          </w:tcPr>
          <w:p>
            <w:pPr>
              <w:spacing w:after="0"/>
              <w:rPr>
                <w:sz w:val="15"/>
                <w:szCs w:val="15"/>
                <w:color w:val="auto"/>
              </w:rPr>
            </w:pPr>
          </w:p>
        </w:tc>
        <w:tc>
          <w:tcPr>
            <w:tcW w:w="800" w:type="dxa"/>
            <w:vAlign w:val="bottom"/>
            <w:shd w:val="clear" w:color="auto" w:fill="E2E8F1"/>
          </w:tcPr>
          <w:p>
            <w:pPr>
              <w:spacing w:after="0"/>
              <w:rPr>
                <w:sz w:val="15"/>
                <w:szCs w:val="15"/>
                <w:color w:val="auto"/>
              </w:rPr>
            </w:pPr>
          </w:p>
        </w:tc>
        <w:tc>
          <w:tcPr>
            <w:tcW w:w="280" w:type="dxa"/>
            <w:vAlign w:val="bottom"/>
            <w:shd w:val="clear" w:color="auto" w:fill="E2E8F1"/>
          </w:tcPr>
          <w:p>
            <w:pPr>
              <w:spacing w:after="0"/>
              <w:rPr>
                <w:sz w:val="15"/>
                <w:szCs w:val="15"/>
                <w:color w:val="auto"/>
              </w:rPr>
            </w:pPr>
          </w:p>
        </w:tc>
        <w:tc>
          <w:tcPr>
            <w:tcW w:w="76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160" w:type="dxa"/>
            <w:vAlign w:val="bottom"/>
            <w:shd w:val="clear" w:color="auto" w:fill="E2E8F1"/>
          </w:tcPr>
          <w:p>
            <w:pPr>
              <w:spacing w:after="0"/>
              <w:rPr>
                <w:sz w:val="15"/>
                <w:szCs w:val="15"/>
                <w:color w:val="auto"/>
              </w:rPr>
            </w:pPr>
          </w:p>
        </w:tc>
        <w:tc>
          <w:tcPr>
            <w:tcW w:w="700" w:type="dxa"/>
            <w:vAlign w:val="bottom"/>
            <w:shd w:val="clear" w:color="auto" w:fill="E2E8F1"/>
          </w:tcPr>
          <w:p>
            <w:pPr>
              <w:spacing w:after="0"/>
              <w:rPr>
                <w:sz w:val="15"/>
                <w:szCs w:val="15"/>
                <w:color w:val="auto"/>
              </w:rPr>
            </w:pPr>
          </w:p>
        </w:tc>
        <w:tc>
          <w:tcPr>
            <w:tcW w:w="500" w:type="dxa"/>
            <w:vAlign w:val="bottom"/>
            <w:shd w:val="clear" w:color="auto" w:fill="E2E8F1"/>
          </w:tcPr>
          <w:p>
            <w:pPr>
              <w:spacing w:after="0"/>
              <w:rPr>
                <w:sz w:val="15"/>
                <w:szCs w:val="15"/>
                <w:color w:val="auto"/>
              </w:rPr>
            </w:pPr>
          </w:p>
        </w:tc>
        <w:tc>
          <w:tcPr>
            <w:tcW w:w="76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740" w:type="dxa"/>
            <w:vAlign w:val="bottom"/>
            <w:shd w:val="clear" w:color="auto" w:fill="E2E8F1"/>
          </w:tcPr>
          <w:p>
            <w:pPr>
              <w:spacing w:after="0"/>
              <w:rPr>
                <w:sz w:val="15"/>
                <w:szCs w:val="15"/>
                <w:color w:val="auto"/>
              </w:rPr>
            </w:pPr>
          </w:p>
        </w:tc>
      </w:tr>
      <w:tr>
        <w:trPr>
          <w:trHeight w:val="189"/>
        </w:trPr>
        <w:tc>
          <w:tcPr>
            <w:tcW w:w="4500" w:type="dxa"/>
            <w:vAlign w:val="bottom"/>
          </w:tcPr>
          <w:p>
            <w:pPr>
              <w:ind w:left="400"/>
              <w:spacing w:after="0" w:line="189" w:lineRule="exact"/>
              <w:rPr>
                <w:sz w:val="20"/>
                <w:szCs w:val="20"/>
                <w:color w:val="auto"/>
              </w:rPr>
            </w:pPr>
            <w:r>
              <w:rPr>
                <w:rFonts w:ascii="Arial" w:cs="Arial" w:eastAsia="Arial" w:hAnsi="Arial"/>
                <w:sz w:val="14"/>
                <w:szCs w:val="14"/>
                <w:color w:val="auto"/>
              </w:rPr>
              <w:t>Tradenames</w:t>
            </w:r>
            <w:r>
              <w:rPr>
                <w:rFonts w:ascii="Arial" w:cs="Arial" w:eastAsia="Arial" w:hAnsi="Arial"/>
                <w:sz w:val="19"/>
                <w:szCs w:val="19"/>
                <w:color w:val="auto"/>
                <w:vertAlign w:val="superscript"/>
              </w:rPr>
              <w:t>(b)</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52.0</w:t>
            </w:r>
          </w:p>
        </w:tc>
        <w:tc>
          <w:tcPr>
            <w:tcW w:w="600" w:type="dxa"/>
            <w:vAlign w:val="bottom"/>
          </w:tcPr>
          <w:p>
            <w:pPr>
              <w:spacing w:after="0"/>
              <w:rPr>
                <w:sz w:val="16"/>
                <w:szCs w:val="16"/>
                <w:color w:val="auto"/>
              </w:rPr>
            </w:pPr>
          </w:p>
        </w:tc>
        <w:tc>
          <w:tcPr>
            <w:tcW w:w="8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52.0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52.0</w:t>
            </w:r>
          </w:p>
        </w:tc>
        <w:tc>
          <w:tcPr>
            <w:tcW w:w="500" w:type="dxa"/>
            <w:vAlign w:val="bottom"/>
          </w:tcPr>
          <w:p>
            <w:pPr>
              <w:spacing w:after="0"/>
              <w:rPr>
                <w:sz w:val="16"/>
                <w:szCs w:val="16"/>
                <w:color w:val="auto"/>
              </w:rPr>
            </w:pPr>
          </w:p>
        </w:tc>
        <w:tc>
          <w:tcPr>
            <w:tcW w:w="7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52.0</w:t>
            </w:r>
          </w:p>
        </w:tc>
      </w:tr>
      <w:tr>
        <w:trPr>
          <w:trHeight w:val="189"/>
        </w:trPr>
        <w:tc>
          <w:tcPr>
            <w:tcW w:w="4500" w:type="dxa"/>
            <w:vAlign w:val="bottom"/>
            <w:tcBorders>
              <w:bottom w:val="single" w:sz="8" w:color="231F20"/>
            </w:tcBorders>
            <w:shd w:val="clear" w:color="auto" w:fill="E2E8F1"/>
          </w:tcPr>
          <w:p>
            <w:pPr>
              <w:ind w:left="400"/>
              <w:spacing w:after="0"/>
              <w:rPr>
                <w:sz w:val="20"/>
                <w:szCs w:val="20"/>
                <w:color w:val="auto"/>
              </w:rPr>
            </w:pPr>
            <w:r>
              <w:rPr>
                <w:rFonts w:ascii="Arial" w:cs="Arial" w:eastAsia="Arial" w:hAnsi="Arial"/>
                <w:sz w:val="14"/>
                <w:szCs w:val="14"/>
                <w:color w:val="auto"/>
              </w:rPr>
              <w:t>Reacquired franchise rights</w:t>
            </w:r>
          </w:p>
        </w:tc>
        <w:tc>
          <w:tcPr>
            <w:tcW w:w="160" w:type="dxa"/>
            <w:vAlign w:val="bottom"/>
            <w:tcBorders>
              <w:bottom w:val="single" w:sz="8" w:color="231F20"/>
            </w:tcBorders>
            <w:shd w:val="clear" w:color="auto" w:fill="E2E8F1"/>
          </w:tcPr>
          <w:p>
            <w:pPr>
              <w:spacing w:after="0"/>
              <w:rPr>
                <w:sz w:val="16"/>
                <w:szCs w:val="16"/>
                <w:color w:val="auto"/>
              </w:rPr>
            </w:pPr>
          </w:p>
        </w:tc>
        <w:tc>
          <w:tcPr>
            <w:tcW w:w="180" w:type="dxa"/>
            <w:vAlign w:val="bottom"/>
            <w:tcBorders>
              <w:bottom w:val="single" w:sz="8" w:color="231F20"/>
            </w:tcBorders>
            <w:shd w:val="clear" w:color="auto" w:fill="E2E8F1"/>
          </w:tcPr>
          <w:p>
            <w:pPr>
              <w:spacing w:after="0"/>
              <w:rPr>
                <w:sz w:val="16"/>
                <w:szCs w:val="16"/>
                <w:color w:val="auto"/>
              </w:rPr>
            </w:pPr>
          </w:p>
        </w:tc>
        <w:tc>
          <w:tcPr>
            <w:tcW w:w="6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125.9</w:t>
            </w:r>
          </w:p>
        </w:tc>
        <w:tc>
          <w:tcPr>
            <w:tcW w:w="600" w:type="dxa"/>
            <w:vAlign w:val="bottom"/>
            <w:tcBorders>
              <w:bottom w:val="single" w:sz="8" w:color="231F20"/>
            </w:tcBorders>
            <w:shd w:val="clear" w:color="auto" w:fill="E2E8F1"/>
          </w:tcPr>
          <w:p>
            <w:pPr>
              <w:spacing w:after="0"/>
              <w:rPr>
                <w:sz w:val="16"/>
                <w:szCs w:val="16"/>
                <w:color w:val="auto"/>
              </w:rPr>
            </w:pPr>
          </w:p>
        </w:tc>
        <w:tc>
          <w:tcPr>
            <w:tcW w:w="800" w:type="dxa"/>
            <w:vAlign w:val="bottom"/>
            <w:tcBorders>
              <w:bottom w:val="single" w:sz="8" w:color="231F20"/>
            </w:tcBorders>
            <w:shd w:val="clear" w:color="auto" w:fill="E2E8F1"/>
          </w:tcPr>
          <w:p>
            <w:pPr>
              <w:jc w:val="right"/>
              <w:ind w:right="16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231F20"/>
            </w:tcBorders>
            <w:shd w:val="clear" w:color="auto" w:fill="E2E8F1"/>
          </w:tcPr>
          <w:p>
            <w:pPr>
              <w:spacing w:after="0"/>
              <w:rPr>
                <w:sz w:val="16"/>
                <w:szCs w:val="16"/>
                <w:color w:val="auto"/>
              </w:rPr>
            </w:pPr>
          </w:p>
        </w:tc>
        <w:tc>
          <w:tcPr>
            <w:tcW w:w="76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125.9</w:t>
            </w:r>
          </w:p>
        </w:tc>
        <w:tc>
          <w:tcPr>
            <w:tcW w:w="180" w:type="dxa"/>
            <w:vAlign w:val="bottom"/>
            <w:tcBorders>
              <w:bottom w:val="single" w:sz="8" w:color="E2E8F1"/>
            </w:tcBorders>
            <w:shd w:val="clear" w:color="auto" w:fill="E2E8F1"/>
          </w:tcPr>
          <w:p>
            <w:pPr>
              <w:spacing w:after="0"/>
              <w:rPr>
                <w:sz w:val="16"/>
                <w:szCs w:val="16"/>
                <w:color w:val="auto"/>
              </w:rPr>
            </w:pPr>
          </w:p>
        </w:tc>
        <w:tc>
          <w:tcPr>
            <w:tcW w:w="160" w:type="dxa"/>
            <w:vAlign w:val="bottom"/>
            <w:tcBorders>
              <w:bottom w:val="single" w:sz="8" w:color="231F20"/>
            </w:tcBorders>
            <w:shd w:val="clear" w:color="auto" w:fill="E2E8F1"/>
          </w:tcPr>
          <w:p>
            <w:pPr>
              <w:spacing w:after="0"/>
              <w:rPr>
                <w:sz w:val="16"/>
                <w:szCs w:val="16"/>
                <w:color w:val="auto"/>
              </w:rPr>
            </w:pPr>
          </w:p>
        </w:tc>
        <w:tc>
          <w:tcPr>
            <w:tcW w:w="7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128.4</w:t>
            </w:r>
          </w:p>
        </w:tc>
        <w:tc>
          <w:tcPr>
            <w:tcW w:w="500" w:type="dxa"/>
            <w:vAlign w:val="bottom"/>
            <w:tcBorders>
              <w:bottom w:val="single" w:sz="8" w:color="231F20"/>
            </w:tcBorders>
            <w:shd w:val="clear" w:color="auto" w:fill="E2E8F1"/>
          </w:tcPr>
          <w:p>
            <w:pPr>
              <w:spacing w:after="0"/>
              <w:rPr>
                <w:sz w:val="16"/>
                <w:szCs w:val="16"/>
                <w:color w:val="auto"/>
              </w:rPr>
            </w:pPr>
          </w:p>
        </w:tc>
        <w:tc>
          <w:tcPr>
            <w:tcW w:w="760" w:type="dxa"/>
            <w:vAlign w:val="bottom"/>
            <w:tcBorders>
              <w:bottom w:val="single" w:sz="8" w:color="231F20"/>
            </w:tcBorders>
            <w:shd w:val="clear" w:color="auto" w:fill="E2E8F1"/>
          </w:tcPr>
          <w:p>
            <w:pPr>
              <w:jc w:val="right"/>
              <w:ind w:right="14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231F20"/>
            </w:tcBorders>
            <w:shd w:val="clear" w:color="auto" w:fill="E2E8F1"/>
          </w:tcPr>
          <w:p>
            <w:pPr>
              <w:spacing w:after="0"/>
              <w:rPr>
                <w:sz w:val="16"/>
                <w:szCs w:val="16"/>
                <w:color w:val="auto"/>
              </w:rPr>
            </w:pPr>
          </w:p>
        </w:tc>
        <w:tc>
          <w:tcPr>
            <w:tcW w:w="74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128.4</w:t>
            </w:r>
          </w:p>
        </w:tc>
      </w:tr>
      <w:tr>
        <w:trPr>
          <w:trHeight w:val="181"/>
        </w:trPr>
        <w:tc>
          <w:tcPr>
            <w:tcW w:w="4500" w:type="dxa"/>
            <w:vAlign w:val="bottom"/>
            <w:tcBorders>
              <w:bottom w:val="single" w:sz="8" w:color="231F20"/>
            </w:tcBorders>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177.9</w:t>
            </w:r>
          </w:p>
        </w:tc>
        <w:tc>
          <w:tcPr>
            <w:tcW w:w="60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16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177.9</w:t>
            </w:r>
          </w:p>
        </w:tc>
        <w:tc>
          <w:tcPr>
            <w:tcW w:w="18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180.4</w:t>
            </w:r>
          </w:p>
        </w:tc>
        <w:tc>
          <w:tcPr>
            <w:tcW w:w="50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14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180.4</w:t>
            </w:r>
          </w:p>
        </w:tc>
      </w:tr>
      <w:tr>
        <w:trPr>
          <w:trHeight w:val="181"/>
        </w:trPr>
        <w:tc>
          <w:tcPr>
            <w:tcW w:w="450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auto"/>
              </w:rPr>
              <w:t>Total intangible assets</w:t>
            </w:r>
          </w:p>
        </w:tc>
        <w:tc>
          <w:tcPr>
            <w:tcW w:w="340" w:type="dxa"/>
            <w:vAlign w:val="bottom"/>
            <w:tcBorders>
              <w:bottom w:val="single" w:sz="8" w:color="231F20"/>
            </w:tcBorders>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1,016.5</w:t>
            </w:r>
          </w:p>
        </w:tc>
        <w:tc>
          <w:tcPr>
            <w:tcW w:w="600" w:type="dxa"/>
            <w:vAlign w:val="bottom"/>
            <w:tcBorders>
              <w:bottom w:val="single" w:sz="8" w:color="231F20"/>
            </w:tcBorders>
            <w:shd w:val="clear" w:color="auto" w:fill="E2E8F1"/>
          </w:tcPr>
          <w:p>
            <w:pPr>
              <w:jc w:val="right"/>
              <w:ind w:right="153"/>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31F20"/>
            </w:tcBorders>
            <w:shd w:val="clear" w:color="auto" w:fill="E2E8F1"/>
          </w:tcPr>
          <w:p>
            <w:pPr>
              <w:jc w:val="right"/>
              <w:ind w:right="169"/>
              <w:spacing w:after="0"/>
              <w:rPr>
                <w:sz w:val="20"/>
                <w:szCs w:val="20"/>
                <w:color w:val="auto"/>
              </w:rPr>
            </w:pPr>
            <w:r>
              <w:rPr>
                <w:rFonts w:ascii="Arial" w:cs="Arial" w:eastAsia="Arial" w:hAnsi="Arial"/>
                <w:sz w:val="14"/>
                <w:szCs w:val="14"/>
                <w:color w:val="auto"/>
              </w:rPr>
              <w:t>530.4</w:t>
            </w:r>
          </w:p>
        </w:tc>
        <w:tc>
          <w:tcPr>
            <w:tcW w:w="280" w:type="dxa"/>
            <w:vAlign w:val="bottom"/>
            <w:tcBorders>
              <w:bottom w:val="single" w:sz="8" w:color="231F20"/>
            </w:tcBorders>
            <w:shd w:val="clear" w:color="auto" w:fill="E2E8F1"/>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486.1</w:t>
            </w:r>
          </w:p>
        </w:tc>
        <w:tc>
          <w:tcPr>
            <w:tcW w:w="180" w:type="dxa"/>
            <w:vAlign w:val="bottom"/>
            <w:tcBorders>
              <w:bottom w:val="single" w:sz="8" w:color="auto"/>
            </w:tcBorders>
            <w:shd w:val="clear" w:color="auto" w:fill="E2E8F1"/>
          </w:tcPr>
          <w:p>
            <w:pPr>
              <w:spacing w:after="0"/>
              <w:rPr>
                <w:sz w:val="15"/>
                <w:szCs w:val="15"/>
                <w:color w:val="auto"/>
              </w:rPr>
            </w:pPr>
          </w:p>
        </w:tc>
        <w:tc>
          <w:tcPr>
            <w:tcW w:w="160" w:type="dxa"/>
            <w:vAlign w:val="bottom"/>
            <w:tcBorders>
              <w:bottom w:val="single" w:sz="8" w:color="231F20"/>
            </w:tcBorders>
            <w:shd w:val="clear" w:color="auto" w:fill="E2E8F1"/>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1,026.8</w:t>
            </w:r>
          </w:p>
        </w:tc>
        <w:tc>
          <w:tcPr>
            <w:tcW w:w="500" w:type="dxa"/>
            <w:vAlign w:val="bottom"/>
            <w:tcBorders>
              <w:bottom w:val="single" w:sz="8" w:color="231F20"/>
            </w:tcBorders>
            <w:shd w:val="clear" w:color="auto" w:fill="E2E8F1"/>
          </w:tcPr>
          <w:p>
            <w:pPr>
              <w:ind w:left="2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231F20"/>
            </w:tcBorders>
            <w:shd w:val="clear" w:color="auto" w:fill="E2E8F1"/>
          </w:tcPr>
          <w:p>
            <w:pPr>
              <w:jc w:val="right"/>
              <w:ind w:right="149"/>
              <w:spacing w:after="0"/>
              <w:rPr>
                <w:sz w:val="20"/>
                <w:szCs w:val="20"/>
                <w:color w:val="auto"/>
              </w:rPr>
            </w:pPr>
            <w:r>
              <w:rPr>
                <w:rFonts w:ascii="Arial" w:cs="Arial" w:eastAsia="Arial" w:hAnsi="Arial"/>
                <w:sz w:val="14"/>
                <w:szCs w:val="14"/>
                <w:color w:val="auto"/>
              </w:rPr>
              <w:t>507.2</w:t>
            </w:r>
          </w:p>
        </w:tc>
        <w:tc>
          <w:tcPr>
            <w:tcW w:w="260" w:type="dxa"/>
            <w:vAlign w:val="bottom"/>
            <w:tcBorders>
              <w:bottom w:val="single" w:sz="8" w:color="231F20"/>
            </w:tcBorders>
            <w:shd w:val="clear" w:color="auto" w:fill="E2E8F1"/>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519.6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-1659255</wp:posOffset>
            </wp:positionV>
            <wp:extent cx="10541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-1373505</wp:posOffset>
            </wp:positionV>
            <wp:extent cx="10541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-1245870</wp:posOffset>
            </wp:positionV>
            <wp:extent cx="10541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-757555</wp:posOffset>
            </wp:positionV>
            <wp:extent cx="10541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-262255</wp:posOffset>
            </wp:positionV>
            <wp:extent cx="10541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49" w:lineRule="exact"/>
        <w:rPr>
          <w:sz w:val="20"/>
          <w:szCs w:val="20"/>
          <w:color w:val="auto"/>
        </w:rPr>
      </w:pPr>
    </w:p>
    <w:p>
      <w:pPr>
        <w:ind w:left="325" w:hanging="325"/>
        <w:spacing w:after="0"/>
        <w:tabs>
          <w:tab w:leader="none" w:pos="325" w:val="left"/>
        </w:tabs>
        <w:numPr>
          <w:ilvl w:val="0"/>
          <w:numId w:val="34"/>
        </w:numPr>
        <w:rPr>
          <w:rFonts w:ascii="Arial" w:cs="Arial" w:eastAsia="Arial" w:hAnsi="Arial"/>
          <w:sz w:val="17"/>
          <w:szCs w:val="17"/>
          <w:color w:val="231F20"/>
          <w:vertAlign w:val="superscript"/>
        </w:rPr>
      </w:pPr>
      <w:r>
        <w:rPr>
          <w:rFonts w:ascii="Arial" w:cs="Arial" w:eastAsia="Arial" w:hAnsi="Arial"/>
          <w:sz w:val="13"/>
          <w:szCs w:val="13"/>
          <w:color w:val="231F20"/>
        </w:rPr>
        <w:t>Balances were net of accumulated impairment loss of $749.3 as of both December 31, 2024 and 2023.</w:t>
      </w:r>
    </w:p>
    <w:p>
      <w:pPr>
        <w:spacing w:after="0" w:line="11" w:lineRule="exact"/>
        <w:rPr>
          <w:rFonts w:ascii="Arial" w:cs="Arial" w:eastAsia="Arial" w:hAnsi="Arial"/>
          <w:sz w:val="17"/>
          <w:szCs w:val="17"/>
          <w:color w:val="231F20"/>
          <w:vertAlign w:val="superscript"/>
        </w:rPr>
      </w:pPr>
    </w:p>
    <w:p>
      <w:pPr>
        <w:ind w:left="325" w:hanging="325"/>
        <w:spacing w:after="0" w:line="189" w:lineRule="auto"/>
        <w:tabs>
          <w:tab w:leader="none" w:pos="325" w:val="left"/>
        </w:tabs>
        <w:numPr>
          <w:ilvl w:val="0"/>
          <w:numId w:val="34"/>
        </w:numPr>
        <w:rPr>
          <w:rFonts w:ascii="Arial" w:cs="Arial" w:eastAsia="Arial" w:hAnsi="Arial"/>
          <w:sz w:val="17"/>
          <w:szCs w:val="17"/>
          <w:color w:val="231F20"/>
          <w:vertAlign w:val="superscript"/>
        </w:rPr>
      </w:pPr>
      <w:r>
        <w:rPr>
          <w:rFonts w:ascii="Arial" w:cs="Arial" w:eastAsia="Arial" w:hAnsi="Arial"/>
          <w:sz w:val="13"/>
          <w:szCs w:val="13"/>
          <w:color w:val="231F20"/>
        </w:rPr>
        <w:t>Balances were net of accumulated impairment loss of $139.5 as of both December 31, 2024 and 2023.</w:t>
      </w:r>
    </w:p>
    <w:p>
      <w:pPr>
        <w:spacing w:after="0" w:line="64" w:lineRule="exact"/>
        <w:rPr>
          <w:sz w:val="20"/>
          <w:szCs w:val="20"/>
          <w:color w:val="auto"/>
        </w:rPr>
      </w:pPr>
    </w:p>
    <w:p>
      <w:pPr>
        <w:jc w:val="both"/>
        <w:ind w:left="5"/>
        <w:spacing w:after="0" w:line="236" w:lineRule="auto"/>
        <w:rPr>
          <w:sz w:val="20"/>
          <w:szCs w:val="20"/>
          <w:color w:val="auto"/>
        </w:rPr>
      </w:pPr>
      <w:r>
        <w:rPr>
          <w:rFonts w:ascii="Arial" w:cs="Arial" w:eastAsia="Arial" w:hAnsi="Arial"/>
          <w:sz w:val="16"/>
          <w:szCs w:val="16"/>
          <w:color w:val="231F20"/>
        </w:rPr>
        <w:t>The consolidated amortization expense related to intangibles was $32.7, $34.6 and $37.1 in 2024, 2023 and 2022, respectively. Amortization expense expected in each of the next five years related to acquisitions completed as of December 31, 2024 is as follows: 2025 - $31.0, 2026 - $27.5, 2027 - $ 26.9, 2028 - $26.9 and 2029 - $26.5. The weighted-average useful lives of the customer relationships and other are approximately 14 and 5 years, respectively. The tradenames have been assigned an indefinite life based on our expectation of renewing the tradenames, as required, without material modifications and at a minimal cost, and our expectation of positive cash flows beyond the foreseeable future. Indefinite-lived reacquired franchise rights resulted from our franchise acquisitions in the United States, Switzerland and Canada. These rights entitled the franchisees with unilateral control to operate perpetually in particular territories and have therefore been assigned an indefinite life.</w:t>
      </w:r>
    </w:p>
    <w:p>
      <w:pPr>
        <w:spacing w:after="0" w:line="70"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231F20"/>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 In the event the fair value of a reporting unit is less than the carrying value, including goodwill, we would record an impairment charge based on the excess of a reporting units’ carrying amount over its fair value.</w:t>
      </w:r>
    </w:p>
    <w:p>
      <w:pPr>
        <w:spacing w:after="0" w:line="65" w:lineRule="exact"/>
        <w:rPr>
          <w:sz w:val="20"/>
          <w:szCs w:val="20"/>
          <w:color w:val="auto"/>
        </w:rPr>
      </w:pPr>
    </w:p>
    <w:p>
      <w:pPr>
        <w:jc w:val="both"/>
        <w:ind w:left="5"/>
        <w:spacing w:after="0" w:line="236" w:lineRule="auto"/>
        <w:rPr>
          <w:sz w:val="20"/>
          <w:szCs w:val="20"/>
          <w:color w:val="auto"/>
        </w:rPr>
      </w:pPr>
      <w:r>
        <w:rPr>
          <w:rFonts w:ascii="Arial" w:cs="Arial" w:eastAsia="Arial" w:hAnsi="Arial"/>
          <w:sz w:val="16"/>
          <w:szCs w:val="16"/>
          <w:color w:val="231F20"/>
        </w:rPr>
        <w:t>We evaluate the recoverability of goodwill utilizing an income approach that estimates the fair value of the future discounted cash flows to which the goodwill relates. This approach reflects management’s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terminal value multiple. The expected future revenue growth rates and operating unit profit margins are determined after taking into consideration our historical revenue growth rates and operating unit profit margins, our assessment of future market potential and our expectations of future business performance. We believe that the future discounted cash flow valuation model provides the most reasonable and meaningful fair value estimate based on the reporting units’ projections of future operating results and cash flows and is consistent with our view of how market participants would value the company’s reporting units in an orderly transaction.</w:t>
      </w:r>
    </w:p>
    <w:p>
      <w:pPr>
        <w:spacing w:after="0" w:line="16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58" w:name="page59"/>
    <w:bookmarkEnd w:id="58"/>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We performed our annual impairment test of our goodwill and indefinite-lived intangible assets during the third quarter of 2024, and determined that there was no impairment of our goodwill or indefinite-lived intangible assets as a result of our annual test. The excess of fair value over carrying amount for our goodwill reporting units, which exceeded 15% or more of the respective carrying amounts, was sufficient to conclude that no impairment was indicated. The reacquired franchise right associated with our Switzerland business, which is an infinite-lived intangible asset, had an excess of fair value over carrying value of 5.2%. Key assumptions included in the impairment test included a discount rate of 13.1% and OUP margins ranging from 2.3% to 5.5%. The carrying value of the reacquired franchise right as of June 30, 2024 was $27.7.</w:t>
      </w:r>
    </w:p>
    <w:p>
      <w:pPr>
        <w:spacing w:after="0" w:line="6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While the excess of fair value over carrying amount exceeded 15% for our reporting units, we did see a lower level of excess fair value year over year in many of our North America and Europe reporting units including three of these reporting units which approximate $1,243.0 of the consolidated goodwill balance. Given the current macroeconomic conditions in these regions, our assumptions on near-term expected future revenue growth rates and operating profit margins were lower than in the prior year assessment. Market conditions in North America and Europe continue to remain challenging given the economic uncertainty including the uncertainty surrounding the timing of an inflection point for improving market conditions. Management closely monitors the results of the reporting units and comparisons to the key assumptions used in our fair value estimate at the time of our annual impairment test, in addition to operational initiatives and macroeconomic conditions, which may impact the results of the reporting units.</w:t>
      </w:r>
    </w:p>
    <w:p>
      <w:pPr>
        <w:spacing w:after="0" w:line="7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During the fourth quarter of 2024, in connection with the preparation of our annual financial statements, we assessed the changes in circumstances that occurred during the quarter to determine if it was more likely than not that the fair value of any reporting unit or indefinite-lived intangible asset were below its carrying amount. While we continued to see challenging market conditions in Europe which led to lower levels of revenue and OUP in certain of our reporting units than we had forecasted at the time of our impairment testing, we concluded based on our analysis performed, that the fair value of these reporting units continued to exceed the carrying value and did not identify a triggering event.</w:t>
      </w:r>
    </w:p>
    <w:p>
      <w:pPr>
        <w:spacing w:after="0" w:line="6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There could be significant further decreases in the operating results of our reporting units for a sustained period, which may result in a recognition of goodwill impairment that could be material to the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Capitalized Software for Internal Use</w:t>
      </w:r>
    </w:p>
    <w:p>
      <w:pPr>
        <w:spacing w:after="0" w:line="88"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231F20"/>
        </w:rPr>
        <w:t>We capitalize purchased software as well as internally developed software. Internal software development costs are capitalized from the time when the internal-use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$36.5 and $44.7 as of December 31, 2024 and 2023, respectively, is included in other assets in the Consolidated Balance Sheets. Amortization expense related to the capitalized software costs, which is included in selling and administrative expenses, was $15.8, $13.8 and $9.8 for 2024, 2023 and 2022, respectively. In 2023, we also recorded software impairment charges of $2.2.</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Cloud Computing Arrangements</w:t>
      </w:r>
    </w:p>
    <w:p>
      <w:pPr>
        <w:spacing w:after="0" w:line="8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We utilize cloud computing arrangements such as hosting arrangements that are service contracts, whereby we gain remote access to use software hosted by the vendor or another third party on an as-needed basis for a period of time in exchange for a subscription fee. Subscription fees are usually prepaid and recorded in selling and administrative expenses over the related subscription period. Certain implementation costs for cloud computing arrangements are capitalized in prepaid expenses or other noncurrent assets if they consist of internal and external costs directly attributable to developing and configuring cloud computing software for its intended use. Amortization of capitalized implementation costs is recorded in selling and administrative expenses on a straight-line basis over the term of the cloud computing arrangement, which is the non-cancellable period of agreement, together with periods covered by renewal options that we are reasonably certain to exercise. The unamortized implementation costs related to our cloud computing arrangements were $110.8, $54.6 and $19.9 as of December 31, 2024, 2023 and 2022,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59" w:name="page60"/>
    <w:bookmarkEnd w:id="59"/>
    <w:p>
      <w:pPr>
        <w:ind w:left="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Property and Equipment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231F20"/>
        </w:rPr>
        <w:t>A summary of property and equipment as of December 31 is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580" w:type="dxa"/>
            <w:vAlign w:val="bottom"/>
            <w:tcBorders>
              <w:top w:val="single" w:sz="8" w:color="231F20"/>
              <w:bottom w:val="single" w:sz="8" w:color="auto"/>
            </w:tcBorders>
            <w:shd w:val="clear" w:color="auto" w:fill="98B0CF"/>
          </w:tcPr>
          <w:p>
            <w:pPr>
              <w:spacing w:after="0"/>
              <w:rPr>
                <w:sz w:val="18"/>
                <w:szCs w:val="18"/>
                <w:color w:val="auto"/>
              </w:rPr>
            </w:pPr>
          </w:p>
        </w:tc>
        <w:tc>
          <w:tcPr>
            <w:tcW w:w="1240" w:type="dxa"/>
            <w:vAlign w:val="bottom"/>
            <w:tcBorders>
              <w:top w:val="single" w:sz="8" w:color="231F20"/>
              <w:bottom w:val="single" w:sz="8" w:color="auto"/>
            </w:tcBorders>
            <w:shd w:val="clear" w:color="auto" w:fill="98B0CF"/>
          </w:tcPr>
          <w:p>
            <w:pPr>
              <w:jc w:val="right"/>
              <w:ind w:right="52"/>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top w:val="single" w:sz="8" w:color="231F20"/>
              <w:bottom w:val="single" w:sz="8" w:color="auto"/>
            </w:tcBorders>
            <w:shd w:val="clear" w:color="auto" w:fill="98B0CF"/>
          </w:tcPr>
          <w:p>
            <w:pPr>
              <w:spacing w:after="0"/>
              <w:rPr>
                <w:sz w:val="18"/>
                <w:szCs w:val="18"/>
                <w:color w:val="auto"/>
              </w:rPr>
            </w:pPr>
          </w:p>
        </w:tc>
        <w:tc>
          <w:tcPr>
            <w:tcW w:w="540" w:type="dxa"/>
            <w:vAlign w:val="bottom"/>
            <w:tcBorders>
              <w:top w:val="single" w:sz="8" w:color="231F20"/>
              <w:bottom w:val="single" w:sz="8" w:color="auto"/>
            </w:tcBorders>
            <w:shd w:val="clear" w:color="auto" w:fill="98B0CF"/>
          </w:tcPr>
          <w:p>
            <w:pPr>
              <w:spacing w:after="0"/>
              <w:rPr>
                <w:sz w:val="18"/>
                <w:szCs w:val="18"/>
                <w:color w:val="auto"/>
              </w:rPr>
            </w:pPr>
          </w:p>
        </w:tc>
        <w:tc>
          <w:tcPr>
            <w:tcW w:w="1240" w:type="dxa"/>
            <w:vAlign w:val="bottom"/>
            <w:tcBorders>
              <w:top w:val="single" w:sz="8" w:color="231F20"/>
              <w:bottom w:val="single" w:sz="8" w:color="auto"/>
            </w:tcBorders>
            <w:shd w:val="clear" w:color="auto" w:fill="98B0CF"/>
          </w:tcPr>
          <w:p>
            <w:pPr>
              <w:jc w:val="right"/>
              <w:ind w:right="650"/>
              <w:spacing w:after="0"/>
              <w:rPr>
                <w:sz w:val="20"/>
                <w:szCs w:val="20"/>
                <w:color w:val="auto"/>
              </w:rPr>
            </w:pPr>
            <w:r>
              <w:rPr>
                <w:rFonts w:ascii="Arial" w:cs="Arial" w:eastAsia="Arial" w:hAnsi="Arial"/>
                <w:sz w:val="13"/>
                <w:szCs w:val="13"/>
                <w:b w:val="1"/>
                <w:bCs w:val="1"/>
                <w:color w:val="auto"/>
              </w:rPr>
              <w:t>2023</w:t>
            </w:r>
          </w:p>
        </w:tc>
      </w:tr>
      <w:tr>
        <w:trPr>
          <w:trHeight w:val="187"/>
        </w:trPr>
        <w:tc>
          <w:tcPr>
            <w:tcW w:w="7580" w:type="dxa"/>
            <w:vAlign w:val="bottom"/>
            <w:shd w:val="clear" w:color="auto" w:fill="E2E8F1"/>
          </w:tcPr>
          <w:p>
            <w:pPr>
              <w:ind w:left="80"/>
              <w:spacing w:after="0"/>
              <w:rPr>
                <w:sz w:val="20"/>
                <w:szCs w:val="20"/>
                <w:color w:val="auto"/>
              </w:rPr>
            </w:pPr>
            <w:r>
              <w:rPr>
                <w:rFonts w:ascii="Arial" w:cs="Arial" w:eastAsia="Arial" w:hAnsi="Arial"/>
                <w:sz w:val="14"/>
                <w:szCs w:val="14"/>
                <w:color w:val="auto"/>
              </w:rPr>
              <w:t>Land</w:t>
            </w:r>
          </w:p>
        </w:tc>
        <w:tc>
          <w:tcPr>
            <w:tcW w:w="1240" w:type="dxa"/>
            <w:vAlign w:val="bottom"/>
            <w:shd w:val="clear" w:color="auto" w:fill="E2E8F1"/>
          </w:tcPr>
          <w:p>
            <w:pPr>
              <w:jc w:val="right"/>
              <w:ind w:right="832"/>
              <w:spacing w:after="0"/>
              <w:rPr>
                <w:sz w:val="20"/>
                <w:szCs w:val="20"/>
                <w:color w:val="auto"/>
              </w:rPr>
            </w:pPr>
            <w:r>
              <w:rPr>
                <w:rFonts w:ascii="Arial" w:cs="Arial" w:eastAsia="Arial" w:hAnsi="Arial"/>
                <w:sz w:val="14"/>
                <w:szCs w:val="14"/>
                <w:color w:val="auto"/>
              </w:rPr>
              <w:t>$</w:t>
            </w:r>
          </w:p>
        </w:tc>
        <w:tc>
          <w:tcPr>
            <w:tcW w:w="660" w:type="dxa"/>
            <w:vAlign w:val="bottom"/>
            <w:shd w:val="clear" w:color="auto" w:fill="E2E8F1"/>
          </w:tcPr>
          <w:p>
            <w:pPr>
              <w:jc w:val="right"/>
              <w:ind w:right="129"/>
              <w:spacing w:after="0"/>
              <w:rPr>
                <w:sz w:val="20"/>
                <w:szCs w:val="20"/>
                <w:color w:val="auto"/>
              </w:rPr>
            </w:pPr>
            <w:r>
              <w:rPr>
                <w:rFonts w:ascii="Arial" w:cs="Arial" w:eastAsia="Arial" w:hAnsi="Arial"/>
                <w:sz w:val="14"/>
                <w:szCs w:val="14"/>
                <w:color w:val="auto"/>
              </w:rPr>
              <w:t>0.4</w:t>
            </w:r>
          </w:p>
        </w:tc>
        <w:tc>
          <w:tcPr>
            <w:tcW w:w="540" w:type="dxa"/>
            <w:vAlign w:val="bottom"/>
            <w:shd w:val="clear" w:color="auto" w:fill="E2E8F1"/>
          </w:tcPr>
          <w:p>
            <w:pPr>
              <w:jc w:val="right"/>
              <w:ind w:right="189"/>
              <w:spacing w:after="0"/>
              <w:rPr>
                <w:sz w:val="20"/>
                <w:szCs w:val="20"/>
                <w:color w:val="auto"/>
              </w:rPr>
            </w:pPr>
            <w:r>
              <w:rPr>
                <w:rFonts w:ascii="Arial" w:cs="Arial" w:eastAsia="Arial" w:hAnsi="Arial"/>
                <w:sz w:val="14"/>
                <w:szCs w:val="14"/>
                <w:color w:val="auto"/>
              </w:rPr>
              <w:t>$</w:t>
            </w:r>
          </w:p>
        </w:tc>
        <w:tc>
          <w:tcPr>
            <w:tcW w:w="12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0.4</w:t>
            </w:r>
          </w:p>
        </w:tc>
      </w:tr>
      <w:tr>
        <w:trPr>
          <w:trHeight w:val="189"/>
        </w:trPr>
        <w:tc>
          <w:tcPr>
            <w:tcW w:w="7580" w:type="dxa"/>
            <w:vAlign w:val="bottom"/>
          </w:tcPr>
          <w:p>
            <w:pPr>
              <w:ind w:left="80"/>
              <w:spacing w:after="0"/>
              <w:rPr>
                <w:sz w:val="20"/>
                <w:szCs w:val="20"/>
                <w:color w:val="auto"/>
              </w:rPr>
            </w:pPr>
            <w:r>
              <w:rPr>
                <w:rFonts w:ascii="Arial" w:cs="Arial" w:eastAsia="Arial" w:hAnsi="Arial"/>
                <w:sz w:val="14"/>
                <w:szCs w:val="14"/>
                <w:color w:val="auto"/>
              </w:rPr>
              <w:t>Buildings</w:t>
            </w:r>
          </w:p>
        </w:tc>
        <w:tc>
          <w:tcPr>
            <w:tcW w:w="124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Arial" w:cs="Arial" w:eastAsia="Arial" w:hAnsi="Arial"/>
                <w:sz w:val="14"/>
                <w:szCs w:val="14"/>
                <w:color w:val="auto"/>
              </w:rPr>
              <w:t>6.0</w:t>
            </w:r>
          </w:p>
        </w:tc>
        <w:tc>
          <w:tcPr>
            <w:tcW w:w="540" w:type="dxa"/>
            <w:vAlign w:val="bottom"/>
          </w:tcPr>
          <w:p>
            <w:pPr>
              <w:spacing w:after="0"/>
              <w:rPr>
                <w:sz w:val="16"/>
                <w:szCs w:val="16"/>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6.4</w:t>
            </w:r>
          </w:p>
        </w:tc>
      </w:tr>
      <w:tr>
        <w:trPr>
          <w:trHeight w:val="189"/>
        </w:trPr>
        <w:tc>
          <w:tcPr>
            <w:tcW w:w="7580" w:type="dxa"/>
            <w:vAlign w:val="bottom"/>
            <w:shd w:val="clear" w:color="auto" w:fill="E2E8F1"/>
          </w:tcPr>
          <w:p>
            <w:pPr>
              <w:ind w:left="80"/>
              <w:spacing w:after="0"/>
              <w:rPr>
                <w:sz w:val="20"/>
                <w:szCs w:val="20"/>
                <w:color w:val="auto"/>
              </w:rPr>
            </w:pPr>
            <w:r>
              <w:rPr>
                <w:rFonts w:ascii="Arial" w:cs="Arial" w:eastAsia="Arial" w:hAnsi="Arial"/>
                <w:sz w:val="14"/>
                <w:szCs w:val="14"/>
                <w:color w:val="auto"/>
              </w:rPr>
              <w:t>Furniture, fixtures, and autos</w:t>
            </w:r>
          </w:p>
        </w:tc>
        <w:tc>
          <w:tcPr>
            <w:tcW w:w="1240" w:type="dxa"/>
            <w:vAlign w:val="bottom"/>
            <w:shd w:val="clear" w:color="auto" w:fill="E2E8F1"/>
          </w:tcPr>
          <w:p>
            <w:pPr>
              <w:spacing w:after="0"/>
              <w:rPr>
                <w:sz w:val="16"/>
                <w:szCs w:val="16"/>
                <w:color w:val="auto"/>
              </w:rPr>
            </w:pPr>
          </w:p>
        </w:tc>
        <w:tc>
          <w:tcPr>
            <w:tcW w:w="660" w:type="dxa"/>
            <w:vAlign w:val="bottom"/>
            <w:shd w:val="clear" w:color="auto" w:fill="E2E8F1"/>
          </w:tcPr>
          <w:p>
            <w:pPr>
              <w:jc w:val="right"/>
              <w:ind w:right="129"/>
              <w:spacing w:after="0"/>
              <w:rPr>
                <w:sz w:val="20"/>
                <w:szCs w:val="20"/>
                <w:color w:val="auto"/>
              </w:rPr>
            </w:pPr>
            <w:r>
              <w:rPr>
                <w:rFonts w:ascii="Arial" w:cs="Arial" w:eastAsia="Arial" w:hAnsi="Arial"/>
                <w:sz w:val="14"/>
                <w:szCs w:val="14"/>
                <w:color w:val="auto"/>
              </w:rPr>
              <w:t>145.6</w:t>
            </w:r>
          </w:p>
        </w:tc>
        <w:tc>
          <w:tcPr>
            <w:tcW w:w="540" w:type="dxa"/>
            <w:vAlign w:val="bottom"/>
            <w:shd w:val="clear" w:color="auto" w:fill="E2E8F1"/>
          </w:tcPr>
          <w:p>
            <w:pPr>
              <w:spacing w:after="0"/>
              <w:rPr>
                <w:sz w:val="16"/>
                <w:szCs w:val="16"/>
                <w:color w:val="auto"/>
              </w:rPr>
            </w:pPr>
          </w:p>
        </w:tc>
        <w:tc>
          <w:tcPr>
            <w:tcW w:w="12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148.5</w:t>
            </w:r>
          </w:p>
        </w:tc>
      </w:tr>
      <w:tr>
        <w:trPr>
          <w:trHeight w:val="189"/>
        </w:trPr>
        <w:tc>
          <w:tcPr>
            <w:tcW w:w="7580" w:type="dxa"/>
            <w:vAlign w:val="bottom"/>
          </w:tcPr>
          <w:p>
            <w:pPr>
              <w:ind w:left="80"/>
              <w:spacing w:after="0"/>
              <w:rPr>
                <w:sz w:val="20"/>
                <w:szCs w:val="20"/>
                <w:color w:val="auto"/>
              </w:rPr>
            </w:pPr>
            <w:r>
              <w:rPr>
                <w:rFonts w:ascii="Arial" w:cs="Arial" w:eastAsia="Arial" w:hAnsi="Arial"/>
                <w:sz w:val="14"/>
                <w:szCs w:val="14"/>
                <w:color w:val="auto"/>
              </w:rPr>
              <w:t>Computer equipment</w:t>
            </w:r>
          </w:p>
        </w:tc>
        <w:tc>
          <w:tcPr>
            <w:tcW w:w="124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Arial" w:cs="Arial" w:eastAsia="Arial" w:hAnsi="Arial"/>
                <w:sz w:val="14"/>
                <w:szCs w:val="14"/>
                <w:color w:val="auto"/>
              </w:rPr>
              <w:t>106.1</w:t>
            </w:r>
          </w:p>
        </w:tc>
        <w:tc>
          <w:tcPr>
            <w:tcW w:w="540" w:type="dxa"/>
            <w:vAlign w:val="bottom"/>
          </w:tcPr>
          <w:p>
            <w:pPr>
              <w:spacing w:after="0"/>
              <w:rPr>
                <w:sz w:val="16"/>
                <w:szCs w:val="16"/>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127.3</w:t>
            </w:r>
          </w:p>
        </w:tc>
      </w:tr>
      <w:tr>
        <w:trPr>
          <w:trHeight w:val="189"/>
        </w:trPr>
        <w:tc>
          <w:tcPr>
            <w:tcW w:w="758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auto"/>
              </w:rPr>
              <w:t>Leasehold improvements</w:t>
            </w:r>
          </w:p>
        </w:tc>
        <w:tc>
          <w:tcPr>
            <w:tcW w:w="1240" w:type="dxa"/>
            <w:vAlign w:val="bottom"/>
            <w:tcBorders>
              <w:bottom w:val="single" w:sz="8" w:color="231F20"/>
            </w:tcBorders>
            <w:shd w:val="clear" w:color="auto" w:fill="E2E8F1"/>
          </w:tcPr>
          <w:p>
            <w:pPr>
              <w:spacing w:after="0"/>
              <w:rPr>
                <w:sz w:val="16"/>
                <w:szCs w:val="16"/>
                <w:color w:val="auto"/>
              </w:rPr>
            </w:pPr>
          </w:p>
        </w:tc>
        <w:tc>
          <w:tcPr>
            <w:tcW w:w="660" w:type="dxa"/>
            <w:vAlign w:val="bottom"/>
            <w:tcBorders>
              <w:bottom w:val="single" w:sz="8" w:color="231F20"/>
            </w:tcBorders>
            <w:shd w:val="clear" w:color="auto" w:fill="E2E8F1"/>
          </w:tcPr>
          <w:p>
            <w:pPr>
              <w:jc w:val="right"/>
              <w:ind w:right="129"/>
              <w:spacing w:after="0"/>
              <w:rPr>
                <w:sz w:val="20"/>
                <w:szCs w:val="20"/>
                <w:color w:val="auto"/>
              </w:rPr>
            </w:pPr>
            <w:r>
              <w:rPr>
                <w:rFonts w:ascii="Arial" w:cs="Arial" w:eastAsia="Arial" w:hAnsi="Arial"/>
                <w:sz w:val="14"/>
                <w:szCs w:val="14"/>
                <w:color w:val="auto"/>
              </w:rPr>
              <w:t>230.1</w:t>
            </w:r>
          </w:p>
        </w:tc>
        <w:tc>
          <w:tcPr>
            <w:tcW w:w="540" w:type="dxa"/>
            <w:vAlign w:val="bottom"/>
            <w:tcBorders>
              <w:bottom w:val="single" w:sz="8" w:color="231F20"/>
            </w:tcBorders>
            <w:shd w:val="clear" w:color="auto" w:fill="E2E8F1"/>
          </w:tcPr>
          <w:p>
            <w:pPr>
              <w:spacing w:after="0"/>
              <w:rPr>
                <w:sz w:val="16"/>
                <w:szCs w:val="16"/>
                <w:color w:val="auto"/>
              </w:rPr>
            </w:pPr>
          </w:p>
        </w:tc>
        <w:tc>
          <w:tcPr>
            <w:tcW w:w="124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243.9</w:t>
            </w:r>
          </w:p>
        </w:tc>
      </w:tr>
      <w:tr>
        <w:trPr>
          <w:trHeight w:val="181"/>
        </w:trPr>
        <w:tc>
          <w:tcPr>
            <w:tcW w:w="758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auto"/>
              </w:rPr>
              <w:t>Property and equipment</w:t>
            </w:r>
          </w:p>
        </w:tc>
        <w:tc>
          <w:tcPr>
            <w:tcW w:w="1240" w:type="dxa"/>
            <w:vAlign w:val="bottom"/>
            <w:tcBorders>
              <w:bottom w:val="single" w:sz="8" w:color="231F20"/>
            </w:tcBorders>
          </w:tcPr>
          <w:p>
            <w:pPr>
              <w:jc w:val="right"/>
              <w:ind w:right="83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231F20"/>
            </w:tcBorders>
          </w:tcPr>
          <w:p>
            <w:pPr>
              <w:jc w:val="right"/>
              <w:ind w:right="129"/>
              <w:spacing w:after="0"/>
              <w:rPr>
                <w:sz w:val="20"/>
                <w:szCs w:val="20"/>
                <w:color w:val="auto"/>
              </w:rPr>
            </w:pPr>
            <w:r>
              <w:rPr>
                <w:rFonts w:ascii="Arial" w:cs="Arial" w:eastAsia="Arial" w:hAnsi="Arial"/>
                <w:sz w:val="14"/>
                <w:szCs w:val="14"/>
                <w:color w:val="auto"/>
              </w:rPr>
              <w:t>488.2</w:t>
            </w:r>
          </w:p>
        </w:tc>
        <w:tc>
          <w:tcPr>
            <w:tcW w:w="540" w:type="dxa"/>
            <w:vAlign w:val="bottom"/>
            <w:tcBorders>
              <w:bottom w:val="single" w:sz="8" w:color="231F20"/>
            </w:tcBorders>
          </w:tcPr>
          <w:p>
            <w:pPr>
              <w:jc w:val="right"/>
              <w:ind w:right="18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526.5</w:t>
            </w:r>
          </w:p>
        </w:tc>
      </w:tr>
    </w:tbl>
    <w:p>
      <w:pPr>
        <w:spacing w:after="0" w:line="9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Property and equipment are stated at cost and are depreciated using primarily the straight-line method over the following estimated useful lives: buildings - up to 40 years; furniture, fixtures, autos and computer equipment - 3 to 16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Leases</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We recognize right-of-use assets (“ROU”) and lease liabilities on the balance sheet for leases with lease terms longer than 12 months and we classify the lease as a finance or operating lease which affects the recognition, measurement, and presentation of lease expenses and cash flows.</w:t>
      </w:r>
    </w:p>
    <w:p>
      <w:pPr>
        <w:spacing w:after="0" w:line="5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We have operating leases for real estate, vehicles, and equipment. Our leases have remaining lease terms of 1 month to 15 years. Our lease agreements may include renewal or termination options for varying periods that are generally at our discretion. In our lease term, we only include those periods related to renewal options we are reasonably certain to exercise. However, we generally do not include these renewal options as we are not reasonably certain to renew at the lease commencement date. This determination is based on our consideration of certain economic, strategic and other factors that we evaluate at lease commencement date and reevaluate throughout the lease term. Some leases also include options to terminate the contracts, and we only include those periods beyond the termination date if we are reasonably certain not to exercise the termination option.</w:t>
      </w:r>
    </w:p>
    <w:p>
      <w:pPr>
        <w:spacing w:after="0" w:line="6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Some leasing arrangements require variable payments that are dependent on usage or may vary for other reasons, such as payments for insurance and tax payments. The variable portion of lease payments is not included in our ROU assets or lease liabilities. Rather, variable payments, other than those dependent upon an index or rate, are expensed when the obligation for those payments is incurred and are included in lease expenses recorded in selling and administrative expenses on the Consolidated Statements of Operations.</w:t>
      </w:r>
    </w:p>
    <w:p>
      <w:pPr>
        <w:spacing w:after="0" w:line="6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We have lease agreements with both lease and non-lease components that are treated as a single lease component for all underlying asset classes. Accordingly, all expenses associated with a lease contract are accounted for as lease expenses.</w:t>
      </w:r>
    </w:p>
    <w:p>
      <w:pPr>
        <w:spacing w:after="0" w:line="51"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Leases with a term of 12 months or less are not recognized on the balance sheet, but rather expensed on a straight-line basis over the lease term. We do not include significant restrictions or covenants in our lease agreements, and residual value guarantees are generally not included within our operating leases. As of December 31, 2024, we did not have any material additional operating leases that have not yet commenced.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Derivative Financial Instruments</w:t>
      </w:r>
    </w:p>
    <w:p>
      <w:pPr>
        <w:spacing w:after="0" w:line="88"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231F20"/>
        </w:rPr>
        <w:t>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loss and recognized in the Consolidated Statements of Operations when the hedged item affects earnings. The ineffective portions of the changes in the fair value of cash flow hedges are recognized in earnings.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60" w:name="page61"/>
    <w:bookmarkEnd w:id="60"/>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Foreign Currency Translation</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231F20"/>
        </w:rPr>
        <w:t>Asset and liability accounts are translated at the current exchange rates and income statement items are translated at the average exchange rates each month.</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The resulting translation adjustments are recorded as a component of accumulated other comprehensive loss, which is included in shareholders’ equity.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231F20"/>
        </w:rPr>
        <w:t>As of July 1, 2018, the Argentina economy was designated as highly-inflationary and was treated as such for accounting purposes for all periods presented.</w:t>
      </w:r>
    </w:p>
    <w:p>
      <w:pPr>
        <w:spacing w:after="0" w:line="88"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A portion of our Euro-denominated notes is accounted for as a hedge of our net investment in our subsidiaries with a Euro-functional currency. For this portion of the Euro-denominated notes, since our net investment in these subsidiaries exceeds the amount of the related borrowings, net of tax, the related translation gains or losses are included as a component of accumulated other comprehensive loss.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Shareholders’ Equity</w:t>
      </w:r>
    </w:p>
    <w:p>
      <w:pPr>
        <w:spacing w:after="0" w:line="8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The Board of Directors authorized the repurchase of 5.0 million and 4.0 million shares of our common stock in August 2023 and August 2021, respectively. Share repurchases may be made from time to time through a variety of methods, including open market purchases, block transactions, privately negotiated transactions or similar facilities. In 2024, we repurchased a total of 2.0 million shares under the 2023 authorization, at a total cost of $140.9 including excise tax on share repurchases of $0.9. In 2023, we repurchased a total of 2.4 million shares comprised of 2.0 million shares under the 2021 authorization and 0.4 million shares under the 2023 authorization, at a total cost of $181.5 including excise tax on share repurchases of $1.7. In 2022, we repurchased a total of 3.2 million shares comprised of 1.2 million shares under the 2019 authorization and 2.0 million shares under the 2021 authorization, at a total cost of $270.0. As of December 31, 2024, there were 2.6 million shares remaining authorized for repurchase under the 2023 authorization and no shares remaining authorized for repurchase under the 2021 authorization.</w:t>
      </w:r>
    </w:p>
    <w:p>
      <w:pPr>
        <w:spacing w:after="0" w:line="6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During 2024, 2023 and 2022, the Board of Directors declared total cash dividends of $3.08, $2.94 and $2.72 per share, respectively, resulting in total dividend payments of $145.8, $144.3 and $139.9, respectively.</w:t>
      </w:r>
    </w:p>
    <w:p>
      <w:pPr>
        <w:spacing w:after="0" w:line="51"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Noncontrolling interests, included in total shareholders' equity in our Consolidated Balance Sheets, represent amounts related to majority-owned subsidiaries in which we have a controlling financial interest. Net earnings attributable to these noncontrolling interests are recorded in interest and other expenses in our Consolidated Statements of Operations. We recorded expenses of $0.3, $0.4 and $0.8 for 2024, 2023 and 2022,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Cash and Cash Equivalents</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Cash and cash equivalents comprise cash on hand, term deposits with banks and short-term highly-liquid financial investments that are readily convertible to known amounts of cash which are subject to insignificant risk of changes in value; and have a maturity of three months or less from the date of acquisition.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Accounting Standards Effective as of January 1, 2024</w:t>
      </w:r>
    </w:p>
    <w:p>
      <w:pPr>
        <w:spacing w:after="0" w:line="8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In November 2023, the FASB issued new guidance on segment reporting. The guidance requires an annual and interim disclosure of significant segment expenses that are (1) regularly provided to the chief operating decision maker and (2) included in the reported measure of segment profit or loss. The guidance also allows companies to disclose multiple measures of segment profit or loss if those measures are used to assess performance and allocate resources. We adopted the new guidance for our 2024 annual disclosures. See Note 14 to the Consolidated Financial Statements for more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Recently Issued Accounting Standards</w:t>
      </w:r>
    </w:p>
    <w:p>
      <w:pPr>
        <w:spacing w:after="0" w:line="8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In November 2024, the FASB issued new guidance on disaggregation of income statement expenses. The guidance requires disclosures about specific types of expenses included in the expense captions presented on the face of the income statement, as well as disclosures about selling expenses. The guidance is effective for our 2027 annual financial statements and can be adopted prospectively or retrospectively. We are currently assessing the impact of the adoption of this guidance on our financial statement disclosures.</w:t>
      </w:r>
    </w:p>
    <w:p>
      <w:pPr>
        <w:spacing w:after="0" w:line="65"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In December 2023, the FASB issued a final standard on improvements to income tax disclosures. The guidance requires that public entities on an annual basis disclose disaggregated information about the rate reconciliation as well as income taxes paid. The new standard is effective for our 2025 annual disclosures and will be adopted prospectively. The adoption of this guidance will not have a material impact on our Consolidated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61" w:name="page62"/>
    <w:bookmarkEnd w:id="61"/>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04" w:lineRule="exact"/>
        <w:rPr>
          <w:sz w:val="20"/>
          <w:szCs w:val="20"/>
          <w:color w:val="auto"/>
        </w:rPr>
      </w:pPr>
    </w:p>
    <w:p>
      <w:pPr>
        <w:ind w:left="325" w:hanging="325"/>
        <w:spacing w:after="0"/>
        <w:tabs>
          <w:tab w:leader="none" w:pos="325" w:val="left"/>
        </w:tabs>
        <w:numPr>
          <w:ilvl w:val="0"/>
          <w:numId w:val="35"/>
        </w:numPr>
        <w:rPr>
          <w:rFonts w:ascii="Arial" w:cs="Arial" w:eastAsia="Arial" w:hAnsi="Arial"/>
          <w:sz w:val="22"/>
          <w:szCs w:val="22"/>
          <w:b w:val="1"/>
          <w:bCs w:val="1"/>
          <w:color w:val="5B89B4"/>
        </w:rPr>
      </w:pPr>
      <w:r>
        <w:rPr>
          <w:rFonts w:ascii="Arial" w:cs="Arial" w:eastAsia="Arial" w:hAnsi="Arial"/>
          <w:sz w:val="22"/>
          <w:szCs w:val="22"/>
          <w:b w:val="1"/>
          <w:bCs w:val="1"/>
          <w:u w:val="single" w:color="auto"/>
          <w:color w:val="5B89B4"/>
        </w:rPr>
        <w:t>Revenue Recognition</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Revenue Service Types</w:t>
      </w:r>
    </w:p>
    <w:p>
      <w:pPr>
        <w:spacing w:after="0" w:line="88"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231F20"/>
        </w:rPr>
        <w:t>The following is a description of our revenue service types, including Staffing and Interim, Outcome-Based Solutions and Consulting, Permanent Recruitment and Other services.</w:t>
      </w:r>
    </w:p>
    <w:p>
      <w:pPr>
        <w:spacing w:after="0" w:line="74"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5B89B4"/>
        </w:rPr>
        <w:t>Staffing and Interim</w:t>
      </w:r>
    </w:p>
    <w:p>
      <w:pPr>
        <w:spacing w:after="0" w:line="88"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231F20"/>
        </w:rPr>
        <w:t>Staffing and Interim services include the augmentation of clients’ workforce with our contingent employees performing services under the client’s supervision, which provides our clients with a source of flexible labor. Staffing and Interim client contracts are generally short-term in nature, and we generally enter into contracts that include only a single performance obligation. We recognize revenues over time based on a fixed amount for each hour of Staffing and Interim service provided as our clients benefit from our services as we provide them.</w:t>
      </w:r>
    </w:p>
    <w:p>
      <w:pPr>
        <w:spacing w:after="0" w:line="101"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5B89B4"/>
        </w:rPr>
        <w:t>Outcome-Based Solutions and Consulting</w:t>
      </w:r>
    </w:p>
    <w:p>
      <w:pPr>
        <w:spacing w:after="0" w:line="88" w:lineRule="exact"/>
        <w:rPr>
          <w:sz w:val="20"/>
          <w:szCs w:val="20"/>
          <w:color w:val="auto"/>
        </w:rPr>
      </w:pPr>
    </w:p>
    <w:p>
      <w:pPr>
        <w:jc w:val="both"/>
        <w:ind w:left="5"/>
        <w:spacing w:after="0" w:line="236" w:lineRule="auto"/>
        <w:rPr>
          <w:sz w:val="20"/>
          <w:szCs w:val="20"/>
          <w:color w:val="auto"/>
        </w:rPr>
      </w:pPr>
      <w:r>
        <w:rPr>
          <w:rFonts w:ascii="Arial" w:cs="Arial" w:eastAsia="Arial" w:hAnsi="Arial"/>
          <w:sz w:val="16"/>
          <w:szCs w:val="16"/>
          <w:color w:val="231F20"/>
        </w:rPr>
        <w:t>Our Outcome-Based Solutions and Consulting services include utilizing consultants and contingent employees who are generally experts in a specific field advising the client to help find strategic solutions to specific matters or achieve a particular outcome. Our services may also include managing certain processes and functions within the client’s organization. We recognize revenues over time based on (i) our clients benefiting from our services as we are providing them, (ii) our clients controlling an asset as it is created or enhanced, or (iii) our performance not creating an asset with an alternative use and having an enforceable right to payment for the services we have provided to date. We generally utilize an input measure of time for the service provided, which most accurately depicts the progress toward completion of these performance obligations. The price as specified in our client contracts is generally considered the standalone selling price as it is an observable input that depicts the price as if sold to a similar client in similar circumstances.</w:t>
      </w:r>
    </w:p>
    <w:p>
      <w:pPr>
        <w:spacing w:after="0" w:line="105"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5B89B4"/>
        </w:rPr>
        <w:t>Permanent Recruitment</w:t>
      </w:r>
    </w:p>
    <w:p>
      <w:pPr>
        <w:spacing w:after="0" w:line="88" w:lineRule="exact"/>
        <w:rPr>
          <w:sz w:val="20"/>
          <w:szCs w:val="20"/>
          <w:color w:val="auto"/>
        </w:rPr>
      </w:pPr>
    </w:p>
    <w:p>
      <w:pPr>
        <w:jc w:val="both"/>
        <w:ind w:left="5"/>
        <w:spacing w:after="0" w:line="239" w:lineRule="auto"/>
        <w:rPr>
          <w:sz w:val="20"/>
          <w:szCs w:val="20"/>
          <w:color w:val="auto"/>
        </w:rPr>
      </w:pPr>
      <w:r>
        <w:rPr>
          <w:rFonts w:ascii="Arial" w:cs="Arial" w:eastAsia="Arial" w:hAnsi="Arial"/>
          <w:sz w:val="16"/>
          <w:szCs w:val="16"/>
          <w:color w:val="231F20"/>
        </w:rPr>
        <w:t>Permanent Recruitment services include providing qualified candidates to our clients to hire on a permanent basis. We recognize revenues for our Permanent Recruitment services at a point in time when we place the qualified candidate, because we have determined that control of the performance obligation has transferred to the client (i.e., service performed) as we have the right to payment for our service and the client has accepted our service of providing a qualified candidate to fill a permanent position. Revenues recognized from our Permanent Recruitment services are based upon either a fixed fee per placement or as a percentage of the candidate’s salary.</w:t>
      </w:r>
    </w:p>
    <w:p>
      <w:pPr>
        <w:spacing w:after="0" w:line="66" w:lineRule="exact"/>
        <w:rPr>
          <w:sz w:val="20"/>
          <w:szCs w:val="20"/>
          <w:color w:val="auto"/>
        </w:rPr>
      </w:pPr>
    </w:p>
    <w:p>
      <w:pPr>
        <w:jc w:val="both"/>
        <w:ind w:left="5" w:right="20"/>
        <w:spacing w:after="0" w:line="235" w:lineRule="auto"/>
        <w:rPr>
          <w:sz w:val="20"/>
          <w:szCs w:val="20"/>
          <w:color w:val="auto"/>
        </w:rPr>
      </w:pPr>
      <w:r>
        <w:rPr>
          <w:rFonts w:ascii="Arial" w:cs="Arial" w:eastAsia="Arial" w:hAnsi="Arial"/>
          <w:sz w:val="16"/>
          <w:szCs w:val="16"/>
          <w:color w:val="231F20"/>
        </w:rPr>
        <w:t>Our RPO services, which include RPO management services and placement services, are also included in our Permanent Recruitment revenues. RPO management services include the various activities of managing a client's permanent workforce, which can include candidate assessments, screening, conducting candidate interviews, providing sourcing technology, and providing our marketing and recruiting expertise. We perform these activities to fulfill the overall obligation to provide permanent workforce management services, so they are not individually distinct, and therefore, we account for them as a single performance obligation. We generally utilize an input measure of time in months, but we do have a few contracts for which we use labor hours of management services provided as this more accurately depicts the progress toward completion of the performance obligation. We recognize revenues over time for each month of management services provided, as each month of management services is distinct, and the client benefits from each month of management services as we provide them. For those contracts for which we use labor hours as the input measure, we recognize revenues over time based on a fixed amount for each labor hour of management services provided as our clients benefit from our services as we provide them.</w:t>
      </w:r>
    </w:p>
    <w:p>
      <w:pPr>
        <w:spacing w:after="0" w:line="70" w:lineRule="exact"/>
        <w:rPr>
          <w:sz w:val="20"/>
          <w:szCs w:val="20"/>
          <w:color w:val="auto"/>
        </w:rPr>
      </w:pPr>
    </w:p>
    <w:p>
      <w:pPr>
        <w:ind w:left="5"/>
        <w:spacing w:after="0"/>
        <w:rPr>
          <w:sz w:val="20"/>
          <w:szCs w:val="20"/>
          <w:color w:val="auto"/>
        </w:rPr>
      </w:pPr>
      <w:r>
        <w:rPr>
          <w:rFonts w:ascii="Arial" w:cs="Arial" w:eastAsia="Arial" w:hAnsi="Arial"/>
          <w:sz w:val="15"/>
          <w:szCs w:val="15"/>
          <w:color w:val="231F20"/>
        </w:rPr>
        <w:t>We consider the RPO management services and placement services to be distinct, and therefore separate performance obligations within our RPO contracts as</w:t>
      </w:r>
    </w:p>
    <w:p>
      <w:pPr>
        <w:spacing w:after="0" w:line="19" w:lineRule="exact"/>
        <w:rPr>
          <w:sz w:val="20"/>
          <w:szCs w:val="20"/>
          <w:color w:val="auto"/>
        </w:rPr>
      </w:pPr>
    </w:p>
    <w:p>
      <w:pPr>
        <w:jc w:val="both"/>
        <w:ind w:left="5" w:hanging="5"/>
        <w:spacing w:after="0" w:line="236" w:lineRule="auto"/>
        <w:tabs>
          <w:tab w:leader="none" w:pos="204" w:val="left"/>
        </w:tabs>
        <w:numPr>
          <w:ilvl w:val="0"/>
          <w:numId w:val="36"/>
        </w:numPr>
        <w:rPr>
          <w:rFonts w:ascii="Arial" w:cs="Arial" w:eastAsia="Arial" w:hAnsi="Arial"/>
          <w:sz w:val="16"/>
          <w:szCs w:val="16"/>
          <w:color w:val="231F20"/>
        </w:rPr>
      </w:pPr>
      <w:r>
        <w:rPr>
          <w:rFonts w:ascii="Arial" w:cs="Arial" w:eastAsia="Arial" w:hAnsi="Arial"/>
          <w:sz w:val="16"/>
          <w:szCs w:val="16"/>
          <w:color w:val="231F20"/>
        </w:rPr>
        <w:t>our clients can benefit from each service on its own, and (ii) each service is separately identifiable within the client contract. The prices as specified in our contracts will generally be broken out between management fees and placement fees, which we consider the standalone selling price of each service as they are the observable inputs which depict the prices as if they were sold to a similar client in similar circumstances. The consideration from our client contracts is allocated to each performance obligation based on the relative standalone selling price.</w:t>
      </w:r>
    </w:p>
    <w:p>
      <w:pPr>
        <w:spacing w:after="0" w:line="16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62" w:name="page63"/>
    <w:bookmarkEnd w:id="62"/>
    <w:p>
      <w:pPr>
        <w:ind w:left="107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5B89B4"/>
        </w:rPr>
        <w:t>Other Services</w:t>
      </w:r>
    </w:p>
    <w:p>
      <w:pPr>
        <w:spacing w:after="0" w:line="8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Other services include revenues from outplacement services, MSP services, training services and franchise fees.</w:t>
      </w:r>
    </w:p>
    <w:p>
      <w:pPr>
        <w:spacing w:after="0" w:line="88" w:lineRule="exact"/>
        <w:rPr>
          <w:sz w:val="20"/>
          <w:szCs w:val="20"/>
          <w:color w:val="auto"/>
        </w:rPr>
      </w:pPr>
    </w:p>
    <w:p>
      <w:pPr>
        <w:jc w:val="both"/>
        <w:ind w:left="545" w:right="20" w:hanging="320"/>
        <w:spacing w:after="0" w:line="245" w:lineRule="auto"/>
        <w:tabs>
          <w:tab w:leader="none" w:pos="545" w:val="left"/>
        </w:tabs>
        <w:numPr>
          <w:ilvl w:val="0"/>
          <w:numId w:val="37"/>
        </w:numPr>
        <w:rPr>
          <w:rFonts w:ascii="Times New Roman" w:cs="Times New Roman" w:eastAsia="Times New Roman" w:hAnsi="Times New Roman"/>
          <w:sz w:val="16"/>
          <w:szCs w:val="16"/>
          <w:color w:val="5B89B4"/>
        </w:rPr>
      </w:pPr>
      <w:r>
        <w:rPr>
          <w:rFonts w:ascii="Arial" w:cs="Arial" w:eastAsia="Arial" w:hAnsi="Arial"/>
          <w:sz w:val="16"/>
          <w:szCs w:val="16"/>
          <w:color w:val="231F20"/>
        </w:rPr>
        <w:t>Outplacement services include assisting our clients in managing their workforce transitions and their employees in managing career changes by developing additional skills and finding new employment. We recognize revenues over time as we provide the service (i.e., transfer control of the performance obligation) using the input measure of hours of service to measure progress toward completion of the performance obligation.</w:t>
      </w:r>
    </w:p>
    <w:p>
      <w:pPr>
        <w:spacing w:after="0" w:line="62" w:lineRule="exact"/>
        <w:rPr>
          <w:rFonts w:ascii="Times New Roman" w:cs="Times New Roman" w:eastAsia="Times New Roman" w:hAnsi="Times New Roman"/>
          <w:sz w:val="16"/>
          <w:szCs w:val="16"/>
          <w:color w:val="5B89B4"/>
        </w:rPr>
      </w:pPr>
    </w:p>
    <w:p>
      <w:pPr>
        <w:jc w:val="both"/>
        <w:ind w:left="545" w:hanging="320"/>
        <w:spacing w:after="0" w:line="238" w:lineRule="auto"/>
        <w:tabs>
          <w:tab w:leader="none" w:pos="545" w:val="left"/>
        </w:tabs>
        <w:numPr>
          <w:ilvl w:val="0"/>
          <w:numId w:val="37"/>
        </w:numPr>
        <w:rPr>
          <w:rFonts w:ascii="Times New Roman" w:cs="Times New Roman" w:eastAsia="Times New Roman" w:hAnsi="Times New Roman"/>
          <w:sz w:val="16"/>
          <w:szCs w:val="16"/>
          <w:color w:val="5B89B4"/>
        </w:rPr>
      </w:pPr>
      <w:r>
        <w:rPr>
          <w:rFonts w:ascii="Arial" w:cs="Arial" w:eastAsia="Arial" w:hAnsi="Arial"/>
          <w:sz w:val="16"/>
          <w:szCs w:val="16"/>
          <w:color w:val="231F20"/>
        </w:rPr>
        <w:t>MSP services include overall program management of our clients’ contingent workforce and generally include various activities such as reporting and tracking, supplier selection and management and order distribution, depending on each client contract. We provide these services to fulfill the overall obligation of contingent workforce management services so the individual activities are not distinct and therefore we account for them as a single performance obligation. We recognize revenues over time for each month of MSP services provided as each month of MSP services is distinct, and the client benefits from each month of MSP services as we provide them.</w:t>
      </w:r>
    </w:p>
    <w:p>
      <w:pPr>
        <w:spacing w:after="0" w:line="68" w:lineRule="exact"/>
        <w:rPr>
          <w:rFonts w:ascii="Times New Roman" w:cs="Times New Roman" w:eastAsia="Times New Roman" w:hAnsi="Times New Roman"/>
          <w:sz w:val="16"/>
          <w:szCs w:val="16"/>
          <w:color w:val="5B89B4"/>
        </w:rPr>
      </w:pPr>
    </w:p>
    <w:p>
      <w:pPr>
        <w:ind w:left="545" w:right="20" w:hanging="320"/>
        <w:spacing w:after="0" w:line="260" w:lineRule="auto"/>
        <w:tabs>
          <w:tab w:leader="none" w:pos="545" w:val="left"/>
        </w:tabs>
        <w:numPr>
          <w:ilvl w:val="0"/>
          <w:numId w:val="37"/>
        </w:numPr>
        <w:rPr>
          <w:rFonts w:ascii="Times New Roman" w:cs="Times New Roman" w:eastAsia="Times New Roman" w:hAnsi="Times New Roman"/>
          <w:sz w:val="16"/>
          <w:szCs w:val="16"/>
          <w:color w:val="5B89B4"/>
        </w:rPr>
      </w:pPr>
      <w:r>
        <w:rPr>
          <w:rFonts w:ascii="Arial" w:cs="Arial" w:eastAsia="Arial" w:hAnsi="Arial"/>
          <w:sz w:val="16"/>
          <w:szCs w:val="16"/>
          <w:color w:val="231F20"/>
        </w:rPr>
        <w:t>Training services include teaching skills that relate to specific competencies in order for our client’s workforce to acquire knowledge and develop skills proficiencies. We recognize revenues over time for each hour of training service provided as our clients benefit from our services as we provide them.</w:t>
      </w:r>
    </w:p>
    <w:p>
      <w:pPr>
        <w:spacing w:after="0" w:line="50" w:lineRule="exact"/>
        <w:rPr>
          <w:rFonts w:ascii="Times New Roman" w:cs="Times New Roman" w:eastAsia="Times New Roman" w:hAnsi="Times New Roman"/>
          <w:sz w:val="16"/>
          <w:szCs w:val="16"/>
          <w:color w:val="5B89B4"/>
        </w:rPr>
      </w:pPr>
    </w:p>
    <w:p>
      <w:pPr>
        <w:jc w:val="both"/>
        <w:ind w:left="545" w:right="20" w:hanging="320"/>
        <w:spacing w:after="0" w:line="238" w:lineRule="auto"/>
        <w:tabs>
          <w:tab w:leader="none" w:pos="545" w:val="left"/>
        </w:tabs>
        <w:numPr>
          <w:ilvl w:val="0"/>
          <w:numId w:val="37"/>
        </w:numPr>
        <w:rPr>
          <w:rFonts w:ascii="Times New Roman" w:cs="Times New Roman" w:eastAsia="Times New Roman" w:hAnsi="Times New Roman"/>
          <w:sz w:val="16"/>
          <w:szCs w:val="16"/>
          <w:color w:val="5B89B4"/>
        </w:rPr>
      </w:pPr>
      <w:r>
        <w:rPr>
          <w:rFonts w:ascii="Arial" w:cs="Arial" w:eastAsia="Arial" w:hAnsi="Arial"/>
          <w:sz w:val="16"/>
          <w:szCs w:val="16"/>
          <w:color w:val="231F20"/>
        </w:rPr>
        <w:t>Our franchise fees include the performance obligation of providing the right to use our intellectual property in a specifically defined exclusive territory as defined in a franchise agreement. Our franchise agreements generally state that franchise fees are calculated based on a percentage of revenues earned by the franchise operations and are payable on a monthly basis. As such, we record franchise fee revenues monthly over time calculated based on the specific fee percentage and the monthly revenues of the franchise operations. Franchise fees were $14.4, $14.8 and $15.7 for the years ended December 31, 2024, 2023 and 2022, respectively.</w:t>
      </w:r>
    </w:p>
    <w:p>
      <w:pPr>
        <w:spacing w:after="0" w:line="151"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Disaggregation of Revenues</w:t>
      </w:r>
    </w:p>
    <w:p>
      <w:pPr>
        <w:spacing w:after="0" w:line="88" w:lineRule="exact"/>
        <w:rPr>
          <w:sz w:val="20"/>
          <w:szCs w:val="20"/>
          <w:color w:val="auto"/>
        </w:rPr>
      </w:pPr>
    </w:p>
    <w:p>
      <w:pPr>
        <w:ind w:left="5"/>
        <w:spacing w:after="0"/>
        <w:rPr>
          <w:sz w:val="20"/>
          <w:szCs w:val="20"/>
          <w:color w:val="auto"/>
        </w:rPr>
      </w:pPr>
      <w:r>
        <w:rPr>
          <w:rFonts w:ascii="Arial" w:cs="Arial" w:eastAsia="Arial" w:hAnsi="Arial"/>
          <w:sz w:val="16"/>
          <w:szCs w:val="16"/>
          <w:color w:val="auto"/>
        </w:rPr>
        <w:t>In the following table, revenue is disaggregated by service types and timing of revenue recognition and then reconciled by reportable segment.</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136"/>
        </w:trPr>
        <w:tc>
          <w:tcPr>
            <w:tcW w:w="1880" w:type="dxa"/>
            <w:vAlign w:val="bottom"/>
            <w:tcBorders>
              <w:top w:val="single" w:sz="8" w:color="auto"/>
              <w:bottom w:val="single" w:sz="8" w:color="98B0CF"/>
            </w:tcBorders>
            <w:shd w:val="clear" w:color="auto" w:fill="98B0CF"/>
          </w:tcPr>
          <w:p>
            <w:pPr>
              <w:spacing w:after="0"/>
              <w:rPr>
                <w:sz w:val="11"/>
                <w:szCs w:val="11"/>
                <w:color w:val="auto"/>
              </w:rPr>
            </w:pPr>
          </w:p>
        </w:tc>
        <w:tc>
          <w:tcPr>
            <w:tcW w:w="100" w:type="dxa"/>
            <w:vAlign w:val="bottom"/>
            <w:tcBorders>
              <w:top w:val="single" w:sz="8" w:color="auto"/>
              <w:bottom w:val="single" w:sz="8" w:color="auto"/>
            </w:tcBorders>
            <w:shd w:val="clear" w:color="auto" w:fill="98B0CF"/>
          </w:tcPr>
          <w:p>
            <w:pPr>
              <w:spacing w:after="0"/>
              <w:rPr>
                <w:sz w:val="11"/>
                <w:szCs w:val="11"/>
                <w:color w:val="auto"/>
              </w:rPr>
            </w:pPr>
          </w:p>
        </w:tc>
        <w:tc>
          <w:tcPr>
            <w:tcW w:w="560" w:type="dxa"/>
            <w:vAlign w:val="bottom"/>
            <w:tcBorders>
              <w:top w:val="single" w:sz="8" w:color="auto"/>
              <w:bottom w:val="single" w:sz="8" w:color="auto"/>
            </w:tcBorders>
            <w:shd w:val="clear" w:color="auto" w:fill="98B0CF"/>
          </w:tcPr>
          <w:p>
            <w:pPr>
              <w:spacing w:after="0"/>
              <w:rPr>
                <w:sz w:val="11"/>
                <w:szCs w:val="11"/>
                <w:color w:val="auto"/>
              </w:rPr>
            </w:pPr>
          </w:p>
        </w:tc>
        <w:tc>
          <w:tcPr>
            <w:tcW w:w="280" w:type="dxa"/>
            <w:vAlign w:val="bottom"/>
            <w:tcBorders>
              <w:top w:val="single" w:sz="8" w:color="auto"/>
              <w:bottom w:val="single" w:sz="8" w:color="auto"/>
            </w:tcBorders>
            <w:shd w:val="clear" w:color="auto" w:fill="98B0CF"/>
          </w:tcPr>
          <w:p>
            <w:pPr>
              <w:spacing w:after="0"/>
              <w:rPr>
                <w:sz w:val="11"/>
                <w:szCs w:val="11"/>
                <w:color w:val="auto"/>
              </w:rPr>
            </w:pPr>
          </w:p>
        </w:tc>
        <w:tc>
          <w:tcPr>
            <w:tcW w:w="780" w:type="dxa"/>
            <w:vAlign w:val="bottom"/>
            <w:tcBorders>
              <w:top w:val="single" w:sz="8" w:color="auto"/>
              <w:bottom w:val="single" w:sz="8" w:color="auto"/>
            </w:tcBorders>
            <w:shd w:val="clear" w:color="auto" w:fill="98B0CF"/>
          </w:tcPr>
          <w:p>
            <w:pPr>
              <w:spacing w:after="0"/>
              <w:rPr>
                <w:sz w:val="11"/>
                <w:szCs w:val="11"/>
                <w:color w:val="auto"/>
              </w:rPr>
            </w:pPr>
          </w:p>
        </w:tc>
        <w:tc>
          <w:tcPr>
            <w:tcW w:w="200" w:type="dxa"/>
            <w:vAlign w:val="bottom"/>
            <w:tcBorders>
              <w:top w:val="single" w:sz="8" w:color="auto"/>
              <w:bottom w:val="single" w:sz="8" w:color="auto"/>
            </w:tcBorders>
            <w:shd w:val="clear" w:color="auto" w:fill="98B0CF"/>
          </w:tcPr>
          <w:p>
            <w:pPr>
              <w:spacing w:after="0"/>
              <w:rPr>
                <w:sz w:val="11"/>
                <w:szCs w:val="11"/>
                <w:color w:val="auto"/>
              </w:rPr>
            </w:pPr>
          </w:p>
        </w:tc>
        <w:tc>
          <w:tcPr>
            <w:tcW w:w="860" w:type="dxa"/>
            <w:vAlign w:val="bottom"/>
            <w:tcBorders>
              <w:top w:val="single" w:sz="8" w:color="auto"/>
              <w:bottom w:val="single" w:sz="8" w:color="auto"/>
            </w:tcBorders>
            <w:shd w:val="clear" w:color="auto" w:fill="98B0CF"/>
          </w:tcPr>
          <w:p>
            <w:pPr>
              <w:spacing w:after="0"/>
              <w:rPr>
                <w:sz w:val="11"/>
                <w:szCs w:val="11"/>
                <w:color w:val="auto"/>
              </w:rPr>
            </w:pPr>
          </w:p>
        </w:tc>
        <w:tc>
          <w:tcPr>
            <w:tcW w:w="280" w:type="dxa"/>
            <w:vAlign w:val="bottom"/>
            <w:tcBorders>
              <w:top w:val="single" w:sz="8" w:color="auto"/>
              <w:bottom w:val="single" w:sz="8" w:color="auto"/>
            </w:tcBorders>
            <w:shd w:val="clear" w:color="auto" w:fill="98B0CF"/>
          </w:tcPr>
          <w:p>
            <w:pPr>
              <w:spacing w:after="0"/>
              <w:rPr>
                <w:sz w:val="11"/>
                <w:szCs w:val="11"/>
                <w:color w:val="auto"/>
              </w:rPr>
            </w:pPr>
          </w:p>
        </w:tc>
        <w:tc>
          <w:tcPr>
            <w:tcW w:w="620" w:type="dxa"/>
            <w:vAlign w:val="bottom"/>
            <w:tcBorders>
              <w:top w:val="single" w:sz="8" w:color="auto"/>
              <w:bottom w:val="single" w:sz="8" w:color="auto"/>
            </w:tcBorders>
            <w:shd w:val="clear" w:color="auto" w:fill="98B0CF"/>
          </w:tcPr>
          <w:p>
            <w:pPr>
              <w:spacing w:after="0"/>
              <w:rPr>
                <w:sz w:val="11"/>
                <w:szCs w:val="11"/>
                <w:color w:val="auto"/>
              </w:rPr>
            </w:pPr>
          </w:p>
        </w:tc>
        <w:tc>
          <w:tcPr>
            <w:tcW w:w="220" w:type="dxa"/>
            <w:vAlign w:val="bottom"/>
            <w:tcBorders>
              <w:top w:val="single" w:sz="8" w:color="auto"/>
              <w:bottom w:val="single" w:sz="8" w:color="auto"/>
            </w:tcBorders>
            <w:shd w:val="clear" w:color="auto" w:fill="98B0CF"/>
          </w:tcPr>
          <w:p>
            <w:pPr>
              <w:spacing w:after="0"/>
              <w:rPr>
                <w:sz w:val="11"/>
                <w:szCs w:val="11"/>
                <w:color w:val="auto"/>
              </w:rPr>
            </w:pPr>
          </w:p>
        </w:tc>
        <w:tc>
          <w:tcPr>
            <w:tcW w:w="1620" w:type="dxa"/>
            <w:vAlign w:val="bottom"/>
            <w:tcBorders>
              <w:top w:val="single" w:sz="8" w:color="auto"/>
              <w:bottom w:val="single" w:sz="8" w:color="auto"/>
            </w:tcBorders>
            <w:gridSpan w:val="4"/>
            <w:shd w:val="clear" w:color="auto" w:fill="98B0CF"/>
          </w:tcPr>
          <w:p>
            <w:pPr>
              <w:jc w:val="right"/>
              <w:ind w:right="162"/>
              <w:spacing w:after="0"/>
              <w:rPr>
                <w:sz w:val="20"/>
                <w:szCs w:val="20"/>
                <w:color w:val="auto"/>
              </w:rPr>
            </w:pPr>
            <w:r>
              <w:rPr>
                <w:rFonts w:ascii="Arial" w:cs="Arial" w:eastAsia="Arial" w:hAnsi="Arial"/>
                <w:sz w:val="11"/>
                <w:szCs w:val="11"/>
                <w:b w:val="1"/>
                <w:bCs w:val="1"/>
                <w:color w:val="auto"/>
              </w:rPr>
              <w:t>Year Ended December 31,</w:t>
            </w:r>
          </w:p>
        </w:tc>
        <w:tc>
          <w:tcPr>
            <w:tcW w:w="200" w:type="dxa"/>
            <w:vAlign w:val="bottom"/>
            <w:tcBorders>
              <w:top w:val="single" w:sz="8" w:color="auto"/>
              <w:bottom w:val="single" w:sz="8" w:color="auto"/>
            </w:tcBorders>
            <w:shd w:val="clear" w:color="auto" w:fill="98B0CF"/>
          </w:tcPr>
          <w:p>
            <w:pPr>
              <w:spacing w:after="0"/>
              <w:rPr>
                <w:sz w:val="11"/>
                <w:szCs w:val="11"/>
                <w:color w:val="auto"/>
              </w:rPr>
            </w:pPr>
          </w:p>
        </w:tc>
        <w:tc>
          <w:tcPr>
            <w:tcW w:w="780" w:type="dxa"/>
            <w:vAlign w:val="bottom"/>
            <w:tcBorders>
              <w:top w:val="single" w:sz="8" w:color="auto"/>
              <w:bottom w:val="single" w:sz="8" w:color="auto"/>
            </w:tcBorders>
            <w:shd w:val="clear" w:color="auto" w:fill="98B0CF"/>
          </w:tcPr>
          <w:p>
            <w:pPr>
              <w:spacing w:after="0"/>
              <w:rPr>
                <w:sz w:val="11"/>
                <w:szCs w:val="11"/>
                <w:color w:val="auto"/>
              </w:rPr>
            </w:pPr>
          </w:p>
        </w:tc>
        <w:tc>
          <w:tcPr>
            <w:tcW w:w="200" w:type="dxa"/>
            <w:vAlign w:val="bottom"/>
            <w:tcBorders>
              <w:top w:val="single" w:sz="8" w:color="auto"/>
              <w:bottom w:val="single" w:sz="8" w:color="auto"/>
            </w:tcBorders>
            <w:shd w:val="clear" w:color="auto" w:fill="98B0CF"/>
          </w:tcPr>
          <w:p>
            <w:pPr>
              <w:spacing w:after="0"/>
              <w:rPr>
                <w:sz w:val="11"/>
                <w:szCs w:val="11"/>
                <w:color w:val="auto"/>
              </w:rPr>
            </w:pPr>
          </w:p>
        </w:tc>
        <w:tc>
          <w:tcPr>
            <w:tcW w:w="860" w:type="dxa"/>
            <w:vAlign w:val="bottom"/>
            <w:tcBorders>
              <w:top w:val="single" w:sz="8" w:color="auto"/>
              <w:bottom w:val="single" w:sz="8" w:color="auto"/>
            </w:tcBorders>
            <w:shd w:val="clear" w:color="auto" w:fill="98B0CF"/>
          </w:tcPr>
          <w:p>
            <w:pPr>
              <w:spacing w:after="0"/>
              <w:rPr>
                <w:sz w:val="11"/>
                <w:szCs w:val="11"/>
                <w:color w:val="auto"/>
              </w:rPr>
            </w:pPr>
          </w:p>
        </w:tc>
        <w:tc>
          <w:tcPr>
            <w:tcW w:w="220" w:type="dxa"/>
            <w:vAlign w:val="bottom"/>
            <w:tcBorders>
              <w:top w:val="single" w:sz="8" w:color="auto"/>
              <w:bottom w:val="single" w:sz="8" w:color="auto"/>
            </w:tcBorders>
            <w:shd w:val="clear" w:color="auto" w:fill="98B0CF"/>
          </w:tcPr>
          <w:p>
            <w:pPr>
              <w:spacing w:after="0"/>
              <w:rPr>
                <w:sz w:val="11"/>
                <w:szCs w:val="11"/>
                <w:color w:val="auto"/>
              </w:rPr>
            </w:pPr>
          </w:p>
        </w:tc>
        <w:tc>
          <w:tcPr>
            <w:tcW w:w="580" w:type="dxa"/>
            <w:vAlign w:val="bottom"/>
            <w:tcBorders>
              <w:top w:val="single" w:sz="8" w:color="auto"/>
              <w:bottom w:val="single" w:sz="8" w:color="auto"/>
            </w:tcBorders>
            <w:shd w:val="clear" w:color="auto" w:fill="98B0CF"/>
          </w:tcPr>
          <w:p>
            <w:pPr>
              <w:spacing w:after="0"/>
              <w:rPr>
                <w:sz w:val="11"/>
                <w:szCs w:val="11"/>
                <w:color w:val="auto"/>
              </w:rPr>
            </w:pPr>
          </w:p>
        </w:tc>
        <w:tc>
          <w:tcPr>
            <w:tcW w:w="280" w:type="dxa"/>
            <w:vAlign w:val="bottom"/>
            <w:tcBorders>
              <w:top w:val="single" w:sz="8" w:color="auto"/>
              <w:bottom w:val="single" w:sz="8" w:color="auto"/>
            </w:tcBorders>
            <w:shd w:val="clear" w:color="auto" w:fill="98B0CF"/>
          </w:tcPr>
          <w:p>
            <w:pPr>
              <w:spacing w:after="0"/>
              <w:rPr>
                <w:sz w:val="11"/>
                <w:szCs w:val="11"/>
                <w:color w:val="auto"/>
              </w:rPr>
            </w:pPr>
          </w:p>
        </w:tc>
        <w:tc>
          <w:tcPr>
            <w:tcW w:w="740" w:type="dxa"/>
            <w:vAlign w:val="bottom"/>
            <w:tcBorders>
              <w:top w:val="single" w:sz="8" w:color="auto"/>
              <w:bottom w:val="single" w:sz="8" w:color="auto"/>
            </w:tcBorders>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880" w:type="dxa"/>
            <w:vAlign w:val="bottom"/>
            <w:tcBorders>
              <w:bottom w:val="single" w:sz="8" w:color="98B0CF"/>
            </w:tcBorders>
            <w:shd w:val="clear" w:color="auto" w:fill="98B0CF"/>
          </w:tcPr>
          <w:p>
            <w:pPr>
              <w:spacing w:after="0"/>
              <w:rPr>
                <w:sz w:val="16"/>
                <w:szCs w:val="16"/>
                <w:color w:val="auto"/>
              </w:rPr>
            </w:pPr>
          </w:p>
        </w:tc>
        <w:tc>
          <w:tcPr>
            <w:tcW w:w="100" w:type="dxa"/>
            <w:vAlign w:val="bottom"/>
            <w:tcBorders>
              <w:bottom w:val="single" w:sz="8" w:color="auto"/>
            </w:tcBorders>
            <w:shd w:val="clear" w:color="auto" w:fill="98B0CF"/>
          </w:tcPr>
          <w:p>
            <w:pPr>
              <w:spacing w:after="0"/>
              <w:rPr>
                <w:sz w:val="16"/>
                <w:szCs w:val="16"/>
                <w:color w:val="auto"/>
              </w:rPr>
            </w:pPr>
          </w:p>
        </w:tc>
        <w:tc>
          <w:tcPr>
            <w:tcW w:w="560" w:type="dxa"/>
            <w:vAlign w:val="bottom"/>
            <w:tcBorders>
              <w:bottom w:val="single" w:sz="8" w:color="auto"/>
            </w:tcBorders>
            <w:shd w:val="clear" w:color="auto" w:fill="98B0CF"/>
          </w:tcPr>
          <w:p>
            <w:pPr>
              <w:spacing w:after="0"/>
              <w:rPr>
                <w:sz w:val="16"/>
                <w:szCs w:val="16"/>
                <w:color w:val="auto"/>
              </w:rPr>
            </w:pPr>
          </w:p>
        </w:tc>
        <w:tc>
          <w:tcPr>
            <w:tcW w:w="280" w:type="dxa"/>
            <w:vAlign w:val="bottom"/>
            <w:tcBorders>
              <w:bottom w:val="single" w:sz="8" w:color="auto"/>
            </w:tcBorders>
            <w:shd w:val="clear" w:color="auto" w:fill="98B0CF"/>
          </w:tcPr>
          <w:p>
            <w:pPr>
              <w:spacing w:after="0"/>
              <w:rPr>
                <w:sz w:val="16"/>
                <w:szCs w:val="16"/>
                <w:color w:val="auto"/>
              </w:rPr>
            </w:pPr>
          </w:p>
        </w:tc>
        <w:tc>
          <w:tcPr>
            <w:tcW w:w="780" w:type="dxa"/>
            <w:vAlign w:val="bottom"/>
            <w:tcBorders>
              <w:bottom w:val="single" w:sz="8" w:color="auto"/>
            </w:tcBorders>
            <w:shd w:val="clear" w:color="auto" w:fill="98B0CF"/>
          </w:tcPr>
          <w:p>
            <w:pPr>
              <w:spacing w:after="0"/>
              <w:rPr>
                <w:sz w:val="16"/>
                <w:szCs w:val="16"/>
                <w:color w:val="auto"/>
              </w:rPr>
            </w:pPr>
          </w:p>
        </w:tc>
        <w:tc>
          <w:tcPr>
            <w:tcW w:w="200" w:type="dxa"/>
            <w:vAlign w:val="bottom"/>
            <w:tcBorders>
              <w:bottom w:val="single" w:sz="8" w:color="auto"/>
            </w:tcBorders>
            <w:shd w:val="clear" w:color="auto" w:fill="98B0CF"/>
          </w:tcPr>
          <w:p>
            <w:pPr>
              <w:spacing w:after="0"/>
              <w:rPr>
                <w:sz w:val="16"/>
                <w:szCs w:val="16"/>
                <w:color w:val="auto"/>
              </w:rPr>
            </w:pPr>
          </w:p>
        </w:tc>
        <w:tc>
          <w:tcPr>
            <w:tcW w:w="860" w:type="dxa"/>
            <w:vAlign w:val="bottom"/>
            <w:tcBorders>
              <w:bottom w:val="single" w:sz="8" w:color="auto"/>
            </w:tcBorders>
            <w:shd w:val="clear" w:color="auto" w:fill="98B0CF"/>
          </w:tcPr>
          <w:p>
            <w:pPr>
              <w:jc w:val="center"/>
              <w:ind w:right="162"/>
              <w:spacing w:after="0"/>
              <w:rPr>
                <w:sz w:val="20"/>
                <w:szCs w:val="20"/>
                <w:color w:val="auto"/>
              </w:rPr>
            </w:pPr>
            <w:r>
              <w:rPr>
                <w:rFonts w:ascii="Arial" w:cs="Arial" w:eastAsia="Arial" w:hAnsi="Arial"/>
                <w:sz w:val="11"/>
                <w:szCs w:val="11"/>
                <w:b w:val="1"/>
                <w:bCs w:val="1"/>
                <w:color w:val="auto"/>
                <w:w w:val="97"/>
              </w:rPr>
              <w:t>2024</w:t>
            </w:r>
          </w:p>
        </w:tc>
        <w:tc>
          <w:tcPr>
            <w:tcW w:w="280" w:type="dxa"/>
            <w:vAlign w:val="bottom"/>
            <w:tcBorders>
              <w:bottom w:val="single" w:sz="8" w:color="auto"/>
            </w:tcBorders>
            <w:shd w:val="clear" w:color="auto" w:fill="98B0CF"/>
          </w:tcPr>
          <w:p>
            <w:pPr>
              <w:spacing w:after="0"/>
              <w:rPr>
                <w:sz w:val="16"/>
                <w:szCs w:val="16"/>
                <w:color w:val="auto"/>
              </w:rPr>
            </w:pPr>
          </w:p>
        </w:tc>
        <w:tc>
          <w:tcPr>
            <w:tcW w:w="620" w:type="dxa"/>
            <w:vAlign w:val="bottom"/>
            <w:tcBorders>
              <w:bottom w:val="single" w:sz="8" w:color="auto"/>
            </w:tcBorders>
            <w:shd w:val="clear" w:color="auto" w:fill="98B0CF"/>
          </w:tcPr>
          <w:p>
            <w:pPr>
              <w:spacing w:after="0"/>
              <w:rPr>
                <w:sz w:val="16"/>
                <w:szCs w:val="16"/>
                <w:color w:val="auto"/>
              </w:rPr>
            </w:pPr>
          </w:p>
        </w:tc>
        <w:tc>
          <w:tcPr>
            <w:tcW w:w="220" w:type="dxa"/>
            <w:vAlign w:val="bottom"/>
            <w:tcBorders>
              <w:bottom w:val="single" w:sz="8" w:color="auto"/>
            </w:tcBorders>
            <w:shd w:val="clear" w:color="auto" w:fill="98B0CF"/>
          </w:tcPr>
          <w:p>
            <w:pPr>
              <w:spacing w:after="0"/>
              <w:rPr>
                <w:sz w:val="16"/>
                <w:szCs w:val="16"/>
                <w:color w:val="auto"/>
              </w:rPr>
            </w:pPr>
          </w:p>
        </w:tc>
        <w:tc>
          <w:tcPr>
            <w:tcW w:w="700" w:type="dxa"/>
            <w:vAlign w:val="bottom"/>
            <w:tcBorders>
              <w:bottom w:val="single" w:sz="8" w:color="auto"/>
            </w:tcBorders>
            <w:shd w:val="clear" w:color="auto" w:fill="98B0CF"/>
          </w:tcPr>
          <w:p>
            <w:pPr>
              <w:spacing w:after="0"/>
              <w:rPr>
                <w:sz w:val="16"/>
                <w:szCs w:val="16"/>
                <w:color w:val="auto"/>
              </w:rPr>
            </w:pPr>
          </w:p>
        </w:tc>
        <w:tc>
          <w:tcPr>
            <w:tcW w:w="120" w:type="dxa"/>
            <w:vAlign w:val="bottom"/>
            <w:tcBorders>
              <w:bottom w:val="single" w:sz="8" w:color="98B0CF"/>
            </w:tcBorders>
            <w:shd w:val="clear" w:color="auto" w:fill="98B0CF"/>
          </w:tcPr>
          <w:p>
            <w:pPr>
              <w:spacing w:after="0"/>
              <w:rPr>
                <w:sz w:val="16"/>
                <w:szCs w:val="16"/>
                <w:color w:val="auto"/>
              </w:rPr>
            </w:pPr>
          </w:p>
        </w:tc>
        <w:tc>
          <w:tcPr>
            <w:tcW w:w="100" w:type="dxa"/>
            <w:vAlign w:val="bottom"/>
            <w:tcBorders>
              <w:bottom w:val="single" w:sz="8" w:color="auto"/>
            </w:tcBorders>
            <w:shd w:val="clear" w:color="auto" w:fill="98B0CF"/>
          </w:tcPr>
          <w:p>
            <w:pPr>
              <w:spacing w:after="0"/>
              <w:rPr>
                <w:sz w:val="16"/>
                <w:szCs w:val="16"/>
                <w:color w:val="auto"/>
              </w:rPr>
            </w:pPr>
          </w:p>
        </w:tc>
        <w:tc>
          <w:tcPr>
            <w:tcW w:w="700" w:type="dxa"/>
            <w:vAlign w:val="bottom"/>
            <w:tcBorders>
              <w:bottom w:val="single" w:sz="8" w:color="auto"/>
            </w:tcBorders>
            <w:shd w:val="clear" w:color="auto" w:fill="98B0CF"/>
          </w:tcPr>
          <w:p>
            <w:pPr>
              <w:spacing w:after="0"/>
              <w:rPr>
                <w:sz w:val="16"/>
                <w:szCs w:val="16"/>
                <w:color w:val="auto"/>
              </w:rPr>
            </w:pPr>
          </w:p>
        </w:tc>
        <w:tc>
          <w:tcPr>
            <w:tcW w:w="200" w:type="dxa"/>
            <w:vAlign w:val="bottom"/>
            <w:tcBorders>
              <w:bottom w:val="single" w:sz="8" w:color="auto"/>
            </w:tcBorders>
            <w:shd w:val="clear" w:color="auto" w:fill="98B0CF"/>
          </w:tcPr>
          <w:p>
            <w:pPr>
              <w:spacing w:after="0"/>
              <w:rPr>
                <w:sz w:val="16"/>
                <w:szCs w:val="16"/>
                <w:color w:val="auto"/>
              </w:rPr>
            </w:pPr>
          </w:p>
        </w:tc>
        <w:tc>
          <w:tcPr>
            <w:tcW w:w="780" w:type="dxa"/>
            <w:vAlign w:val="bottom"/>
            <w:tcBorders>
              <w:bottom w:val="single" w:sz="8" w:color="auto"/>
            </w:tcBorders>
            <w:shd w:val="clear" w:color="auto" w:fill="98B0CF"/>
          </w:tcPr>
          <w:p>
            <w:pPr>
              <w:spacing w:after="0"/>
              <w:rPr>
                <w:sz w:val="16"/>
                <w:szCs w:val="16"/>
                <w:color w:val="auto"/>
              </w:rPr>
            </w:pPr>
          </w:p>
        </w:tc>
        <w:tc>
          <w:tcPr>
            <w:tcW w:w="200" w:type="dxa"/>
            <w:vAlign w:val="bottom"/>
            <w:tcBorders>
              <w:bottom w:val="single" w:sz="8" w:color="auto"/>
            </w:tcBorders>
            <w:shd w:val="clear" w:color="auto" w:fill="98B0CF"/>
          </w:tcPr>
          <w:p>
            <w:pPr>
              <w:spacing w:after="0"/>
              <w:rPr>
                <w:sz w:val="16"/>
                <w:szCs w:val="16"/>
                <w:color w:val="auto"/>
              </w:rPr>
            </w:pPr>
          </w:p>
        </w:tc>
        <w:tc>
          <w:tcPr>
            <w:tcW w:w="860" w:type="dxa"/>
            <w:vAlign w:val="bottom"/>
            <w:tcBorders>
              <w:bottom w:val="single" w:sz="8" w:color="auto"/>
            </w:tcBorders>
            <w:shd w:val="clear" w:color="auto" w:fill="98B0CF"/>
          </w:tcPr>
          <w:p>
            <w:pPr>
              <w:jc w:val="right"/>
              <w:ind w:right="342"/>
              <w:spacing w:after="0"/>
              <w:rPr>
                <w:sz w:val="20"/>
                <w:szCs w:val="20"/>
                <w:color w:val="auto"/>
              </w:rPr>
            </w:pPr>
            <w:r>
              <w:rPr>
                <w:rFonts w:ascii="Arial" w:cs="Arial" w:eastAsia="Arial" w:hAnsi="Arial"/>
                <w:sz w:val="11"/>
                <w:szCs w:val="11"/>
                <w:b w:val="1"/>
                <w:bCs w:val="1"/>
                <w:color w:val="auto"/>
              </w:rPr>
              <w:t>2023</w:t>
            </w:r>
            <w:r>
              <w:rPr>
                <w:rFonts w:ascii="Arial" w:cs="Arial" w:eastAsia="Arial" w:hAnsi="Arial"/>
                <w:sz w:val="14"/>
                <w:szCs w:val="14"/>
                <w:b w:val="1"/>
                <w:bCs w:val="1"/>
                <w:color w:val="auto"/>
                <w:vertAlign w:val="superscript"/>
              </w:rPr>
              <w:t>(a)</w:t>
            </w:r>
          </w:p>
        </w:tc>
        <w:tc>
          <w:tcPr>
            <w:tcW w:w="220" w:type="dxa"/>
            <w:vAlign w:val="bottom"/>
            <w:tcBorders>
              <w:bottom w:val="single" w:sz="8" w:color="auto"/>
            </w:tcBorders>
            <w:shd w:val="clear" w:color="auto" w:fill="98B0CF"/>
          </w:tcPr>
          <w:p>
            <w:pPr>
              <w:spacing w:after="0"/>
              <w:rPr>
                <w:sz w:val="16"/>
                <w:szCs w:val="16"/>
                <w:color w:val="auto"/>
              </w:rPr>
            </w:pPr>
          </w:p>
        </w:tc>
        <w:tc>
          <w:tcPr>
            <w:tcW w:w="580" w:type="dxa"/>
            <w:vAlign w:val="bottom"/>
            <w:tcBorders>
              <w:bottom w:val="single" w:sz="8" w:color="auto"/>
            </w:tcBorders>
            <w:shd w:val="clear" w:color="auto" w:fill="98B0CF"/>
          </w:tcPr>
          <w:p>
            <w:pPr>
              <w:spacing w:after="0"/>
              <w:rPr>
                <w:sz w:val="16"/>
                <w:szCs w:val="16"/>
                <w:color w:val="auto"/>
              </w:rPr>
            </w:pPr>
          </w:p>
        </w:tc>
        <w:tc>
          <w:tcPr>
            <w:tcW w:w="280" w:type="dxa"/>
            <w:vAlign w:val="bottom"/>
            <w:tcBorders>
              <w:bottom w:val="single" w:sz="8" w:color="auto"/>
            </w:tcBorders>
            <w:shd w:val="clear" w:color="auto" w:fill="98B0CF"/>
          </w:tcPr>
          <w:p>
            <w:pPr>
              <w:spacing w:after="0"/>
              <w:rPr>
                <w:sz w:val="16"/>
                <w:szCs w:val="16"/>
                <w:color w:val="auto"/>
              </w:rPr>
            </w:pPr>
          </w:p>
        </w:tc>
        <w:tc>
          <w:tcPr>
            <w:tcW w:w="740" w:type="dxa"/>
            <w:vAlign w:val="bottom"/>
            <w:tcBorders>
              <w:bottom w:val="single" w:sz="8" w:color="auto"/>
            </w:tcBorders>
            <w:shd w:val="clear" w:color="auto" w:fill="98B0CF"/>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1880" w:type="dxa"/>
            <w:vAlign w:val="bottom"/>
            <w:shd w:val="clear" w:color="auto" w:fill="98B0CF"/>
          </w:tcPr>
          <w:p>
            <w:pPr>
              <w:spacing w:after="0"/>
              <w:rPr>
                <w:sz w:val="8"/>
                <w:szCs w:val="8"/>
                <w:color w:val="auto"/>
              </w:rPr>
            </w:pPr>
          </w:p>
        </w:tc>
        <w:tc>
          <w:tcPr>
            <w:tcW w:w="100" w:type="dxa"/>
            <w:vAlign w:val="bottom"/>
            <w:shd w:val="clear" w:color="auto" w:fill="98B0CF"/>
          </w:tcPr>
          <w:p>
            <w:pPr>
              <w:spacing w:after="0"/>
              <w:rPr>
                <w:sz w:val="8"/>
                <w:szCs w:val="8"/>
                <w:color w:val="auto"/>
              </w:rPr>
            </w:pPr>
          </w:p>
        </w:tc>
        <w:tc>
          <w:tcPr>
            <w:tcW w:w="560" w:type="dxa"/>
            <w:vAlign w:val="bottom"/>
            <w:shd w:val="clear" w:color="auto" w:fill="98B0CF"/>
          </w:tcPr>
          <w:p>
            <w:pPr>
              <w:spacing w:after="0"/>
              <w:rPr>
                <w:sz w:val="8"/>
                <w:szCs w:val="8"/>
                <w:color w:val="auto"/>
              </w:rPr>
            </w:pPr>
          </w:p>
        </w:tc>
        <w:tc>
          <w:tcPr>
            <w:tcW w:w="280" w:type="dxa"/>
            <w:vAlign w:val="bottom"/>
            <w:shd w:val="clear" w:color="auto" w:fill="98B0CF"/>
          </w:tcPr>
          <w:p>
            <w:pPr>
              <w:spacing w:after="0"/>
              <w:rPr>
                <w:sz w:val="8"/>
                <w:szCs w:val="8"/>
                <w:color w:val="auto"/>
              </w:rPr>
            </w:pPr>
          </w:p>
        </w:tc>
        <w:tc>
          <w:tcPr>
            <w:tcW w:w="780" w:type="dxa"/>
            <w:vAlign w:val="bottom"/>
            <w:shd w:val="clear" w:color="auto" w:fill="98B0CF"/>
          </w:tcPr>
          <w:p>
            <w:pPr>
              <w:jc w:val="center"/>
              <w:ind w:right="122"/>
              <w:spacing w:after="0" w:line="101" w:lineRule="exact"/>
              <w:rPr>
                <w:sz w:val="20"/>
                <w:szCs w:val="20"/>
                <w:color w:val="auto"/>
              </w:rPr>
            </w:pPr>
            <w:r>
              <w:rPr>
                <w:rFonts w:ascii="Arial" w:cs="Arial" w:eastAsia="Arial" w:hAnsi="Arial"/>
                <w:sz w:val="11"/>
                <w:szCs w:val="11"/>
                <w:b w:val="1"/>
                <w:bCs w:val="1"/>
                <w:color w:val="auto"/>
              </w:rPr>
              <w:t>Outcome-</w:t>
            </w:r>
          </w:p>
        </w:tc>
        <w:tc>
          <w:tcPr>
            <w:tcW w:w="200" w:type="dxa"/>
            <w:vAlign w:val="bottom"/>
            <w:shd w:val="clear" w:color="auto" w:fill="98B0CF"/>
          </w:tcPr>
          <w:p>
            <w:pPr>
              <w:spacing w:after="0"/>
              <w:rPr>
                <w:sz w:val="8"/>
                <w:szCs w:val="8"/>
                <w:color w:val="auto"/>
              </w:rPr>
            </w:pPr>
          </w:p>
        </w:tc>
        <w:tc>
          <w:tcPr>
            <w:tcW w:w="860" w:type="dxa"/>
            <w:vAlign w:val="bottom"/>
            <w:shd w:val="clear" w:color="auto" w:fill="98B0CF"/>
          </w:tcPr>
          <w:p>
            <w:pPr>
              <w:spacing w:after="0"/>
              <w:rPr>
                <w:sz w:val="8"/>
                <w:szCs w:val="8"/>
                <w:color w:val="auto"/>
              </w:rPr>
            </w:pPr>
          </w:p>
        </w:tc>
        <w:tc>
          <w:tcPr>
            <w:tcW w:w="280" w:type="dxa"/>
            <w:vAlign w:val="bottom"/>
            <w:shd w:val="clear" w:color="auto" w:fill="98B0CF"/>
          </w:tcPr>
          <w:p>
            <w:pPr>
              <w:spacing w:after="0"/>
              <w:rPr>
                <w:sz w:val="8"/>
                <w:szCs w:val="8"/>
                <w:color w:val="auto"/>
              </w:rPr>
            </w:pPr>
          </w:p>
        </w:tc>
        <w:tc>
          <w:tcPr>
            <w:tcW w:w="620" w:type="dxa"/>
            <w:vAlign w:val="bottom"/>
            <w:shd w:val="clear" w:color="auto" w:fill="98B0CF"/>
          </w:tcPr>
          <w:p>
            <w:pPr>
              <w:spacing w:after="0"/>
              <w:rPr>
                <w:sz w:val="8"/>
                <w:szCs w:val="8"/>
                <w:color w:val="auto"/>
              </w:rPr>
            </w:pPr>
          </w:p>
        </w:tc>
        <w:tc>
          <w:tcPr>
            <w:tcW w:w="220" w:type="dxa"/>
            <w:vAlign w:val="bottom"/>
            <w:shd w:val="clear" w:color="auto" w:fill="98B0CF"/>
          </w:tcPr>
          <w:p>
            <w:pPr>
              <w:spacing w:after="0"/>
              <w:rPr>
                <w:sz w:val="8"/>
                <w:szCs w:val="8"/>
                <w:color w:val="auto"/>
              </w:rPr>
            </w:pPr>
          </w:p>
        </w:tc>
        <w:tc>
          <w:tcPr>
            <w:tcW w:w="700" w:type="dxa"/>
            <w:vAlign w:val="bottom"/>
            <w:shd w:val="clear" w:color="auto" w:fill="98B0CF"/>
          </w:tcPr>
          <w:p>
            <w:pPr>
              <w:spacing w:after="0"/>
              <w:rPr>
                <w:sz w:val="8"/>
                <w:szCs w:val="8"/>
                <w:color w:val="auto"/>
              </w:rPr>
            </w:pPr>
          </w:p>
        </w:tc>
        <w:tc>
          <w:tcPr>
            <w:tcW w:w="120" w:type="dxa"/>
            <w:vAlign w:val="bottom"/>
            <w:shd w:val="clear" w:color="auto" w:fill="98B0CF"/>
          </w:tcPr>
          <w:p>
            <w:pPr>
              <w:spacing w:after="0"/>
              <w:rPr>
                <w:sz w:val="8"/>
                <w:szCs w:val="8"/>
                <w:color w:val="auto"/>
              </w:rPr>
            </w:pPr>
          </w:p>
        </w:tc>
        <w:tc>
          <w:tcPr>
            <w:tcW w:w="100" w:type="dxa"/>
            <w:vAlign w:val="bottom"/>
            <w:shd w:val="clear" w:color="auto" w:fill="98B0CF"/>
          </w:tcPr>
          <w:p>
            <w:pPr>
              <w:spacing w:after="0"/>
              <w:rPr>
                <w:sz w:val="8"/>
                <w:szCs w:val="8"/>
                <w:color w:val="auto"/>
              </w:rPr>
            </w:pPr>
          </w:p>
        </w:tc>
        <w:tc>
          <w:tcPr>
            <w:tcW w:w="700" w:type="dxa"/>
            <w:vAlign w:val="bottom"/>
            <w:shd w:val="clear" w:color="auto" w:fill="98B0CF"/>
          </w:tcPr>
          <w:p>
            <w:pPr>
              <w:spacing w:after="0"/>
              <w:rPr>
                <w:sz w:val="8"/>
                <w:szCs w:val="8"/>
                <w:color w:val="auto"/>
              </w:rPr>
            </w:pPr>
          </w:p>
        </w:tc>
        <w:tc>
          <w:tcPr>
            <w:tcW w:w="200" w:type="dxa"/>
            <w:vAlign w:val="bottom"/>
            <w:shd w:val="clear" w:color="auto" w:fill="98B0CF"/>
          </w:tcPr>
          <w:p>
            <w:pPr>
              <w:spacing w:after="0"/>
              <w:rPr>
                <w:sz w:val="8"/>
                <w:szCs w:val="8"/>
                <w:color w:val="auto"/>
              </w:rPr>
            </w:pPr>
          </w:p>
        </w:tc>
        <w:tc>
          <w:tcPr>
            <w:tcW w:w="780" w:type="dxa"/>
            <w:vAlign w:val="bottom"/>
            <w:shd w:val="clear" w:color="auto" w:fill="98B0CF"/>
          </w:tcPr>
          <w:p>
            <w:pPr>
              <w:jc w:val="center"/>
              <w:ind w:right="122"/>
              <w:spacing w:after="0" w:line="101" w:lineRule="exact"/>
              <w:rPr>
                <w:sz w:val="20"/>
                <w:szCs w:val="20"/>
                <w:color w:val="auto"/>
              </w:rPr>
            </w:pPr>
            <w:r>
              <w:rPr>
                <w:rFonts w:ascii="Arial" w:cs="Arial" w:eastAsia="Arial" w:hAnsi="Arial"/>
                <w:sz w:val="11"/>
                <w:szCs w:val="11"/>
                <w:b w:val="1"/>
                <w:bCs w:val="1"/>
                <w:color w:val="auto"/>
              </w:rPr>
              <w:t>Outcome-</w:t>
            </w:r>
          </w:p>
        </w:tc>
        <w:tc>
          <w:tcPr>
            <w:tcW w:w="200" w:type="dxa"/>
            <w:vAlign w:val="bottom"/>
            <w:shd w:val="clear" w:color="auto" w:fill="98B0CF"/>
          </w:tcPr>
          <w:p>
            <w:pPr>
              <w:spacing w:after="0"/>
              <w:rPr>
                <w:sz w:val="8"/>
                <w:szCs w:val="8"/>
                <w:color w:val="auto"/>
              </w:rPr>
            </w:pPr>
          </w:p>
        </w:tc>
        <w:tc>
          <w:tcPr>
            <w:tcW w:w="860" w:type="dxa"/>
            <w:vAlign w:val="bottom"/>
            <w:shd w:val="clear" w:color="auto" w:fill="98B0CF"/>
          </w:tcPr>
          <w:p>
            <w:pPr>
              <w:spacing w:after="0"/>
              <w:rPr>
                <w:sz w:val="8"/>
                <w:szCs w:val="8"/>
                <w:color w:val="auto"/>
              </w:rPr>
            </w:pPr>
          </w:p>
        </w:tc>
        <w:tc>
          <w:tcPr>
            <w:tcW w:w="220" w:type="dxa"/>
            <w:vAlign w:val="bottom"/>
            <w:shd w:val="clear" w:color="auto" w:fill="98B0CF"/>
          </w:tcPr>
          <w:p>
            <w:pPr>
              <w:spacing w:after="0"/>
              <w:rPr>
                <w:sz w:val="8"/>
                <w:szCs w:val="8"/>
                <w:color w:val="auto"/>
              </w:rPr>
            </w:pPr>
          </w:p>
        </w:tc>
        <w:tc>
          <w:tcPr>
            <w:tcW w:w="580" w:type="dxa"/>
            <w:vAlign w:val="bottom"/>
            <w:shd w:val="clear" w:color="auto" w:fill="98B0CF"/>
          </w:tcPr>
          <w:p>
            <w:pPr>
              <w:spacing w:after="0"/>
              <w:rPr>
                <w:sz w:val="8"/>
                <w:szCs w:val="8"/>
                <w:color w:val="auto"/>
              </w:rPr>
            </w:pPr>
          </w:p>
        </w:tc>
        <w:tc>
          <w:tcPr>
            <w:tcW w:w="280" w:type="dxa"/>
            <w:vAlign w:val="bottom"/>
            <w:shd w:val="clear" w:color="auto" w:fill="98B0CF"/>
          </w:tcPr>
          <w:p>
            <w:pPr>
              <w:spacing w:after="0"/>
              <w:rPr>
                <w:sz w:val="8"/>
                <w:szCs w:val="8"/>
                <w:color w:val="auto"/>
              </w:rPr>
            </w:pPr>
          </w:p>
        </w:tc>
        <w:tc>
          <w:tcPr>
            <w:tcW w:w="740" w:type="dxa"/>
            <w:vAlign w:val="bottom"/>
            <w:shd w:val="clear" w:color="auto" w:fill="98B0C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80" w:type="dxa"/>
            <w:vAlign w:val="bottom"/>
            <w:shd w:val="clear" w:color="auto" w:fill="98B0CF"/>
          </w:tcPr>
          <w:p>
            <w:pPr>
              <w:spacing w:after="0"/>
              <w:rPr>
                <w:sz w:val="10"/>
                <w:szCs w:val="10"/>
                <w:color w:val="auto"/>
              </w:rPr>
            </w:pPr>
          </w:p>
        </w:tc>
        <w:tc>
          <w:tcPr>
            <w:tcW w:w="100" w:type="dxa"/>
            <w:vAlign w:val="bottom"/>
            <w:shd w:val="clear" w:color="auto" w:fill="98B0CF"/>
          </w:tcPr>
          <w:p>
            <w:pPr>
              <w:spacing w:after="0"/>
              <w:rPr>
                <w:sz w:val="10"/>
                <w:szCs w:val="10"/>
                <w:color w:val="auto"/>
              </w:rPr>
            </w:pPr>
          </w:p>
        </w:tc>
        <w:tc>
          <w:tcPr>
            <w:tcW w:w="560" w:type="dxa"/>
            <w:vAlign w:val="bottom"/>
            <w:vMerge w:val="restart"/>
            <w:shd w:val="clear" w:color="auto" w:fill="98B0CF"/>
          </w:tcPr>
          <w:p>
            <w:pPr>
              <w:jc w:val="center"/>
              <w:ind w:right="62"/>
              <w:spacing w:after="0"/>
              <w:rPr>
                <w:sz w:val="20"/>
                <w:szCs w:val="20"/>
                <w:color w:val="auto"/>
              </w:rPr>
            </w:pPr>
            <w:r>
              <w:rPr>
                <w:rFonts w:ascii="Arial" w:cs="Arial" w:eastAsia="Arial" w:hAnsi="Arial"/>
                <w:sz w:val="11"/>
                <w:szCs w:val="11"/>
                <w:b w:val="1"/>
                <w:bCs w:val="1"/>
                <w:color w:val="auto"/>
                <w:w w:val="97"/>
              </w:rPr>
              <w:t>Staffing</w:t>
            </w:r>
          </w:p>
        </w:tc>
        <w:tc>
          <w:tcPr>
            <w:tcW w:w="280" w:type="dxa"/>
            <w:vAlign w:val="bottom"/>
            <w:shd w:val="clear" w:color="auto" w:fill="98B0CF"/>
          </w:tcPr>
          <w:p>
            <w:pPr>
              <w:spacing w:after="0"/>
              <w:rPr>
                <w:sz w:val="10"/>
                <w:szCs w:val="10"/>
                <w:color w:val="auto"/>
              </w:rPr>
            </w:pPr>
          </w:p>
        </w:tc>
        <w:tc>
          <w:tcPr>
            <w:tcW w:w="780" w:type="dxa"/>
            <w:vAlign w:val="bottom"/>
            <w:shd w:val="clear" w:color="auto" w:fill="98B0CF"/>
          </w:tcPr>
          <w:p>
            <w:pPr>
              <w:jc w:val="center"/>
              <w:ind w:right="122"/>
              <w:spacing w:after="0" w:line="119" w:lineRule="exact"/>
              <w:rPr>
                <w:sz w:val="20"/>
                <w:szCs w:val="20"/>
                <w:color w:val="auto"/>
              </w:rPr>
            </w:pPr>
            <w:r>
              <w:rPr>
                <w:rFonts w:ascii="Arial" w:cs="Arial" w:eastAsia="Arial" w:hAnsi="Arial"/>
                <w:sz w:val="11"/>
                <w:szCs w:val="11"/>
                <w:b w:val="1"/>
                <w:bCs w:val="1"/>
                <w:color w:val="auto"/>
                <w:w w:val="96"/>
              </w:rPr>
              <w:t>Based</w:t>
            </w:r>
          </w:p>
        </w:tc>
        <w:tc>
          <w:tcPr>
            <w:tcW w:w="200" w:type="dxa"/>
            <w:vAlign w:val="bottom"/>
            <w:shd w:val="clear" w:color="auto" w:fill="98B0CF"/>
          </w:tcPr>
          <w:p>
            <w:pPr>
              <w:spacing w:after="0"/>
              <w:rPr>
                <w:sz w:val="10"/>
                <w:szCs w:val="10"/>
                <w:color w:val="auto"/>
              </w:rPr>
            </w:pPr>
          </w:p>
        </w:tc>
        <w:tc>
          <w:tcPr>
            <w:tcW w:w="860" w:type="dxa"/>
            <w:vAlign w:val="bottom"/>
            <w:shd w:val="clear" w:color="auto" w:fill="98B0CF"/>
          </w:tcPr>
          <w:p>
            <w:pPr>
              <w:spacing w:after="0"/>
              <w:rPr>
                <w:sz w:val="10"/>
                <w:szCs w:val="10"/>
                <w:color w:val="auto"/>
              </w:rPr>
            </w:pPr>
          </w:p>
        </w:tc>
        <w:tc>
          <w:tcPr>
            <w:tcW w:w="280" w:type="dxa"/>
            <w:vAlign w:val="bottom"/>
            <w:shd w:val="clear" w:color="auto" w:fill="98B0CF"/>
          </w:tcPr>
          <w:p>
            <w:pPr>
              <w:spacing w:after="0"/>
              <w:rPr>
                <w:sz w:val="10"/>
                <w:szCs w:val="10"/>
                <w:color w:val="auto"/>
              </w:rPr>
            </w:pPr>
          </w:p>
        </w:tc>
        <w:tc>
          <w:tcPr>
            <w:tcW w:w="620" w:type="dxa"/>
            <w:vAlign w:val="bottom"/>
            <w:shd w:val="clear" w:color="auto" w:fill="98B0CF"/>
          </w:tcPr>
          <w:p>
            <w:pPr>
              <w:spacing w:after="0"/>
              <w:rPr>
                <w:sz w:val="10"/>
                <w:szCs w:val="10"/>
                <w:color w:val="auto"/>
              </w:rPr>
            </w:pPr>
          </w:p>
        </w:tc>
        <w:tc>
          <w:tcPr>
            <w:tcW w:w="220" w:type="dxa"/>
            <w:vAlign w:val="bottom"/>
            <w:shd w:val="clear" w:color="auto" w:fill="98B0CF"/>
          </w:tcPr>
          <w:p>
            <w:pPr>
              <w:spacing w:after="0"/>
              <w:rPr>
                <w:sz w:val="10"/>
                <w:szCs w:val="10"/>
                <w:color w:val="auto"/>
              </w:rPr>
            </w:pPr>
          </w:p>
        </w:tc>
        <w:tc>
          <w:tcPr>
            <w:tcW w:w="700" w:type="dxa"/>
            <w:vAlign w:val="bottom"/>
            <w:shd w:val="clear" w:color="auto" w:fill="98B0CF"/>
          </w:tcPr>
          <w:p>
            <w:pPr>
              <w:spacing w:after="0"/>
              <w:rPr>
                <w:sz w:val="10"/>
                <w:szCs w:val="10"/>
                <w:color w:val="auto"/>
              </w:rPr>
            </w:pPr>
          </w:p>
        </w:tc>
        <w:tc>
          <w:tcPr>
            <w:tcW w:w="120" w:type="dxa"/>
            <w:vAlign w:val="bottom"/>
            <w:shd w:val="clear" w:color="auto" w:fill="98B0CF"/>
          </w:tcPr>
          <w:p>
            <w:pPr>
              <w:spacing w:after="0"/>
              <w:rPr>
                <w:sz w:val="10"/>
                <w:szCs w:val="10"/>
                <w:color w:val="auto"/>
              </w:rPr>
            </w:pPr>
          </w:p>
        </w:tc>
        <w:tc>
          <w:tcPr>
            <w:tcW w:w="100" w:type="dxa"/>
            <w:vAlign w:val="bottom"/>
            <w:shd w:val="clear" w:color="auto" w:fill="98B0CF"/>
          </w:tcPr>
          <w:p>
            <w:pPr>
              <w:spacing w:after="0"/>
              <w:rPr>
                <w:sz w:val="10"/>
                <w:szCs w:val="10"/>
                <w:color w:val="auto"/>
              </w:rPr>
            </w:pPr>
          </w:p>
        </w:tc>
        <w:tc>
          <w:tcPr>
            <w:tcW w:w="700" w:type="dxa"/>
            <w:vAlign w:val="bottom"/>
            <w:vMerge w:val="restart"/>
            <w:shd w:val="clear" w:color="auto" w:fill="98B0CF"/>
          </w:tcPr>
          <w:p>
            <w:pPr>
              <w:jc w:val="center"/>
              <w:ind w:right="162"/>
              <w:spacing w:after="0"/>
              <w:rPr>
                <w:sz w:val="20"/>
                <w:szCs w:val="20"/>
                <w:color w:val="auto"/>
              </w:rPr>
            </w:pPr>
            <w:r>
              <w:rPr>
                <w:rFonts w:ascii="Arial" w:cs="Arial" w:eastAsia="Arial" w:hAnsi="Arial"/>
                <w:sz w:val="11"/>
                <w:szCs w:val="11"/>
                <w:b w:val="1"/>
                <w:bCs w:val="1"/>
                <w:color w:val="auto"/>
                <w:w w:val="97"/>
              </w:rPr>
              <w:t>Staffing</w:t>
            </w:r>
          </w:p>
        </w:tc>
        <w:tc>
          <w:tcPr>
            <w:tcW w:w="200" w:type="dxa"/>
            <w:vAlign w:val="bottom"/>
            <w:shd w:val="clear" w:color="auto" w:fill="98B0CF"/>
          </w:tcPr>
          <w:p>
            <w:pPr>
              <w:spacing w:after="0"/>
              <w:rPr>
                <w:sz w:val="10"/>
                <w:szCs w:val="10"/>
                <w:color w:val="auto"/>
              </w:rPr>
            </w:pPr>
          </w:p>
        </w:tc>
        <w:tc>
          <w:tcPr>
            <w:tcW w:w="780" w:type="dxa"/>
            <w:vAlign w:val="bottom"/>
            <w:shd w:val="clear" w:color="auto" w:fill="98B0CF"/>
          </w:tcPr>
          <w:p>
            <w:pPr>
              <w:jc w:val="center"/>
              <w:ind w:right="142"/>
              <w:spacing w:after="0" w:line="119" w:lineRule="exact"/>
              <w:rPr>
                <w:sz w:val="20"/>
                <w:szCs w:val="20"/>
                <w:color w:val="auto"/>
              </w:rPr>
            </w:pPr>
            <w:r>
              <w:rPr>
                <w:rFonts w:ascii="Arial" w:cs="Arial" w:eastAsia="Arial" w:hAnsi="Arial"/>
                <w:sz w:val="11"/>
                <w:szCs w:val="11"/>
                <w:b w:val="1"/>
                <w:bCs w:val="1"/>
                <w:color w:val="auto"/>
              </w:rPr>
              <w:t>Based</w:t>
            </w:r>
          </w:p>
        </w:tc>
        <w:tc>
          <w:tcPr>
            <w:tcW w:w="200" w:type="dxa"/>
            <w:vAlign w:val="bottom"/>
            <w:shd w:val="clear" w:color="auto" w:fill="98B0CF"/>
          </w:tcPr>
          <w:p>
            <w:pPr>
              <w:spacing w:after="0"/>
              <w:rPr>
                <w:sz w:val="10"/>
                <w:szCs w:val="10"/>
                <w:color w:val="auto"/>
              </w:rPr>
            </w:pPr>
          </w:p>
        </w:tc>
        <w:tc>
          <w:tcPr>
            <w:tcW w:w="860" w:type="dxa"/>
            <w:vAlign w:val="bottom"/>
            <w:shd w:val="clear" w:color="auto" w:fill="98B0CF"/>
          </w:tcPr>
          <w:p>
            <w:pPr>
              <w:spacing w:after="0"/>
              <w:rPr>
                <w:sz w:val="10"/>
                <w:szCs w:val="10"/>
                <w:color w:val="auto"/>
              </w:rPr>
            </w:pPr>
          </w:p>
        </w:tc>
        <w:tc>
          <w:tcPr>
            <w:tcW w:w="220" w:type="dxa"/>
            <w:vAlign w:val="bottom"/>
            <w:shd w:val="clear" w:color="auto" w:fill="98B0CF"/>
          </w:tcPr>
          <w:p>
            <w:pPr>
              <w:spacing w:after="0"/>
              <w:rPr>
                <w:sz w:val="10"/>
                <w:szCs w:val="10"/>
                <w:color w:val="auto"/>
              </w:rPr>
            </w:pPr>
          </w:p>
        </w:tc>
        <w:tc>
          <w:tcPr>
            <w:tcW w:w="580" w:type="dxa"/>
            <w:vAlign w:val="bottom"/>
            <w:shd w:val="clear" w:color="auto" w:fill="98B0CF"/>
          </w:tcPr>
          <w:p>
            <w:pPr>
              <w:spacing w:after="0"/>
              <w:rPr>
                <w:sz w:val="10"/>
                <w:szCs w:val="10"/>
                <w:color w:val="auto"/>
              </w:rPr>
            </w:pPr>
          </w:p>
        </w:tc>
        <w:tc>
          <w:tcPr>
            <w:tcW w:w="280" w:type="dxa"/>
            <w:vAlign w:val="bottom"/>
            <w:shd w:val="clear" w:color="auto" w:fill="98B0CF"/>
          </w:tcPr>
          <w:p>
            <w:pPr>
              <w:spacing w:after="0"/>
              <w:rPr>
                <w:sz w:val="10"/>
                <w:szCs w:val="10"/>
                <w:color w:val="auto"/>
              </w:rPr>
            </w:pPr>
          </w:p>
        </w:tc>
        <w:tc>
          <w:tcPr>
            <w:tcW w:w="740" w:type="dxa"/>
            <w:vAlign w:val="bottom"/>
            <w:shd w:val="clear" w:color="auto" w:fill="98B0C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80" w:type="dxa"/>
            <w:vAlign w:val="bottom"/>
            <w:shd w:val="clear" w:color="auto" w:fill="98B0CF"/>
          </w:tcPr>
          <w:p>
            <w:pPr>
              <w:spacing w:after="0"/>
              <w:rPr>
                <w:sz w:val="10"/>
                <w:szCs w:val="10"/>
                <w:color w:val="auto"/>
              </w:rPr>
            </w:pPr>
          </w:p>
        </w:tc>
        <w:tc>
          <w:tcPr>
            <w:tcW w:w="100" w:type="dxa"/>
            <w:vAlign w:val="bottom"/>
            <w:shd w:val="clear" w:color="auto" w:fill="98B0CF"/>
          </w:tcPr>
          <w:p>
            <w:pPr>
              <w:spacing w:after="0"/>
              <w:rPr>
                <w:sz w:val="10"/>
                <w:szCs w:val="10"/>
                <w:color w:val="auto"/>
              </w:rPr>
            </w:pPr>
          </w:p>
        </w:tc>
        <w:tc>
          <w:tcPr>
            <w:tcW w:w="560" w:type="dxa"/>
            <w:vAlign w:val="bottom"/>
            <w:vMerge w:val="continue"/>
            <w:shd w:val="clear" w:color="auto" w:fill="98B0CF"/>
          </w:tcPr>
          <w:p>
            <w:pPr>
              <w:spacing w:after="0"/>
              <w:rPr>
                <w:sz w:val="10"/>
                <w:szCs w:val="10"/>
                <w:color w:val="auto"/>
              </w:rPr>
            </w:pPr>
          </w:p>
        </w:tc>
        <w:tc>
          <w:tcPr>
            <w:tcW w:w="280" w:type="dxa"/>
            <w:vAlign w:val="bottom"/>
            <w:shd w:val="clear" w:color="auto" w:fill="98B0CF"/>
          </w:tcPr>
          <w:p>
            <w:pPr>
              <w:spacing w:after="0"/>
              <w:rPr>
                <w:sz w:val="10"/>
                <w:szCs w:val="10"/>
                <w:color w:val="auto"/>
              </w:rPr>
            </w:pPr>
          </w:p>
        </w:tc>
        <w:tc>
          <w:tcPr>
            <w:tcW w:w="780" w:type="dxa"/>
            <w:vAlign w:val="bottom"/>
            <w:shd w:val="clear" w:color="auto" w:fill="98B0CF"/>
          </w:tcPr>
          <w:p>
            <w:pPr>
              <w:jc w:val="center"/>
              <w:ind w:right="142"/>
              <w:spacing w:after="0" w:line="119" w:lineRule="exact"/>
              <w:rPr>
                <w:sz w:val="20"/>
                <w:szCs w:val="20"/>
                <w:color w:val="auto"/>
              </w:rPr>
            </w:pPr>
            <w:r>
              <w:rPr>
                <w:rFonts w:ascii="Arial" w:cs="Arial" w:eastAsia="Arial" w:hAnsi="Arial"/>
                <w:sz w:val="11"/>
                <w:szCs w:val="11"/>
                <w:b w:val="1"/>
                <w:bCs w:val="1"/>
                <w:color w:val="auto"/>
                <w:w w:val="99"/>
              </w:rPr>
              <w:t>Solutions</w:t>
            </w:r>
          </w:p>
        </w:tc>
        <w:tc>
          <w:tcPr>
            <w:tcW w:w="200" w:type="dxa"/>
            <w:vAlign w:val="bottom"/>
            <w:shd w:val="clear" w:color="auto" w:fill="98B0CF"/>
          </w:tcPr>
          <w:p>
            <w:pPr>
              <w:spacing w:after="0"/>
              <w:rPr>
                <w:sz w:val="10"/>
                <w:szCs w:val="10"/>
                <w:color w:val="auto"/>
              </w:rPr>
            </w:pPr>
          </w:p>
        </w:tc>
        <w:tc>
          <w:tcPr>
            <w:tcW w:w="860" w:type="dxa"/>
            <w:vAlign w:val="bottom"/>
            <w:vMerge w:val="restart"/>
            <w:shd w:val="clear" w:color="auto" w:fill="98B0CF"/>
          </w:tcPr>
          <w:p>
            <w:pPr>
              <w:jc w:val="center"/>
              <w:ind w:right="162"/>
              <w:spacing w:after="0"/>
              <w:rPr>
                <w:sz w:val="20"/>
                <w:szCs w:val="20"/>
                <w:color w:val="auto"/>
              </w:rPr>
            </w:pPr>
            <w:r>
              <w:rPr>
                <w:rFonts w:ascii="Arial" w:cs="Arial" w:eastAsia="Arial" w:hAnsi="Arial"/>
                <w:sz w:val="11"/>
                <w:szCs w:val="11"/>
                <w:b w:val="1"/>
                <w:bCs w:val="1"/>
                <w:color w:val="auto"/>
                <w:w w:val="98"/>
              </w:rPr>
              <w:t>Permanent</w:t>
            </w:r>
          </w:p>
        </w:tc>
        <w:tc>
          <w:tcPr>
            <w:tcW w:w="280" w:type="dxa"/>
            <w:vAlign w:val="bottom"/>
            <w:shd w:val="clear" w:color="auto" w:fill="98B0CF"/>
          </w:tcPr>
          <w:p>
            <w:pPr>
              <w:spacing w:after="0"/>
              <w:rPr>
                <w:sz w:val="10"/>
                <w:szCs w:val="10"/>
                <w:color w:val="auto"/>
              </w:rPr>
            </w:pPr>
          </w:p>
        </w:tc>
        <w:tc>
          <w:tcPr>
            <w:tcW w:w="620" w:type="dxa"/>
            <w:vAlign w:val="bottom"/>
            <w:shd w:val="clear" w:color="auto" w:fill="98B0CF"/>
          </w:tcPr>
          <w:p>
            <w:pPr>
              <w:spacing w:after="0"/>
              <w:rPr>
                <w:sz w:val="10"/>
                <w:szCs w:val="10"/>
                <w:color w:val="auto"/>
              </w:rPr>
            </w:pPr>
          </w:p>
        </w:tc>
        <w:tc>
          <w:tcPr>
            <w:tcW w:w="220" w:type="dxa"/>
            <w:vAlign w:val="bottom"/>
            <w:shd w:val="clear" w:color="auto" w:fill="98B0CF"/>
          </w:tcPr>
          <w:p>
            <w:pPr>
              <w:spacing w:after="0"/>
              <w:rPr>
                <w:sz w:val="10"/>
                <w:szCs w:val="10"/>
                <w:color w:val="auto"/>
              </w:rPr>
            </w:pPr>
          </w:p>
        </w:tc>
        <w:tc>
          <w:tcPr>
            <w:tcW w:w="700" w:type="dxa"/>
            <w:vAlign w:val="bottom"/>
            <w:shd w:val="clear" w:color="auto" w:fill="98B0CF"/>
          </w:tcPr>
          <w:p>
            <w:pPr>
              <w:spacing w:after="0"/>
              <w:rPr>
                <w:sz w:val="10"/>
                <w:szCs w:val="10"/>
                <w:color w:val="auto"/>
              </w:rPr>
            </w:pPr>
          </w:p>
        </w:tc>
        <w:tc>
          <w:tcPr>
            <w:tcW w:w="120" w:type="dxa"/>
            <w:vAlign w:val="bottom"/>
            <w:shd w:val="clear" w:color="auto" w:fill="98B0CF"/>
          </w:tcPr>
          <w:p>
            <w:pPr>
              <w:spacing w:after="0"/>
              <w:rPr>
                <w:sz w:val="10"/>
                <w:szCs w:val="10"/>
                <w:color w:val="auto"/>
              </w:rPr>
            </w:pPr>
          </w:p>
        </w:tc>
        <w:tc>
          <w:tcPr>
            <w:tcW w:w="100" w:type="dxa"/>
            <w:vAlign w:val="bottom"/>
            <w:shd w:val="clear" w:color="auto" w:fill="98B0CF"/>
          </w:tcPr>
          <w:p>
            <w:pPr>
              <w:spacing w:after="0"/>
              <w:rPr>
                <w:sz w:val="10"/>
                <w:szCs w:val="10"/>
                <w:color w:val="auto"/>
              </w:rPr>
            </w:pPr>
          </w:p>
        </w:tc>
        <w:tc>
          <w:tcPr>
            <w:tcW w:w="700" w:type="dxa"/>
            <w:vAlign w:val="bottom"/>
            <w:vMerge w:val="continue"/>
            <w:shd w:val="clear" w:color="auto" w:fill="98B0CF"/>
          </w:tcPr>
          <w:p>
            <w:pPr>
              <w:spacing w:after="0"/>
              <w:rPr>
                <w:sz w:val="10"/>
                <w:szCs w:val="10"/>
                <w:color w:val="auto"/>
              </w:rPr>
            </w:pPr>
          </w:p>
        </w:tc>
        <w:tc>
          <w:tcPr>
            <w:tcW w:w="200" w:type="dxa"/>
            <w:vAlign w:val="bottom"/>
            <w:shd w:val="clear" w:color="auto" w:fill="98B0CF"/>
          </w:tcPr>
          <w:p>
            <w:pPr>
              <w:spacing w:after="0"/>
              <w:rPr>
                <w:sz w:val="10"/>
                <w:szCs w:val="10"/>
                <w:color w:val="auto"/>
              </w:rPr>
            </w:pPr>
          </w:p>
        </w:tc>
        <w:tc>
          <w:tcPr>
            <w:tcW w:w="780" w:type="dxa"/>
            <w:vAlign w:val="bottom"/>
            <w:shd w:val="clear" w:color="auto" w:fill="98B0CF"/>
          </w:tcPr>
          <w:p>
            <w:pPr>
              <w:jc w:val="center"/>
              <w:ind w:right="142"/>
              <w:spacing w:after="0" w:line="119" w:lineRule="exact"/>
              <w:rPr>
                <w:sz w:val="20"/>
                <w:szCs w:val="20"/>
                <w:color w:val="auto"/>
              </w:rPr>
            </w:pPr>
            <w:r>
              <w:rPr>
                <w:rFonts w:ascii="Arial" w:cs="Arial" w:eastAsia="Arial" w:hAnsi="Arial"/>
                <w:sz w:val="11"/>
                <w:szCs w:val="11"/>
                <w:b w:val="1"/>
                <w:bCs w:val="1"/>
                <w:color w:val="auto"/>
                <w:w w:val="99"/>
              </w:rPr>
              <w:t>Solutions</w:t>
            </w:r>
          </w:p>
        </w:tc>
        <w:tc>
          <w:tcPr>
            <w:tcW w:w="200" w:type="dxa"/>
            <w:vAlign w:val="bottom"/>
            <w:shd w:val="clear" w:color="auto" w:fill="98B0CF"/>
          </w:tcPr>
          <w:p>
            <w:pPr>
              <w:spacing w:after="0"/>
              <w:rPr>
                <w:sz w:val="10"/>
                <w:szCs w:val="10"/>
                <w:color w:val="auto"/>
              </w:rPr>
            </w:pPr>
          </w:p>
        </w:tc>
        <w:tc>
          <w:tcPr>
            <w:tcW w:w="860" w:type="dxa"/>
            <w:vAlign w:val="bottom"/>
            <w:vMerge w:val="restart"/>
            <w:shd w:val="clear" w:color="auto" w:fill="98B0CF"/>
          </w:tcPr>
          <w:p>
            <w:pPr>
              <w:jc w:val="right"/>
              <w:ind w:right="182"/>
              <w:spacing w:after="0"/>
              <w:rPr>
                <w:sz w:val="20"/>
                <w:szCs w:val="20"/>
                <w:color w:val="auto"/>
              </w:rPr>
            </w:pPr>
            <w:r>
              <w:rPr>
                <w:rFonts w:ascii="Arial" w:cs="Arial" w:eastAsia="Arial" w:hAnsi="Arial"/>
                <w:sz w:val="11"/>
                <w:szCs w:val="11"/>
                <w:b w:val="1"/>
                <w:bCs w:val="1"/>
                <w:color w:val="auto"/>
              </w:rPr>
              <w:t>Permanent</w:t>
            </w:r>
          </w:p>
        </w:tc>
        <w:tc>
          <w:tcPr>
            <w:tcW w:w="220" w:type="dxa"/>
            <w:vAlign w:val="bottom"/>
            <w:shd w:val="clear" w:color="auto" w:fill="98B0CF"/>
          </w:tcPr>
          <w:p>
            <w:pPr>
              <w:spacing w:after="0"/>
              <w:rPr>
                <w:sz w:val="10"/>
                <w:szCs w:val="10"/>
                <w:color w:val="auto"/>
              </w:rPr>
            </w:pPr>
          </w:p>
        </w:tc>
        <w:tc>
          <w:tcPr>
            <w:tcW w:w="580" w:type="dxa"/>
            <w:vAlign w:val="bottom"/>
            <w:shd w:val="clear" w:color="auto" w:fill="98B0CF"/>
          </w:tcPr>
          <w:p>
            <w:pPr>
              <w:spacing w:after="0"/>
              <w:rPr>
                <w:sz w:val="10"/>
                <w:szCs w:val="10"/>
                <w:color w:val="auto"/>
              </w:rPr>
            </w:pPr>
          </w:p>
        </w:tc>
        <w:tc>
          <w:tcPr>
            <w:tcW w:w="280" w:type="dxa"/>
            <w:vAlign w:val="bottom"/>
            <w:shd w:val="clear" w:color="auto" w:fill="98B0CF"/>
          </w:tcPr>
          <w:p>
            <w:pPr>
              <w:spacing w:after="0"/>
              <w:rPr>
                <w:sz w:val="10"/>
                <w:szCs w:val="10"/>
                <w:color w:val="auto"/>
              </w:rPr>
            </w:pPr>
          </w:p>
        </w:tc>
        <w:tc>
          <w:tcPr>
            <w:tcW w:w="740" w:type="dxa"/>
            <w:vAlign w:val="bottom"/>
            <w:shd w:val="clear" w:color="auto" w:fill="98B0C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80" w:type="dxa"/>
            <w:vAlign w:val="bottom"/>
            <w:shd w:val="clear" w:color="auto" w:fill="98B0CF"/>
          </w:tcPr>
          <w:p>
            <w:pPr>
              <w:spacing w:after="0"/>
              <w:rPr>
                <w:sz w:val="10"/>
                <w:szCs w:val="10"/>
                <w:color w:val="auto"/>
              </w:rPr>
            </w:pPr>
          </w:p>
        </w:tc>
        <w:tc>
          <w:tcPr>
            <w:tcW w:w="100" w:type="dxa"/>
            <w:vAlign w:val="bottom"/>
            <w:shd w:val="clear" w:color="auto" w:fill="98B0CF"/>
          </w:tcPr>
          <w:p>
            <w:pPr>
              <w:spacing w:after="0"/>
              <w:rPr>
                <w:sz w:val="10"/>
                <w:szCs w:val="10"/>
                <w:color w:val="auto"/>
              </w:rPr>
            </w:pPr>
          </w:p>
        </w:tc>
        <w:tc>
          <w:tcPr>
            <w:tcW w:w="560" w:type="dxa"/>
            <w:vAlign w:val="bottom"/>
            <w:shd w:val="clear" w:color="auto" w:fill="98B0CF"/>
          </w:tcPr>
          <w:p>
            <w:pPr>
              <w:jc w:val="center"/>
              <w:ind w:right="62"/>
              <w:spacing w:after="0" w:line="119" w:lineRule="exact"/>
              <w:rPr>
                <w:sz w:val="20"/>
                <w:szCs w:val="20"/>
                <w:color w:val="auto"/>
              </w:rPr>
            </w:pPr>
            <w:r>
              <w:rPr>
                <w:rFonts w:ascii="Arial" w:cs="Arial" w:eastAsia="Arial" w:hAnsi="Arial"/>
                <w:sz w:val="11"/>
                <w:szCs w:val="11"/>
                <w:b w:val="1"/>
                <w:bCs w:val="1"/>
                <w:color w:val="auto"/>
              </w:rPr>
              <w:t>and</w:t>
            </w:r>
          </w:p>
        </w:tc>
        <w:tc>
          <w:tcPr>
            <w:tcW w:w="280" w:type="dxa"/>
            <w:vAlign w:val="bottom"/>
            <w:shd w:val="clear" w:color="auto" w:fill="98B0CF"/>
          </w:tcPr>
          <w:p>
            <w:pPr>
              <w:spacing w:after="0"/>
              <w:rPr>
                <w:sz w:val="10"/>
                <w:szCs w:val="10"/>
                <w:color w:val="auto"/>
              </w:rPr>
            </w:pPr>
          </w:p>
        </w:tc>
        <w:tc>
          <w:tcPr>
            <w:tcW w:w="780" w:type="dxa"/>
            <w:vAlign w:val="bottom"/>
            <w:shd w:val="clear" w:color="auto" w:fill="98B0CF"/>
          </w:tcPr>
          <w:p>
            <w:pPr>
              <w:jc w:val="center"/>
              <w:ind w:right="122"/>
              <w:spacing w:after="0" w:line="119" w:lineRule="exact"/>
              <w:rPr>
                <w:sz w:val="20"/>
                <w:szCs w:val="20"/>
                <w:color w:val="auto"/>
              </w:rPr>
            </w:pPr>
            <w:r>
              <w:rPr>
                <w:rFonts w:ascii="Arial" w:cs="Arial" w:eastAsia="Arial" w:hAnsi="Arial"/>
                <w:sz w:val="11"/>
                <w:szCs w:val="11"/>
                <w:b w:val="1"/>
                <w:bCs w:val="1"/>
                <w:color w:val="auto"/>
              </w:rPr>
              <w:t>and</w:t>
            </w:r>
          </w:p>
        </w:tc>
        <w:tc>
          <w:tcPr>
            <w:tcW w:w="200" w:type="dxa"/>
            <w:vAlign w:val="bottom"/>
            <w:shd w:val="clear" w:color="auto" w:fill="98B0CF"/>
          </w:tcPr>
          <w:p>
            <w:pPr>
              <w:spacing w:after="0"/>
              <w:rPr>
                <w:sz w:val="10"/>
                <w:szCs w:val="10"/>
                <w:color w:val="auto"/>
              </w:rPr>
            </w:pPr>
          </w:p>
        </w:tc>
        <w:tc>
          <w:tcPr>
            <w:tcW w:w="860" w:type="dxa"/>
            <w:vAlign w:val="bottom"/>
            <w:vMerge w:val="continue"/>
            <w:shd w:val="clear" w:color="auto" w:fill="98B0CF"/>
          </w:tcPr>
          <w:p>
            <w:pPr>
              <w:spacing w:after="0"/>
              <w:rPr>
                <w:sz w:val="10"/>
                <w:szCs w:val="10"/>
                <w:color w:val="auto"/>
              </w:rPr>
            </w:pPr>
          </w:p>
        </w:tc>
        <w:tc>
          <w:tcPr>
            <w:tcW w:w="280" w:type="dxa"/>
            <w:vAlign w:val="bottom"/>
            <w:shd w:val="clear" w:color="auto" w:fill="98B0CF"/>
          </w:tcPr>
          <w:p>
            <w:pPr>
              <w:spacing w:after="0"/>
              <w:rPr>
                <w:sz w:val="10"/>
                <w:szCs w:val="10"/>
                <w:color w:val="auto"/>
              </w:rPr>
            </w:pPr>
          </w:p>
        </w:tc>
        <w:tc>
          <w:tcPr>
            <w:tcW w:w="620" w:type="dxa"/>
            <w:vAlign w:val="bottom"/>
            <w:vMerge w:val="restart"/>
            <w:shd w:val="clear" w:color="auto" w:fill="98B0CF"/>
          </w:tcPr>
          <w:p>
            <w:pPr>
              <w:jc w:val="right"/>
              <w:ind w:right="221"/>
              <w:spacing w:after="0"/>
              <w:rPr>
                <w:sz w:val="20"/>
                <w:szCs w:val="20"/>
                <w:color w:val="auto"/>
              </w:rPr>
            </w:pPr>
            <w:r>
              <w:rPr>
                <w:rFonts w:ascii="Arial" w:cs="Arial" w:eastAsia="Arial" w:hAnsi="Arial"/>
                <w:sz w:val="11"/>
                <w:szCs w:val="11"/>
                <w:b w:val="1"/>
                <w:bCs w:val="1"/>
                <w:color w:val="auto"/>
              </w:rPr>
              <w:t>Other</w:t>
            </w:r>
          </w:p>
        </w:tc>
        <w:tc>
          <w:tcPr>
            <w:tcW w:w="220" w:type="dxa"/>
            <w:vAlign w:val="bottom"/>
            <w:shd w:val="clear" w:color="auto" w:fill="98B0CF"/>
          </w:tcPr>
          <w:p>
            <w:pPr>
              <w:spacing w:after="0"/>
              <w:rPr>
                <w:sz w:val="10"/>
                <w:szCs w:val="10"/>
                <w:color w:val="auto"/>
              </w:rPr>
            </w:pPr>
          </w:p>
        </w:tc>
        <w:tc>
          <w:tcPr>
            <w:tcW w:w="700" w:type="dxa"/>
            <w:vAlign w:val="bottom"/>
            <w:vMerge w:val="restart"/>
            <w:shd w:val="clear" w:color="auto" w:fill="98B0CF"/>
          </w:tcPr>
          <w:p>
            <w:pPr>
              <w:jc w:val="right"/>
              <w:ind w:right="261"/>
              <w:spacing w:after="0"/>
              <w:rPr>
                <w:sz w:val="20"/>
                <w:szCs w:val="20"/>
                <w:color w:val="auto"/>
              </w:rPr>
            </w:pPr>
            <w:r>
              <w:rPr>
                <w:rFonts w:ascii="Arial" w:cs="Arial" w:eastAsia="Arial" w:hAnsi="Arial"/>
                <w:sz w:val="11"/>
                <w:szCs w:val="11"/>
                <w:b w:val="1"/>
                <w:bCs w:val="1"/>
                <w:color w:val="auto"/>
              </w:rPr>
              <w:t>Total</w:t>
            </w:r>
          </w:p>
        </w:tc>
        <w:tc>
          <w:tcPr>
            <w:tcW w:w="120" w:type="dxa"/>
            <w:vAlign w:val="bottom"/>
            <w:shd w:val="clear" w:color="auto" w:fill="98B0CF"/>
          </w:tcPr>
          <w:p>
            <w:pPr>
              <w:spacing w:after="0"/>
              <w:rPr>
                <w:sz w:val="10"/>
                <w:szCs w:val="10"/>
                <w:color w:val="auto"/>
              </w:rPr>
            </w:pPr>
          </w:p>
        </w:tc>
        <w:tc>
          <w:tcPr>
            <w:tcW w:w="100" w:type="dxa"/>
            <w:vAlign w:val="bottom"/>
            <w:shd w:val="clear" w:color="auto" w:fill="98B0CF"/>
          </w:tcPr>
          <w:p>
            <w:pPr>
              <w:spacing w:after="0"/>
              <w:rPr>
                <w:sz w:val="10"/>
                <w:szCs w:val="10"/>
                <w:color w:val="auto"/>
              </w:rPr>
            </w:pPr>
          </w:p>
        </w:tc>
        <w:tc>
          <w:tcPr>
            <w:tcW w:w="700" w:type="dxa"/>
            <w:vAlign w:val="bottom"/>
            <w:shd w:val="clear" w:color="auto" w:fill="98B0CF"/>
          </w:tcPr>
          <w:p>
            <w:pPr>
              <w:jc w:val="center"/>
              <w:ind w:right="162"/>
              <w:spacing w:after="0" w:line="119" w:lineRule="exact"/>
              <w:rPr>
                <w:sz w:val="20"/>
                <w:szCs w:val="20"/>
                <w:color w:val="auto"/>
              </w:rPr>
            </w:pPr>
            <w:r>
              <w:rPr>
                <w:rFonts w:ascii="Arial" w:cs="Arial" w:eastAsia="Arial" w:hAnsi="Arial"/>
                <w:sz w:val="11"/>
                <w:szCs w:val="11"/>
                <w:b w:val="1"/>
                <w:bCs w:val="1"/>
                <w:color w:val="auto"/>
              </w:rPr>
              <w:t>and</w:t>
            </w:r>
          </w:p>
        </w:tc>
        <w:tc>
          <w:tcPr>
            <w:tcW w:w="200" w:type="dxa"/>
            <w:vAlign w:val="bottom"/>
            <w:shd w:val="clear" w:color="auto" w:fill="98B0CF"/>
          </w:tcPr>
          <w:p>
            <w:pPr>
              <w:spacing w:after="0"/>
              <w:rPr>
                <w:sz w:val="10"/>
                <w:szCs w:val="10"/>
                <w:color w:val="auto"/>
              </w:rPr>
            </w:pPr>
          </w:p>
        </w:tc>
        <w:tc>
          <w:tcPr>
            <w:tcW w:w="780" w:type="dxa"/>
            <w:vAlign w:val="bottom"/>
            <w:shd w:val="clear" w:color="auto" w:fill="98B0CF"/>
          </w:tcPr>
          <w:p>
            <w:pPr>
              <w:jc w:val="center"/>
              <w:ind w:right="122"/>
              <w:spacing w:after="0" w:line="119" w:lineRule="exact"/>
              <w:rPr>
                <w:sz w:val="20"/>
                <w:szCs w:val="20"/>
                <w:color w:val="auto"/>
              </w:rPr>
            </w:pPr>
            <w:r>
              <w:rPr>
                <w:rFonts w:ascii="Arial" w:cs="Arial" w:eastAsia="Arial" w:hAnsi="Arial"/>
                <w:sz w:val="11"/>
                <w:szCs w:val="11"/>
                <w:b w:val="1"/>
                <w:bCs w:val="1"/>
                <w:color w:val="auto"/>
              </w:rPr>
              <w:t>and</w:t>
            </w:r>
          </w:p>
        </w:tc>
        <w:tc>
          <w:tcPr>
            <w:tcW w:w="200" w:type="dxa"/>
            <w:vAlign w:val="bottom"/>
            <w:shd w:val="clear" w:color="auto" w:fill="98B0CF"/>
          </w:tcPr>
          <w:p>
            <w:pPr>
              <w:spacing w:after="0"/>
              <w:rPr>
                <w:sz w:val="10"/>
                <w:szCs w:val="10"/>
                <w:color w:val="auto"/>
              </w:rPr>
            </w:pPr>
          </w:p>
        </w:tc>
        <w:tc>
          <w:tcPr>
            <w:tcW w:w="860" w:type="dxa"/>
            <w:vAlign w:val="bottom"/>
            <w:vMerge w:val="continue"/>
            <w:shd w:val="clear" w:color="auto" w:fill="98B0CF"/>
          </w:tcPr>
          <w:p>
            <w:pPr>
              <w:spacing w:after="0"/>
              <w:rPr>
                <w:sz w:val="10"/>
                <w:szCs w:val="10"/>
                <w:color w:val="auto"/>
              </w:rPr>
            </w:pPr>
          </w:p>
        </w:tc>
        <w:tc>
          <w:tcPr>
            <w:tcW w:w="220" w:type="dxa"/>
            <w:vAlign w:val="bottom"/>
            <w:shd w:val="clear" w:color="auto" w:fill="98B0CF"/>
          </w:tcPr>
          <w:p>
            <w:pPr>
              <w:spacing w:after="0"/>
              <w:rPr>
                <w:sz w:val="10"/>
                <w:szCs w:val="10"/>
                <w:color w:val="auto"/>
              </w:rPr>
            </w:pPr>
          </w:p>
        </w:tc>
        <w:tc>
          <w:tcPr>
            <w:tcW w:w="580" w:type="dxa"/>
            <w:vAlign w:val="bottom"/>
            <w:vMerge w:val="restart"/>
            <w:shd w:val="clear" w:color="auto" w:fill="98B0CF"/>
          </w:tcPr>
          <w:p>
            <w:pPr>
              <w:jc w:val="right"/>
              <w:ind w:right="201"/>
              <w:spacing w:after="0"/>
              <w:rPr>
                <w:sz w:val="20"/>
                <w:szCs w:val="20"/>
                <w:color w:val="auto"/>
              </w:rPr>
            </w:pPr>
            <w:r>
              <w:rPr>
                <w:rFonts w:ascii="Arial" w:cs="Arial" w:eastAsia="Arial" w:hAnsi="Arial"/>
                <w:sz w:val="11"/>
                <w:szCs w:val="11"/>
                <w:b w:val="1"/>
                <w:bCs w:val="1"/>
                <w:color w:val="auto"/>
              </w:rPr>
              <w:t>Other</w:t>
            </w:r>
          </w:p>
        </w:tc>
        <w:tc>
          <w:tcPr>
            <w:tcW w:w="280" w:type="dxa"/>
            <w:vAlign w:val="bottom"/>
            <w:shd w:val="clear" w:color="auto" w:fill="98B0CF"/>
          </w:tcPr>
          <w:p>
            <w:pPr>
              <w:spacing w:after="0"/>
              <w:rPr>
                <w:sz w:val="10"/>
                <w:szCs w:val="10"/>
                <w:color w:val="auto"/>
              </w:rPr>
            </w:pPr>
          </w:p>
        </w:tc>
        <w:tc>
          <w:tcPr>
            <w:tcW w:w="740" w:type="dxa"/>
            <w:vAlign w:val="bottom"/>
            <w:vMerge w:val="restart"/>
            <w:shd w:val="clear" w:color="auto" w:fill="98B0CF"/>
          </w:tcPr>
          <w:p>
            <w:pPr>
              <w:jc w:val="right"/>
              <w:ind w:right="32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9"/>
        </w:trPr>
        <w:tc>
          <w:tcPr>
            <w:tcW w:w="1880" w:type="dxa"/>
            <w:vAlign w:val="bottom"/>
            <w:tcBorders>
              <w:bottom w:val="single" w:sz="8" w:color="auto"/>
            </w:tcBorders>
            <w:shd w:val="clear" w:color="auto" w:fill="98B0CF"/>
          </w:tcPr>
          <w:p>
            <w:pPr>
              <w:spacing w:after="0"/>
              <w:rPr>
                <w:sz w:val="12"/>
                <w:szCs w:val="12"/>
                <w:color w:val="auto"/>
              </w:rPr>
            </w:pPr>
          </w:p>
        </w:tc>
        <w:tc>
          <w:tcPr>
            <w:tcW w:w="100" w:type="dxa"/>
            <w:vAlign w:val="bottom"/>
            <w:tcBorders>
              <w:bottom w:val="single" w:sz="8" w:color="auto"/>
            </w:tcBorders>
            <w:shd w:val="clear" w:color="auto" w:fill="98B0CF"/>
          </w:tcPr>
          <w:p>
            <w:pPr>
              <w:spacing w:after="0"/>
              <w:rPr>
                <w:sz w:val="12"/>
                <w:szCs w:val="12"/>
                <w:color w:val="auto"/>
              </w:rPr>
            </w:pPr>
          </w:p>
        </w:tc>
        <w:tc>
          <w:tcPr>
            <w:tcW w:w="560" w:type="dxa"/>
            <w:vAlign w:val="bottom"/>
            <w:tcBorders>
              <w:bottom w:val="single" w:sz="8" w:color="auto"/>
            </w:tcBorders>
            <w:shd w:val="clear" w:color="auto" w:fill="98B0CF"/>
          </w:tcPr>
          <w:p>
            <w:pPr>
              <w:jc w:val="center"/>
              <w:ind w:right="62"/>
              <w:spacing w:after="0"/>
              <w:rPr>
                <w:sz w:val="20"/>
                <w:szCs w:val="20"/>
                <w:color w:val="auto"/>
              </w:rPr>
            </w:pPr>
            <w:r>
              <w:rPr>
                <w:rFonts w:ascii="Arial" w:cs="Arial" w:eastAsia="Arial" w:hAnsi="Arial"/>
                <w:sz w:val="11"/>
                <w:szCs w:val="11"/>
                <w:b w:val="1"/>
                <w:bCs w:val="1"/>
                <w:color w:val="auto"/>
                <w:w w:val="98"/>
              </w:rPr>
              <w:t>Interim</w:t>
            </w:r>
          </w:p>
        </w:tc>
        <w:tc>
          <w:tcPr>
            <w:tcW w:w="280" w:type="dxa"/>
            <w:vAlign w:val="bottom"/>
            <w:tcBorders>
              <w:bottom w:val="single" w:sz="8" w:color="auto"/>
            </w:tcBorders>
            <w:shd w:val="clear" w:color="auto" w:fill="98B0CF"/>
          </w:tcPr>
          <w:p>
            <w:pPr>
              <w:spacing w:after="0"/>
              <w:rPr>
                <w:sz w:val="12"/>
                <w:szCs w:val="12"/>
                <w:color w:val="auto"/>
              </w:rPr>
            </w:pPr>
          </w:p>
        </w:tc>
        <w:tc>
          <w:tcPr>
            <w:tcW w:w="780" w:type="dxa"/>
            <w:vAlign w:val="bottom"/>
            <w:tcBorders>
              <w:bottom w:val="single" w:sz="8" w:color="auto"/>
            </w:tcBorders>
            <w:shd w:val="clear" w:color="auto" w:fill="98B0CF"/>
          </w:tcPr>
          <w:p>
            <w:pPr>
              <w:jc w:val="center"/>
              <w:ind w:right="142"/>
              <w:spacing w:after="0"/>
              <w:rPr>
                <w:sz w:val="20"/>
                <w:szCs w:val="20"/>
                <w:color w:val="auto"/>
              </w:rPr>
            </w:pPr>
            <w:r>
              <w:rPr>
                <w:rFonts w:ascii="Arial" w:cs="Arial" w:eastAsia="Arial" w:hAnsi="Arial"/>
                <w:sz w:val="11"/>
                <w:szCs w:val="11"/>
                <w:b w:val="1"/>
                <w:bCs w:val="1"/>
                <w:color w:val="auto"/>
              </w:rPr>
              <w:t>Consulting</w:t>
            </w:r>
          </w:p>
        </w:tc>
        <w:tc>
          <w:tcPr>
            <w:tcW w:w="200" w:type="dxa"/>
            <w:vAlign w:val="bottom"/>
            <w:tcBorders>
              <w:bottom w:val="single" w:sz="8" w:color="auto"/>
            </w:tcBorders>
            <w:shd w:val="clear" w:color="auto" w:fill="98B0CF"/>
          </w:tcPr>
          <w:p>
            <w:pPr>
              <w:spacing w:after="0"/>
              <w:rPr>
                <w:sz w:val="12"/>
                <w:szCs w:val="12"/>
                <w:color w:val="auto"/>
              </w:rPr>
            </w:pPr>
          </w:p>
        </w:tc>
        <w:tc>
          <w:tcPr>
            <w:tcW w:w="860" w:type="dxa"/>
            <w:vAlign w:val="bottom"/>
            <w:tcBorders>
              <w:bottom w:val="single" w:sz="8" w:color="auto"/>
            </w:tcBorders>
            <w:shd w:val="clear" w:color="auto" w:fill="98B0CF"/>
          </w:tcPr>
          <w:p>
            <w:pPr>
              <w:jc w:val="center"/>
              <w:ind w:right="162"/>
              <w:spacing w:after="0"/>
              <w:rPr>
                <w:sz w:val="20"/>
                <w:szCs w:val="20"/>
                <w:color w:val="auto"/>
              </w:rPr>
            </w:pPr>
            <w:r>
              <w:rPr>
                <w:rFonts w:ascii="Arial" w:cs="Arial" w:eastAsia="Arial" w:hAnsi="Arial"/>
                <w:sz w:val="11"/>
                <w:szCs w:val="11"/>
                <w:b w:val="1"/>
                <w:bCs w:val="1"/>
                <w:color w:val="auto"/>
                <w:w w:val="99"/>
              </w:rPr>
              <w:t>Recruitment</w:t>
            </w:r>
          </w:p>
        </w:tc>
        <w:tc>
          <w:tcPr>
            <w:tcW w:w="280" w:type="dxa"/>
            <w:vAlign w:val="bottom"/>
            <w:tcBorders>
              <w:bottom w:val="single" w:sz="8" w:color="auto"/>
            </w:tcBorders>
            <w:shd w:val="clear" w:color="auto" w:fill="98B0CF"/>
          </w:tcPr>
          <w:p>
            <w:pPr>
              <w:spacing w:after="0"/>
              <w:rPr>
                <w:sz w:val="12"/>
                <w:szCs w:val="12"/>
                <w:color w:val="auto"/>
              </w:rPr>
            </w:pPr>
          </w:p>
        </w:tc>
        <w:tc>
          <w:tcPr>
            <w:tcW w:w="620" w:type="dxa"/>
            <w:vAlign w:val="bottom"/>
            <w:tcBorders>
              <w:bottom w:val="single" w:sz="8" w:color="auto"/>
            </w:tcBorders>
            <w:vMerge w:val="continue"/>
            <w:shd w:val="clear" w:color="auto" w:fill="98B0CF"/>
          </w:tcPr>
          <w:p>
            <w:pPr>
              <w:spacing w:after="0"/>
              <w:rPr>
                <w:sz w:val="12"/>
                <w:szCs w:val="12"/>
                <w:color w:val="auto"/>
              </w:rPr>
            </w:pPr>
          </w:p>
        </w:tc>
        <w:tc>
          <w:tcPr>
            <w:tcW w:w="220" w:type="dxa"/>
            <w:vAlign w:val="bottom"/>
            <w:tcBorders>
              <w:bottom w:val="single" w:sz="8" w:color="auto"/>
            </w:tcBorders>
            <w:shd w:val="clear" w:color="auto" w:fill="98B0CF"/>
          </w:tcPr>
          <w:p>
            <w:pPr>
              <w:spacing w:after="0"/>
              <w:rPr>
                <w:sz w:val="12"/>
                <w:szCs w:val="12"/>
                <w:color w:val="auto"/>
              </w:rPr>
            </w:pPr>
          </w:p>
        </w:tc>
        <w:tc>
          <w:tcPr>
            <w:tcW w:w="700" w:type="dxa"/>
            <w:vAlign w:val="bottom"/>
            <w:tcBorders>
              <w:bottom w:val="single" w:sz="8" w:color="auto"/>
            </w:tcBorders>
            <w:vMerge w:val="continue"/>
            <w:shd w:val="clear" w:color="auto" w:fill="98B0CF"/>
          </w:tcPr>
          <w:p>
            <w:pPr>
              <w:spacing w:after="0"/>
              <w:rPr>
                <w:sz w:val="12"/>
                <w:szCs w:val="12"/>
                <w:color w:val="auto"/>
              </w:rPr>
            </w:pPr>
          </w:p>
        </w:tc>
        <w:tc>
          <w:tcPr>
            <w:tcW w:w="120" w:type="dxa"/>
            <w:vAlign w:val="bottom"/>
            <w:tcBorders>
              <w:bottom w:val="single" w:sz="8" w:color="98B0CF"/>
            </w:tcBorders>
            <w:shd w:val="clear" w:color="auto" w:fill="98B0CF"/>
          </w:tcPr>
          <w:p>
            <w:pPr>
              <w:spacing w:after="0"/>
              <w:rPr>
                <w:sz w:val="12"/>
                <w:szCs w:val="12"/>
                <w:color w:val="auto"/>
              </w:rPr>
            </w:pPr>
          </w:p>
        </w:tc>
        <w:tc>
          <w:tcPr>
            <w:tcW w:w="100" w:type="dxa"/>
            <w:vAlign w:val="bottom"/>
            <w:tcBorders>
              <w:bottom w:val="single" w:sz="8" w:color="auto"/>
            </w:tcBorders>
            <w:shd w:val="clear" w:color="auto" w:fill="98B0CF"/>
          </w:tcPr>
          <w:p>
            <w:pPr>
              <w:spacing w:after="0"/>
              <w:rPr>
                <w:sz w:val="12"/>
                <w:szCs w:val="12"/>
                <w:color w:val="auto"/>
              </w:rPr>
            </w:pPr>
          </w:p>
        </w:tc>
        <w:tc>
          <w:tcPr>
            <w:tcW w:w="700" w:type="dxa"/>
            <w:vAlign w:val="bottom"/>
            <w:tcBorders>
              <w:bottom w:val="single" w:sz="8" w:color="auto"/>
            </w:tcBorders>
            <w:shd w:val="clear" w:color="auto" w:fill="98B0CF"/>
          </w:tcPr>
          <w:p>
            <w:pPr>
              <w:jc w:val="center"/>
              <w:ind w:right="162"/>
              <w:spacing w:after="0"/>
              <w:rPr>
                <w:sz w:val="20"/>
                <w:szCs w:val="20"/>
                <w:color w:val="auto"/>
              </w:rPr>
            </w:pPr>
            <w:r>
              <w:rPr>
                <w:rFonts w:ascii="Arial" w:cs="Arial" w:eastAsia="Arial" w:hAnsi="Arial"/>
                <w:sz w:val="11"/>
                <w:szCs w:val="11"/>
                <w:b w:val="1"/>
                <w:bCs w:val="1"/>
                <w:color w:val="auto"/>
                <w:w w:val="98"/>
              </w:rPr>
              <w:t>Interim</w:t>
            </w:r>
          </w:p>
        </w:tc>
        <w:tc>
          <w:tcPr>
            <w:tcW w:w="200" w:type="dxa"/>
            <w:vAlign w:val="bottom"/>
            <w:tcBorders>
              <w:bottom w:val="single" w:sz="8" w:color="auto"/>
            </w:tcBorders>
            <w:shd w:val="clear" w:color="auto" w:fill="98B0CF"/>
          </w:tcPr>
          <w:p>
            <w:pPr>
              <w:spacing w:after="0"/>
              <w:rPr>
                <w:sz w:val="12"/>
                <w:szCs w:val="12"/>
                <w:color w:val="auto"/>
              </w:rPr>
            </w:pPr>
          </w:p>
        </w:tc>
        <w:tc>
          <w:tcPr>
            <w:tcW w:w="780" w:type="dxa"/>
            <w:vAlign w:val="bottom"/>
            <w:tcBorders>
              <w:bottom w:val="single" w:sz="8" w:color="auto"/>
            </w:tcBorders>
            <w:shd w:val="clear" w:color="auto" w:fill="98B0CF"/>
          </w:tcPr>
          <w:p>
            <w:pPr>
              <w:jc w:val="center"/>
              <w:ind w:right="142"/>
              <w:spacing w:after="0"/>
              <w:rPr>
                <w:sz w:val="20"/>
                <w:szCs w:val="20"/>
                <w:color w:val="auto"/>
              </w:rPr>
            </w:pPr>
            <w:r>
              <w:rPr>
                <w:rFonts w:ascii="Arial" w:cs="Arial" w:eastAsia="Arial" w:hAnsi="Arial"/>
                <w:sz w:val="11"/>
                <w:szCs w:val="11"/>
                <w:b w:val="1"/>
                <w:bCs w:val="1"/>
                <w:color w:val="auto"/>
              </w:rPr>
              <w:t>Consulting</w:t>
            </w:r>
          </w:p>
        </w:tc>
        <w:tc>
          <w:tcPr>
            <w:tcW w:w="200" w:type="dxa"/>
            <w:vAlign w:val="bottom"/>
            <w:tcBorders>
              <w:bottom w:val="single" w:sz="8" w:color="auto"/>
            </w:tcBorders>
            <w:shd w:val="clear" w:color="auto" w:fill="98B0CF"/>
          </w:tcPr>
          <w:p>
            <w:pPr>
              <w:spacing w:after="0"/>
              <w:rPr>
                <w:sz w:val="12"/>
                <w:szCs w:val="12"/>
                <w:color w:val="auto"/>
              </w:rPr>
            </w:pPr>
          </w:p>
        </w:tc>
        <w:tc>
          <w:tcPr>
            <w:tcW w:w="860" w:type="dxa"/>
            <w:vAlign w:val="bottom"/>
            <w:tcBorders>
              <w:bottom w:val="single" w:sz="8" w:color="auto"/>
            </w:tcBorders>
            <w:shd w:val="clear" w:color="auto" w:fill="98B0CF"/>
          </w:tcPr>
          <w:p>
            <w:pPr>
              <w:jc w:val="right"/>
              <w:ind w:right="142"/>
              <w:spacing w:after="0"/>
              <w:rPr>
                <w:sz w:val="20"/>
                <w:szCs w:val="20"/>
                <w:color w:val="auto"/>
              </w:rPr>
            </w:pPr>
            <w:r>
              <w:rPr>
                <w:rFonts w:ascii="Arial" w:cs="Arial" w:eastAsia="Arial" w:hAnsi="Arial"/>
                <w:sz w:val="11"/>
                <w:szCs w:val="11"/>
                <w:b w:val="1"/>
                <w:bCs w:val="1"/>
                <w:color w:val="auto"/>
                <w:w w:val="99"/>
              </w:rPr>
              <w:t>Recruitment</w:t>
            </w:r>
          </w:p>
        </w:tc>
        <w:tc>
          <w:tcPr>
            <w:tcW w:w="220" w:type="dxa"/>
            <w:vAlign w:val="bottom"/>
            <w:tcBorders>
              <w:bottom w:val="single" w:sz="8" w:color="auto"/>
            </w:tcBorders>
            <w:shd w:val="clear" w:color="auto" w:fill="98B0CF"/>
          </w:tcPr>
          <w:p>
            <w:pPr>
              <w:spacing w:after="0"/>
              <w:rPr>
                <w:sz w:val="12"/>
                <w:szCs w:val="12"/>
                <w:color w:val="auto"/>
              </w:rPr>
            </w:pPr>
          </w:p>
        </w:tc>
        <w:tc>
          <w:tcPr>
            <w:tcW w:w="580" w:type="dxa"/>
            <w:vAlign w:val="bottom"/>
            <w:tcBorders>
              <w:bottom w:val="single" w:sz="8" w:color="auto"/>
            </w:tcBorders>
            <w:vMerge w:val="continue"/>
            <w:shd w:val="clear" w:color="auto" w:fill="98B0CF"/>
          </w:tcPr>
          <w:p>
            <w:pPr>
              <w:spacing w:after="0"/>
              <w:rPr>
                <w:sz w:val="12"/>
                <w:szCs w:val="12"/>
                <w:color w:val="auto"/>
              </w:rPr>
            </w:pPr>
          </w:p>
        </w:tc>
        <w:tc>
          <w:tcPr>
            <w:tcW w:w="280" w:type="dxa"/>
            <w:vAlign w:val="bottom"/>
            <w:tcBorders>
              <w:bottom w:val="single" w:sz="8" w:color="auto"/>
            </w:tcBorders>
            <w:shd w:val="clear" w:color="auto" w:fill="98B0CF"/>
          </w:tcPr>
          <w:p>
            <w:pPr>
              <w:spacing w:after="0"/>
              <w:rPr>
                <w:sz w:val="12"/>
                <w:szCs w:val="12"/>
                <w:color w:val="auto"/>
              </w:rPr>
            </w:pPr>
          </w:p>
        </w:tc>
        <w:tc>
          <w:tcPr>
            <w:tcW w:w="740" w:type="dxa"/>
            <w:vAlign w:val="bottom"/>
            <w:tcBorders>
              <w:bottom w:val="single" w:sz="8" w:color="auto"/>
            </w:tcBorders>
            <w:vMerge w:val="continue"/>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880" w:type="dxa"/>
            <w:vAlign w:val="bottom"/>
            <w:shd w:val="clear" w:color="auto" w:fill="E2E8F1"/>
          </w:tcPr>
          <w:p>
            <w:pPr>
              <w:ind w:left="80"/>
              <w:spacing w:after="0"/>
              <w:rPr>
                <w:sz w:val="20"/>
                <w:szCs w:val="20"/>
                <w:color w:val="auto"/>
              </w:rPr>
            </w:pPr>
            <w:r>
              <w:rPr>
                <w:rFonts w:ascii="Arial" w:cs="Arial" w:eastAsia="Arial" w:hAnsi="Arial"/>
                <w:sz w:val="12"/>
                <w:szCs w:val="12"/>
                <w:color w:val="auto"/>
              </w:rPr>
              <w:t>Americas:</w:t>
            </w:r>
          </w:p>
        </w:tc>
        <w:tc>
          <w:tcPr>
            <w:tcW w:w="100" w:type="dxa"/>
            <w:vAlign w:val="bottom"/>
            <w:shd w:val="clear" w:color="auto" w:fill="E2E8F1"/>
          </w:tcPr>
          <w:p>
            <w:pPr>
              <w:spacing w:after="0"/>
              <w:rPr>
                <w:sz w:val="14"/>
                <w:szCs w:val="14"/>
                <w:color w:val="auto"/>
              </w:rPr>
            </w:pPr>
          </w:p>
        </w:tc>
        <w:tc>
          <w:tcPr>
            <w:tcW w:w="56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78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86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62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7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7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78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86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7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60"/>
              <w:spacing w:after="0"/>
              <w:rPr>
                <w:sz w:val="20"/>
                <w:szCs w:val="20"/>
                <w:color w:val="auto"/>
              </w:rPr>
            </w:pPr>
            <w:r>
              <w:rPr>
                <w:rFonts w:ascii="Arial" w:cs="Arial" w:eastAsia="Arial" w:hAnsi="Arial"/>
                <w:sz w:val="12"/>
                <w:szCs w:val="12"/>
                <w:color w:val="auto"/>
              </w:rPr>
              <w:t>United States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2,454.5</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11.3</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rPr>
                <w:sz w:val="20"/>
                <w:szCs w:val="20"/>
                <w:color w:val="auto"/>
              </w:rPr>
            </w:pPr>
            <w:r>
              <w:rPr>
                <w:rFonts w:ascii="Arial" w:cs="Arial" w:eastAsia="Arial" w:hAnsi="Arial"/>
                <w:sz w:val="12"/>
                <w:szCs w:val="12"/>
                <w:color w:val="auto"/>
              </w:rPr>
              <w:t>126.1</w:t>
            </w:r>
          </w:p>
        </w:tc>
        <w:tc>
          <w:tcPr>
            <w:tcW w:w="2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174.7</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2,766.6</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2,552.5</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18.3</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132.7</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81"/>
              <w:spacing w:after="0"/>
              <w:rPr>
                <w:sz w:val="20"/>
                <w:szCs w:val="20"/>
                <w:color w:val="auto"/>
              </w:rPr>
            </w:pPr>
            <w:r>
              <w:rPr>
                <w:rFonts w:ascii="Arial" w:cs="Arial" w:eastAsia="Arial" w:hAnsi="Arial"/>
                <w:sz w:val="12"/>
                <w:szCs w:val="12"/>
                <w:color w:val="auto"/>
              </w:rPr>
              <w:t>162.7</w:t>
            </w:r>
          </w:p>
        </w:tc>
        <w:tc>
          <w:tcPr>
            <w:tcW w:w="2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2,866.2</w:t>
            </w:r>
          </w:p>
        </w:tc>
        <w:tc>
          <w:tcPr>
            <w:tcW w:w="0" w:type="dxa"/>
            <w:vAlign w:val="bottom"/>
          </w:tcPr>
          <w:p>
            <w:pPr>
              <w:spacing w:after="0"/>
              <w:rPr>
                <w:sz w:val="1"/>
                <w:szCs w:val="1"/>
                <w:color w:val="auto"/>
              </w:rPr>
            </w:pPr>
          </w:p>
        </w:tc>
      </w:tr>
      <w:tr>
        <w:trPr>
          <w:trHeight w:val="166"/>
        </w:trPr>
        <w:tc>
          <w:tcPr>
            <w:tcW w:w="1880" w:type="dxa"/>
            <w:vAlign w:val="bottom"/>
            <w:tcBorders>
              <w:bottom w:val="single" w:sz="8" w:color="231F20"/>
            </w:tcBorders>
            <w:shd w:val="clear" w:color="auto" w:fill="E2E8F1"/>
          </w:tcPr>
          <w:p>
            <w:pPr>
              <w:ind w:left="160"/>
              <w:spacing w:after="0"/>
              <w:rPr>
                <w:sz w:val="20"/>
                <w:szCs w:val="20"/>
                <w:color w:val="auto"/>
              </w:rPr>
            </w:pPr>
            <w:r>
              <w:rPr>
                <w:rFonts w:ascii="Arial" w:cs="Arial" w:eastAsia="Arial" w:hAnsi="Arial"/>
                <w:sz w:val="12"/>
                <w:szCs w:val="12"/>
                <w:color w:val="auto"/>
              </w:rPr>
              <w:t>Other Americas</w:t>
            </w:r>
          </w:p>
        </w:tc>
        <w:tc>
          <w:tcPr>
            <w:tcW w:w="100" w:type="dxa"/>
            <w:vAlign w:val="bottom"/>
            <w:tcBorders>
              <w:bottom w:val="single" w:sz="8" w:color="231F20"/>
            </w:tcBorders>
            <w:shd w:val="clear" w:color="auto" w:fill="E2E8F1"/>
          </w:tcPr>
          <w:p>
            <w:pPr>
              <w:spacing w:after="0"/>
              <w:rPr>
                <w:sz w:val="14"/>
                <w:szCs w:val="14"/>
                <w:color w:val="auto"/>
              </w:rPr>
            </w:pPr>
          </w:p>
        </w:tc>
        <w:tc>
          <w:tcPr>
            <w:tcW w:w="5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2"/>
                <w:szCs w:val="12"/>
                <w:color w:val="auto"/>
              </w:rPr>
              <w:t>1,350.6</w:t>
            </w:r>
          </w:p>
        </w:tc>
        <w:tc>
          <w:tcPr>
            <w:tcW w:w="280" w:type="dxa"/>
            <w:vAlign w:val="bottom"/>
            <w:tcBorders>
              <w:bottom w:val="single" w:sz="8" w:color="231F20"/>
            </w:tcBorders>
            <w:shd w:val="clear" w:color="auto" w:fill="E2E8F1"/>
          </w:tcPr>
          <w:p>
            <w:pPr>
              <w:spacing w:after="0"/>
              <w:rPr>
                <w:sz w:val="14"/>
                <w:szCs w:val="14"/>
                <w:color w:val="auto"/>
              </w:rPr>
            </w:pPr>
          </w:p>
        </w:tc>
        <w:tc>
          <w:tcPr>
            <w:tcW w:w="780" w:type="dxa"/>
            <w:vAlign w:val="bottom"/>
            <w:tcBorders>
              <w:bottom w:val="single" w:sz="8" w:color="231F20"/>
            </w:tcBorders>
            <w:shd w:val="clear" w:color="auto" w:fill="E2E8F1"/>
          </w:tcPr>
          <w:p>
            <w:pPr>
              <w:jc w:val="right"/>
              <w:ind w:right="62"/>
              <w:spacing w:after="0"/>
              <w:rPr>
                <w:sz w:val="20"/>
                <w:szCs w:val="20"/>
                <w:color w:val="auto"/>
              </w:rPr>
            </w:pPr>
            <w:r>
              <w:rPr>
                <w:rFonts w:ascii="Arial" w:cs="Arial" w:eastAsia="Arial" w:hAnsi="Arial"/>
                <w:sz w:val="12"/>
                <w:szCs w:val="12"/>
                <w:color w:val="auto"/>
              </w:rPr>
              <w:t>54.2</w:t>
            </w:r>
          </w:p>
        </w:tc>
        <w:tc>
          <w:tcPr>
            <w:tcW w:w="200" w:type="dxa"/>
            <w:vAlign w:val="bottom"/>
            <w:tcBorders>
              <w:bottom w:val="single" w:sz="8" w:color="231F20"/>
            </w:tcBorders>
            <w:shd w:val="clear" w:color="auto" w:fill="E2E8F1"/>
          </w:tcPr>
          <w:p>
            <w:pPr>
              <w:spacing w:after="0"/>
              <w:rPr>
                <w:sz w:val="14"/>
                <w:szCs w:val="14"/>
                <w:color w:val="auto"/>
              </w:rPr>
            </w:pPr>
          </w:p>
        </w:tc>
        <w:tc>
          <w:tcPr>
            <w:tcW w:w="860" w:type="dxa"/>
            <w:vAlign w:val="bottom"/>
            <w:tcBorders>
              <w:bottom w:val="single" w:sz="8" w:color="231F20"/>
            </w:tcBorders>
            <w:shd w:val="clear" w:color="auto" w:fill="E2E8F1"/>
          </w:tcPr>
          <w:p>
            <w:pPr>
              <w:jc w:val="right"/>
              <w:ind w:right="82"/>
              <w:spacing w:after="0"/>
              <w:rPr>
                <w:sz w:val="20"/>
                <w:szCs w:val="20"/>
                <w:color w:val="auto"/>
              </w:rPr>
            </w:pPr>
            <w:r>
              <w:rPr>
                <w:rFonts w:ascii="Arial" w:cs="Arial" w:eastAsia="Arial" w:hAnsi="Arial"/>
                <w:sz w:val="12"/>
                <w:szCs w:val="12"/>
                <w:color w:val="auto"/>
              </w:rPr>
              <w:t>43.0</w:t>
            </w:r>
          </w:p>
        </w:tc>
        <w:tc>
          <w:tcPr>
            <w:tcW w:w="280" w:type="dxa"/>
            <w:vAlign w:val="bottom"/>
            <w:tcBorders>
              <w:bottom w:val="single" w:sz="8" w:color="231F20"/>
            </w:tcBorders>
            <w:shd w:val="clear" w:color="auto" w:fill="E2E8F1"/>
          </w:tcPr>
          <w:p>
            <w:pPr>
              <w:spacing w:after="0"/>
              <w:rPr>
                <w:sz w:val="14"/>
                <w:szCs w:val="14"/>
                <w:color w:val="auto"/>
              </w:rPr>
            </w:pPr>
          </w:p>
        </w:tc>
        <w:tc>
          <w:tcPr>
            <w:tcW w:w="620" w:type="dxa"/>
            <w:vAlign w:val="bottom"/>
            <w:tcBorders>
              <w:bottom w:val="single" w:sz="8" w:color="231F20"/>
            </w:tcBorders>
            <w:shd w:val="clear" w:color="auto" w:fill="E2E8F1"/>
          </w:tcPr>
          <w:p>
            <w:pPr>
              <w:jc w:val="right"/>
              <w:ind w:right="61"/>
              <w:spacing w:after="0"/>
              <w:rPr>
                <w:sz w:val="20"/>
                <w:szCs w:val="20"/>
                <w:color w:val="auto"/>
              </w:rPr>
            </w:pPr>
            <w:r>
              <w:rPr>
                <w:rFonts w:ascii="Arial" w:cs="Arial" w:eastAsia="Arial" w:hAnsi="Arial"/>
                <w:sz w:val="12"/>
                <w:szCs w:val="12"/>
                <w:color w:val="auto"/>
              </w:rPr>
              <w:t>10.5</w:t>
            </w:r>
          </w:p>
        </w:tc>
        <w:tc>
          <w:tcPr>
            <w:tcW w:w="220" w:type="dxa"/>
            <w:vAlign w:val="bottom"/>
            <w:tcBorders>
              <w:bottom w:val="single" w:sz="8" w:color="231F20"/>
            </w:tcBorders>
            <w:shd w:val="clear" w:color="auto" w:fill="E2E8F1"/>
          </w:tcPr>
          <w:p>
            <w:pPr>
              <w:spacing w:after="0"/>
              <w:rPr>
                <w:sz w:val="14"/>
                <w:szCs w:val="14"/>
                <w:color w:val="auto"/>
              </w:rPr>
            </w:pPr>
          </w:p>
        </w:tc>
        <w:tc>
          <w:tcPr>
            <w:tcW w:w="700" w:type="dxa"/>
            <w:vAlign w:val="bottom"/>
            <w:tcBorders>
              <w:bottom w:val="single" w:sz="8" w:color="231F20"/>
            </w:tcBorders>
            <w:shd w:val="clear" w:color="auto" w:fill="E2E8F1"/>
          </w:tcPr>
          <w:p>
            <w:pPr>
              <w:jc w:val="right"/>
              <w:ind w:right="61"/>
              <w:spacing w:after="0"/>
              <w:rPr>
                <w:sz w:val="20"/>
                <w:szCs w:val="20"/>
                <w:color w:val="auto"/>
              </w:rPr>
            </w:pPr>
            <w:r>
              <w:rPr>
                <w:rFonts w:ascii="Arial" w:cs="Arial" w:eastAsia="Arial" w:hAnsi="Arial"/>
                <w:sz w:val="12"/>
                <w:szCs w:val="12"/>
                <w:color w:val="auto"/>
              </w:rPr>
              <w:t>1,458.3</w:t>
            </w:r>
          </w:p>
        </w:tc>
        <w:tc>
          <w:tcPr>
            <w:tcW w:w="120" w:type="dxa"/>
            <w:vAlign w:val="bottom"/>
            <w:tcBorders>
              <w:bottom w:val="single" w:sz="8" w:color="231F20"/>
            </w:tcBorders>
            <w:shd w:val="clear" w:color="auto" w:fill="E2E8F1"/>
          </w:tcPr>
          <w:p>
            <w:pPr>
              <w:spacing w:after="0"/>
              <w:rPr>
                <w:sz w:val="14"/>
                <w:szCs w:val="14"/>
                <w:color w:val="auto"/>
              </w:rPr>
            </w:pPr>
          </w:p>
        </w:tc>
        <w:tc>
          <w:tcPr>
            <w:tcW w:w="100" w:type="dxa"/>
            <w:vAlign w:val="bottom"/>
            <w:tcBorders>
              <w:bottom w:val="single" w:sz="8" w:color="231F20"/>
            </w:tcBorders>
            <w:shd w:val="clear" w:color="auto" w:fill="E2E8F1"/>
          </w:tcPr>
          <w:p>
            <w:pPr>
              <w:spacing w:after="0"/>
              <w:rPr>
                <w:sz w:val="14"/>
                <w:szCs w:val="14"/>
                <w:color w:val="auto"/>
              </w:rPr>
            </w:pPr>
          </w:p>
        </w:tc>
        <w:tc>
          <w:tcPr>
            <w:tcW w:w="700" w:type="dxa"/>
            <w:vAlign w:val="bottom"/>
            <w:tcBorders>
              <w:bottom w:val="single" w:sz="8" w:color="231F20"/>
            </w:tcBorders>
            <w:shd w:val="clear" w:color="auto" w:fill="E2E8F1"/>
          </w:tcPr>
          <w:p>
            <w:pPr>
              <w:jc w:val="right"/>
              <w:ind w:right="62"/>
              <w:spacing w:after="0"/>
              <w:rPr>
                <w:sz w:val="20"/>
                <w:szCs w:val="20"/>
                <w:color w:val="auto"/>
              </w:rPr>
            </w:pPr>
            <w:r>
              <w:rPr>
                <w:rFonts w:ascii="Arial" w:cs="Arial" w:eastAsia="Arial" w:hAnsi="Arial"/>
                <w:sz w:val="12"/>
                <w:szCs w:val="12"/>
                <w:color w:val="auto"/>
              </w:rPr>
              <w:t>1,442.6</w:t>
            </w:r>
          </w:p>
        </w:tc>
        <w:tc>
          <w:tcPr>
            <w:tcW w:w="200" w:type="dxa"/>
            <w:vAlign w:val="bottom"/>
            <w:tcBorders>
              <w:bottom w:val="single" w:sz="8" w:color="231F20"/>
            </w:tcBorders>
            <w:shd w:val="clear" w:color="auto" w:fill="E2E8F1"/>
          </w:tcPr>
          <w:p>
            <w:pPr>
              <w:spacing w:after="0"/>
              <w:rPr>
                <w:sz w:val="14"/>
                <w:szCs w:val="14"/>
                <w:color w:val="auto"/>
              </w:rPr>
            </w:pPr>
          </w:p>
        </w:tc>
        <w:tc>
          <w:tcPr>
            <w:tcW w:w="780" w:type="dxa"/>
            <w:vAlign w:val="bottom"/>
            <w:tcBorders>
              <w:bottom w:val="single" w:sz="8" w:color="231F20"/>
            </w:tcBorders>
            <w:shd w:val="clear" w:color="auto" w:fill="E2E8F1"/>
          </w:tcPr>
          <w:p>
            <w:pPr>
              <w:jc w:val="right"/>
              <w:ind w:right="62"/>
              <w:spacing w:after="0"/>
              <w:rPr>
                <w:sz w:val="20"/>
                <w:szCs w:val="20"/>
                <w:color w:val="auto"/>
              </w:rPr>
            </w:pPr>
            <w:r>
              <w:rPr>
                <w:rFonts w:ascii="Arial" w:cs="Arial" w:eastAsia="Arial" w:hAnsi="Arial"/>
                <w:sz w:val="12"/>
                <w:szCs w:val="12"/>
                <w:color w:val="auto"/>
              </w:rPr>
              <w:t>49.4</w:t>
            </w:r>
          </w:p>
        </w:tc>
        <w:tc>
          <w:tcPr>
            <w:tcW w:w="200" w:type="dxa"/>
            <w:vAlign w:val="bottom"/>
            <w:tcBorders>
              <w:bottom w:val="single" w:sz="8" w:color="231F20"/>
            </w:tcBorders>
            <w:shd w:val="clear" w:color="auto" w:fill="E2E8F1"/>
          </w:tcPr>
          <w:p>
            <w:pPr>
              <w:spacing w:after="0"/>
              <w:rPr>
                <w:sz w:val="14"/>
                <w:szCs w:val="14"/>
                <w:color w:val="auto"/>
              </w:rPr>
            </w:pPr>
          </w:p>
        </w:tc>
        <w:tc>
          <w:tcPr>
            <w:tcW w:w="860" w:type="dxa"/>
            <w:vAlign w:val="bottom"/>
            <w:tcBorders>
              <w:bottom w:val="single" w:sz="8" w:color="231F20"/>
            </w:tcBorders>
            <w:shd w:val="clear" w:color="auto" w:fill="E2E8F1"/>
          </w:tcPr>
          <w:p>
            <w:pPr>
              <w:jc w:val="right"/>
              <w:ind w:right="62"/>
              <w:spacing w:after="0"/>
              <w:rPr>
                <w:sz w:val="20"/>
                <w:szCs w:val="20"/>
                <w:color w:val="auto"/>
              </w:rPr>
            </w:pPr>
            <w:r>
              <w:rPr>
                <w:rFonts w:ascii="Arial" w:cs="Arial" w:eastAsia="Arial" w:hAnsi="Arial"/>
                <w:sz w:val="12"/>
                <w:szCs w:val="12"/>
                <w:color w:val="auto"/>
              </w:rPr>
              <w:t>47.2</w:t>
            </w:r>
          </w:p>
        </w:tc>
        <w:tc>
          <w:tcPr>
            <w:tcW w:w="220" w:type="dxa"/>
            <w:vAlign w:val="bottom"/>
            <w:tcBorders>
              <w:bottom w:val="single" w:sz="8" w:color="231F20"/>
            </w:tcBorders>
            <w:shd w:val="clear" w:color="auto" w:fill="E2E8F1"/>
          </w:tcPr>
          <w:p>
            <w:pPr>
              <w:spacing w:after="0"/>
              <w:rPr>
                <w:sz w:val="14"/>
                <w:szCs w:val="14"/>
                <w:color w:val="auto"/>
              </w:rPr>
            </w:pPr>
          </w:p>
        </w:tc>
        <w:tc>
          <w:tcPr>
            <w:tcW w:w="580" w:type="dxa"/>
            <w:vAlign w:val="bottom"/>
            <w:tcBorders>
              <w:bottom w:val="single" w:sz="8" w:color="231F20"/>
            </w:tcBorders>
            <w:shd w:val="clear" w:color="auto" w:fill="E2E8F1"/>
          </w:tcPr>
          <w:p>
            <w:pPr>
              <w:jc w:val="right"/>
              <w:ind w:right="81"/>
              <w:spacing w:after="0"/>
              <w:rPr>
                <w:sz w:val="20"/>
                <w:szCs w:val="20"/>
                <w:color w:val="auto"/>
              </w:rPr>
            </w:pPr>
            <w:r>
              <w:rPr>
                <w:rFonts w:ascii="Arial" w:cs="Arial" w:eastAsia="Arial" w:hAnsi="Arial"/>
                <w:sz w:val="12"/>
                <w:szCs w:val="12"/>
                <w:color w:val="auto"/>
              </w:rPr>
              <w:t>9.4</w:t>
            </w:r>
          </w:p>
        </w:tc>
        <w:tc>
          <w:tcPr>
            <w:tcW w:w="280" w:type="dxa"/>
            <w:vAlign w:val="bottom"/>
            <w:tcBorders>
              <w:bottom w:val="single" w:sz="8" w:color="231F20"/>
            </w:tcBorders>
            <w:shd w:val="clear" w:color="auto" w:fill="E2E8F1"/>
          </w:tcPr>
          <w:p>
            <w:pPr>
              <w:spacing w:after="0"/>
              <w:rPr>
                <w:sz w:val="14"/>
                <w:szCs w:val="14"/>
                <w:color w:val="auto"/>
              </w:rPr>
            </w:pPr>
          </w:p>
        </w:tc>
        <w:tc>
          <w:tcPr>
            <w:tcW w:w="740" w:type="dxa"/>
            <w:vAlign w:val="bottom"/>
            <w:tcBorders>
              <w:bottom w:val="single" w:sz="8" w:color="231F20"/>
            </w:tcBorders>
            <w:shd w:val="clear" w:color="auto" w:fill="E2E8F1"/>
          </w:tcPr>
          <w:p>
            <w:pPr>
              <w:jc w:val="right"/>
              <w:ind w:right="81"/>
              <w:spacing w:after="0"/>
              <w:rPr>
                <w:sz w:val="20"/>
                <w:szCs w:val="20"/>
                <w:color w:val="auto"/>
              </w:rPr>
            </w:pPr>
            <w:r>
              <w:rPr>
                <w:rFonts w:ascii="Arial" w:cs="Arial" w:eastAsia="Arial" w:hAnsi="Arial"/>
                <w:sz w:val="12"/>
                <w:szCs w:val="12"/>
                <w:color w:val="auto"/>
              </w:rPr>
              <w:t>1,548.6</w:t>
            </w:r>
          </w:p>
        </w:tc>
        <w:tc>
          <w:tcPr>
            <w:tcW w:w="0" w:type="dxa"/>
            <w:vAlign w:val="bottom"/>
          </w:tcPr>
          <w:p>
            <w:pPr>
              <w:spacing w:after="0"/>
              <w:rPr>
                <w:sz w:val="1"/>
                <w:szCs w:val="1"/>
                <w:color w:val="auto"/>
              </w:rPr>
            </w:pPr>
          </w:p>
        </w:tc>
      </w:tr>
      <w:tr>
        <w:trPr>
          <w:trHeight w:val="157"/>
        </w:trPr>
        <w:tc>
          <w:tcPr>
            <w:tcW w:w="1880" w:type="dxa"/>
            <w:vAlign w:val="bottom"/>
            <w:tcBorders>
              <w:bottom w:val="single" w:sz="8" w:color="231F20"/>
            </w:tcBorders>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560" w:type="dxa"/>
            <w:vAlign w:val="bottom"/>
            <w:tcBorders>
              <w:bottom w:val="single" w:sz="8" w:color="231F20"/>
            </w:tcBorders>
          </w:tcPr>
          <w:p>
            <w:pPr>
              <w:jc w:val="right"/>
              <w:spacing w:after="0"/>
              <w:rPr>
                <w:sz w:val="20"/>
                <w:szCs w:val="20"/>
                <w:color w:val="auto"/>
              </w:rPr>
            </w:pPr>
            <w:r>
              <w:rPr>
                <w:rFonts w:ascii="Arial" w:cs="Arial" w:eastAsia="Arial" w:hAnsi="Arial"/>
                <w:sz w:val="12"/>
                <w:szCs w:val="12"/>
                <w:color w:val="auto"/>
              </w:rPr>
              <w:t>3,805.1</w:t>
            </w:r>
          </w:p>
        </w:tc>
        <w:tc>
          <w:tcPr>
            <w:tcW w:w="280" w:type="dxa"/>
            <w:vAlign w:val="bottom"/>
            <w:tcBorders>
              <w:bottom w:val="single" w:sz="8" w:color="231F20"/>
            </w:tcBorders>
          </w:tcPr>
          <w:p>
            <w:pPr>
              <w:spacing w:after="0"/>
              <w:rPr>
                <w:sz w:val="13"/>
                <w:szCs w:val="13"/>
                <w:color w:val="auto"/>
              </w:rPr>
            </w:pPr>
          </w:p>
        </w:tc>
        <w:tc>
          <w:tcPr>
            <w:tcW w:w="780" w:type="dxa"/>
            <w:vAlign w:val="bottom"/>
            <w:tcBorders>
              <w:bottom w:val="single" w:sz="8" w:color="231F20"/>
            </w:tcBorders>
          </w:tcPr>
          <w:p>
            <w:pPr>
              <w:jc w:val="right"/>
              <w:ind w:right="62"/>
              <w:spacing w:after="0"/>
              <w:rPr>
                <w:sz w:val="20"/>
                <w:szCs w:val="20"/>
                <w:color w:val="auto"/>
              </w:rPr>
            </w:pPr>
            <w:r>
              <w:rPr>
                <w:rFonts w:ascii="Arial" w:cs="Arial" w:eastAsia="Arial" w:hAnsi="Arial"/>
                <w:sz w:val="12"/>
                <w:szCs w:val="12"/>
                <w:color w:val="auto"/>
              </w:rPr>
              <w:t>65.5</w:t>
            </w:r>
          </w:p>
        </w:tc>
        <w:tc>
          <w:tcPr>
            <w:tcW w:w="200" w:type="dxa"/>
            <w:vAlign w:val="bottom"/>
            <w:tcBorders>
              <w:bottom w:val="single" w:sz="8" w:color="231F20"/>
            </w:tcBorders>
          </w:tcPr>
          <w:p>
            <w:pPr>
              <w:spacing w:after="0"/>
              <w:rPr>
                <w:sz w:val="13"/>
                <w:szCs w:val="13"/>
                <w:color w:val="auto"/>
              </w:rPr>
            </w:pPr>
          </w:p>
        </w:tc>
        <w:tc>
          <w:tcPr>
            <w:tcW w:w="860" w:type="dxa"/>
            <w:vAlign w:val="bottom"/>
            <w:tcBorders>
              <w:bottom w:val="single" w:sz="8" w:color="231F20"/>
            </w:tcBorders>
          </w:tcPr>
          <w:p>
            <w:pPr>
              <w:jc w:val="right"/>
              <w:ind w:right="82"/>
              <w:spacing w:after="0"/>
              <w:rPr>
                <w:sz w:val="20"/>
                <w:szCs w:val="20"/>
                <w:color w:val="auto"/>
              </w:rPr>
            </w:pPr>
            <w:r>
              <w:rPr>
                <w:rFonts w:ascii="Arial" w:cs="Arial" w:eastAsia="Arial" w:hAnsi="Arial"/>
                <w:sz w:val="12"/>
                <w:szCs w:val="12"/>
                <w:color w:val="auto"/>
              </w:rPr>
              <w:t>169.1</w:t>
            </w:r>
          </w:p>
        </w:tc>
        <w:tc>
          <w:tcPr>
            <w:tcW w:w="280" w:type="dxa"/>
            <w:vAlign w:val="bottom"/>
            <w:tcBorders>
              <w:bottom w:val="single" w:sz="8" w:color="231F20"/>
            </w:tcBorders>
          </w:tcPr>
          <w:p>
            <w:pPr>
              <w:spacing w:after="0"/>
              <w:rPr>
                <w:sz w:val="13"/>
                <w:szCs w:val="13"/>
                <w:color w:val="auto"/>
              </w:rPr>
            </w:pPr>
          </w:p>
        </w:tc>
        <w:tc>
          <w:tcPr>
            <w:tcW w:w="620" w:type="dxa"/>
            <w:vAlign w:val="bottom"/>
            <w:tcBorders>
              <w:bottom w:val="single" w:sz="8" w:color="231F20"/>
            </w:tcBorders>
          </w:tcPr>
          <w:p>
            <w:pPr>
              <w:jc w:val="right"/>
              <w:ind w:right="61"/>
              <w:spacing w:after="0"/>
              <w:rPr>
                <w:sz w:val="20"/>
                <w:szCs w:val="20"/>
                <w:color w:val="auto"/>
              </w:rPr>
            </w:pPr>
            <w:r>
              <w:rPr>
                <w:rFonts w:ascii="Arial" w:cs="Arial" w:eastAsia="Arial" w:hAnsi="Arial"/>
                <w:sz w:val="12"/>
                <w:szCs w:val="12"/>
                <w:color w:val="auto"/>
              </w:rPr>
              <w:t>185.2</w:t>
            </w:r>
          </w:p>
        </w:tc>
        <w:tc>
          <w:tcPr>
            <w:tcW w:w="220" w:type="dxa"/>
            <w:vAlign w:val="bottom"/>
            <w:tcBorders>
              <w:bottom w:val="single" w:sz="8" w:color="231F20"/>
            </w:tcBorders>
          </w:tcPr>
          <w:p>
            <w:pPr>
              <w:spacing w:after="0"/>
              <w:rPr>
                <w:sz w:val="13"/>
                <w:szCs w:val="13"/>
                <w:color w:val="auto"/>
              </w:rPr>
            </w:pPr>
          </w:p>
        </w:tc>
        <w:tc>
          <w:tcPr>
            <w:tcW w:w="700" w:type="dxa"/>
            <w:vAlign w:val="bottom"/>
            <w:tcBorders>
              <w:bottom w:val="single" w:sz="8" w:color="231F20"/>
            </w:tcBorders>
          </w:tcPr>
          <w:p>
            <w:pPr>
              <w:jc w:val="right"/>
              <w:ind w:right="61"/>
              <w:spacing w:after="0"/>
              <w:rPr>
                <w:sz w:val="20"/>
                <w:szCs w:val="20"/>
                <w:color w:val="auto"/>
              </w:rPr>
            </w:pPr>
            <w:r>
              <w:rPr>
                <w:rFonts w:ascii="Arial" w:cs="Arial" w:eastAsia="Arial" w:hAnsi="Arial"/>
                <w:sz w:val="12"/>
                <w:szCs w:val="12"/>
                <w:color w:val="auto"/>
              </w:rPr>
              <w:t>4,224.9</w:t>
            </w:r>
          </w:p>
        </w:tc>
        <w:tc>
          <w:tcPr>
            <w:tcW w:w="120" w:type="dxa"/>
            <w:vAlign w:val="bottom"/>
            <w:tcBorders>
              <w:bottom w:val="single" w:sz="8" w:color="231F20"/>
            </w:tcBorders>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700" w:type="dxa"/>
            <w:vAlign w:val="bottom"/>
            <w:tcBorders>
              <w:bottom w:val="single" w:sz="8" w:color="231F20"/>
            </w:tcBorders>
          </w:tcPr>
          <w:p>
            <w:pPr>
              <w:jc w:val="right"/>
              <w:ind w:right="62"/>
              <w:spacing w:after="0"/>
              <w:rPr>
                <w:sz w:val="20"/>
                <w:szCs w:val="20"/>
                <w:color w:val="auto"/>
              </w:rPr>
            </w:pPr>
            <w:r>
              <w:rPr>
                <w:rFonts w:ascii="Arial" w:cs="Arial" w:eastAsia="Arial" w:hAnsi="Arial"/>
                <w:sz w:val="12"/>
                <w:szCs w:val="12"/>
                <w:color w:val="auto"/>
              </w:rPr>
              <w:t>3,995.1</w:t>
            </w:r>
          </w:p>
        </w:tc>
        <w:tc>
          <w:tcPr>
            <w:tcW w:w="200" w:type="dxa"/>
            <w:vAlign w:val="bottom"/>
            <w:tcBorders>
              <w:bottom w:val="single" w:sz="8" w:color="231F20"/>
            </w:tcBorders>
          </w:tcPr>
          <w:p>
            <w:pPr>
              <w:spacing w:after="0"/>
              <w:rPr>
                <w:sz w:val="13"/>
                <w:szCs w:val="13"/>
                <w:color w:val="auto"/>
              </w:rPr>
            </w:pPr>
          </w:p>
        </w:tc>
        <w:tc>
          <w:tcPr>
            <w:tcW w:w="780" w:type="dxa"/>
            <w:vAlign w:val="bottom"/>
            <w:tcBorders>
              <w:bottom w:val="single" w:sz="8" w:color="231F20"/>
            </w:tcBorders>
          </w:tcPr>
          <w:p>
            <w:pPr>
              <w:jc w:val="right"/>
              <w:ind w:right="62"/>
              <w:spacing w:after="0"/>
              <w:rPr>
                <w:sz w:val="20"/>
                <w:szCs w:val="20"/>
                <w:color w:val="auto"/>
              </w:rPr>
            </w:pPr>
            <w:r>
              <w:rPr>
                <w:rFonts w:ascii="Arial" w:cs="Arial" w:eastAsia="Arial" w:hAnsi="Arial"/>
                <w:sz w:val="12"/>
                <w:szCs w:val="12"/>
                <w:color w:val="auto"/>
              </w:rPr>
              <w:t>67.7</w:t>
            </w:r>
          </w:p>
        </w:tc>
        <w:tc>
          <w:tcPr>
            <w:tcW w:w="200" w:type="dxa"/>
            <w:vAlign w:val="bottom"/>
            <w:tcBorders>
              <w:bottom w:val="single" w:sz="8" w:color="231F20"/>
            </w:tcBorders>
          </w:tcPr>
          <w:p>
            <w:pPr>
              <w:spacing w:after="0"/>
              <w:rPr>
                <w:sz w:val="13"/>
                <w:szCs w:val="13"/>
                <w:color w:val="auto"/>
              </w:rPr>
            </w:pPr>
          </w:p>
        </w:tc>
        <w:tc>
          <w:tcPr>
            <w:tcW w:w="860" w:type="dxa"/>
            <w:vAlign w:val="bottom"/>
            <w:tcBorders>
              <w:bottom w:val="single" w:sz="8" w:color="231F20"/>
            </w:tcBorders>
          </w:tcPr>
          <w:p>
            <w:pPr>
              <w:jc w:val="right"/>
              <w:ind w:right="62"/>
              <w:spacing w:after="0"/>
              <w:rPr>
                <w:sz w:val="20"/>
                <w:szCs w:val="20"/>
                <w:color w:val="auto"/>
              </w:rPr>
            </w:pPr>
            <w:r>
              <w:rPr>
                <w:rFonts w:ascii="Arial" w:cs="Arial" w:eastAsia="Arial" w:hAnsi="Arial"/>
                <w:sz w:val="12"/>
                <w:szCs w:val="12"/>
                <w:color w:val="auto"/>
              </w:rPr>
              <w:t>179.9</w:t>
            </w:r>
          </w:p>
        </w:tc>
        <w:tc>
          <w:tcPr>
            <w:tcW w:w="220" w:type="dxa"/>
            <w:vAlign w:val="bottom"/>
            <w:tcBorders>
              <w:bottom w:val="single" w:sz="8" w:color="231F20"/>
            </w:tcBorders>
          </w:tcPr>
          <w:p>
            <w:pPr>
              <w:spacing w:after="0"/>
              <w:rPr>
                <w:sz w:val="13"/>
                <w:szCs w:val="13"/>
                <w:color w:val="auto"/>
              </w:rPr>
            </w:pPr>
          </w:p>
        </w:tc>
        <w:tc>
          <w:tcPr>
            <w:tcW w:w="580" w:type="dxa"/>
            <w:vAlign w:val="bottom"/>
            <w:tcBorders>
              <w:bottom w:val="single" w:sz="8" w:color="231F20"/>
            </w:tcBorders>
          </w:tcPr>
          <w:p>
            <w:pPr>
              <w:jc w:val="right"/>
              <w:ind w:right="81"/>
              <w:spacing w:after="0"/>
              <w:rPr>
                <w:sz w:val="20"/>
                <w:szCs w:val="20"/>
                <w:color w:val="auto"/>
              </w:rPr>
            </w:pPr>
            <w:r>
              <w:rPr>
                <w:rFonts w:ascii="Arial" w:cs="Arial" w:eastAsia="Arial" w:hAnsi="Arial"/>
                <w:sz w:val="12"/>
                <w:szCs w:val="12"/>
                <w:color w:val="auto"/>
              </w:rPr>
              <w:t>172.1</w:t>
            </w:r>
          </w:p>
        </w:tc>
        <w:tc>
          <w:tcPr>
            <w:tcW w:w="280" w:type="dxa"/>
            <w:vAlign w:val="bottom"/>
            <w:tcBorders>
              <w:bottom w:val="single" w:sz="8" w:color="231F20"/>
            </w:tcBorders>
          </w:tcPr>
          <w:p>
            <w:pPr>
              <w:spacing w:after="0"/>
              <w:rPr>
                <w:sz w:val="13"/>
                <w:szCs w:val="13"/>
                <w:color w:val="auto"/>
              </w:rPr>
            </w:pPr>
          </w:p>
        </w:tc>
        <w:tc>
          <w:tcPr>
            <w:tcW w:w="740" w:type="dxa"/>
            <w:vAlign w:val="bottom"/>
            <w:tcBorders>
              <w:bottom w:val="single" w:sz="8" w:color="231F20"/>
            </w:tcBorders>
          </w:tcPr>
          <w:p>
            <w:pPr>
              <w:jc w:val="right"/>
              <w:ind w:right="81"/>
              <w:spacing w:after="0"/>
              <w:rPr>
                <w:sz w:val="20"/>
                <w:szCs w:val="20"/>
                <w:color w:val="auto"/>
              </w:rPr>
            </w:pPr>
            <w:r>
              <w:rPr>
                <w:rFonts w:ascii="Arial" w:cs="Arial" w:eastAsia="Arial" w:hAnsi="Arial"/>
                <w:sz w:val="12"/>
                <w:szCs w:val="12"/>
                <w:color w:val="auto"/>
              </w:rPr>
              <w:t>4,414.8</w:t>
            </w:r>
          </w:p>
        </w:tc>
        <w:tc>
          <w:tcPr>
            <w:tcW w:w="0" w:type="dxa"/>
            <w:vAlign w:val="bottom"/>
          </w:tcPr>
          <w:p>
            <w:pPr>
              <w:spacing w:after="0"/>
              <w:rPr>
                <w:sz w:val="1"/>
                <w:szCs w:val="1"/>
                <w:color w:val="auto"/>
              </w:rPr>
            </w:pPr>
          </w:p>
        </w:tc>
      </w:tr>
      <w:tr>
        <w:trPr>
          <w:trHeight w:val="157"/>
        </w:trPr>
        <w:tc>
          <w:tcPr>
            <w:tcW w:w="1880" w:type="dxa"/>
            <w:vAlign w:val="bottom"/>
            <w:shd w:val="clear" w:color="auto" w:fill="E2E8F1"/>
          </w:tcPr>
          <w:p>
            <w:pPr>
              <w:ind w:left="80"/>
              <w:spacing w:after="0"/>
              <w:rPr>
                <w:sz w:val="20"/>
                <w:szCs w:val="20"/>
                <w:color w:val="auto"/>
              </w:rPr>
            </w:pPr>
            <w:r>
              <w:rPr>
                <w:rFonts w:ascii="Arial" w:cs="Arial" w:eastAsia="Arial" w:hAnsi="Arial"/>
                <w:sz w:val="12"/>
                <w:szCs w:val="12"/>
                <w:color w:val="auto"/>
              </w:rPr>
              <w:t>Southern Europe:</w:t>
            </w:r>
          </w:p>
        </w:tc>
        <w:tc>
          <w:tcPr>
            <w:tcW w:w="100" w:type="dxa"/>
            <w:vAlign w:val="bottom"/>
            <w:shd w:val="clear" w:color="auto" w:fill="E2E8F1"/>
          </w:tcPr>
          <w:p>
            <w:pPr>
              <w:spacing w:after="0"/>
              <w:rPr>
                <w:sz w:val="13"/>
                <w:szCs w:val="13"/>
                <w:color w:val="auto"/>
              </w:rPr>
            </w:pPr>
          </w:p>
        </w:tc>
        <w:tc>
          <w:tcPr>
            <w:tcW w:w="56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78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86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620" w:type="dxa"/>
            <w:vAlign w:val="bottom"/>
            <w:shd w:val="clear" w:color="auto" w:fill="E2E8F1"/>
          </w:tcPr>
          <w:p>
            <w:pPr>
              <w:spacing w:after="0"/>
              <w:rPr>
                <w:sz w:val="13"/>
                <w:szCs w:val="13"/>
                <w:color w:val="auto"/>
              </w:rPr>
            </w:pPr>
          </w:p>
        </w:tc>
        <w:tc>
          <w:tcPr>
            <w:tcW w:w="220" w:type="dxa"/>
            <w:vAlign w:val="bottom"/>
            <w:shd w:val="clear" w:color="auto" w:fill="E2E8F1"/>
          </w:tcPr>
          <w:p>
            <w:pPr>
              <w:spacing w:after="0"/>
              <w:rPr>
                <w:sz w:val="13"/>
                <w:szCs w:val="13"/>
                <w:color w:val="auto"/>
              </w:rPr>
            </w:pPr>
          </w:p>
        </w:tc>
        <w:tc>
          <w:tcPr>
            <w:tcW w:w="7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70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78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860" w:type="dxa"/>
            <w:vAlign w:val="bottom"/>
            <w:shd w:val="clear" w:color="auto" w:fill="E2E8F1"/>
          </w:tcPr>
          <w:p>
            <w:pPr>
              <w:spacing w:after="0"/>
              <w:rPr>
                <w:sz w:val="13"/>
                <w:szCs w:val="13"/>
                <w:color w:val="auto"/>
              </w:rPr>
            </w:pPr>
          </w:p>
        </w:tc>
        <w:tc>
          <w:tcPr>
            <w:tcW w:w="220" w:type="dxa"/>
            <w:vAlign w:val="bottom"/>
            <w:shd w:val="clear" w:color="auto" w:fill="E2E8F1"/>
          </w:tcPr>
          <w:p>
            <w:pPr>
              <w:spacing w:after="0"/>
              <w:rPr>
                <w:sz w:val="13"/>
                <w:szCs w:val="13"/>
                <w:color w:val="auto"/>
              </w:rPr>
            </w:pPr>
          </w:p>
        </w:tc>
        <w:tc>
          <w:tcPr>
            <w:tcW w:w="5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74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60"/>
              <w:spacing w:after="0"/>
              <w:rPr>
                <w:sz w:val="20"/>
                <w:szCs w:val="20"/>
                <w:color w:val="auto"/>
              </w:rPr>
            </w:pPr>
            <w:r>
              <w:rPr>
                <w:rFonts w:ascii="Arial" w:cs="Arial" w:eastAsia="Arial" w:hAnsi="Arial"/>
                <w:sz w:val="12"/>
                <w:szCs w:val="12"/>
                <w:color w:val="auto"/>
              </w:rPr>
              <w:t>France</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4,205.4</w:t>
            </w:r>
          </w:p>
        </w:tc>
        <w:tc>
          <w:tcPr>
            <w:tcW w:w="280" w:type="dxa"/>
            <w:vAlign w:val="bottom"/>
          </w:tcPr>
          <w:p>
            <w:pPr>
              <w:spacing w:after="0"/>
              <w:rPr>
                <w:sz w:val="14"/>
                <w:szCs w:val="14"/>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281.8</w:t>
            </w:r>
          </w:p>
        </w:tc>
        <w:tc>
          <w:tcPr>
            <w:tcW w:w="200" w:type="dxa"/>
            <w:vAlign w:val="bottom"/>
          </w:tcPr>
          <w:p>
            <w:pPr>
              <w:spacing w:after="0"/>
              <w:rPr>
                <w:sz w:val="14"/>
                <w:szCs w:val="14"/>
                <w:color w:val="auto"/>
              </w:rPr>
            </w:pPr>
          </w:p>
        </w:tc>
        <w:tc>
          <w:tcPr>
            <w:tcW w:w="860" w:type="dxa"/>
            <w:vAlign w:val="bottom"/>
          </w:tcPr>
          <w:p>
            <w:pPr>
              <w:jc w:val="right"/>
              <w:ind w:right="82"/>
              <w:spacing w:after="0"/>
              <w:rPr>
                <w:sz w:val="20"/>
                <w:szCs w:val="20"/>
                <w:color w:val="auto"/>
              </w:rPr>
            </w:pPr>
            <w:r>
              <w:rPr>
                <w:rFonts w:ascii="Arial" w:cs="Arial" w:eastAsia="Arial" w:hAnsi="Arial"/>
                <w:sz w:val="12"/>
                <w:szCs w:val="12"/>
                <w:color w:val="auto"/>
              </w:rPr>
              <w:t>49.6</w:t>
            </w:r>
          </w:p>
        </w:tc>
        <w:tc>
          <w:tcPr>
            <w:tcW w:w="280" w:type="dxa"/>
            <w:vAlign w:val="bottom"/>
          </w:tcPr>
          <w:p>
            <w:pPr>
              <w:spacing w:after="0"/>
              <w:rPr>
                <w:sz w:val="14"/>
                <w:szCs w:val="14"/>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81.6</w:t>
            </w:r>
          </w:p>
        </w:tc>
        <w:tc>
          <w:tcPr>
            <w:tcW w:w="22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4,618.4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4,454.7</w:t>
            </w:r>
          </w:p>
        </w:tc>
        <w:tc>
          <w:tcPr>
            <w:tcW w:w="200" w:type="dxa"/>
            <w:vAlign w:val="bottom"/>
          </w:tcPr>
          <w:p>
            <w:pPr>
              <w:spacing w:after="0"/>
              <w:rPr>
                <w:sz w:val="14"/>
                <w:szCs w:val="14"/>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283.5</w:t>
            </w:r>
          </w:p>
        </w:tc>
        <w:tc>
          <w:tcPr>
            <w:tcW w:w="200" w:type="dxa"/>
            <w:vAlign w:val="bottom"/>
          </w:tcPr>
          <w:p>
            <w:pPr>
              <w:spacing w:after="0"/>
              <w:rPr>
                <w:sz w:val="14"/>
                <w:szCs w:val="14"/>
                <w:color w:val="auto"/>
              </w:rPr>
            </w:pP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58.9</w:t>
            </w:r>
          </w:p>
        </w:tc>
        <w:tc>
          <w:tcPr>
            <w:tcW w:w="220" w:type="dxa"/>
            <w:vAlign w:val="bottom"/>
          </w:tcPr>
          <w:p>
            <w:pPr>
              <w:spacing w:after="0"/>
              <w:rPr>
                <w:sz w:val="14"/>
                <w:szCs w:val="14"/>
                <w:color w:val="auto"/>
              </w:rPr>
            </w:pPr>
          </w:p>
        </w:tc>
        <w:tc>
          <w:tcPr>
            <w:tcW w:w="580" w:type="dxa"/>
            <w:vAlign w:val="bottom"/>
          </w:tcPr>
          <w:p>
            <w:pPr>
              <w:jc w:val="right"/>
              <w:ind w:right="81"/>
              <w:spacing w:after="0"/>
              <w:rPr>
                <w:sz w:val="20"/>
                <w:szCs w:val="20"/>
                <w:color w:val="auto"/>
              </w:rPr>
            </w:pPr>
            <w:r>
              <w:rPr>
                <w:rFonts w:ascii="Arial" w:cs="Arial" w:eastAsia="Arial" w:hAnsi="Arial"/>
                <w:sz w:val="12"/>
                <w:szCs w:val="12"/>
                <w:color w:val="auto"/>
              </w:rPr>
              <w:t>70.0</w:t>
            </w:r>
          </w:p>
        </w:tc>
        <w:tc>
          <w:tcPr>
            <w:tcW w:w="280" w:type="dxa"/>
            <w:vAlign w:val="bottom"/>
          </w:tcPr>
          <w:p>
            <w:pPr>
              <w:spacing w:after="0"/>
              <w:rPr>
                <w:sz w:val="14"/>
                <w:szCs w:val="14"/>
                <w:color w:val="auto"/>
              </w:rPr>
            </w:pP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4,867.1</w:t>
            </w:r>
          </w:p>
        </w:tc>
        <w:tc>
          <w:tcPr>
            <w:tcW w:w="0" w:type="dxa"/>
            <w:vAlign w:val="bottom"/>
          </w:tcPr>
          <w:p>
            <w:pPr>
              <w:spacing w:after="0"/>
              <w:rPr>
                <w:sz w:val="1"/>
                <w:szCs w:val="1"/>
                <w:color w:val="auto"/>
              </w:rPr>
            </w:pPr>
          </w:p>
        </w:tc>
      </w:tr>
      <w:tr>
        <w:trPr>
          <w:trHeight w:val="166"/>
        </w:trPr>
        <w:tc>
          <w:tcPr>
            <w:tcW w:w="1880" w:type="dxa"/>
            <w:vAlign w:val="bottom"/>
            <w:shd w:val="clear" w:color="auto" w:fill="E2E8F1"/>
          </w:tcPr>
          <w:p>
            <w:pPr>
              <w:ind w:left="160"/>
              <w:spacing w:after="0"/>
              <w:rPr>
                <w:sz w:val="20"/>
                <w:szCs w:val="20"/>
                <w:color w:val="auto"/>
              </w:rPr>
            </w:pPr>
            <w:r>
              <w:rPr>
                <w:rFonts w:ascii="Arial" w:cs="Arial" w:eastAsia="Arial" w:hAnsi="Arial"/>
                <w:sz w:val="12"/>
                <w:szCs w:val="12"/>
                <w:color w:val="auto"/>
              </w:rPr>
              <w:t>Italy</w:t>
            </w:r>
          </w:p>
        </w:tc>
        <w:tc>
          <w:tcPr>
            <w:tcW w:w="10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2"/>
                <w:szCs w:val="12"/>
                <w:color w:val="auto"/>
              </w:rPr>
              <w:t>1,561.5</w:t>
            </w:r>
          </w:p>
        </w:tc>
        <w:tc>
          <w:tcPr>
            <w:tcW w:w="280" w:type="dxa"/>
            <w:vAlign w:val="bottom"/>
            <w:shd w:val="clear" w:color="auto" w:fill="E2E8F1"/>
          </w:tcPr>
          <w:p>
            <w:pPr>
              <w:spacing w:after="0"/>
              <w:rPr>
                <w:sz w:val="14"/>
                <w:szCs w:val="14"/>
                <w:color w:val="auto"/>
              </w:rPr>
            </w:pPr>
          </w:p>
        </w:tc>
        <w:tc>
          <w:tcPr>
            <w:tcW w:w="780" w:type="dxa"/>
            <w:vAlign w:val="bottom"/>
            <w:shd w:val="clear" w:color="auto" w:fill="E2E8F1"/>
          </w:tcPr>
          <w:p>
            <w:pPr>
              <w:jc w:val="right"/>
              <w:ind w:right="62"/>
              <w:spacing w:after="0"/>
              <w:rPr>
                <w:sz w:val="20"/>
                <w:szCs w:val="20"/>
                <w:color w:val="auto"/>
              </w:rPr>
            </w:pPr>
            <w:r>
              <w:rPr>
                <w:rFonts w:ascii="Arial" w:cs="Arial" w:eastAsia="Arial" w:hAnsi="Arial"/>
                <w:sz w:val="12"/>
                <w:szCs w:val="12"/>
                <w:color w:val="auto"/>
              </w:rPr>
              <w:t>36.0</w:t>
            </w:r>
          </w:p>
        </w:tc>
        <w:tc>
          <w:tcPr>
            <w:tcW w:w="200" w:type="dxa"/>
            <w:vAlign w:val="bottom"/>
            <w:shd w:val="clear" w:color="auto" w:fill="E2E8F1"/>
          </w:tcPr>
          <w:p>
            <w:pPr>
              <w:spacing w:after="0"/>
              <w:rPr>
                <w:sz w:val="14"/>
                <w:szCs w:val="14"/>
                <w:color w:val="auto"/>
              </w:rPr>
            </w:pPr>
          </w:p>
        </w:tc>
        <w:tc>
          <w:tcPr>
            <w:tcW w:w="860" w:type="dxa"/>
            <w:vAlign w:val="bottom"/>
            <w:shd w:val="clear" w:color="auto" w:fill="E2E8F1"/>
          </w:tcPr>
          <w:p>
            <w:pPr>
              <w:jc w:val="right"/>
              <w:ind w:right="82"/>
              <w:spacing w:after="0"/>
              <w:rPr>
                <w:sz w:val="20"/>
                <w:szCs w:val="20"/>
                <w:color w:val="auto"/>
              </w:rPr>
            </w:pPr>
            <w:r>
              <w:rPr>
                <w:rFonts w:ascii="Arial" w:cs="Arial" w:eastAsia="Arial" w:hAnsi="Arial"/>
                <w:sz w:val="12"/>
                <w:szCs w:val="12"/>
                <w:color w:val="auto"/>
              </w:rPr>
              <w:t>48.0</w:t>
            </w:r>
          </w:p>
        </w:tc>
        <w:tc>
          <w:tcPr>
            <w:tcW w:w="280" w:type="dxa"/>
            <w:vAlign w:val="bottom"/>
            <w:shd w:val="clear" w:color="auto" w:fill="E2E8F1"/>
          </w:tcPr>
          <w:p>
            <w:pPr>
              <w:spacing w:after="0"/>
              <w:rPr>
                <w:sz w:val="14"/>
                <w:szCs w:val="14"/>
                <w:color w:val="auto"/>
              </w:rPr>
            </w:pPr>
          </w:p>
        </w:tc>
        <w:tc>
          <w:tcPr>
            <w:tcW w:w="620" w:type="dxa"/>
            <w:vAlign w:val="bottom"/>
            <w:shd w:val="clear" w:color="auto" w:fill="E2E8F1"/>
          </w:tcPr>
          <w:p>
            <w:pPr>
              <w:jc w:val="right"/>
              <w:ind w:right="61"/>
              <w:spacing w:after="0"/>
              <w:rPr>
                <w:sz w:val="20"/>
                <w:szCs w:val="20"/>
                <w:color w:val="auto"/>
              </w:rPr>
            </w:pPr>
            <w:r>
              <w:rPr>
                <w:rFonts w:ascii="Arial" w:cs="Arial" w:eastAsia="Arial" w:hAnsi="Arial"/>
                <w:sz w:val="12"/>
                <w:szCs w:val="12"/>
                <w:color w:val="auto"/>
              </w:rPr>
              <w:t>31.5</w:t>
            </w:r>
          </w:p>
        </w:tc>
        <w:tc>
          <w:tcPr>
            <w:tcW w:w="220" w:type="dxa"/>
            <w:vAlign w:val="bottom"/>
            <w:shd w:val="clear" w:color="auto" w:fill="E2E8F1"/>
          </w:tcPr>
          <w:p>
            <w:pPr>
              <w:spacing w:after="0"/>
              <w:rPr>
                <w:sz w:val="14"/>
                <w:szCs w:val="14"/>
                <w:color w:val="auto"/>
              </w:rPr>
            </w:pPr>
          </w:p>
        </w:tc>
        <w:tc>
          <w:tcPr>
            <w:tcW w:w="700" w:type="dxa"/>
            <w:vAlign w:val="bottom"/>
            <w:shd w:val="clear" w:color="auto" w:fill="E2E8F1"/>
          </w:tcPr>
          <w:p>
            <w:pPr>
              <w:jc w:val="right"/>
              <w:ind w:right="61"/>
              <w:spacing w:after="0"/>
              <w:rPr>
                <w:sz w:val="20"/>
                <w:szCs w:val="20"/>
                <w:color w:val="auto"/>
              </w:rPr>
            </w:pPr>
            <w:r>
              <w:rPr>
                <w:rFonts w:ascii="Arial" w:cs="Arial" w:eastAsia="Arial" w:hAnsi="Arial"/>
                <w:sz w:val="12"/>
                <w:szCs w:val="12"/>
                <w:color w:val="auto"/>
              </w:rPr>
              <w:t>1,677.0</w:t>
            </w:r>
          </w:p>
        </w:tc>
        <w:tc>
          <w:tcPr>
            <w:tcW w:w="1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700" w:type="dxa"/>
            <w:vAlign w:val="bottom"/>
            <w:shd w:val="clear" w:color="auto" w:fill="E2E8F1"/>
          </w:tcPr>
          <w:p>
            <w:pPr>
              <w:jc w:val="right"/>
              <w:ind w:right="62"/>
              <w:spacing w:after="0"/>
              <w:rPr>
                <w:sz w:val="20"/>
                <w:szCs w:val="20"/>
                <w:color w:val="auto"/>
              </w:rPr>
            </w:pPr>
            <w:r>
              <w:rPr>
                <w:rFonts w:ascii="Arial" w:cs="Arial" w:eastAsia="Arial" w:hAnsi="Arial"/>
                <w:sz w:val="12"/>
                <w:szCs w:val="12"/>
                <w:color w:val="auto"/>
              </w:rPr>
              <w:t>1,590.1</w:t>
            </w:r>
          </w:p>
        </w:tc>
        <w:tc>
          <w:tcPr>
            <w:tcW w:w="200" w:type="dxa"/>
            <w:vAlign w:val="bottom"/>
            <w:shd w:val="clear" w:color="auto" w:fill="E2E8F1"/>
          </w:tcPr>
          <w:p>
            <w:pPr>
              <w:spacing w:after="0"/>
              <w:rPr>
                <w:sz w:val="14"/>
                <w:szCs w:val="14"/>
                <w:color w:val="auto"/>
              </w:rPr>
            </w:pPr>
          </w:p>
        </w:tc>
        <w:tc>
          <w:tcPr>
            <w:tcW w:w="780" w:type="dxa"/>
            <w:vAlign w:val="bottom"/>
            <w:shd w:val="clear" w:color="auto" w:fill="E2E8F1"/>
          </w:tcPr>
          <w:p>
            <w:pPr>
              <w:jc w:val="right"/>
              <w:ind w:right="62"/>
              <w:spacing w:after="0"/>
              <w:rPr>
                <w:sz w:val="20"/>
                <w:szCs w:val="20"/>
                <w:color w:val="auto"/>
              </w:rPr>
            </w:pPr>
            <w:r>
              <w:rPr>
                <w:rFonts w:ascii="Arial" w:cs="Arial" w:eastAsia="Arial" w:hAnsi="Arial"/>
                <w:sz w:val="12"/>
                <w:szCs w:val="12"/>
                <w:color w:val="auto"/>
              </w:rPr>
              <w:t>36.9</w:t>
            </w:r>
          </w:p>
        </w:tc>
        <w:tc>
          <w:tcPr>
            <w:tcW w:w="200" w:type="dxa"/>
            <w:vAlign w:val="bottom"/>
            <w:shd w:val="clear" w:color="auto" w:fill="E2E8F1"/>
          </w:tcPr>
          <w:p>
            <w:pPr>
              <w:spacing w:after="0"/>
              <w:rPr>
                <w:sz w:val="14"/>
                <w:szCs w:val="14"/>
                <w:color w:val="auto"/>
              </w:rPr>
            </w:pPr>
          </w:p>
        </w:tc>
        <w:tc>
          <w:tcPr>
            <w:tcW w:w="860" w:type="dxa"/>
            <w:vAlign w:val="bottom"/>
            <w:shd w:val="clear" w:color="auto" w:fill="E2E8F1"/>
          </w:tcPr>
          <w:p>
            <w:pPr>
              <w:jc w:val="right"/>
              <w:ind w:right="62"/>
              <w:spacing w:after="0"/>
              <w:rPr>
                <w:sz w:val="20"/>
                <w:szCs w:val="20"/>
                <w:color w:val="auto"/>
              </w:rPr>
            </w:pPr>
            <w:r>
              <w:rPr>
                <w:rFonts w:ascii="Arial" w:cs="Arial" w:eastAsia="Arial" w:hAnsi="Arial"/>
                <w:sz w:val="12"/>
                <w:szCs w:val="12"/>
                <w:color w:val="auto"/>
              </w:rPr>
              <w:t>55.0</w:t>
            </w:r>
          </w:p>
        </w:tc>
        <w:tc>
          <w:tcPr>
            <w:tcW w:w="220" w:type="dxa"/>
            <w:vAlign w:val="bottom"/>
            <w:shd w:val="clear" w:color="auto" w:fill="E2E8F1"/>
          </w:tcPr>
          <w:p>
            <w:pPr>
              <w:spacing w:after="0"/>
              <w:rPr>
                <w:sz w:val="14"/>
                <w:szCs w:val="14"/>
                <w:color w:val="auto"/>
              </w:rPr>
            </w:pPr>
          </w:p>
        </w:tc>
        <w:tc>
          <w:tcPr>
            <w:tcW w:w="580" w:type="dxa"/>
            <w:vAlign w:val="bottom"/>
            <w:shd w:val="clear" w:color="auto" w:fill="E2E8F1"/>
          </w:tcPr>
          <w:p>
            <w:pPr>
              <w:jc w:val="right"/>
              <w:ind w:right="81"/>
              <w:spacing w:after="0"/>
              <w:rPr>
                <w:sz w:val="20"/>
                <w:szCs w:val="20"/>
                <w:color w:val="auto"/>
              </w:rPr>
            </w:pPr>
            <w:r>
              <w:rPr>
                <w:rFonts w:ascii="Arial" w:cs="Arial" w:eastAsia="Arial" w:hAnsi="Arial"/>
                <w:sz w:val="12"/>
                <w:szCs w:val="12"/>
                <w:color w:val="auto"/>
              </w:rPr>
              <w:t>26.8</w:t>
            </w:r>
          </w:p>
        </w:tc>
        <w:tc>
          <w:tcPr>
            <w:tcW w:w="280" w:type="dxa"/>
            <w:vAlign w:val="bottom"/>
            <w:shd w:val="clear" w:color="auto" w:fill="E2E8F1"/>
          </w:tcPr>
          <w:p>
            <w:pPr>
              <w:spacing w:after="0"/>
              <w:rPr>
                <w:sz w:val="14"/>
                <w:szCs w:val="14"/>
                <w:color w:val="auto"/>
              </w:rPr>
            </w:pPr>
          </w:p>
        </w:tc>
        <w:tc>
          <w:tcPr>
            <w:tcW w:w="740" w:type="dxa"/>
            <w:vAlign w:val="bottom"/>
            <w:shd w:val="clear" w:color="auto" w:fill="E2E8F1"/>
          </w:tcPr>
          <w:p>
            <w:pPr>
              <w:jc w:val="right"/>
              <w:ind w:right="81"/>
              <w:spacing w:after="0"/>
              <w:rPr>
                <w:sz w:val="20"/>
                <w:szCs w:val="20"/>
                <w:color w:val="auto"/>
              </w:rPr>
            </w:pPr>
            <w:r>
              <w:rPr>
                <w:rFonts w:ascii="Arial" w:cs="Arial" w:eastAsia="Arial" w:hAnsi="Arial"/>
                <w:sz w:val="12"/>
                <w:szCs w:val="12"/>
                <w:color w:val="auto"/>
              </w:rPr>
              <w:t>1,708.8</w:t>
            </w:r>
          </w:p>
        </w:tc>
        <w:tc>
          <w:tcPr>
            <w:tcW w:w="0" w:type="dxa"/>
            <w:vAlign w:val="bottom"/>
          </w:tcPr>
          <w:p>
            <w:pPr>
              <w:spacing w:after="0"/>
              <w:rPr>
                <w:sz w:val="1"/>
                <w:szCs w:val="1"/>
                <w:color w:val="auto"/>
              </w:rPr>
            </w:pPr>
          </w:p>
        </w:tc>
      </w:tr>
      <w:tr>
        <w:trPr>
          <w:trHeight w:val="166"/>
        </w:trPr>
        <w:tc>
          <w:tcPr>
            <w:tcW w:w="1880" w:type="dxa"/>
            <w:vAlign w:val="bottom"/>
            <w:tcBorders>
              <w:bottom w:val="single" w:sz="8" w:color="231F20"/>
            </w:tcBorders>
          </w:tcPr>
          <w:p>
            <w:pPr>
              <w:ind w:left="160"/>
              <w:spacing w:after="0"/>
              <w:rPr>
                <w:sz w:val="20"/>
                <w:szCs w:val="20"/>
                <w:color w:val="auto"/>
              </w:rPr>
            </w:pPr>
            <w:r>
              <w:rPr>
                <w:rFonts w:ascii="Arial" w:cs="Arial" w:eastAsia="Arial" w:hAnsi="Arial"/>
                <w:sz w:val="12"/>
                <w:szCs w:val="12"/>
                <w:color w:val="auto"/>
              </w:rPr>
              <w:t>Other Southern Europe</w:t>
            </w:r>
          </w:p>
        </w:tc>
        <w:tc>
          <w:tcPr>
            <w:tcW w:w="100" w:type="dxa"/>
            <w:vAlign w:val="bottom"/>
            <w:tcBorders>
              <w:bottom w:val="single" w:sz="8" w:color="231F20"/>
            </w:tcBorders>
          </w:tcPr>
          <w:p>
            <w:pPr>
              <w:spacing w:after="0"/>
              <w:rPr>
                <w:sz w:val="14"/>
                <w:szCs w:val="14"/>
                <w:color w:val="auto"/>
              </w:rPr>
            </w:pPr>
          </w:p>
        </w:tc>
        <w:tc>
          <w:tcPr>
            <w:tcW w:w="560" w:type="dxa"/>
            <w:vAlign w:val="bottom"/>
            <w:tcBorders>
              <w:bottom w:val="single" w:sz="8" w:color="231F20"/>
            </w:tcBorders>
          </w:tcPr>
          <w:p>
            <w:pPr>
              <w:jc w:val="right"/>
              <w:spacing w:after="0"/>
              <w:rPr>
                <w:sz w:val="20"/>
                <w:szCs w:val="20"/>
                <w:color w:val="auto"/>
              </w:rPr>
            </w:pPr>
            <w:r>
              <w:rPr>
                <w:rFonts w:ascii="Arial" w:cs="Arial" w:eastAsia="Arial" w:hAnsi="Arial"/>
                <w:sz w:val="12"/>
                <w:szCs w:val="12"/>
                <w:color w:val="auto"/>
              </w:rPr>
              <w:t>1,544.5</w:t>
            </w:r>
          </w:p>
        </w:tc>
        <w:tc>
          <w:tcPr>
            <w:tcW w:w="280" w:type="dxa"/>
            <w:vAlign w:val="bottom"/>
            <w:tcBorders>
              <w:bottom w:val="single" w:sz="8" w:color="231F20"/>
            </w:tcBorders>
          </w:tcPr>
          <w:p>
            <w:pPr>
              <w:spacing w:after="0"/>
              <w:rPr>
                <w:sz w:val="14"/>
                <w:szCs w:val="14"/>
                <w:color w:val="auto"/>
              </w:rPr>
            </w:pPr>
          </w:p>
        </w:tc>
        <w:tc>
          <w:tcPr>
            <w:tcW w:w="780" w:type="dxa"/>
            <w:vAlign w:val="bottom"/>
            <w:tcBorders>
              <w:bottom w:val="single" w:sz="8" w:color="231F20"/>
            </w:tcBorders>
          </w:tcPr>
          <w:p>
            <w:pPr>
              <w:jc w:val="right"/>
              <w:ind w:right="62"/>
              <w:spacing w:after="0"/>
              <w:rPr>
                <w:sz w:val="20"/>
                <w:szCs w:val="20"/>
                <w:color w:val="auto"/>
              </w:rPr>
            </w:pPr>
            <w:r>
              <w:rPr>
                <w:rFonts w:ascii="Arial" w:cs="Arial" w:eastAsia="Arial" w:hAnsi="Arial"/>
                <w:sz w:val="12"/>
                <w:szCs w:val="12"/>
                <w:color w:val="auto"/>
              </w:rPr>
              <w:t>296.4</w:t>
            </w:r>
          </w:p>
        </w:tc>
        <w:tc>
          <w:tcPr>
            <w:tcW w:w="200" w:type="dxa"/>
            <w:vAlign w:val="bottom"/>
            <w:tcBorders>
              <w:bottom w:val="single" w:sz="8" w:color="231F20"/>
            </w:tcBorders>
          </w:tcPr>
          <w:p>
            <w:pPr>
              <w:spacing w:after="0"/>
              <w:rPr>
                <w:sz w:val="14"/>
                <w:szCs w:val="14"/>
                <w:color w:val="auto"/>
              </w:rPr>
            </w:pPr>
          </w:p>
        </w:tc>
        <w:tc>
          <w:tcPr>
            <w:tcW w:w="860" w:type="dxa"/>
            <w:vAlign w:val="bottom"/>
            <w:tcBorders>
              <w:bottom w:val="single" w:sz="8" w:color="231F20"/>
            </w:tcBorders>
          </w:tcPr>
          <w:p>
            <w:pPr>
              <w:jc w:val="right"/>
              <w:ind w:right="82"/>
              <w:spacing w:after="0"/>
              <w:rPr>
                <w:sz w:val="20"/>
                <w:szCs w:val="20"/>
                <w:color w:val="auto"/>
              </w:rPr>
            </w:pPr>
            <w:r>
              <w:rPr>
                <w:rFonts w:ascii="Arial" w:cs="Arial" w:eastAsia="Arial" w:hAnsi="Arial"/>
                <w:sz w:val="12"/>
                <w:szCs w:val="12"/>
                <w:color w:val="auto"/>
              </w:rPr>
              <w:t>50.6</w:t>
            </w:r>
          </w:p>
        </w:tc>
        <w:tc>
          <w:tcPr>
            <w:tcW w:w="280" w:type="dxa"/>
            <w:vAlign w:val="bottom"/>
            <w:tcBorders>
              <w:bottom w:val="single" w:sz="8" w:color="231F20"/>
            </w:tcBorders>
          </w:tcPr>
          <w:p>
            <w:pPr>
              <w:spacing w:after="0"/>
              <w:rPr>
                <w:sz w:val="14"/>
                <w:szCs w:val="14"/>
                <w:color w:val="auto"/>
              </w:rPr>
            </w:pPr>
          </w:p>
        </w:tc>
        <w:tc>
          <w:tcPr>
            <w:tcW w:w="620" w:type="dxa"/>
            <w:vAlign w:val="bottom"/>
            <w:tcBorders>
              <w:bottom w:val="single" w:sz="8" w:color="231F20"/>
            </w:tcBorders>
          </w:tcPr>
          <w:p>
            <w:pPr>
              <w:jc w:val="right"/>
              <w:ind w:right="61"/>
              <w:spacing w:after="0"/>
              <w:rPr>
                <w:sz w:val="20"/>
                <w:szCs w:val="20"/>
                <w:color w:val="auto"/>
              </w:rPr>
            </w:pPr>
            <w:r>
              <w:rPr>
                <w:rFonts w:ascii="Arial" w:cs="Arial" w:eastAsia="Arial" w:hAnsi="Arial"/>
                <w:sz w:val="12"/>
                <w:szCs w:val="12"/>
                <w:color w:val="auto"/>
              </w:rPr>
              <w:t>31.4</w:t>
            </w:r>
          </w:p>
        </w:tc>
        <w:tc>
          <w:tcPr>
            <w:tcW w:w="220" w:type="dxa"/>
            <w:vAlign w:val="bottom"/>
            <w:tcBorders>
              <w:bottom w:val="single" w:sz="8" w:color="231F20"/>
            </w:tcBorders>
          </w:tcPr>
          <w:p>
            <w:pPr>
              <w:spacing w:after="0"/>
              <w:rPr>
                <w:sz w:val="14"/>
                <w:szCs w:val="14"/>
                <w:color w:val="auto"/>
              </w:rPr>
            </w:pPr>
          </w:p>
        </w:tc>
        <w:tc>
          <w:tcPr>
            <w:tcW w:w="700" w:type="dxa"/>
            <w:vAlign w:val="bottom"/>
            <w:tcBorders>
              <w:bottom w:val="single" w:sz="8" w:color="231F20"/>
            </w:tcBorders>
          </w:tcPr>
          <w:p>
            <w:pPr>
              <w:jc w:val="right"/>
              <w:ind w:right="61"/>
              <w:spacing w:after="0"/>
              <w:rPr>
                <w:sz w:val="20"/>
                <w:szCs w:val="20"/>
                <w:color w:val="auto"/>
              </w:rPr>
            </w:pPr>
            <w:r>
              <w:rPr>
                <w:rFonts w:ascii="Arial" w:cs="Arial" w:eastAsia="Arial" w:hAnsi="Arial"/>
                <w:sz w:val="12"/>
                <w:szCs w:val="12"/>
                <w:color w:val="auto"/>
              </w:rPr>
              <w:t>1,922.9</w:t>
            </w:r>
          </w:p>
        </w:tc>
        <w:tc>
          <w:tcPr>
            <w:tcW w:w="120" w:type="dxa"/>
            <w:vAlign w:val="bottom"/>
            <w:tcBorders>
              <w:bottom w:val="single" w:sz="8" w:color="231F20"/>
            </w:tcBorders>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700" w:type="dxa"/>
            <w:vAlign w:val="bottom"/>
            <w:tcBorders>
              <w:bottom w:val="single" w:sz="8" w:color="231F20"/>
            </w:tcBorders>
          </w:tcPr>
          <w:p>
            <w:pPr>
              <w:jc w:val="right"/>
              <w:ind w:right="62"/>
              <w:spacing w:after="0"/>
              <w:rPr>
                <w:sz w:val="20"/>
                <w:szCs w:val="20"/>
                <w:color w:val="auto"/>
              </w:rPr>
            </w:pPr>
            <w:r>
              <w:rPr>
                <w:rFonts w:ascii="Arial" w:cs="Arial" w:eastAsia="Arial" w:hAnsi="Arial"/>
                <w:sz w:val="12"/>
                <w:szCs w:val="12"/>
                <w:color w:val="auto"/>
              </w:rPr>
              <w:t>1,547.2</w:t>
            </w:r>
          </w:p>
        </w:tc>
        <w:tc>
          <w:tcPr>
            <w:tcW w:w="200" w:type="dxa"/>
            <w:vAlign w:val="bottom"/>
            <w:tcBorders>
              <w:bottom w:val="single" w:sz="8" w:color="231F20"/>
            </w:tcBorders>
          </w:tcPr>
          <w:p>
            <w:pPr>
              <w:spacing w:after="0"/>
              <w:rPr>
                <w:sz w:val="14"/>
                <w:szCs w:val="14"/>
                <w:color w:val="auto"/>
              </w:rPr>
            </w:pPr>
          </w:p>
        </w:tc>
        <w:tc>
          <w:tcPr>
            <w:tcW w:w="780" w:type="dxa"/>
            <w:vAlign w:val="bottom"/>
            <w:tcBorders>
              <w:bottom w:val="single" w:sz="8" w:color="231F20"/>
            </w:tcBorders>
          </w:tcPr>
          <w:p>
            <w:pPr>
              <w:jc w:val="right"/>
              <w:ind w:right="62"/>
              <w:spacing w:after="0"/>
              <w:rPr>
                <w:sz w:val="20"/>
                <w:szCs w:val="20"/>
                <w:color w:val="auto"/>
              </w:rPr>
            </w:pPr>
            <w:r>
              <w:rPr>
                <w:rFonts w:ascii="Arial" w:cs="Arial" w:eastAsia="Arial" w:hAnsi="Arial"/>
                <w:sz w:val="12"/>
                <w:szCs w:val="12"/>
                <w:color w:val="auto"/>
              </w:rPr>
              <w:t>305.1</w:t>
            </w:r>
          </w:p>
        </w:tc>
        <w:tc>
          <w:tcPr>
            <w:tcW w:w="200" w:type="dxa"/>
            <w:vAlign w:val="bottom"/>
            <w:tcBorders>
              <w:bottom w:val="single" w:sz="8" w:color="231F20"/>
            </w:tcBorders>
          </w:tcPr>
          <w:p>
            <w:pPr>
              <w:spacing w:after="0"/>
              <w:rPr>
                <w:sz w:val="14"/>
                <w:szCs w:val="14"/>
                <w:color w:val="auto"/>
              </w:rPr>
            </w:pPr>
          </w:p>
        </w:tc>
        <w:tc>
          <w:tcPr>
            <w:tcW w:w="860" w:type="dxa"/>
            <w:vAlign w:val="bottom"/>
            <w:tcBorders>
              <w:bottom w:val="single" w:sz="8" w:color="231F20"/>
            </w:tcBorders>
          </w:tcPr>
          <w:p>
            <w:pPr>
              <w:jc w:val="right"/>
              <w:ind w:right="62"/>
              <w:spacing w:after="0"/>
              <w:rPr>
                <w:sz w:val="20"/>
                <w:szCs w:val="20"/>
                <w:color w:val="auto"/>
              </w:rPr>
            </w:pPr>
            <w:r>
              <w:rPr>
                <w:rFonts w:ascii="Arial" w:cs="Arial" w:eastAsia="Arial" w:hAnsi="Arial"/>
                <w:sz w:val="12"/>
                <w:szCs w:val="12"/>
                <w:color w:val="auto"/>
              </w:rPr>
              <w:t>58.9</w:t>
            </w:r>
          </w:p>
        </w:tc>
        <w:tc>
          <w:tcPr>
            <w:tcW w:w="220" w:type="dxa"/>
            <w:vAlign w:val="bottom"/>
            <w:tcBorders>
              <w:bottom w:val="single" w:sz="8" w:color="231F20"/>
            </w:tcBorders>
          </w:tcPr>
          <w:p>
            <w:pPr>
              <w:spacing w:after="0"/>
              <w:rPr>
                <w:sz w:val="14"/>
                <w:szCs w:val="14"/>
                <w:color w:val="auto"/>
              </w:rPr>
            </w:pPr>
          </w:p>
        </w:tc>
        <w:tc>
          <w:tcPr>
            <w:tcW w:w="580" w:type="dxa"/>
            <w:vAlign w:val="bottom"/>
            <w:tcBorders>
              <w:bottom w:val="single" w:sz="8" w:color="231F20"/>
            </w:tcBorders>
          </w:tcPr>
          <w:p>
            <w:pPr>
              <w:jc w:val="right"/>
              <w:ind w:right="81"/>
              <w:spacing w:after="0"/>
              <w:rPr>
                <w:sz w:val="20"/>
                <w:szCs w:val="20"/>
                <w:color w:val="auto"/>
              </w:rPr>
            </w:pPr>
            <w:r>
              <w:rPr>
                <w:rFonts w:ascii="Arial" w:cs="Arial" w:eastAsia="Arial" w:hAnsi="Arial"/>
                <w:sz w:val="12"/>
                <w:szCs w:val="12"/>
                <w:color w:val="auto"/>
              </w:rPr>
              <w:t>28.2</w:t>
            </w:r>
          </w:p>
        </w:tc>
        <w:tc>
          <w:tcPr>
            <w:tcW w:w="280" w:type="dxa"/>
            <w:vAlign w:val="bottom"/>
            <w:tcBorders>
              <w:bottom w:val="single" w:sz="8" w:color="231F20"/>
            </w:tcBorders>
          </w:tcPr>
          <w:p>
            <w:pPr>
              <w:spacing w:after="0"/>
              <w:rPr>
                <w:sz w:val="14"/>
                <w:szCs w:val="14"/>
                <w:color w:val="auto"/>
              </w:rPr>
            </w:pPr>
          </w:p>
        </w:tc>
        <w:tc>
          <w:tcPr>
            <w:tcW w:w="740" w:type="dxa"/>
            <w:vAlign w:val="bottom"/>
            <w:tcBorders>
              <w:bottom w:val="single" w:sz="8" w:color="231F20"/>
            </w:tcBorders>
          </w:tcPr>
          <w:p>
            <w:pPr>
              <w:jc w:val="right"/>
              <w:ind w:right="81"/>
              <w:spacing w:after="0"/>
              <w:rPr>
                <w:sz w:val="20"/>
                <w:szCs w:val="20"/>
                <w:color w:val="auto"/>
              </w:rPr>
            </w:pPr>
            <w:r>
              <w:rPr>
                <w:rFonts w:ascii="Arial" w:cs="Arial" w:eastAsia="Arial" w:hAnsi="Arial"/>
                <w:sz w:val="12"/>
                <w:szCs w:val="12"/>
                <w:color w:val="auto"/>
              </w:rPr>
              <w:t>1,939.4</w:t>
            </w:r>
          </w:p>
        </w:tc>
        <w:tc>
          <w:tcPr>
            <w:tcW w:w="0" w:type="dxa"/>
            <w:vAlign w:val="bottom"/>
          </w:tcPr>
          <w:p>
            <w:pPr>
              <w:spacing w:after="0"/>
              <w:rPr>
                <w:sz w:val="1"/>
                <w:szCs w:val="1"/>
                <w:color w:val="auto"/>
              </w:rPr>
            </w:pPr>
          </w:p>
        </w:tc>
      </w:tr>
      <w:tr>
        <w:trPr>
          <w:trHeight w:val="157"/>
        </w:trPr>
        <w:tc>
          <w:tcPr>
            <w:tcW w:w="1880" w:type="dxa"/>
            <w:vAlign w:val="bottom"/>
            <w:tcBorders>
              <w:bottom w:val="single" w:sz="8" w:color="231F20"/>
            </w:tcBorders>
            <w:shd w:val="clear" w:color="auto" w:fill="E2E8F1"/>
          </w:tcPr>
          <w:p>
            <w:pPr>
              <w:spacing w:after="0"/>
              <w:rPr>
                <w:sz w:val="13"/>
                <w:szCs w:val="13"/>
                <w:color w:val="auto"/>
              </w:rPr>
            </w:pPr>
          </w:p>
        </w:tc>
        <w:tc>
          <w:tcPr>
            <w:tcW w:w="100" w:type="dxa"/>
            <w:vAlign w:val="bottom"/>
            <w:tcBorders>
              <w:bottom w:val="single" w:sz="8" w:color="231F20"/>
            </w:tcBorders>
            <w:shd w:val="clear" w:color="auto" w:fill="E2E8F1"/>
          </w:tcPr>
          <w:p>
            <w:pPr>
              <w:spacing w:after="0"/>
              <w:rPr>
                <w:sz w:val="13"/>
                <w:szCs w:val="13"/>
                <w:color w:val="auto"/>
              </w:rPr>
            </w:pPr>
          </w:p>
        </w:tc>
        <w:tc>
          <w:tcPr>
            <w:tcW w:w="5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2"/>
                <w:szCs w:val="12"/>
                <w:color w:val="auto"/>
              </w:rPr>
              <w:t>7,311.4</w:t>
            </w:r>
          </w:p>
        </w:tc>
        <w:tc>
          <w:tcPr>
            <w:tcW w:w="280" w:type="dxa"/>
            <w:vAlign w:val="bottom"/>
            <w:tcBorders>
              <w:bottom w:val="single" w:sz="8" w:color="231F20"/>
            </w:tcBorders>
            <w:shd w:val="clear" w:color="auto" w:fill="E2E8F1"/>
          </w:tcPr>
          <w:p>
            <w:pPr>
              <w:spacing w:after="0"/>
              <w:rPr>
                <w:sz w:val="13"/>
                <w:szCs w:val="13"/>
                <w:color w:val="auto"/>
              </w:rPr>
            </w:pPr>
          </w:p>
        </w:tc>
        <w:tc>
          <w:tcPr>
            <w:tcW w:w="780" w:type="dxa"/>
            <w:vAlign w:val="bottom"/>
            <w:tcBorders>
              <w:bottom w:val="single" w:sz="8" w:color="231F20"/>
            </w:tcBorders>
            <w:shd w:val="clear" w:color="auto" w:fill="E2E8F1"/>
          </w:tcPr>
          <w:p>
            <w:pPr>
              <w:jc w:val="right"/>
              <w:ind w:right="62"/>
              <w:spacing w:after="0"/>
              <w:rPr>
                <w:sz w:val="20"/>
                <w:szCs w:val="20"/>
                <w:color w:val="auto"/>
              </w:rPr>
            </w:pPr>
            <w:r>
              <w:rPr>
                <w:rFonts w:ascii="Arial" w:cs="Arial" w:eastAsia="Arial" w:hAnsi="Arial"/>
                <w:sz w:val="12"/>
                <w:szCs w:val="12"/>
                <w:color w:val="auto"/>
              </w:rPr>
              <w:t>614.2</w:t>
            </w:r>
          </w:p>
        </w:tc>
        <w:tc>
          <w:tcPr>
            <w:tcW w:w="200" w:type="dxa"/>
            <w:vAlign w:val="bottom"/>
            <w:tcBorders>
              <w:bottom w:val="single" w:sz="8" w:color="231F20"/>
            </w:tcBorders>
            <w:shd w:val="clear" w:color="auto" w:fill="E2E8F1"/>
          </w:tcPr>
          <w:p>
            <w:pPr>
              <w:spacing w:after="0"/>
              <w:rPr>
                <w:sz w:val="13"/>
                <w:szCs w:val="13"/>
                <w:color w:val="auto"/>
              </w:rPr>
            </w:pPr>
          </w:p>
        </w:tc>
        <w:tc>
          <w:tcPr>
            <w:tcW w:w="860" w:type="dxa"/>
            <w:vAlign w:val="bottom"/>
            <w:tcBorders>
              <w:bottom w:val="single" w:sz="8" w:color="231F20"/>
            </w:tcBorders>
            <w:shd w:val="clear" w:color="auto" w:fill="E2E8F1"/>
          </w:tcPr>
          <w:p>
            <w:pPr>
              <w:jc w:val="right"/>
              <w:ind w:right="82"/>
              <w:spacing w:after="0"/>
              <w:rPr>
                <w:sz w:val="20"/>
                <w:szCs w:val="20"/>
                <w:color w:val="auto"/>
              </w:rPr>
            </w:pPr>
            <w:r>
              <w:rPr>
                <w:rFonts w:ascii="Arial" w:cs="Arial" w:eastAsia="Arial" w:hAnsi="Arial"/>
                <w:sz w:val="12"/>
                <w:szCs w:val="12"/>
                <w:color w:val="auto"/>
              </w:rPr>
              <w:t>148.2</w:t>
            </w:r>
          </w:p>
        </w:tc>
        <w:tc>
          <w:tcPr>
            <w:tcW w:w="280" w:type="dxa"/>
            <w:vAlign w:val="bottom"/>
            <w:tcBorders>
              <w:bottom w:val="single" w:sz="8" w:color="231F20"/>
            </w:tcBorders>
            <w:shd w:val="clear" w:color="auto" w:fill="E2E8F1"/>
          </w:tcPr>
          <w:p>
            <w:pPr>
              <w:spacing w:after="0"/>
              <w:rPr>
                <w:sz w:val="13"/>
                <w:szCs w:val="13"/>
                <w:color w:val="auto"/>
              </w:rPr>
            </w:pPr>
          </w:p>
        </w:tc>
        <w:tc>
          <w:tcPr>
            <w:tcW w:w="620" w:type="dxa"/>
            <w:vAlign w:val="bottom"/>
            <w:tcBorders>
              <w:bottom w:val="single" w:sz="8" w:color="231F20"/>
            </w:tcBorders>
            <w:shd w:val="clear" w:color="auto" w:fill="E2E8F1"/>
          </w:tcPr>
          <w:p>
            <w:pPr>
              <w:jc w:val="right"/>
              <w:ind w:right="61"/>
              <w:spacing w:after="0"/>
              <w:rPr>
                <w:sz w:val="20"/>
                <w:szCs w:val="20"/>
                <w:color w:val="auto"/>
              </w:rPr>
            </w:pPr>
            <w:r>
              <w:rPr>
                <w:rFonts w:ascii="Arial" w:cs="Arial" w:eastAsia="Arial" w:hAnsi="Arial"/>
                <w:sz w:val="12"/>
                <w:szCs w:val="12"/>
                <w:color w:val="auto"/>
              </w:rPr>
              <w:t>144.5</w:t>
            </w:r>
          </w:p>
        </w:tc>
        <w:tc>
          <w:tcPr>
            <w:tcW w:w="220" w:type="dxa"/>
            <w:vAlign w:val="bottom"/>
            <w:tcBorders>
              <w:bottom w:val="single" w:sz="8" w:color="231F20"/>
            </w:tcBorders>
            <w:shd w:val="clear" w:color="auto" w:fill="E2E8F1"/>
          </w:tcPr>
          <w:p>
            <w:pPr>
              <w:spacing w:after="0"/>
              <w:rPr>
                <w:sz w:val="13"/>
                <w:szCs w:val="13"/>
                <w:color w:val="auto"/>
              </w:rPr>
            </w:pPr>
          </w:p>
        </w:tc>
        <w:tc>
          <w:tcPr>
            <w:tcW w:w="700" w:type="dxa"/>
            <w:vAlign w:val="bottom"/>
            <w:tcBorders>
              <w:bottom w:val="single" w:sz="8" w:color="231F20"/>
            </w:tcBorders>
            <w:shd w:val="clear" w:color="auto" w:fill="E2E8F1"/>
          </w:tcPr>
          <w:p>
            <w:pPr>
              <w:jc w:val="right"/>
              <w:ind w:right="61"/>
              <w:spacing w:after="0"/>
              <w:rPr>
                <w:sz w:val="20"/>
                <w:szCs w:val="20"/>
                <w:color w:val="auto"/>
              </w:rPr>
            </w:pPr>
            <w:r>
              <w:rPr>
                <w:rFonts w:ascii="Arial" w:cs="Arial" w:eastAsia="Arial" w:hAnsi="Arial"/>
                <w:sz w:val="12"/>
                <w:szCs w:val="12"/>
                <w:color w:val="auto"/>
              </w:rPr>
              <w:t>8,218.3</w:t>
            </w:r>
          </w:p>
        </w:tc>
        <w:tc>
          <w:tcPr>
            <w:tcW w:w="120" w:type="dxa"/>
            <w:vAlign w:val="bottom"/>
            <w:tcBorders>
              <w:bottom w:val="single" w:sz="8" w:color="231F20"/>
            </w:tcBorders>
            <w:shd w:val="clear" w:color="auto" w:fill="E2E8F1"/>
          </w:tcPr>
          <w:p>
            <w:pPr>
              <w:spacing w:after="0"/>
              <w:rPr>
                <w:sz w:val="13"/>
                <w:szCs w:val="13"/>
                <w:color w:val="auto"/>
              </w:rPr>
            </w:pPr>
          </w:p>
        </w:tc>
        <w:tc>
          <w:tcPr>
            <w:tcW w:w="100" w:type="dxa"/>
            <w:vAlign w:val="bottom"/>
            <w:tcBorders>
              <w:bottom w:val="single" w:sz="8" w:color="231F20"/>
            </w:tcBorders>
            <w:shd w:val="clear" w:color="auto" w:fill="E2E8F1"/>
          </w:tcPr>
          <w:p>
            <w:pPr>
              <w:spacing w:after="0"/>
              <w:rPr>
                <w:sz w:val="13"/>
                <w:szCs w:val="13"/>
                <w:color w:val="auto"/>
              </w:rPr>
            </w:pPr>
          </w:p>
        </w:tc>
        <w:tc>
          <w:tcPr>
            <w:tcW w:w="700" w:type="dxa"/>
            <w:vAlign w:val="bottom"/>
            <w:tcBorders>
              <w:bottom w:val="single" w:sz="8" w:color="231F20"/>
            </w:tcBorders>
            <w:shd w:val="clear" w:color="auto" w:fill="E2E8F1"/>
          </w:tcPr>
          <w:p>
            <w:pPr>
              <w:jc w:val="right"/>
              <w:ind w:right="62"/>
              <w:spacing w:after="0"/>
              <w:rPr>
                <w:sz w:val="20"/>
                <w:szCs w:val="20"/>
                <w:color w:val="auto"/>
              </w:rPr>
            </w:pPr>
            <w:r>
              <w:rPr>
                <w:rFonts w:ascii="Arial" w:cs="Arial" w:eastAsia="Arial" w:hAnsi="Arial"/>
                <w:sz w:val="12"/>
                <w:szCs w:val="12"/>
                <w:color w:val="auto"/>
              </w:rPr>
              <w:t>7,592.0</w:t>
            </w:r>
          </w:p>
        </w:tc>
        <w:tc>
          <w:tcPr>
            <w:tcW w:w="200" w:type="dxa"/>
            <w:vAlign w:val="bottom"/>
            <w:tcBorders>
              <w:bottom w:val="single" w:sz="8" w:color="231F20"/>
            </w:tcBorders>
            <w:shd w:val="clear" w:color="auto" w:fill="E2E8F1"/>
          </w:tcPr>
          <w:p>
            <w:pPr>
              <w:spacing w:after="0"/>
              <w:rPr>
                <w:sz w:val="13"/>
                <w:szCs w:val="13"/>
                <w:color w:val="auto"/>
              </w:rPr>
            </w:pPr>
          </w:p>
        </w:tc>
        <w:tc>
          <w:tcPr>
            <w:tcW w:w="780" w:type="dxa"/>
            <w:vAlign w:val="bottom"/>
            <w:tcBorders>
              <w:bottom w:val="single" w:sz="8" w:color="231F20"/>
            </w:tcBorders>
            <w:shd w:val="clear" w:color="auto" w:fill="E2E8F1"/>
          </w:tcPr>
          <w:p>
            <w:pPr>
              <w:jc w:val="right"/>
              <w:ind w:right="62"/>
              <w:spacing w:after="0"/>
              <w:rPr>
                <w:sz w:val="20"/>
                <w:szCs w:val="20"/>
                <w:color w:val="auto"/>
              </w:rPr>
            </w:pPr>
            <w:r>
              <w:rPr>
                <w:rFonts w:ascii="Arial" w:cs="Arial" w:eastAsia="Arial" w:hAnsi="Arial"/>
                <w:sz w:val="12"/>
                <w:szCs w:val="12"/>
                <w:color w:val="auto"/>
              </w:rPr>
              <w:t>625.5</w:t>
            </w:r>
          </w:p>
        </w:tc>
        <w:tc>
          <w:tcPr>
            <w:tcW w:w="200" w:type="dxa"/>
            <w:vAlign w:val="bottom"/>
            <w:tcBorders>
              <w:bottom w:val="single" w:sz="8" w:color="231F20"/>
            </w:tcBorders>
            <w:shd w:val="clear" w:color="auto" w:fill="E2E8F1"/>
          </w:tcPr>
          <w:p>
            <w:pPr>
              <w:spacing w:after="0"/>
              <w:rPr>
                <w:sz w:val="13"/>
                <w:szCs w:val="13"/>
                <w:color w:val="auto"/>
              </w:rPr>
            </w:pPr>
          </w:p>
        </w:tc>
        <w:tc>
          <w:tcPr>
            <w:tcW w:w="860" w:type="dxa"/>
            <w:vAlign w:val="bottom"/>
            <w:tcBorders>
              <w:bottom w:val="single" w:sz="8" w:color="231F20"/>
            </w:tcBorders>
            <w:shd w:val="clear" w:color="auto" w:fill="E2E8F1"/>
          </w:tcPr>
          <w:p>
            <w:pPr>
              <w:jc w:val="right"/>
              <w:ind w:right="62"/>
              <w:spacing w:after="0"/>
              <w:rPr>
                <w:sz w:val="20"/>
                <w:szCs w:val="20"/>
                <w:color w:val="auto"/>
              </w:rPr>
            </w:pPr>
            <w:r>
              <w:rPr>
                <w:rFonts w:ascii="Arial" w:cs="Arial" w:eastAsia="Arial" w:hAnsi="Arial"/>
                <w:sz w:val="12"/>
                <w:szCs w:val="12"/>
                <w:color w:val="auto"/>
              </w:rPr>
              <w:t>172.8</w:t>
            </w:r>
          </w:p>
        </w:tc>
        <w:tc>
          <w:tcPr>
            <w:tcW w:w="220" w:type="dxa"/>
            <w:vAlign w:val="bottom"/>
            <w:tcBorders>
              <w:bottom w:val="single" w:sz="8" w:color="231F20"/>
            </w:tcBorders>
            <w:shd w:val="clear" w:color="auto" w:fill="E2E8F1"/>
          </w:tcPr>
          <w:p>
            <w:pPr>
              <w:spacing w:after="0"/>
              <w:rPr>
                <w:sz w:val="13"/>
                <w:szCs w:val="13"/>
                <w:color w:val="auto"/>
              </w:rPr>
            </w:pPr>
          </w:p>
        </w:tc>
        <w:tc>
          <w:tcPr>
            <w:tcW w:w="580" w:type="dxa"/>
            <w:vAlign w:val="bottom"/>
            <w:tcBorders>
              <w:bottom w:val="single" w:sz="8" w:color="231F20"/>
            </w:tcBorders>
            <w:shd w:val="clear" w:color="auto" w:fill="E2E8F1"/>
          </w:tcPr>
          <w:p>
            <w:pPr>
              <w:jc w:val="right"/>
              <w:ind w:right="81"/>
              <w:spacing w:after="0"/>
              <w:rPr>
                <w:sz w:val="20"/>
                <w:szCs w:val="20"/>
                <w:color w:val="auto"/>
              </w:rPr>
            </w:pPr>
            <w:r>
              <w:rPr>
                <w:rFonts w:ascii="Arial" w:cs="Arial" w:eastAsia="Arial" w:hAnsi="Arial"/>
                <w:sz w:val="12"/>
                <w:szCs w:val="12"/>
                <w:color w:val="auto"/>
              </w:rPr>
              <w:t>125.0</w:t>
            </w:r>
          </w:p>
        </w:tc>
        <w:tc>
          <w:tcPr>
            <w:tcW w:w="280" w:type="dxa"/>
            <w:vAlign w:val="bottom"/>
            <w:tcBorders>
              <w:bottom w:val="single" w:sz="8" w:color="231F20"/>
            </w:tcBorders>
            <w:shd w:val="clear" w:color="auto" w:fill="E2E8F1"/>
          </w:tcPr>
          <w:p>
            <w:pPr>
              <w:spacing w:after="0"/>
              <w:rPr>
                <w:sz w:val="13"/>
                <w:szCs w:val="13"/>
                <w:color w:val="auto"/>
              </w:rPr>
            </w:pPr>
          </w:p>
        </w:tc>
        <w:tc>
          <w:tcPr>
            <w:tcW w:w="740" w:type="dxa"/>
            <w:vAlign w:val="bottom"/>
            <w:tcBorders>
              <w:bottom w:val="single" w:sz="8" w:color="231F20"/>
            </w:tcBorders>
            <w:shd w:val="clear" w:color="auto" w:fill="E2E8F1"/>
          </w:tcPr>
          <w:p>
            <w:pPr>
              <w:jc w:val="right"/>
              <w:ind w:right="81"/>
              <w:spacing w:after="0"/>
              <w:rPr>
                <w:sz w:val="20"/>
                <w:szCs w:val="20"/>
                <w:color w:val="auto"/>
              </w:rPr>
            </w:pPr>
            <w:r>
              <w:rPr>
                <w:rFonts w:ascii="Arial" w:cs="Arial" w:eastAsia="Arial" w:hAnsi="Arial"/>
                <w:sz w:val="12"/>
                <w:szCs w:val="12"/>
                <w:color w:val="auto"/>
              </w:rPr>
              <w:t>8,515.3</w:t>
            </w:r>
          </w:p>
        </w:tc>
        <w:tc>
          <w:tcPr>
            <w:tcW w:w="0" w:type="dxa"/>
            <w:vAlign w:val="bottom"/>
          </w:tcPr>
          <w:p>
            <w:pPr>
              <w:spacing w:after="0"/>
              <w:rPr>
                <w:sz w:val="1"/>
                <w:szCs w:val="1"/>
                <w:color w:val="auto"/>
              </w:rPr>
            </w:pPr>
          </w:p>
        </w:tc>
      </w:tr>
      <w:tr>
        <w:trPr>
          <w:trHeight w:val="157"/>
        </w:trPr>
        <w:tc>
          <w:tcPr>
            <w:tcW w:w="1880" w:type="dxa"/>
            <w:vAlign w:val="bottom"/>
          </w:tcPr>
          <w:p>
            <w:pPr>
              <w:ind w:left="80"/>
              <w:spacing w:after="0"/>
              <w:rPr>
                <w:sz w:val="20"/>
                <w:szCs w:val="20"/>
                <w:color w:val="auto"/>
              </w:rPr>
            </w:pPr>
            <w:r>
              <w:rPr>
                <w:rFonts w:ascii="Arial" w:cs="Arial" w:eastAsia="Arial" w:hAnsi="Arial"/>
                <w:sz w:val="12"/>
                <w:szCs w:val="12"/>
                <w:color w:val="auto"/>
              </w:rPr>
              <w:t>Northern Europe</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2,814.0</w:t>
            </w:r>
          </w:p>
        </w:tc>
        <w:tc>
          <w:tcPr>
            <w:tcW w:w="280" w:type="dxa"/>
            <w:vAlign w:val="bottom"/>
          </w:tcPr>
          <w:p>
            <w:pPr>
              <w:spacing w:after="0"/>
              <w:rPr>
                <w:sz w:val="13"/>
                <w:szCs w:val="13"/>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257.2</w:t>
            </w:r>
          </w:p>
        </w:tc>
        <w:tc>
          <w:tcPr>
            <w:tcW w:w="200" w:type="dxa"/>
            <w:vAlign w:val="bottom"/>
          </w:tcPr>
          <w:p>
            <w:pPr>
              <w:spacing w:after="0"/>
              <w:rPr>
                <w:sz w:val="13"/>
                <w:szCs w:val="13"/>
                <w:color w:val="auto"/>
              </w:rPr>
            </w:pPr>
          </w:p>
        </w:tc>
        <w:tc>
          <w:tcPr>
            <w:tcW w:w="860" w:type="dxa"/>
            <w:vAlign w:val="bottom"/>
          </w:tcPr>
          <w:p>
            <w:pPr>
              <w:jc w:val="right"/>
              <w:ind w:right="82"/>
              <w:spacing w:after="0"/>
              <w:rPr>
                <w:sz w:val="20"/>
                <w:szCs w:val="20"/>
                <w:color w:val="auto"/>
              </w:rPr>
            </w:pPr>
            <w:r>
              <w:rPr>
                <w:rFonts w:ascii="Arial" w:cs="Arial" w:eastAsia="Arial" w:hAnsi="Arial"/>
                <w:sz w:val="12"/>
                <w:szCs w:val="12"/>
                <w:color w:val="auto"/>
              </w:rPr>
              <w:t>121.5</w:t>
            </w:r>
          </w:p>
        </w:tc>
        <w:tc>
          <w:tcPr>
            <w:tcW w:w="280" w:type="dxa"/>
            <w:vAlign w:val="bottom"/>
          </w:tcPr>
          <w:p>
            <w:pPr>
              <w:spacing w:after="0"/>
              <w:rPr>
                <w:sz w:val="13"/>
                <w:szCs w:val="13"/>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111.6</w:t>
            </w:r>
          </w:p>
        </w:tc>
        <w:tc>
          <w:tcPr>
            <w:tcW w:w="220" w:type="dxa"/>
            <w:vAlign w:val="bottom"/>
          </w:tcPr>
          <w:p>
            <w:pPr>
              <w:spacing w:after="0"/>
              <w:rPr>
                <w:sz w:val="13"/>
                <w:szCs w:val="13"/>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3,304.3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3,160.2</w:t>
            </w:r>
          </w:p>
        </w:tc>
        <w:tc>
          <w:tcPr>
            <w:tcW w:w="200" w:type="dxa"/>
            <w:vAlign w:val="bottom"/>
          </w:tcPr>
          <w:p>
            <w:pPr>
              <w:spacing w:after="0"/>
              <w:rPr>
                <w:sz w:val="13"/>
                <w:szCs w:val="13"/>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332.5</w:t>
            </w:r>
          </w:p>
        </w:tc>
        <w:tc>
          <w:tcPr>
            <w:tcW w:w="200" w:type="dxa"/>
            <w:vAlign w:val="bottom"/>
          </w:tcPr>
          <w:p>
            <w:pPr>
              <w:spacing w:after="0"/>
              <w:rPr>
                <w:sz w:val="13"/>
                <w:szCs w:val="13"/>
                <w:color w:val="auto"/>
              </w:rPr>
            </w:pP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153.2</w:t>
            </w:r>
          </w:p>
        </w:tc>
        <w:tc>
          <w:tcPr>
            <w:tcW w:w="220" w:type="dxa"/>
            <w:vAlign w:val="bottom"/>
          </w:tcPr>
          <w:p>
            <w:pPr>
              <w:spacing w:after="0"/>
              <w:rPr>
                <w:sz w:val="13"/>
                <w:szCs w:val="13"/>
                <w:color w:val="auto"/>
              </w:rPr>
            </w:pPr>
          </w:p>
        </w:tc>
        <w:tc>
          <w:tcPr>
            <w:tcW w:w="580" w:type="dxa"/>
            <w:vAlign w:val="bottom"/>
          </w:tcPr>
          <w:p>
            <w:pPr>
              <w:jc w:val="right"/>
              <w:ind w:right="81"/>
              <w:spacing w:after="0"/>
              <w:rPr>
                <w:sz w:val="20"/>
                <w:szCs w:val="20"/>
                <w:color w:val="auto"/>
              </w:rPr>
            </w:pPr>
            <w:r>
              <w:rPr>
                <w:rFonts w:ascii="Arial" w:cs="Arial" w:eastAsia="Arial" w:hAnsi="Arial"/>
                <w:sz w:val="12"/>
                <w:szCs w:val="12"/>
                <w:color w:val="auto"/>
              </w:rPr>
              <w:t>102.1</w:t>
            </w:r>
          </w:p>
        </w:tc>
        <w:tc>
          <w:tcPr>
            <w:tcW w:w="280" w:type="dxa"/>
            <w:vAlign w:val="bottom"/>
          </w:tcPr>
          <w:p>
            <w:pPr>
              <w:spacing w:after="0"/>
              <w:rPr>
                <w:sz w:val="13"/>
                <w:szCs w:val="13"/>
                <w:color w:val="auto"/>
              </w:rPr>
            </w:pP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3,748.0</w:t>
            </w:r>
          </w:p>
        </w:tc>
        <w:tc>
          <w:tcPr>
            <w:tcW w:w="0" w:type="dxa"/>
            <w:vAlign w:val="bottom"/>
          </w:tcPr>
          <w:p>
            <w:pPr>
              <w:spacing w:after="0"/>
              <w:rPr>
                <w:sz w:val="1"/>
                <w:szCs w:val="1"/>
                <w:color w:val="auto"/>
              </w:rPr>
            </w:pPr>
          </w:p>
        </w:tc>
      </w:tr>
      <w:tr>
        <w:trPr>
          <w:trHeight w:val="166"/>
        </w:trPr>
        <w:tc>
          <w:tcPr>
            <w:tcW w:w="188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2"/>
                <w:szCs w:val="12"/>
                <w:color w:val="auto"/>
              </w:rPr>
              <w:t>APME</w:t>
            </w:r>
          </w:p>
        </w:tc>
        <w:tc>
          <w:tcPr>
            <w:tcW w:w="100" w:type="dxa"/>
            <w:vAlign w:val="bottom"/>
            <w:tcBorders>
              <w:bottom w:val="single" w:sz="8" w:color="231F20"/>
            </w:tcBorders>
            <w:shd w:val="clear" w:color="auto" w:fill="E2E8F1"/>
          </w:tcPr>
          <w:p>
            <w:pPr>
              <w:spacing w:after="0"/>
              <w:rPr>
                <w:sz w:val="14"/>
                <w:szCs w:val="14"/>
                <w:color w:val="auto"/>
              </w:rPr>
            </w:pPr>
          </w:p>
        </w:tc>
        <w:tc>
          <w:tcPr>
            <w:tcW w:w="5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2"/>
                <w:szCs w:val="12"/>
                <w:color w:val="auto"/>
              </w:rPr>
              <w:t>1,746.1</w:t>
            </w:r>
          </w:p>
        </w:tc>
        <w:tc>
          <w:tcPr>
            <w:tcW w:w="280" w:type="dxa"/>
            <w:vAlign w:val="bottom"/>
            <w:tcBorders>
              <w:bottom w:val="single" w:sz="8" w:color="231F20"/>
            </w:tcBorders>
            <w:shd w:val="clear" w:color="auto" w:fill="E2E8F1"/>
          </w:tcPr>
          <w:p>
            <w:pPr>
              <w:spacing w:after="0"/>
              <w:rPr>
                <w:sz w:val="14"/>
                <w:szCs w:val="14"/>
                <w:color w:val="auto"/>
              </w:rPr>
            </w:pPr>
          </w:p>
        </w:tc>
        <w:tc>
          <w:tcPr>
            <w:tcW w:w="780" w:type="dxa"/>
            <w:vAlign w:val="bottom"/>
            <w:tcBorders>
              <w:bottom w:val="single" w:sz="8" w:color="231F20"/>
            </w:tcBorders>
            <w:shd w:val="clear" w:color="auto" w:fill="E2E8F1"/>
          </w:tcPr>
          <w:p>
            <w:pPr>
              <w:jc w:val="right"/>
              <w:ind w:right="62"/>
              <w:spacing w:after="0"/>
              <w:rPr>
                <w:sz w:val="20"/>
                <w:szCs w:val="20"/>
                <w:color w:val="auto"/>
              </w:rPr>
            </w:pPr>
            <w:r>
              <w:rPr>
                <w:rFonts w:ascii="Arial" w:cs="Arial" w:eastAsia="Arial" w:hAnsi="Arial"/>
                <w:sz w:val="12"/>
                <w:szCs w:val="12"/>
                <w:color w:val="auto"/>
              </w:rPr>
              <w:t>321.9</w:t>
            </w:r>
          </w:p>
        </w:tc>
        <w:tc>
          <w:tcPr>
            <w:tcW w:w="200" w:type="dxa"/>
            <w:vAlign w:val="bottom"/>
            <w:tcBorders>
              <w:bottom w:val="single" w:sz="8" w:color="231F20"/>
            </w:tcBorders>
            <w:shd w:val="clear" w:color="auto" w:fill="E2E8F1"/>
          </w:tcPr>
          <w:p>
            <w:pPr>
              <w:spacing w:after="0"/>
              <w:rPr>
                <w:sz w:val="14"/>
                <w:szCs w:val="14"/>
                <w:color w:val="auto"/>
              </w:rPr>
            </w:pPr>
          </w:p>
        </w:tc>
        <w:tc>
          <w:tcPr>
            <w:tcW w:w="860" w:type="dxa"/>
            <w:vAlign w:val="bottom"/>
            <w:tcBorders>
              <w:bottom w:val="single" w:sz="8" w:color="231F20"/>
            </w:tcBorders>
            <w:shd w:val="clear" w:color="auto" w:fill="E2E8F1"/>
          </w:tcPr>
          <w:p>
            <w:pPr>
              <w:jc w:val="right"/>
              <w:ind w:right="82"/>
              <w:spacing w:after="0"/>
              <w:rPr>
                <w:sz w:val="20"/>
                <w:szCs w:val="20"/>
                <w:color w:val="auto"/>
              </w:rPr>
            </w:pPr>
            <w:r>
              <w:rPr>
                <w:rFonts w:ascii="Arial" w:cs="Arial" w:eastAsia="Arial" w:hAnsi="Arial"/>
                <w:sz w:val="12"/>
                <w:szCs w:val="12"/>
                <w:color w:val="auto"/>
              </w:rPr>
              <w:t>52.8</w:t>
            </w:r>
          </w:p>
        </w:tc>
        <w:tc>
          <w:tcPr>
            <w:tcW w:w="280" w:type="dxa"/>
            <w:vAlign w:val="bottom"/>
            <w:tcBorders>
              <w:bottom w:val="single" w:sz="8" w:color="231F20"/>
            </w:tcBorders>
            <w:shd w:val="clear" w:color="auto" w:fill="E2E8F1"/>
          </w:tcPr>
          <w:p>
            <w:pPr>
              <w:spacing w:after="0"/>
              <w:rPr>
                <w:sz w:val="14"/>
                <w:szCs w:val="14"/>
                <w:color w:val="auto"/>
              </w:rPr>
            </w:pPr>
          </w:p>
        </w:tc>
        <w:tc>
          <w:tcPr>
            <w:tcW w:w="620" w:type="dxa"/>
            <w:vAlign w:val="bottom"/>
            <w:tcBorders>
              <w:bottom w:val="single" w:sz="8" w:color="231F20"/>
            </w:tcBorders>
            <w:shd w:val="clear" w:color="auto" w:fill="E2E8F1"/>
          </w:tcPr>
          <w:p>
            <w:pPr>
              <w:jc w:val="right"/>
              <w:ind w:right="61"/>
              <w:spacing w:after="0"/>
              <w:rPr>
                <w:sz w:val="20"/>
                <w:szCs w:val="20"/>
                <w:color w:val="auto"/>
              </w:rPr>
            </w:pPr>
            <w:r>
              <w:rPr>
                <w:rFonts w:ascii="Arial" w:cs="Arial" w:eastAsia="Arial" w:hAnsi="Arial"/>
                <w:sz w:val="12"/>
                <w:szCs w:val="12"/>
                <w:color w:val="auto"/>
              </w:rPr>
              <w:t>40.5</w:t>
            </w:r>
          </w:p>
        </w:tc>
        <w:tc>
          <w:tcPr>
            <w:tcW w:w="220" w:type="dxa"/>
            <w:vAlign w:val="bottom"/>
            <w:tcBorders>
              <w:bottom w:val="single" w:sz="8" w:color="231F20"/>
            </w:tcBorders>
            <w:shd w:val="clear" w:color="auto" w:fill="E2E8F1"/>
          </w:tcPr>
          <w:p>
            <w:pPr>
              <w:spacing w:after="0"/>
              <w:rPr>
                <w:sz w:val="14"/>
                <w:szCs w:val="14"/>
                <w:color w:val="auto"/>
              </w:rPr>
            </w:pPr>
          </w:p>
        </w:tc>
        <w:tc>
          <w:tcPr>
            <w:tcW w:w="700" w:type="dxa"/>
            <w:vAlign w:val="bottom"/>
            <w:tcBorders>
              <w:bottom w:val="single" w:sz="8" w:color="231F20"/>
            </w:tcBorders>
            <w:shd w:val="clear" w:color="auto" w:fill="E2E8F1"/>
          </w:tcPr>
          <w:p>
            <w:pPr>
              <w:jc w:val="right"/>
              <w:ind w:right="61"/>
              <w:spacing w:after="0"/>
              <w:rPr>
                <w:sz w:val="20"/>
                <w:szCs w:val="20"/>
                <w:color w:val="auto"/>
              </w:rPr>
            </w:pPr>
            <w:r>
              <w:rPr>
                <w:rFonts w:ascii="Arial" w:cs="Arial" w:eastAsia="Arial" w:hAnsi="Arial"/>
                <w:sz w:val="12"/>
                <w:szCs w:val="12"/>
                <w:color w:val="auto"/>
              </w:rPr>
              <w:t>2,161.3</w:t>
            </w:r>
          </w:p>
        </w:tc>
        <w:tc>
          <w:tcPr>
            <w:tcW w:w="120" w:type="dxa"/>
            <w:vAlign w:val="bottom"/>
            <w:tcBorders>
              <w:bottom w:val="single" w:sz="8" w:color="231F20"/>
            </w:tcBorders>
            <w:shd w:val="clear" w:color="auto" w:fill="E2E8F1"/>
          </w:tcPr>
          <w:p>
            <w:pPr>
              <w:spacing w:after="0"/>
              <w:rPr>
                <w:sz w:val="14"/>
                <w:szCs w:val="14"/>
                <w:color w:val="auto"/>
              </w:rPr>
            </w:pPr>
          </w:p>
        </w:tc>
        <w:tc>
          <w:tcPr>
            <w:tcW w:w="100" w:type="dxa"/>
            <w:vAlign w:val="bottom"/>
            <w:tcBorders>
              <w:bottom w:val="single" w:sz="8" w:color="231F20"/>
            </w:tcBorders>
            <w:shd w:val="clear" w:color="auto" w:fill="E2E8F1"/>
          </w:tcPr>
          <w:p>
            <w:pPr>
              <w:spacing w:after="0"/>
              <w:rPr>
                <w:sz w:val="14"/>
                <w:szCs w:val="14"/>
                <w:color w:val="auto"/>
              </w:rPr>
            </w:pPr>
          </w:p>
        </w:tc>
        <w:tc>
          <w:tcPr>
            <w:tcW w:w="700" w:type="dxa"/>
            <w:vAlign w:val="bottom"/>
            <w:tcBorders>
              <w:bottom w:val="single" w:sz="8" w:color="231F20"/>
            </w:tcBorders>
            <w:shd w:val="clear" w:color="auto" w:fill="E2E8F1"/>
          </w:tcPr>
          <w:p>
            <w:pPr>
              <w:jc w:val="right"/>
              <w:ind w:right="62"/>
              <w:spacing w:after="0"/>
              <w:rPr>
                <w:sz w:val="20"/>
                <w:szCs w:val="20"/>
                <w:color w:val="auto"/>
              </w:rPr>
            </w:pPr>
            <w:r>
              <w:rPr>
                <w:rFonts w:ascii="Arial" w:cs="Arial" w:eastAsia="Arial" w:hAnsi="Arial"/>
                <w:sz w:val="12"/>
                <w:szCs w:val="12"/>
                <w:color w:val="auto"/>
              </w:rPr>
              <w:t>1,781.8</w:t>
            </w:r>
          </w:p>
        </w:tc>
        <w:tc>
          <w:tcPr>
            <w:tcW w:w="200" w:type="dxa"/>
            <w:vAlign w:val="bottom"/>
            <w:tcBorders>
              <w:bottom w:val="single" w:sz="8" w:color="231F20"/>
            </w:tcBorders>
            <w:shd w:val="clear" w:color="auto" w:fill="E2E8F1"/>
          </w:tcPr>
          <w:p>
            <w:pPr>
              <w:spacing w:after="0"/>
              <w:rPr>
                <w:sz w:val="14"/>
                <w:szCs w:val="14"/>
                <w:color w:val="auto"/>
              </w:rPr>
            </w:pPr>
          </w:p>
        </w:tc>
        <w:tc>
          <w:tcPr>
            <w:tcW w:w="780" w:type="dxa"/>
            <w:vAlign w:val="bottom"/>
            <w:tcBorders>
              <w:bottom w:val="single" w:sz="8" w:color="231F20"/>
            </w:tcBorders>
            <w:shd w:val="clear" w:color="auto" w:fill="E2E8F1"/>
          </w:tcPr>
          <w:p>
            <w:pPr>
              <w:jc w:val="right"/>
              <w:ind w:right="62"/>
              <w:spacing w:after="0"/>
              <w:rPr>
                <w:sz w:val="20"/>
                <w:szCs w:val="20"/>
                <w:color w:val="auto"/>
              </w:rPr>
            </w:pPr>
            <w:r>
              <w:rPr>
                <w:rFonts w:ascii="Arial" w:cs="Arial" w:eastAsia="Arial" w:hAnsi="Arial"/>
                <w:sz w:val="12"/>
                <w:szCs w:val="12"/>
                <w:color w:val="auto"/>
              </w:rPr>
              <w:t>386.3</w:t>
            </w:r>
          </w:p>
        </w:tc>
        <w:tc>
          <w:tcPr>
            <w:tcW w:w="200" w:type="dxa"/>
            <w:vAlign w:val="bottom"/>
            <w:tcBorders>
              <w:bottom w:val="single" w:sz="8" w:color="231F20"/>
            </w:tcBorders>
            <w:shd w:val="clear" w:color="auto" w:fill="E2E8F1"/>
          </w:tcPr>
          <w:p>
            <w:pPr>
              <w:spacing w:after="0"/>
              <w:rPr>
                <w:sz w:val="14"/>
                <w:szCs w:val="14"/>
                <w:color w:val="auto"/>
              </w:rPr>
            </w:pPr>
          </w:p>
        </w:tc>
        <w:tc>
          <w:tcPr>
            <w:tcW w:w="860" w:type="dxa"/>
            <w:vAlign w:val="bottom"/>
            <w:tcBorders>
              <w:bottom w:val="single" w:sz="8" w:color="231F20"/>
            </w:tcBorders>
            <w:shd w:val="clear" w:color="auto" w:fill="E2E8F1"/>
          </w:tcPr>
          <w:p>
            <w:pPr>
              <w:jc w:val="right"/>
              <w:ind w:right="62"/>
              <w:spacing w:after="0"/>
              <w:rPr>
                <w:sz w:val="20"/>
                <w:szCs w:val="20"/>
                <w:color w:val="auto"/>
              </w:rPr>
            </w:pPr>
            <w:r>
              <w:rPr>
                <w:rFonts w:ascii="Arial" w:cs="Arial" w:eastAsia="Arial" w:hAnsi="Arial"/>
                <w:sz w:val="12"/>
                <w:szCs w:val="12"/>
                <w:color w:val="auto"/>
              </w:rPr>
              <w:t>109.4</w:t>
            </w:r>
          </w:p>
        </w:tc>
        <w:tc>
          <w:tcPr>
            <w:tcW w:w="220" w:type="dxa"/>
            <w:vAlign w:val="bottom"/>
            <w:tcBorders>
              <w:bottom w:val="single" w:sz="8" w:color="231F20"/>
            </w:tcBorders>
            <w:shd w:val="clear" w:color="auto" w:fill="E2E8F1"/>
          </w:tcPr>
          <w:p>
            <w:pPr>
              <w:spacing w:after="0"/>
              <w:rPr>
                <w:sz w:val="14"/>
                <w:szCs w:val="14"/>
                <w:color w:val="auto"/>
              </w:rPr>
            </w:pPr>
          </w:p>
        </w:tc>
        <w:tc>
          <w:tcPr>
            <w:tcW w:w="580" w:type="dxa"/>
            <w:vAlign w:val="bottom"/>
            <w:tcBorders>
              <w:bottom w:val="single" w:sz="8" w:color="231F20"/>
            </w:tcBorders>
            <w:shd w:val="clear" w:color="auto" w:fill="E2E8F1"/>
          </w:tcPr>
          <w:p>
            <w:pPr>
              <w:jc w:val="right"/>
              <w:ind w:right="81"/>
              <w:spacing w:after="0"/>
              <w:rPr>
                <w:sz w:val="20"/>
                <w:szCs w:val="20"/>
                <w:color w:val="auto"/>
              </w:rPr>
            </w:pPr>
            <w:r>
              <w:rPr>
                <w:rFonts w:ascii="Arial" w:cs="Arial" w:eastAsia="Arial" w:hAnsi="Arial"/>
                <w:sz w:val="12"/>
                <w:szCs w:val="12"/>
                <w:color w:val="auto"/>
              </w:rPr>
              <w:t>44.8</w:t>
            </w:r>
          </w:p>
        </w:tc>
        <w:tc>
          <w:tcPr>
            <w:tcW w:w="280" w:type="dxa"/>
            <w:vAlign w:val="bottom"/>
            <w:tcBorders>
              <w:bottom w:val="single" w:sz="8" w:color="231F20"/>
            </w:tcBorders>
            <w:shd w:val="clear" w:color="auto" w:fill="E2E8F1"/>
          </w:tcPr>
          <w:p>
            <w:pPr>
              <w:spacing w:after="0"/>
              <w:rPr>
                <w:sz w:val="14"/>
                <w:szCs w:val="14"/>
                <w:color w:val="auto"/>
              </w:rPr>
            </w:pPr>
          </w:p>
        </w:tc>
        <w:tc>
          <w:tcPr>
            <w:tcW w:w="740" w:type="dxa"/>
            <w:vAlign w:val="bottom"/>
            <w:tcBorders>
              <w:bottom w:val="single" w:sz="8" w:color="231F20"/>
            </w:tcBorders>
            <w:shd w:val="clear" w:color="auto" w:fill="E2E8F1"/>
          </w:tcPr>
          <w:p>
            <w:pPr>
              <w:jc w:val="right"/>
              <w:ind w:right="81"/>
              <w:spacing w:after="0"/>
              <w:rPr>
                <w:sz w:val="20"/>
                <w:szCs w:val="20"/>
                <w:color w:val="auto"/>
              </w:rPr>
            </w:pPr>
            <w:r>
              <w:rPr>
                <w:rFonts w:ascii="Arial" w:cs="Arial" w:eastAsia="Arial" w:hAnsi="Arial"/>
                <w:sz w:val="12"/>
                <w:szCs w:val="12"/>
                <w:color w:val="auto"/>
              </w:rPr>
              <w:t>2,322.3</w:t>
            </w:r>
          </w:p>
        </w:tc>
        <w:tc>
          <w:tcPr>
            <w:tcW w:w="0" w:type="dxa"/>
            <w:vAlign w:val="bottom"/>
          </w:tcPr>
          <w:p>
            <w:pPr>
              <w:spacing w:after="0"/>
              <w:rPr>
                <w:sz w:val="1"/>
                <w:szCs w:val="1"/>
                <w:color w:val="auto"/>
              </w:rPr>
            </w:pPr>
          </w:p>
        </w:tc>
      </w:tr>
      <w:tr>
        <w:trPr>
          <w:trHeight w:val="157"/>
        </w:trPr>
        <w:tc>
          <w:tcPr>
            <w:tcW w:w="1880" w:type="dxa"/>
            <w:vAlign w:val="bottom"/>
            <w:tcBorders>
              <w:bottom w:val="single" w:sz="8" w:color="231F20"/>
            </w:tcBorders>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560" w:type="dxa"/>
            <w:vAlign w:val="bottom"/>
            <w:tcBorders>
              <w:bottom w:val="single" w:sz="8" w:color="231F20"/>
            </w:tcBorders>
          </w:tcPr>
          <w:p>
            <w:pPr>
              <w:jc w:val="right"/>
              <w:spacing w:after="0"/>
              <w:rPr>
                <w:sz w:val="20"/>
                <w:szCs w:val="20"/>
                <w:color w:val="auto"/>
              </w:rPr>
            </w:pPr>
            <w:r>
              <w:rPr>
                <w:rFonts w:ascii="Arial" w:cs="Arial" w:eastAsia="Arial" w:hAnsi="Arial"/>
                <w:sz w:val="12"/>
                <w:szCs w:val="12"/>
                <w:color w:val="auto"/>
              </w:rPr>
              <w:t>15,676.6</w:t>
            </w:r>
          </w:p>
        </w:tc>
        <w:tc>
          <w:tcPr>
            <w:tcW w:w="280" w:type="dxa"/>
            <w:vAlign w:val="bottom"/>
            <w:tcBorders>
              <w:bottom w:val="single" w:sz="8" w:color="231F20"/>
            </w:tcBorders>
          </w:tcPr>
          <w:p>
            <w:pPr>
              <w:spacing w:after="0"/>
              <w:rPr>
                <w:sz w:val="13"/>
                <w:szCs w:val="13"/>
                <w:color w:val="auto"/>
              </w:rPr>
            </w:pPr>
          </w:p>
        </w:tc>
        <w:tc>
          <w:tcPr>
            <w:tcW w:w="780" w:type="dxa"/>
            <w:vAlign w:val="bottom"/>
            <w:tcBorders>
              <w:bottom w:val="single" w:sz="8" w:color="231F20"/>
            </w:tcBorders>
          </w:tcPr>
          <w:p>
            <w:pPr>
              <w:jc w:val="right"/>
              <w:ind w:right="62"/>
              <w:spacing w:after="0"/>
              <w:rPr>
                <w:sz w:val="20"/>
                <w:szCs w:val="20"/>
                <w:color w:val="auto"/>
              </w:rPr>
            </w:pPr>
            <w:r>
              <w:rPr>
                <w:rFonts w:ascii="Arial" w:cs="Arial" w:eastAsia="Arial" w:hAnsi="Arial"/>
                <w:sz w:val="12"/>
                <w:szCs w:val="12"/>
                <w:color w:val="auto"/>
              </w:rPr>
              <w:t>1,258.8</w:t>
            </w:r>
          </w:p>
        </w:tc>
        <w:tc>
          <w:tcPr>
            <w:tcW w:w="200" w:type="dxa"/>
            <w:vAlign w:val="bottom"/>
            <w:tcBorders>
              <w:bottom w:val="single" w:sz="8" w:color="231F20"/>
            </w:tcBorders>
          </w:tcPr>
          <w:p>
            <w:pPr>
              <w:spacing w:after="0"/>
              <w:rPr>
                <w:sz w:val="13"/>
                <w:szCs w:val="13"/>
                <w:color w:val="auto"/>
              </w:rPr>
            </w:pPr>
          </w:p>
        </w:tc>
        <w:tc>
          <w:tcPr>
            <w:tcW w:w="860" w:type="dxa"/>
            <w:vAlign w:val="bottom"/>
            <w:tcBorders>
              <w:bottom w:val="single" w:sz="8" w:color="231F20"/>
            </w:tcBorders>
          </w:tcPr>
          <w:p>
            <w:pPr>
              <w:jc w:val="right"/>
              <w:ind w:right="82"/>
              <w:spacing w:after="0"/>
              <w:rPr>
                <w:sz w:val="20"/>
                <w:szCs w:val="20"/>
                <w:color w:val="auto"/>
              </w:rPr>
            </w:pPr>
            <w:r>
              <w:rPr>
                <w:rFonts w:ascii="Arial" w:cs="Arial" w:eastAsia="Arial" w:hAnsi="Arial"/>
                <w:sz w:val="12"/>
                <w:szCs w:val="12"/>
                <w:color w:val="auto"/>
              </w:rPr>
              <w:t>491.6</w:t>
            </w:r>
          </w:p>
        </w:tc>
        <w:tc>
          <w:tcPr>
            <w:tcW w:w="280" w:type="dxa"/>
            <w:vAlign w:val="bottom"/>
            <w:tcBorders>
              <w:bottom w:val="single" w:sz="8" w:color="231F20"/>
            </w:tcBorders>
          </w:tcPr>
          <w:p>
            <w:pPr>
              <w:spacing w:after="0"/>
              <w:rPr>
                <w:sz w:val="13"/>
                <w:szCs w:val="13"/>
                <w:color w:val="auto"/>
              </w:rPr>
            </w:pPr>
          </w:p>
        </w:tc>
        <w:tc>
          <w:tcPr>
            <w:tcW w:w="620" w:type="dxa"/>
            <w:vAlign w:val="bottom"/>
            <w:tcBorders>
              <w:bottom w:val="single" w:sz="8" w:color="231F20"/>
            </w:tcBorders>
          </w:tcPr>
          <w:p>
            <w:pPr>
              <w:jc w:val="right"/>
              <w:ind w:right="61"/>
              <w:spacing w:after="0"/>
              <w:rPr>
                <w:sz w:val="20"/>
                <w:szCs w:val="20"/>
                <w:color w:val="auto"/>
              </w:rPr>
            </w:pPr>
            <w:r>
              <w:rPr>
                <w:rFonts w:ascii="Arial" w:cs="Arial" w:eastAsia="Arial" w:hAnsi="Arial"/>
                <w:sz w:val="12"/>
                <w:szCs w:val="12"/>
                <w:color w:val="auto"/>
              </w:rPr>
              <w:t>481.8</w:t>
            </w:r>
          </w:p>
        </w:tc>
        <w:tc>
          <w:tcPr>
            <w:tcW w:w="220" w:type="dxa"/>
            <w:vAlign w:val="bottom"/>
            <w:tcBorders>
              <w:bottom w:val="single" w:sz="8" w:color="231F20"/>
            </w:tcBorders>
          </w:tcPr>
          <w:p>
            <w:pPr>
              <w:spacing w:after="0"/>
              <w:rPr>
                <w:sz w:val="13"/>
                <w:szCs w:val="13"/>
                <w:color w:val="auto"/>
              </w:rPr>
            </w:pPr>
          </w:p>
        </w:tc>
        <w:tc>
          <w:tcPr>
            <w:tcW w:w="700" w:type="dxa"/>
            <w:vAlign w:val="bottom"/>
            <w:tcBorders>
              <w:bottom w:val="single" w:sz="8" w:color="231F20"/>
            </w:tcBorders>
          </w:tcPr>
          <w:p>
            <w:pPr>
              <w:jc w:val="right"/>
              <w:ind w:right="61"/>
              <w:spacing w:after="0"/>
              <w:rPr>
                <w:sz w:val="20"/>
                <w:szCs w:val="20"/>
                <w:color w:val="auto"/>
              </w:rPr>
            </w:pPr>
            <w:r>
              <w:rPr>
                <w:rFonts w:ascii="Arial" w:cs="Arial" w:eastAsia="Arial" w:hAnsi="Arial"/>
                <w:sz w:val="12"/>
                <w:szCs w:val="12"/>
                <w:color w:val="auto"/>
              </w:rPr>
              <w:t>17,908.8</w:t>
            </w:r>
          </w:p>
        </w:tc>
        <w:tc>
          <w:tcPr>
            <w:tcW w:w="120" w:type="dxa"/>
            <w:vAlign w:val="bottom"/>
            <w:tcBorders>
              <w:bottom w:val="single" w:sz="8" w:color="231F20"/>
            </w:tcBorders>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700" w:type="dxa"/>
            <w:vAlign w:val="bottom"/>
            <w:tcBorders>
              <w:bottom w:val="single" w:sz="8" w:color="231F20"/>
            </w:tcBorders>
          </w:tcPr>
          <w:p>
            <w:pPr>
              <w:jc w:val="right"/>
              <w:ind w:right="62"/>
              <w:spacing w:after="0"/>
              <w:rPr>
                <w:sz w:val="20"/>
                <w:szCs w:val="20"/>
                <w:color w:val="auto"/>
              </w:rPr>
            </w:pPr>
            <w:r>
              <w:rPr>
                <w:rFonts w:ascii="Arial" w:cs="Arial" w:eastAsia="Arial" w:hAnsi="Arial"/>
                <w:sz w:val="12"/>
                <w:szCs w:val="12"/>
                <w:color w:val="auto"/>
              </w:rPr>
              <w:t>16,529.1</w:t>
            </w:r>
          </w:p>
        </w:tc>
        <w:tc>
          <w:tcPr>
            <w:tcW w:w="200" w:type="dxa"/>
            <w:vAlign w:val="bottom"/>
            <w:tcBorders>
              <w:bottom w:val="single" w:sz="8" w:color="231F20"/>
            </w:tcBorders>
          </w:tcPr>
          <w:p>
            <w:pPr>
              <w:spacing w:after="0"/>
              <w:rPr>
                <w:sz w:val="13"/>
                <w:szCs w:val="13"/>
                <w:color w:val="auto"/>
              </w:rPr>
            </w:pPr>
          </w:p>
        </w:tc>
        <w:tc>
          <w:tcPr>
            <w:tcW w:w="780" w:type="dxa"/>
            <w:vAlign w:val="bottom"/>
            <w:tcBorders>
              <w:bottom w:val="single" w:sz="8" w:color="231F20"/>
            </w:tcBorders>
          </w:tcPr>
          <w:p>
            <w:pPr>
              <w:jc w:val="right"/>
              <w:ind w:right="62"/>
              <w:spacing w:after="0"/>
              <w:rPr>
                <w:sz w:val="20"/>
                <w:szCs w:val="20"/>
                <w:color w:val="auto"/>
              </w:rPr>
            </w:pPr>
            <w:r>
              <w:rPr>
                <w:rFonts w:ascii="Arial" w:cs="Arial" w:eastAsia="Arial" w:hAnsi="Arial"/>
                <w:sz w:val="12"/>
                <w:szCs w:val="12"/>
                <w:color w:val="auto"/>
              </w:rPr>
              <w:t>1,412.0</w:t>
            </w:r>
          </w:p>
        </w:tc>
        <w:tc>
          <w:tcPr>
            <w:tcW w:w="200" w:type="dxa"/>
            <w:vAlign w:val="bottom"/>
            <w:tcBorders>
              <w:bottom w:val="single" w:sz="8" w:color="231F20"/>
            </w:tcBorders>
          </w:tcPr>
          <w:p>
            <w:pPr>
              <w:spacing w:after="0"/>
              <w:rPr>
                <w:sz w:val="13"/>
                <w:szCs w:val="13"/>
                <w:color w:val="auto"/>
              </w:rPr>
            </w:pPr>
          </w:p>
        </w:tc>
        <w:tc>
          <w:tcPr>
            <w:tcW w:w="860" w:type="dxa"/>
            <w:vAlign w:val="bottom"/>
            <w:tcBorders>
              <w:bottom w:val="single" w:sz="8" w:color="231F20"/>
            </w:tcBorders>
          </w:tcPr>
          <w:p>
            <w:pPr>
              <w:jc w:val="right"/>
              <w:ind w:right="62"/>
              <w:spacing w:after="0"/>
              <w:rPr>
                <w:sz w:val="20"/>
                <w:szCs w:val="20"/>
                <w:color w:val="auto"/>
              </w:rPr>
            </w:pPr>
            <w:r>
              <w:rPr>
                <w:rFonts w:ascii="Arial" w:cs="Arial" w:eastAsia="Arial" w:hAnsi="Arial"/>
                <w:sz w:val="12"/>
                <w:szCs w:val="12"/>
                <w:color w:val="auto"/>
              </w:rPr>
              <w:t>615.3</w:t>
            </w:r>
          </w:p>
        </w:tc>
        <w:tc>
          <w:tcPr>
            <w:tcW w:w="220" w:type="dxa"/>
            <w:vAlign w:val="bottom"/>
            <w:tcBorders>
              <w:bottom w:val="single" w:sz="8" w:color="231F20"/>
            </w:tcBorders>
          </w:tcPr>
          <w:p>
            <w:pPr>
              <w:spacing w:after="0"/>
              <w:rPr>
                <w:sz w:val="13"/>
                <w:szCs w:val="13"/>
                <w:color w:val="auto"/>
              </w:rPr>
            </w:pPr>
          </w:p>
        </w:tc>
        <w:tc>
          <w:tcPr>
            <w:tcW w:w="580" w:type="dxa"/>
            <w:vAlign w:val="bottom"/>
            <w:tcBorders>
              <w:bottom w:val="single" w:sz="8" w:color="231F20"/>
            </w:tcBorders>
          </w:tcPr>
          <w:p>
            <w:pPr>
              <w:jc w:val="right"/>
              <w:ind w:right="81"/>
              <w:spacing w:after="0"/>
              <w:rPr>
                <w:sz w:val="20"/>
                <w:szCs w:val="20"/>
                <w:color w:val="auto"/>
              </w:rPr>
            </w:pPr>
            <w:r>
              <w:rPr>
                <w:rFonts w:ascii="Arial" w:cs="Arial" w:eastAsia="Arial" w:hAnsi="Arial"/>
                <w:sz w:val="12"/>
                <w:szCs w:val="12"/>
                <w:color w:val="auto"/>
              </w:rPr>
              <w:t>444.0</w:t>
            </w:r>
          </w:p>
        </w:tc>
        <w:tc>
          <w:tcPr>
            <w:tcW w:w="280" w:type="dxa"/>
            <w:vAlign w:val="bottom"/>
            <w:tcBorders>
              <w:bottom w:val="single" w:sz="8" w:color="231F20"/>
            </w:tcBorders>
          </w:tcPr>
          <w:p>
            <w:pPr>
              <w:spacing w:after="0"/>
              <w:rPr>
                <w:sz w:val="13"/>
                <w:szCs w:val="13"/>
                <w:color w:val="auto"/>
              </w:rPr>
            </w:pPr>
          </w:p>
        </w:tc>
        <w:tc>
          <w:tcPr>
            <w:tcW w:w="740" w:type="dxa"/>
            <w:vAlign w:val="bottom"/>
            <w:tcBorders>
              <w:bottom w:val="single" w:sz="8" w:color="231F20"/>
            </w:tcBorders>
          </w:tcPr>
          <w:p>
            <w:pPr>
              <w:jc w:val="right"/>
              <w:ind w:right="81"/>
              <w:spacing w:after="0"/>
              <w:rPr>
                <w:sz w:val="20"/>
                <w:szCs w:val="20"/>
                <w:color w:val="auto"/>
              </w:rPr>
            </w:pPr>
            <w:r>
              <w:rPr>
                <w:rFonts w:ascii="Arial" w:cs="Arial" w:eastAsia="Arial" w:hAnsi="Arial"/>
                <w:sz w:val="12"/>
                <w:szCs w:val="12"/>
                <w:color w:val="auto"/>
              </w:rPr>
              <w:t>19,000.4</w:t>
            </w:r>
          </w:p>
        </w:tc>
        <w:tc>
          <w:tcPr>
            <w:tcW w:w="0" w:type="dxa"/>
            <w:vAlign w:val="bottom"/>
          </w:tcPr>
          <w:p>
            <w:pPr>
              <w:spacing w:after="0"/>
              <w:rPr>
                <w:sz w:val="1"/>
                <w:szCs w:val="1"/>
                <w:color w:val="auto"/>
              </w:rPr>
            </w:pPr>
          </w:p>
        </w:tc>
      </w:tr>
      <w:tr>
        <w:trPr>
          <w:trHeight w:val="157"/>
        </w:trPr>
        <w:tc>
          <w:tcPr>
            <w:tcW w:w="188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2"/>
                <w:szCs w:val="12"/>
                <w:color w:val="auto"/>
              </w:rPr>
              <w:t>Intercompany Eliminations</w:t>
            </w:r>
          </w:p>
        </w:tc>
        <w:tc>
          <w:tcPr>
            <w:tcW w:w="100" w:type="dxa"/>
            <w:vAlign w:val="bottom"/>
            <w:tcBorders>
              <w:bottom w:val="single" w:sz="8" w:color="231F20"/>
            </w:tcBorders>
            <w:shd w:val="clear" w:color="auto" w:fill="E2E8F1"/>
          </w:tcPr>
          <w:p>
            <w:pPr>
              <w:spacing w:after="0"/>
              <w:rPr>
                <w:sz w:val="13"/>
                <w:szCs w:val="13"/>
                <w:color w:val="auto"/>
              </w:rPr>
            </w:pPr>
          </w:p>
        </w:tc>
        <w:tc>
          <w:tcPr>
            <w:tcW w:w="560" w:type="dxa"/>
            <w:vAlign w:val="bottom"/>
            <w:tcBorders>
              <w:bottom w:val="single" w:sz="8" w:color="231F20"/>
            </w:tcBorders>
            <w:shd w:val="clear" w:color="auto" w:fill="E2E8F1"/>
          </w:tcPr>
          <w:p>
            <w:pPr>
              <w:spacing w:after="0"/>
              <w:rPr>
                <w:sz w:val="13"/>
                <w:szCs w:val="13"/>
                <w:color w:val="auto"/>
              </w:rPr>
            </w:pPr>
          </w:p>
        </w:tc>
        <w:tc>
          <w:tcPr>
            <w:tcW w:w="280" w:type="dxa"/>
            <w:vAlign w:val="bottom"/>
            <w:tcBorders>
              <w:bottom w:val="single" w:sz="8" w:color="231F20"/>
            </w:tcBorders>
            <w:shd w:val="clear" w:color="auto" w:fill="E2E8F1"/>
          </w:tcPr>
          <w:p>
            <w:pPr>
              <w:spacing w:after="0"/>
              <w:rPr>
                <w:sz w:val="13"/>
                <w:szCs w:val="13"/>
                <w:color w:val="auto"/>
              </w:rPr>
            </w:pPr>
          </w:p>
        </w:tc>
        <w:tc>
          <w:tcPr>
            <w:tcW w:w="780" w:type="dxa"/>
            <w:vAlign w:val="bottom"/>
            <w:tcBorders>
              <w:bottom w:val="single" w:sz="8" w:color="231F20"/>
            </w:tcBorders>
            <w:shd w:val="clear" w:color="auto" w:fill="E2E8F1"/>
          </w:tcPr>
          <w:p>
            <w:pPr>
              <w:spacing w:after="0"/>
              <w:rPr>
                <w:sz w:val="13"/>
                <w:szCs w:val="13"/>
                <w:color w:val="auto"/>
              </w:rPr>
            </w:pPr>
          </w:p>
        </w:tc>
        <w:tc>
          <w:tcPr>
            <w:tcW w:w="200" w:type="dxa"/>
            <w:vAlign w:val="bottom"/>
            <w:tcBorders>
              <w:bottom w:val="single" w:sz="8" w:color="231F20"/>
            </w:tcBorders>
            <w:shd w:val="clear" w:color="auto" w:fill="E2E8F1"/>
          </w:tcPr>
          <w:p>
            <w:pPr>
              <w:spacing w:after="0"/>
              <w:rPr>
                <w:sz w:val="13"/>
                <w:szCs w:val="13"/>
                <w:color w:val="auto"/>
              </w:rPr>
            </w:pPr>
          </w:p>
        </w:tc>
        <w:tc>
          <w:tcPr>
            <w:tcW w:w="860" w:type="dxa"/>
            <w:vAlign w:val="bottom"/>
            <w:tcBorders>
              <w:bottom w:val="single" w:sz="8" w:color="231F20"/>
            </w:tcBorders>
            <w:shd w:val="clear" w:color="auto" w:fill="E2E8F1"/>
          </w:tcPr>
          <w:p>
            <w:pPr>
              <w:spacing w:after="0"/>
              <w:rPr>
                <w:sz w:val="13"/>
                <w:szCs w:val="13"/>
                <w:color w:val="auto"/>
              </w:rPr>
            </w:pPr>
          </w:p>
        </w:tc>
        <w:tc>
          <w:tcPr>
            <w:tcW w:w="280" w:type="dxa"/>
            <w:vAlign w:val="bottom"/>
            <w:tcBorders>
              <w:bottom w:val="single" w:sz="8" w:color="231F20"/>
            </w:tcBorders>
            <w:shd w:val="clear" w:color="auto" w:fill="E2E8F1"/>
          </w:tcPr>
          <w:p>
            <w:pPr>
              <w:spacing w:after="0"/>
              <w:rPr>
                <w:sz w:val="13"/>
                <w:szCs w:val="13"/>
                <w:color w:val="auto"/>
              </w:rPr>
            </w:pPr>
          </w:p>
        </w:tc>
        <w:tc>
          <w:tcPr>
            <w:tcW w:w="620" w:type="dxa"/>
            <w:vAlign w:val="bottom"/>
            <w:tcBorders>
              <w:bottom w:val="single" w:sz="8" w:color="231F20"/>
            </w:tcBorders>
            <w:shd w:val="clear" w:color="auto" w:fill="E2E8F1"/>
          </w:tcPr>
          <w:p>
            <w:pPr>
              <w:spacing w:after="0"/>
              <w:rPr>
                <w:sz w:val="13"/>
                <w:szCs w:val="13"/>
                <w:color w:val="auto"/>
              </w:rPr>
            </w:pPr>
          </w:p>
        </w:tc>
        <w:tc>
          <w:tcPr>
            <w:tcW w:w="220" w:type="dxa"/>
            <w:vAlign w:val="bottom"/>
            <w:tcBorders>
              <w:bottom w:val="single" w:sz="8" w:color="231F20"/>
            </w:tcBorders>
            <w:shd w:val="clear" w:color="auto" w:fill="E2E8F1"/>
          </w:tcPr>
          <w:p>
            <w:pPr>
              <w:spacing w:after="0"/>
              <w:rPr>
                <w:sz w:val="13"/>
                <w:szCs w:val="13"/>
                <w:color w:val="auto"/>
              </w:rPr>
            </w:pPr>
          </w:p>
        </w:tc>
        <w:tc>
          <w:tcPr>
            <w:tcW w:w="7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2"/>
                <w:szCs w:val="12"/>
                <w:color w:val="auto"/>
              </w:rPr>
              <w:t>(54.9 )</w:t>
            </w:r>
          </w:p>
        </w:tc>
        <w:tc>
          <w:tcPr>
            <w:tcW w:w="120" w:type="dxa"/>
            <w:vAlign w:val="bottom"/>
            <w:tcBorders>
              <w:bottom w:val="single" w:sz="8" w:color="231F20"/>
            </w:tcBorders>
            <w:shd w:val="clear" w:color="auto" w:fill="E2E8F1"/>
          </w:tcPr>
          <w:p>
            <w:pPr>
              <w:spacing w:after="0"/>
              <w:rPr>
                <w:sz w:val="13"/>
                <w:szCs w:val="13"/>
                <w:color w:val="auto"/>
              </w:rPr>
            </w:pPr>
          </w:p>
        </w:tc>
        <w:tc>
          <w:tcPr>
            <w:tcW w:w="100" w:type="dxa"/>
            <w:vAlign w:val="bottom"/>
            <w:tcBorders>
              <w:bottom w:val="single" w:sz="8" w:color="231F20"/>
            </w:tcBorders>
            <w:shd w:val="clear" w:color="auto" w:fill="E2E8F1"/>
          </w:tcPr>
          <w:p>
            <w:pPr>
              <w:spacing w:after="0"/>
              <w:rPr>
                <w:sz w:val="13"/>
                <w:szCs w:val="13"/>
                <w:color w:val="auto"/>
              </w:rPr>
            </w:pPr>
          </w:p>
        </w:tc>
        <w:tc>
          <w:tcPr>
            <w:tcW w:w="700" w:type="dxa"/>
            <w:vAlign w:val="bottom"/>
            <w:tcBorders>
              <w:bottom w:val="single" w:sz="8" w:color="231F20"/>
            </w:tcBorders>
            <w:shd w:val="clear" w:color="auto" w:fill="E2E8F1"/>
          </w:tcPr>
          <w:p>
            <w:pPr>
              <w:spacing w:after="0"/>
              <w:rPr>
                <w:sz w:val="13"/>
                <w:szCs w:val="13"/>
                <w:color w:val="auto"/>
              </w:rPr>
            </w:pPr>
          </w:p>
        </w:tc>
        <w:tc>
          <w:tcPr>
            <w:tcW w:w="200" w:type="dxa"/>
            <w:vAlign w:val="bottom"/>
            <w:tcBorders>
              <w:bottom w:val="single" w:sz="8" w:color="231F20"/>
            </w:tcBorders>
            <w:shd w:val="clear" w:color="auto" w:fill="E2E8F1"/>
          </w:tcPr>
          <w:p>
            <w:pPr>
              <w:spacing w:after="0"/>
              <w:rPr>
                <w:sz w:val="13"/>
                <w:szCs w:val="13"/>
                <w:color w:val="auto"/>
              </w:rPr>
            </w:pPr>
          </w:p>
        </w:tc>
        <w:tc>
          <w:tcPr>
            <w:tcW w:w="780" w:type="dxa"/>
            <w:vAlign w:val="bottom"/>
            <w:tcBorders>
              <w:bottom w:val="single" w:sz="8" w:color="231F20"/>
            </w:tcBorders>
            <w:shd w:val="clear" w:color="auto" w:fill="E2E8F1"/>
          </w:tcPr>
          <w:p>
            <w:pPr>
              <w:spacing w:after="0"/>
              <w:rPr>
                <w:sz w:val="13"/>
                <w:szCs w:val="13"/>
                <w:color w:val="auto"/>
              </w:rPr>
            </w:pPr>
          </w:p>
        </w:tc>
        <w:tc>
          <w:tcPr>
            <w:tcW w:w="200" w:type="dxa"/>
            <w:vAlign w:val="bottom"/>
            <w:tcBorders>
              <w:bottom w:val="single" w:sz="8" w:color="231F20"/>
            </w:tcBorders>
            <w:shd w:val="clear" w:color="auto" w:fill="E2E8F1"/>
          </w:tcPr>
          <w:p>
            <w:pPr>
              <w:spacing w:after="0"/>
              <w:rPr>
                <w:sz w:val="13"/>
                <w:szCs w:val="13"/>
                <w:color w:val="auto"/>
              </w:rPr>
            </w:pPr>
          </w:p>
        </w:tc>
        <w:tc>
          <w:tcPr>
            <w:tcW w:w="860" w:type="dxa"/>
            <w:vAlign w:val="bottom"/>
            <w:tcBorders>
              <w:bottom w:val="single" w:sz="8" w:color="231F20"/>
            </w:tcBorders>
            <w:shd w:val="clear" w:color="auto" w:fill="E2E8F1"/>
          </w:tcPr>
          <w:p>
            <w:pPr>
              <w:spacing w:after="0"/>
              <w:rPr>
                <w:sz w:val="13"/>
                <w:szCs w:val="13"/>
                <w:color w:val="auto"/>
              </w:rPr>
            </w:pPr>
          </w:p>
        </w:tc>
        <w:tc>
          <w:tcPr>
            <w:tcW w:w="220" w:type="dxa"/>
            <w:vAlign w:val="bottom"/>
            <w:tcBorders>
              <w:bottom w:val="single" w:sz="8" w:color="231F20"/>
            </w:tcBorders>
            <w:shd w:val="clear" w:color="auto" w:fill="E2E8F1"/>
          </w:tcPr>
          <w:p>
            <w:pPr>
              <w:spacing w:after="0"/>
              <w:rPr>
                <w:sz w:val="13"/>
                <w:szCs w:val="13"/>
                <w:color w:val="auto"/>
              </w:rPr>
            </w:pPr>
          </w:p>
        </w:tc>
        <w:tc>
          <w:tcPr>
            <w:tcW w:w="580" w:type="dxa"/>
            <w:vAlign w:val="bottom"/>
            <w:tcBorders>
              <w:bottom w:val="single" w:sz="8" w:color="231F20"/>
            </w:tcBorders>
            <w:shd w:val="clear" w:color="auto" w:fill="E2E8F1"/>
          </w:tcPr>
          <w:p>
            <w:pPr>
              <w:spacing w:after="0"/>
              <w:rPr>
                <w:sz w:val="13"/>
                <w:szCs w:val="13"/>
                <w:color w:val="auto"/>
              </w:rPr>
            </w:pPr>
          </w:p>
        </w:tc>
        <w:tc>
          <w:tcPr>
            <w:tcW w:w="280" w:type="dxa"/>
            <w:vAlign w:val="bottom"/>
            <w:tcBorders>
              <w:bottom w:val="single" w:sz="8" w:color="231F20"/>
            </w:tcBorders>
            <w:shd w:val="clear" w:color="auto" w:fill="E2E8F1"/>
          </w:tcPr>
          <w:p>
            <w:pPr>
              <w:spacing w:after="0"/>
              <w:rPr>
                <w:sz w:val="13"/>
                <w:szCs w:val="13"/>
                <w:color w:val="auto"/>
              </w:rPr>
            </w:pPr>
          </w:p>
        </w:tc>
        <w:tc>
          <w:tcPr>
            <w:tcW w:w="740" w:type="dxa"/>
            <w:vAlign w:val="bottom"/>
            <w:tcBorders>
              <w:bottom w:val="single" w:sz="8" w:color="231F20"/>
            </w:tcBorders>
            <w:shd w:val="clear" w:color="auto" w:fill="E2E8F1"/>
          </w:tcPr>
          <w:p>
            <w:pPr>
              <w:jc w:val="right"/>
              <w:ind w:right="1"/>
              <w:spacing w:after="0"/>
              <w:rPr>
                <w:sz w:val="20"/>
                <w:szCs w:val="20"/>
                <w:color w:val="auto"/>
              </w:rPr>
            </w:pPr>
            <w:r>
              <w:rPr>
                <w:rFonts w:ascii="Arial" w:cs="Arial" w:eastAsia="Arial" w:hAnsi="Arial"/>
                <w:sz w:val="12"/>
                <w:szCs w:val="12"/>
                <w:color w:val="auto"/>
              </w:rPr>
              <w:t>(85.9 )</w:t>
            </w:r>
          </w:p>
        </w:tc>
        <w:tc>
          <w:tcPr>
            <w:tcW w:w="0" w:type="dxa"/>
            <w:vAlign w:val="bottom"/>
          </w:tcPr>
          <w:p>
            <w:pPr>
              <w:spacing w:after="0"/>
              <w:rPr>
                <w:sz w:val="1"/>
                <w:szCs w:val="1"/>
                <w:color w:val="auto"/>
              </w:rPr>
            </w:pPr>
          </w:p>
        </w:tc>
      </w:tr>
      <w:tr>
        <w:trPr>
          <w:trHeight w:val="157"/>
        </w:trPr>
        <w:tc>
          <w:tcPr>
            <w:tcW w:w="1880" w:type="dxa"/>
            <w:vAlign w:val="bottom"/>
            <w:tcBorders>
              <w:bottom w:val="single" w:sz="8" w:color="231F20"/>
            </w:tcBorders>
          </w:tcPr>
          <w:p>
            <w:pPr>
              <w:ind w:left="80"/>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231F20"/>
            </w:tcBorders>
          </w:tcPr>
          <w:p>
            <w:pPr>
              <w:spacing w:after="0"/>
              <w:rPr>
                <w:sz w:val="13"/>
                <w:szCs w:val="13"/>
                <w:color w:val="auto"/>
              </w:rPr>
            </w:pPr>
          </w:p>
        </w:tc>
        <w:tc>
          <w:tcPr>
            <w:tcW w:w="560" w:type="dxa"/>
            <w:vAlign w:val="bottom"/>
            <w:tcBorders>
              <w:bottom w:val="single" w:sz="8" w:color="231F20"/>
            </w:tcBorders>
          </w:tcPr>
          <w:p>
            <w:pPr>
              <w:spacing w:after="0"/>
              <w:rPr>
                <w:sz w:val="13"/>
                <w:szCs w:val="13"/>
                <w:color w:val="auto"/>
              </w:rPr>
            </w:pPr>
          </w:p>
        </w:tc>
        <w:tc>
          <w:tcPr>
            <w:tcW w:w="280" w:type="dxa"/>
            <w:vAlign w:val="bottom"/>
            <w:tcBorders>
              <w:bottom w:val="single" w:sz="8" w:color="231F20"/>
            </w:tcBorders>
          </w:tcPr>
          <w:p>
            <w:pPr>
              <w:spacing w:after="0"/>
              <w:rPr>
                <w:sz w:val="13"/>
                <w:szCs w:val="13"/>
                <w:color w:val="auto"/>
              </w:rPr>
            </w:pPr>
          </w:p>
        </w:tc>
        <w:tc>
          <w:tcPr>
            <w:tcW w:w="780" w:type="dxa"/>
            <w:vAlign w:val="bottom"/>
            <w:tcBorders>
              <w:bottom w:val="single" w:sz="8" w:color="231F20"/>
            </w:tcBorders>
          </w:tcPr>
          <w:p>
            <w:pPr>
              <w:spacing w:after="0"/>
              <w:rPr>
                <w:sz w:val="13"/>
                <w:szCs w:val="13"/>
                <w:color w:val="auto"/>
              </w:rPr>
            </w:pPr>
          </w:p>
        </w:tc>
        <w:tc>
          <w:tcPr>
            <w:tcW w:w="200" w:type="dxa"/>
            <w:vAlign w:val="bottom"/>
            <w:tcBorders>
              <w:bottom w:val="single" w:sz="8" w:color="231F20"/>
            </w:tcBorders>
          </w:tcPr>
          <w:p>
            <w:pPr>
              <w:spacing w:after="0"/>
              <w:rPr>
                <w:sz w:val="13"/>
                <w:szCs w:val="13"/>
                <w:color w:val="auto"/>
              </w:rPr>
            </w:pPr>
          </w:p>
        </w:tc>
        <w:tc>
          <w:tcPr>
            <w:tcW w:w="860" w:type="dxa"/>
            <w:vAlign w:val="bottom"/>
            <w:tcBorders>
              <w:bottom w:val="single" w:sz="8" w:color="231F20"/>
            </w:tcBorders>
          </w:tcPr>
          <w:p>
            <w:pPr>
              <w:spacing w:after="0"/>
              <w:rPr>
                <w:sz w:val="13"/>
                <w:szCs w:val="13"/>
                <w:color w:val="auto"/>
              </w:rPr>
            </w:pPr>
          </w:p>
        </w:tc>
        <w:tc>
          <w:tcPr>
            <w:tcW w:w="280" w:type="dxa"/>
            <w:vAlign w:val="bottom"/>
            <w:tcBorders>
              <w:bottom w:val="single" w:sz="8" w:color="231F20"/>
            </w:tcBorders>
          </w:tcPr>
          <w:p>
            <w:pPr>
              <w:spacing w:after="0"/>
              <w:rPr>
                <w:sz w:val="13"/>
                <w:szCs w:val="13"/>
                <w:color w:val="auto"/>
              </w:rPr>
            </w:pPr>
          </w:p>
        </w:tc>
        <w:tc>
          <w:tcPr>
            <w:tcW w:w="620" w:type="dxa"/>
            <w:vAlign w:val="bottom"/>
            <w:tcBorders>
              <w:bottom w:val="single" w:sz="8" w:color="231F20"/>
            </w:tcBorders>
          </w:tcPr>
          <w:p>
            <w:pPr>
              <w:spacing w:after="0"/>
              <w:rPr>
                <w:sz w:val="13"/>
                <w:szCs w:val="13"/>
                <w:color w:val="auto"/>
              </w:rPr>
            </w:pPr>
          </w:p>
        </w:tc>
        <w:tc>
          <w:tcPr>
            <w:tcW w:w="220" w:type="dxa"/>
            <w:vAlign w:val="bottom"/>
            <w:tcBorders>
              <w:bottom w:val="single" w:sz="8" w:color="231F20"/>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231F20"/>
            </w:tcBorders>
          </w:tcPr>
          <w:p>
            <w:pPr>
              <w:jc w:val="right"/>
              <w:ind w:right="61"/>
              <w:spacing w:after="0"/>
              <w:rPr>
                <w:sz w:val="20"/>
                <w:szCs w:val="20"/>
                <w:color w:val="auto"/>
              </w:rPr>
            </w:pPr>
            <w:r>
              <w:rPr>
                <w:rFonts w:ascii="Arial" w:cs="Arial" w:eastAsia="Arial" w:hAnsi="Arial"/>
                <w:sz w:val="12"/>
                <w:szCs w:val="12"/>
                <w:color w:val="auto"/>
              </w:rPr>
              <w:t>17,853.9</w:t>
            </w:r>
          </w:p>
        </w:tc>
        <w:tc>
          <w:tcPr>
            <w:tcW w:w="120" w:type="dxa"/>
            <w:vAlign w:val="bottom"/>
            <w:tcBorders>
              <w:bottom w:val="single" w:sz="8" w:color="231F20"/>
            </w:tcBorders>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700" w:type="dxa"/>
            <w:vAlign w:val="bottom"/>
            <w:tcBorders>
              <w:bottom w:val="single" w:sz="8" w:color="231F20"/>
            </w:tcBorders>
          </w:tcPr>
          <w:p>
            <w:pPr>
              <w:spacing w:after="0"/>
              <w:rPr>
                <w:sz w:val="13"/>
                <w:szCs w:val="13"/>
                <w:color w:val="auto"/>
              </w:rPr>
            </w:pPr>
          </w:p>
        </w:tc>
        <w:tc>
          <w:tcPr>
            <w:tcW w:w="200" w:type="dxa"/>
            <w:vAlign w:val="bottom"/>
            <w:tcBorders>
              <w:bottom w:val="single" w:sz="8" w:color="231F20"/>
            </w:tcBorders>
          </w:tcPr>
          <w:p>
            <w:pPr>
              <w:spacing w:after="0"/>
              <w:rPr>
                <w:sz w:val="13"/>
                <w:szCs w:val="13"/>
                <w:color w:val="auto"/>
              </w:rPr>
            </w:pPr>
          </w:p>
        </w:tc>
        <w:tc>
          <w:tcPr>
            <w:tcW w:w="780" w:type="dxa"/>
            <w:vAlign w:val="bottom"/>
            <w:tcBorders>
              <w:bottom w:val="single" w:sz="8" w:color="231F20"/>
            </w:tcBorders>
          </w:tcPr>
          <w:p>
            <w:pPr>
              <w:spacing w:after="0"/>
              <w:rPr>
                <w:sz w:val="13"/>
                <w:szCs w:val="13"/>
                <w:color w:val="auto"/>
              </w:rPr>
            </w:pPr>
          </w:p>
        </w:tc>
        <w:tc>
          <w:tcPr>
            <w:tcW w:w="200" w:type="dxa"/>
            <w:vAlign w:val="bottom"/>
            <w:tcBorders>
              <w:bottom w:val="single" w:sz="8" w:color="231F20"/>
            </w:tcBorders>
          </w:tcPr>
          <w:p>
            <w:pPr>
              <w:spacing w:after="0"/>
              <w:rPr>
                <w:sz w:val="13"/>
                <w:szCs w:val="13"/>
                <w:color w:val="auto"/>
              </w:rPr>
            </w:pPr>
          </w:p>
        </w:tc>
        <w:tc>
          <w:tcPr>
            <w:tcW w:w="860" w:type="dxa"/>
            <w:vAlign w:val="bottom"/>
            <w:tcBorders>
              <w:bottom w:val="single" w:sz="8" w:color="231F20"/>
            </w:tcBorders>
          </w:tcPr>
          <w:p>
            <w:pPr>
              <w:spacing w:after="0"/>
              <w:rPr>
                <w:sz w:val="13"/>
                <w:szCs w:val="13"/>
                <w:color w:val="auto"/>
              </w:rPr>
            </w:pPr>
          </w:p>
        </w:tc>
        <w:tc>
          <w:tcPr>
            <w:tcW w:w="220" w:type="dxa"/>
            <w:vAlign w:val="bottom"/>
            <w:tcBorders>
              <w:bottom w:val="single" w:sz="8" w:color="231F20"/>
            </w:tcBorders>
          </w:tcPr>
          <w:p>
            <w:pPr>
              <w:spacing w:after="0"/>
              <w:rPr>
                <w:sz w:val="13"/>
                <w:szCs w:val="13"/>
                <w:color w:val="auto"/>
              </w:rPr>
            </w:pPr>
          </w:p>
        </w:tc>
        <w:tc>
          <w:tcPr>
            <w:tcW w:w="580" w:type="dxa"/>
            <w:vAlign w:val="bottom"/>
            <w:tcBorders>
              <w:bottom w:val="single" w:sz="8" w:color="231F20"/>
            </w:tcBorders>
          </w:tcPr>
          <w:p>
            <w:pPr>
              <w:spacing w:after="0"/>
              <w:rPr>
                <w:sz w:val="13"/>
                <w:szCs w:val="13"/>
                <w:color w:val="auto"/>
              </w:rPr>
            </w:pPr>
          </w:p>
        </w:tc>
        <w:tc>
          <w:tcPr>
            <w:tcW w:w="280" w:type="dxa"/>
            <w:vAlign w:val="bottom"/>
            <w:tcBorders>
              <w:bottom w:val="single" w:sz="8" w:color="231F20"/>
            </w:tcBorders>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231F20"/>
            </w:tcBorders>
          </w:tcPr>
          <w:p>
            <w:pPr>
              <w:jc w:val="right"/>
              <w:ind w:right="81"/>
              <w:spacing w:after="0"/>
              <w:rPr>
                <w:sz w:val="20"/>
                <w:szCs w:val="20"/>
                <w:color w:val="auto"/>
              </w:rPr>
            </w:pPr>
            <w:r>
              <w:rPr>
                <w:rFonts w:ascii="Arial" w:cs="Arial" w:eastAsia="Arial" w:hAnsi="Arial"/>
                <w:sz w:val="12"/>
                <w:szCs w:val="12"/>
                <w:color w:val="auto"/>
              </w:rPr>
              <w:t>18,914.5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-1929130</wp:posOffset>
            </wp:positionV>
            <wp:extent cx="6731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-1538605</wp:posOffset>
            </wp:positionV>
            <wp:extent cx="6731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79" w:lineRule="exact"/>
        <w:rPr>
          <w:sz w:val="20"/>
          <w:szCs w:val="20"/>
          <w:color w:val="auto"/>
        </w:rPr>
      </w:pPr>
    </w:p>
    <w:p>
      <w:pPr>
        <w:ind w:left="325" w:right="20" w:hanging="325"/>
        <w:spacing w:after="0" w:line="214" w:lineRule="auto"/>
        <w:tabs>
          <w:tab w:leader="none" w:pos="325" w:val="left"/>
        </w:tabs>
        <w:numPr>
          <w:ilvl w:val="0"/>
          <w:numId w:val="38"/>
        </w:numPr>
        <w:rPr>
          <w:rFonts w:ascii="Arial" w:cs="Arial" w:eastAsia="Arial" w:hAnsi="Arial"/>
          <w:sz w:val="17"/>
          <w:szCs w:val="17"/>
          <w:color w:val="231F20"/>
          <w:vertAlign w:val="superscript"/>
        </w:rPr>
      </w:pPr>
      <w:r>
        <w:rPr>
          <w:rFonts w:ascii="Arial" w:cs="Arial" w:eastAsia="Arial" w:hAnsi="Arial"/>
          <w:sz w:val="13"/>
          <w:szCs w:val="13"/>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25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63" w:name="page64"/>
    <w:bookmarkEnd w:id="63"/>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75" w:lineRule="exact"/>
        <w:rPr>
          <w:sz w:val="20"/>
          <w:szCs w:val="20"/>
          <w:color w:val="auto"/>
        </w:rPr>
      </w:pPr>
    </w:p>
    <w:tbl>
      <w:tblPr>
        <w:tblLayout w:type="fixed"/>
        <w:tblInd w:w="5" w:type="dxa"/>
        <w:tblCellMar>
          <w:top w:w="0" w:type="dxa"/>
          <w:left w:w="0" w:type="dxa"/>
          <w:bottom w:w="0" w:type="dxa"/>
          <w:right w:w="0" w:type="dxa"/>
        </w:tblCellMar>
      </w:tblPr>
      <w:tr>
        <w:trPr>
          <w:trHeight w:val="160"/>
        </w:trPr>
        <w:tc>
          <w:tcPr>
            <w:tcW w:w="2800" w:type="dxa"/>
            <w:vAlign w:val="bottom"/>
            <w:tcBorders>
              <w:top w:val="single" w:sz="8" w:color="auto"/>
              <w:bottom w:val="single" w:sz="8" w:color="98B0CF"/>
            </w:tcBorders>
            <w:shd w:val="clear" w:color="auto" w:fill="98B0CF"/>
          </w:tcPr>
          <w:p>
            <w:pPr>
              <w:spacing w:after="0"/>
              <w:rPr>
                <w:sz w:val="13"/>
                <w:szCs w:val="13"/>
                <w:color w:val="auto"/>
              </w:rPr>
            </w:pPr>
          </w:p>
        </w:tc>
        <w:tc>
          <w:tcPr>
            <w:tcW w:w="160" w:type="dxa"/>
            <w:vAlign w:val="bottom"/>
            <w:tcBorders>
              <w:top w:val="single" w:sz="8" w:color="auto"/>
              <w:bottom w:val="single" w:sz="8" w:color="auto"/>
            </w:tcBorders>
            <w:shd w:val="clear" w:color="auto" w:fill="98B0CF"/>
          </w:tcPr>
          <w:p>
            <w:pPr>
              <w:spacing w:after="0"/>
              <w:rPr>
                <w:sz w:val="13"/>
                <w:szCs w:val="13"/>
                <w:color w:val="auto"/>
              </w:rPr>
            </w:pPr>
          </w:p>
        </w:tc>
        <w:tc>
          <w:tcPr>
            <w:tcW w:w="980" w:type="dxa"/>
            <w:vAlign w:val="bottom"/>
            <w:tcBorders>
              <w:top w:val="single" w:sz="8" w:color="auto"/>
              <w:bottom w:val="single" w:sz="8" w:color="auto"/>
            </w:tcBorders>
            <w:shd w:val="clear" w:color="auto" w:fill="98B0CF"/>
          </w:tcPr>
          <w:p>
            <w:pPr>
              <w:spacing w:after="0"/>
              <w:rPr>
                <w:sz w:val="13"/>
                <w:szCs w:val="13"/>
                <w:color w:val="auto"/>
              </w:rPr>
            </w:pPr>
          </w:p>
        </w:tc>
        <w:tc>
          <w:tcPr>
            <w:tcW w:w="500" w:type="dxa"/>
            <w:vAlign w:val="bottom"/>
            <w:tcBorders>
              <w:top w:val="single" w:sz="8" w:color="auto"/>
              <w:bottom w:val="single" w:sz="8" w:color="auto"/>
            </w:tcBorders>
            <w:shd w:val="clear" w:color="auto" w:fill="98B0CF"/>
          </w:tcPr>
          <w:p>
            <w:pPr>
              <w:spacing w:after="0"/>
              <w:rPr>
                <w:sz w:val="13"/>
                <w:szCs w:val="13"/>
                <w:color w:val="auto"/>
              </w:rPr>
            </w:pPr>
          </w:p>
        </w:tc>
        <w:tc>
          <w:tcPr>
            <w:tcW w:w="1160" w:type="dxa"/>
            <w:vAlign w:val="bottom"/>
            <w:tcBorders>
              <w:top w:val="single" w:sz="8" w:color="auto"/>
              <w:bottom w:val="single" w:sz="8" w:color="auto"/>
            </w:tcBorders>
            <w:shd w:val="clear" w:color="auto" w:fill="98B0CF"/>
          </w:tcPr>
          <w:p>
            <w:pPr>
              <w:spacing w:after="0"/>
              <w:rPr>
                <w:sz w:val="13"/>
                <w:szCs w:val="13"/>
                <w:color w:val="auto"/>
              </w:rPr>
            </w:pPr>
          </w:p>
        </w:tc>
        <w:tc>
          <w:tcPr>
            <w:tcW w:w="400" w:type="dxa"/>
            <w:vAlign w:val="bottom"/>
            <w:tcBorders>
              <w:top w:val="single" w:sz="8" w:color="auto"/>
              <w:bottom w:val="single" w:sz="8" w:color="auto"/>
            </w:tcBorders>
            <w:shd w:val="clear" w:color="auto" w:fill="98B0CF"/>
          </w:tcPr>
          <w:p>
            <w:pPr>
              <w:spacing w:after="0"/>
              <w:rPr>
                <w:sz w:val="13"/>
                <w:szCs w:val="13"/>
                <w:color w:val="auto"/>
              </w:rPr>
            </w:pPr>
          </w:p>
        </w:tc>
        <w:tc>
          <w:tcPr>
            <w:tcW w:w="2460" w:type="dxa"/>
            <w:vAlign w:val="bottom"/>
            <w:tcBorders>
              <w:top w:val="single" w:sz="8" w:color="auto"/>
              <w:bottom w:val="single" w:sz="8" w:color="auto"/>
            </w:tcBorders>
            <w:gridSpan w:val="4"/>
            <w:shd w:val="clear" w:color="auto" w:fill="98B0CF"/>
          </w:tcPr>
          <w:p>
            <w:pPr>
              <w:jc w:val="right"/>
              <w:ind w:right="657"/>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Borders>
              <w:top w:val="single" w:sz="8" w:color="auto"/>
              <w:bottom w:val="single" w:sz="8" w:color="auto"/>
            </w:tcBorders>
            <w:shd w:val="clear" w:color="auto" w:fill="98B0CF"/>
          </w:tcPr>
          <w:p>
            <w:pPr>
              <w:spacing w:after="0"/>
              <w:rPr>
                <w:sz w:val="13"/>
                <w:szCs w:val="13"/>
                <w:color w:val="auto"/>
              </w:rPr>
            </w:pPr>
          </w:p>
        </w:tc>
        <w:tc>
          <w:tcPr>
            <w:tcW w:w="1100" w:type="dxa"/>
            <w:vAlign w:val="bottom"/>
            <w:tcBorders>
              <w:top w:val="single" w:sz="8" w:color="auto"/>
              <w:bottom w:val="single" w:sz="8" w:color="auto"/>
            </w:tcBorders>
            <w:shd w:val="clear" w:color="auto" w:fill="98B0CF"/>
          </w:tcPr>
          <w:p>
            <w:pPr>
              <w:spacing w:after="0"/>
              <w:rPr>
                <w:sz w:val="13"/>
                <w:szCs w:val="13"/>
                <w:color w:val="auto"/>
              </w:rPr>
            </w:pPr>
          </w:p>
        </w:tc>
        <w:tc>
          <w:tcPr>
            <w:tcW w:w="380" w:type="dxa"/>
            <w:vAlign w:val="bottom"/>
            <w:tcBorders>
              <w:top w:val="single" w:sz="8" w:color="auto"/>
              <w:bottom w:val="single" w:sz="8" w:color="auto"/>
            </w:tcBorders>
            <w:shd w:val="clear" w:color="auto" w:fill="98B0CF"/>
          </w:tcPr>
          <w:p>
            <w:pPr>
              <w:spacing w:after="0"/>
              <w:rPr>
                <w:sz w:val="13"/>
                <w:szCs w:val="13"/>
                <w:color w:val="auto"/>
              </w:rPr>
            </w:pPr>
          </w:p>
        </w:tc>
        <w:tc>
          <w:tcPr>
            <w:tcW w:w="1040" w:type="dxa"/>
            <w:vAlign w:val="bottom"/>
            <w:tcBorders>
              <w:top w:val="single" w:sz="8" w:color="auto"/>
              <w:bottom w:val="single" w:sz="8" w:color="auto"/>
            </w:tcBorders>
            <w:shd w:val="clear" w:color="auto" w:fill="98B0CF"/>
          </w:tcPr>
          <w:p>
            <w:pPr>
              <w:spacing w:after="0"/>
              <w:rPr>
                <w:sz w:val="13"/>
                <w:szCs w:val="13"/>
                <w:color w:val="auto"/>
              </w:rPr>
            </w:pPr>
          </w:p>
        </w:tc>
      </w:tr>
      <w:tr>
        <w:trPr>
          <w:trHeight w:val="193"/>
        </w:trPr>
        <w:tc>
          <w:tcPr>
            <w:tcW w:w="2800" w:type="dxa"/>
            <w:vAlign w:val="bottom"/>
            <w:tcBorders>
              <w:bottom w:val="single" w:sz="8" w:color="98B0CF"/>
            </w:tcBorders>
            <w:shd w:val="clear" w:color="auto" w:fill="98B0CF"/>
          </w:tcPr>
          <w:p>
            <w:pPr>
              <w:spacing w:after="0"/>
              <w:rPr>
                <w:sz w:val="16"/>
                <w:szCs w:val="16"/>
                <w:color w:val="auto"/>
              </w:rPr>
            </w:pPr>
          </w:p>
        </w:tc>
        <w:tc>
          <w:tcPr>
            <w:tcW w:w="160" w:type="dxa"/>
            <w:vAlign w:val="bottom"/>
            <w:tcBorders>
              <w:bottom w:val="single" w:sz="8" w:color="231F20"/>
            </w:tcBorders>
            <w:shd w:val="clear" w:color="auto" w:fill="98B0CF"/>
          </w:tcPr>
          <w:p>
            <w:pPr>
              <w:spacing w:after="0"/>
              <w:rPr>
                <w:sz w:val="16"/>
                <w:szCs w:val="16"/>
                <w:color w:val="auto"/>
              </w:rPr>
            </w:pPr>
          </w:p>
        </w:tc>
        <w:tc>
          <w:tcPr>
            <w:tcW w:w="980" w:type="dxa"/>
            <w:vAlign w:val="bottom"/>
            <w:tcBorders>
              <w:bottom w:val="single" w:sz="8" w:color="231F20"/>
            </w:tcBorders>
            <w:shd w:val="clear" w:color="auto" w:fill="98B0CF"/>
          </w:tcPr>
          <w:p>
            <w:pPr>
              <w:spacing w:after="0"/>
              <w:rPr>
                <w:sz w:val="16"/>
                <w:szCs w:val="16"/>
                <w:color w:val="auto"/>
              </w:rPr>
            </w:pPr>
          </w:p>
        </w:tc>
        <w:tc>
          <w:tcPr>
            <w:tcW w:w="500" w:type="dxa"/>
            <w:vAlign w:val="bottom"/>
            <w:tcBorders>
              <w:bottom w:val="single" w:sz="8" w:color="231F20"/>
            </w:tcBorders>
            <w:shd w:val="clear" w:color="auto" w:fill="98B0CF"/>
          </w:tcPr>
          <w:p>
            <w:pPr>
              <w:spacing w:after="0"/>
              <w:rPr>
                <w:sz w:val="16"/>
                <w:szCs w:val="16"/>
                <w:color w:val="auto"/>
              </w:rPr>
            </w:pPr>
          </w:p>
        </w:tc>
        <w:tc>
          <w:tcPr>
            <w:tcW w:w="1160" w:type="dxa"/>
            <w:vAlign w:val="bottom"/>
            <w:tcBorders>
              <w:bottom w:val="single" w:sz="8" w:color="231F20"/>
            </w:tcBorders>
            <w:shd w:val="clear" w:color="auto" w:fill="98B0CF"/>
          </w:tcPr>
          <w:p>
            <w:pPr>
              <w:jc w:val="right"/>
              <w:ind w:right="457"/>
              <w:spacing w:after="0"/>
              <w:rPr>
                <w:sz w:val="20"/>
                <w:szCs w:val="20"/>
                <w:color w:val="auto"/>
              </w:rPr>
            </w:pPr>
            <w:r>
              <w:rPr>
                <w:rFonts w:ascii="Arial" w:cs="Arial" w:eastAsia="Arial" w:hAnsi="Arial"/>
                <w:sz w:val="13"/>
                <w:szCs w:val="13"/>
                <w:b w:val="1"/>
                <w:bCs w:val="1"/>
                <w:color w:val="auto"/>
              </w:rPr>
              <w:t>2024</w:t>
            </w:r>
          </w:p>
        </w:tc>
        <w:tc>
          <w:tcPr>
            <w:tcW w:w="400" w:type="dxa"/>
            <w:vAlign w:val="bottom"/>
            <w:tcBorders>
              <w:bottom w:val="single" w:sz="8" w:color="231F20"/>
            </w:tcBorders>
            <w:shd w:val="clear" w:color="auto" w:fill="98B0CF"/>
          </w:tcPr>
          <w:p>
            <w:pPr>
              <w:spacing w:after="0"/>
              <w:rPr>
                <w:sz w:val="16"/>
                <w:szCs w:val="16"/>
                <w:color w:val="auto"/>
              </w:rPr>
            </w:pPr>
          </w:p>
        </w:tc>
        <w:tc>
          <w:tcPr>
            <w:tcW w:w="1180" w:type="dxa"/>
            <w:vAlign w:val="bottom"/>
            <w:tcBorders>
              <w:bottom w:val="single" w:sz="8" w:color="231F20"/>
            </w:tcBorders>
            <w:shd w:val="clear" w:color="auto" w:fill="98B0CF"/>
          </w:tcPr>
          <w:p>
            <w:pPr>
              <w:spacing w:after="0"/>
              <w:rPr>
                <w:sz w:val="16"/>
                <w:szCs w:val="16"/>
                <w:color w:val="auto"/>
              </w:rPr>
            </w:pPr>
          </w:p>
        </w:tc>
        <w:tc>
          <w:tcPr>
            <w:tcW w:w="100" w:type="dxa"/>
            <w:vAlign w:val="bottom"/>
            <w:tcBorders>
              <w:bottom w:val="single" w:sz="8" w:color="98B0CF"/>
            </w:tcBorders>
            <w:shd w:val="clear" w:color="auto" w:fill="98B0CF"/>
          </w:tcPr>
          <w:p>
            <w:pPr>
              <w:spacing w:after="0"/>
              <w:rPr>
                <w:sz w:val="16"/>
                <w:szCs w:val="16"/>
                <w:color w:val="auto"/>
              </w:rPr>
            </w:pPr>
          </w:p>
        </w:tc>
        <w:tc>
          <w:tcPr>
            <w:tcW w:w="140" w:type="dxa"/>
            <w:vAlign w:val="bottom"/>
            <w:tcBorders>
              <w:bottom w:val="single" w:sz="8" w:color="231F20"/>
            </w:tcBorders>
            <w:shd w:val="clear" w:color="auto" w:fill="98B0CF"/>
          </w:tcPr>
          <w:p>
            <w:pPr>
              <w:spacing w:after="0"/>
              <w:rPr>
                <w:sz w:val="16"/>
                <w:szCs w:val="16"/>
                <w:color w:val="auto"/>
              </w:rPr>
            </w:pPr>
          </w:p>
        </w:tc>
        <w:tc>
          <w:tcPr>
            <w:tcW w:w="1040" w:type="dxa"/>
            <w:vAlign w:val="bottom"/>
            <w:tcBorders>
              <w:bottom w:val="single" w:sz="8" w:color="231F20"/>
            </w:tcBorders>
            <w:shd w:val="clear" w:color="auto" w:fill="98B0CF"/>
          </w:tcPr>
          <w:p>
            <w:pPr>
              <w:spacing w:after="0"/>
              <w:rPr>
                <w:sz w:val="16"/>
                <w:szCs w:val="16"/>
                <w:color w:val="auto"/>
              </w:rPr>
            </w:pPr>
          </w:p>
        </w:tc>
        <w:tc>
          <w:tcPr>
            <w:tcW w:w="280" w:type="dxa"/>
            <w:vAlign w:val="bottom"/>
            <w:tcBorders>
              <w:bottom w:val="single" w:sz="8" w:color="231F20"/>
            </w:tcBorders>
            <w:shd w:val="clear" w:color="auto" w:fill="98B0CF"/>
          </w:tcPr>
          <w:p>
            <w:pPr>
              <w:spacing w:after="0"/>
              <w:rPr>
                <w:sz w:val="16"/>
                <w:szCs w:val="16"/>
                <w:color w:val="auto"/>
              </w:rPr>
            </w:pPr>
          </w:p>
        </w:tc>
        <w:tc>
          <w:tcPr>
            <w:tcW w:w="1100" w:type="dxa"/>
            <w:vAlign w:val="bottom"/>
            <w:tcBorders>
              <w:bottom w:val="single" w:sz="8" w:color="231F20"/>
            </w:tcBorders>
            <w:shd w:val="clear" w:color="auto" w:fill="98B0CF"/>
          </w:tcPr>
          <w:p>
            <w:pPr>
              <w:jc w:val="right"/>
              <w:ind w:right="377"/>
              <w:spacing w:after="0"/>
              <w:rPr>
                <w:sz w:val="20"/>
                <w:szCs w:val="20"/>
                <w:color w:val="auto"/>
              </w:rPr>
            </w:pPr>
            <w:r>
              <w:rPr>
                <w:rFonts w:ascii="Arial" w:cs="Arial" w:eastAsia="Arial" w:hAnsi="Arial"/>
                <w:sz w:val="13"/>
                <w:szCs w:val="13"/>
                <w:b w:val="1"/>
                <w:bCs w:val="1"/>
                <w:color w:val="auto"/>
              </w:rPr>
              <w:t>2023</w:t>
            </w:r>
            <w:r>
              <w:rPr>
                <w:rFonts w:ascii="Arial" w:cs="Arial" w:eastAsia="Arial" w:hAnsi="Arial"/>
                <w:sz w:val="16"/>
                <w:szCs w:val="16"/>
                <w:b w:val="1"/>
                <w:bCs w:val="1"/>
                <w:color w:val="auto"/>
                <w:vertAlign w:val="superscript"/>
              </w:rPr>
              <w:t>(a)</w:t>
            </w:r>
          </w:p>
        </w:tc>
        <w:tc>
          <w:tcPr>
            <w:tcW w:w="380" w:type="dxa"/>
            <w:vAlign w:val="bottom"/>
            <w:tcBorders>
              <w:bottom w:val="single" w:sz="8" w:color="231F20"/>
            </w:tcBorders>
            <w:shd w:val="clear" w:color="auto" w:fill="98B0CF"/>
          </w:tcPr>
          <w:p>
            <w:pPr>
              <w:spacing w:after="0"/>
              <w:rPr>
                <w:sz w:val="16"/>
                <w:szCs w:val="16"/>
                <w:color w:val="auto"/>
              </w:rPr>
            </w:pPr>
          </w:p>
        </w:tc>
        <w:tc>
          <w:tcPr>
            <w:tcW w:w="1040" w:type="dxa"/>
            <w:vAlign w:val="bottom"/>
            <w:tcBorders>
              <w:bottom w:val="single" w:sz="8" w:color="231F20"/>
            </w:tcBorders>
            <w:shd w:val="clear" w:color="auto" w:fill="98B0CF"/>
          </w:tcPr>
          <w:p>
            <w:pPr>
              <w:spacing w:after="0"/>
              <w:rPr>
                <w:sz w:val="16"/>
                <w:szCs w:val="16"/>
                <w:color w:val="auto"/>
              </w:rPr>
            </w:pPr>
          </w:p>
        </w:tc>
      </w:tr>
      <w:tr>
        <w:trPr>
          <w:trHeight w:val="203"/>
        </w:trPr>
        <w:tc>
          <w:tcPr>
            <w:tcW w:w="2800" w:type="dxa"/>
            <w:vAlign w:val="bottom"/>
            <w:shd w:val="clear" w:color="auto" w:fill="98B0CF"/>
          </w:tcPr>
          <w:p>
            <w:pPr>
              <w:spacing w:after="0"/>
              <w:rPr>
                <w:sz w:val="17"/>
                <w:szCs w:val="17"/>
                <w:color w:val="auto"/>
              </w:rPr>
            </w:pPr>
          </w:p>
        </w:tc>
        <w:tc>
          <w:tcPr>
            <w:tcW w:w="160" w:type="dxa"/>
            <w:vAlign w:val="bottom"/>
            <w:shd w:val="clear" w:color="auto" w:fill="98B0CF"/>
          </w:tcPr>
          <w:p>
            <w:pPr>
              <w:spacing w:after="0"/>
              <w:rPr>
                <w:sz w:val="17"/>
                <w:szCs w:val="17"/>
                <w:color w:val="auto"/>
              </w:rPr>
            </w:pPr>
          </w:p>
        </w:tc>
        <w:tc>
          <w:tcPr>
            <w:tcW w:w="980" w:type="dxa"/>
            <w:vAlign w:val="bottom"/>
            <w:shd w:val="clear" w:color="auto" w:fill="98B0CF"/>
          </w:tcPr>
          <w:p>
            <w:pPr>
              <w:spacing w:after="0"/>
              <w:rPr>
                <w:sz w:val="17"/>
                <w:szCs w:val="17"/>
                <w:color w:val="auto"/>
              </w:rPr>
            </w:pPr>
          </w:p>
        </w:tc>
        <w:tc>
          <w:tcPr>
            <w:tcW w:w="500" w:type="dxa"/>
            <w:vAlign w:val="bottom"/>
            <w:shd w:val="clear" w:color="auto" w:fill="98B0CF"/>
          </w:tcPr>
          <w:p>
            <w:pPr>
              <w:spacing w:after="0"/>
              <w:rPr>
                <w:sz w:val="17"/>
                <w:szCs w:val="17"/>
                <w:color w:val="auto"/>
              </w:rPr>
            </w:pPr>
          </w:p>
        </w:tc>
        <w:tc>
          <w:tcPr>
            <w:tcW w:w="1160" w:type="dxa"/>
            <w:vAlign w:val="bottom"/>
            <w:shd w:val="clear" w:color="auto" w:fill="98B0CF"/>
          </w:tcPr>
          <w:p>
            <w:pPr>
              <w:jc w:val="center"/>
              <w:ind w:right="217"/>
              <w:spacing w:after="0"/>
              <w:rPr>
                <w:sz w:val="20"/>
                <w:szCs w:val="20"/>
                <w:color w:val="auto"/>
              </w:rPr>
            </w:pPr>
            <w:r>
              <w:rPr>
                <w:rFonts w:ascii="Arial" w:cs="Arial" w:eastAsia="Arial" w:hAnsi="Arial"/>
                <w:sz w:val="13"/>
                <w:szCs w:val="13"/>
                <w:b w:val="1"/>
                <w:bCs w:val="1"/>
                <w:color w:val="auto"/>
                <w:w w:val="97"/>
              </w:rPr>
              <w:t>Services</w:t>
            </w:r>
          </w:p>
        </w:tc>
        <w:tc>
          <w:tcPr>
            <w:tcW w:w="400" w:type="dxa"/>
            <w:vAlign w:val="bottom"/>
            <w:shd w:val="clear" w:color="auto" w:fill="98B0CF"/>
          </w:tcPr>
          <w:p>
            <w:pPr>
              <w:spacing w:after="0"/>
              <w:rPr>
                <w:sz w:val="17"/>
                <w:szCs w:val="17"/>
                <w:color w:val="auto"/>
              </w:rPr>
            </w:pPr>
          </w:p>
        </w:tc>
        <w:tc>
          <w:tcPr>
            <w:tcW w:w="1180" w:type="dxa"/>
            <w:vAlign w:val="bottom"/>
            <w:shd w:val="clear" w:color="auto" w:fill="98B0CF"/>
          </w:tcPr>
          <w:p>
            <w:pPr>
              <w:spacing w:after="0"/>
              <w:rPr>
                <w:sz w:val="17"/>
                <w:szCs w:val="17"/>
                <w:color w:val="auto"/>
              </w:rPr>
            </w:pPr>
          </w:p>
        </w:tc>
        <w:tc>
          <w:tcPr>
            <w:tcW w:w="100" w:type="dxa"/>
            <w:vAlign w:val="bottom"/>
            <w:shd w:val="clear" w:color="auto" w:fill="98B0CF"/>
          </w:tcPr>
          <w:p>
            <w:pPr>
              <w:spacing w:after="0"/>
              <w:rPr>
                <w:sz w:val="17"/>
                <w:szCs w:val="17"/>
                <w:color w:val="auto"/>
              </w:rPr>
            </w:pPr>
          </w:p>
        </w:tc>
        <w:tc>
          <w:tcPr>
            <w:tcW w:w="140" w:type="dxa"/>
            <w:vAlign w:val="bottom"/>
            <w:shd w:val="clear" w:color="auto" w:fill="98B0CF"/>
          </w:tcPr>
          <w:p>
            <w:pPr>
              <w:spacing w:after="0"/>
              <w:rPr>
                <w:sz w:val="17"/>
                <w:szCs w:val="17"/>
                <w:color w:val="auto"/>
              </w:rPr>
            </w:pPr>
          </w:p>
        </w:tc>
        <w:tc>
          <w:tcPr>
            <w:tcW w:w="1040" w:type="dxa"/>
            <w:vAlign w:val="bottom"/>
            <w:shd w:val="clear" w:color="auto" w:fill="98B0CF"/>
          </w:tcPr>
          <w:p>
            <w:pPr>
              <w:spacing w:after="0"/>
              <w:rPr>
                <w:sz w:val="17"/>
                <w:szCs w:val="17"/>
                <w:color w:val="auto"/>
              </w:rPr>
            </w:pPr>
          </w:p>
        </w:tc>
        <w:tc>
          <w:tcPr>
            <w:tcW w:w="280" w:type="dxa"/>
            <w:vAlign w:val="bottom"/>
            <w:shd w:val="clear" w:color="auto" w:fill="98B0CF"/>
          </w:tcPr>
          <w:p>
            <w:pPr>
              <w:spacing w:after="0"/>
              <w:rPr>
                <w:sz w:val="17"/>
                <w:szCs w:val="17"/>
                <w:color w:val="auto"/>
              </w:rPr>
            </w:pPr>
          </w:p>
        </w:tc>
        <w:tc>
          <w:tcPr>
            <w:tcW w:w="1100" w:type="dxa"/>
            <w:vAlign w:val="bottom"/>
            <w:shd w:val="clear" w:color="auto" w:fill="98B0CF"/>
          </w:tcPr>
          <w:p>
            <w:pPr>
              <w:jc w:val="center"/>
              <w:ind w:right="237"/>
              <w:spacing w:after="0"/>
              <w:rPr>
                <w:sz w:val="20"/>
                <w:szCs w:val="20"/>
                <w:color w:val="auto"/>
              </w:rPr>
            </w:pPr>
            <w:r>
              <w:rPr>
                <w:rFonts w:ascii="Arial" w:cs="Arial" w:eastAsia="Arial" w:hAnsi="Arial"/>
                <w:sz w:val="13"/>
                <w:szCs w:val="13"/>
                <w:b w:val="1"/>
                <w:bCs w:val="1"/>
                <w:color w:val="auto"/>
                <w:w w:val="97"/>
              </w:rPr>
              <w:t>Services</w:t>
            </w:r>
          </w:p>
        </w:tc>
        <w:tc>
          <w:tcPr>
            <w:tcW w:w="380" w:type="dxa"/>
            <w:vAlign w:val="bottom"/>
            <w:shd w:val="clear" w:color="auto" w:fill="98B0CF"/>
          </w:tcPr>
          <w:p>
            <w:pPr>
              <w:spacing w:after="0"/>
              <w:rPr>
                <w:sz w:val="17"/>
                <w:szCs w:val="17"/>
                <w:color w:val="auto"/>
              </w:rPr>
            </w:pPr>
          </w:p>
        </w:tc>
        <w:tc>
          <w:tcPr>
            <w:tcW w:w="1040" w:type="dxa"/>
            <w:vAlign w:val="bottom"/>
            <w:shd w:val="clear" w:color="auto" w:fill="98B0CF"/>
          </w:tcPr>
          <w:p>
            <w:pPr>
              <w:spacing w:after="0"/>
              <w:rPr>
                <w:sz w:val="17"/>
                <w:szCs w:val="17"/>
                <w:color w:val="auto"/>
              </w:rPr>
            </w:pPr>
          </w:p>
        </w:tc>
      </w:tr>
      <w:tr>
        <w:trPr>
          <w:trHeight w:val="142"/>
        </w:trPr>
        <w:tc>
          <w:tcPr>
            <w:tcW w:w="2800" w:type="dxa"/>
            <w:vAlign w:val="bottom"/>
            <w:shd w:val="clear" w:color="auto" w:fill="98B0CF"/>
          </w:tcPr>
          <w:p>
            <w:pPr>
              <w:spacing w:after="0"/>
              <w:rPr>
                <w:sz w:val="12"/>
                <w:szCs w:val="12"/>
                <w:color w:val="auto"/>
              </w:rPr>
            </w:pPr>
          </w:p>
        </w:tc>
        <w:tc>
          <w:tcPr>
            <w:tcW w:w="160" w:type="dxa"/>
            <w:vAlign w:val="bottom"/>
            <w:shd w:val="clear" w:color="auto" w:fill="98B0CF"/>
          </w:tcPr>
          <w:p>
            <w:pPr>
              <w:spacing w:after="0"/>
              <w:rPr>
                <w:sz w:val="12"/>
                <w:szCs w:val="12"/>
                <w:color w:val="auto"/>
              </w:rPr>
            </w:pPr>
          </w:p>
        </w:tc>
        <w:tc>
          <w:tcPr>
            <w:tcW w:w="980" w:type="dxa"/>
            <w:vAlign w:val="bottom"/>
            <w:shd w:val="clear" w:color="auto" w:fill="98B0CF"/>
          </w:tcPr>
          <w:p>
            <w:pPr>
              <w:jc w:val="center"/>
              <w:ind w:right="77"/>
              <w:spacing w:after="0" w:line="142" w:lineRule="exact"/>
              <w:rPr>
                <w:sz w:val="20"/>
                <w:szCs w:val="20"/>
                <w:color w:val="auto"/>
              </w:rPr>
            </w:pPr>
            <w:r>
              <w:rPr>
                <w:rFonts w:ascii="Arial" w:cs="Arial" w:eastAsia="Arial" w:hAnsi="Arial"/>
                <w:sz w:val="13"/>
                <w:szCs w:val="13"/>
                <w:b w:val="1"/>
                <w:bCs w:val="1"/>
                <w:color w:val="auto"/>
                <w:w w:val="97"/>
              </w:rPr>
              <w:t>Services</w:t>
            </w:r>
          </w:p>
        </w:tc>
        <w:tc>
          <w:tcPr>
            <w:tcW w:w="500" w:type="dxa"/>
            <w:vAlign w:val="bottom"/>
            <w:shd w:val="clear" w:color="auto" w:fill="98B0CF"/>
          </w:tcPr>
          <w:p>
            <w:pPr>
              <w:spacing w:after="0"/>
              <w:rPr>
                <w:sz w:val="12"/>
                <w:szCs w:val="12"/>
                <w:color w:val="auto"/>
              </w:rPr>
            </w:pPr>
          </w:p>
        </w:tc>
        <w:tc>
          <w:tcPr>
            <w:tcW w:w="1160" w:type="dxa"/>
            <w:vAlign w:val="bottom"/>
            <w:shd w:val="clear" w:color="auto" w:fill="98B0CF"/>
          </w:tcPr>
          <w:p>
            <w:pPr>
              <w:jc w:val="center"/>
              <w:ind w:right="217"/>
              <w:spacing w:after="0" w:line="142" w:lineRule="exact"/>
              <w:rPr>
                <w:sz w:val="20"/>
                <w:szCs w:val="20"/>
                <w:color w:val="auto"/>
              </w:rPr>
            </w:pPr>
            <w:r>
              <w:rPr>
                <w:rFonts w:ascii="Arial" w:cs="Arial" w:eastAsia="Arial" w:hAnsi="Arial"/>
                <w:sz w:val="13"/>
                <w:szCs w:val="13"/>
                <w:b w:val="1"/>
                <w:bCs w:val="1"/>
                <w:color w:val="auto"/>
                <w:w w:val="99"/>
              </w:rPr>
              <w:t>transferred</w:t>
            </w:r>
          </w:p>
        </w:tc>
        <w:tc>
          <w:tcPr>
            <w:tcW w:w="400" w:type="dxa"/>
            <w:vAlign w:val="bottom"/>
            <w:shd w:val="clear" w:color="auto" w:fill="98B0CF"/>
          </w:tcPr>
          <w:p>
            <w:pPr>
              <w:spacing w:after="0"/>
              <w:rPr>
                <w:sz w:val="12"/>
                <w:szCs w:val="12"/>
                <w:color w:val="auto"/>
              </w:rPr>
            </w:pPr>
          </w:p>
        </w:tc>
        <w:tc>
          <w:tcPr>
            <w:tcW w:w="118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1040" w:type="dxa"/>
            <w:vAlign w:val="bottom"/>
            <w:shd w:val="clear" w:color="auto" w:fill="98B0CF"/>
          </w:tcPr>
          <w:p>
            <w:pPr>
              <w:jc w:val="center"/>
              <w:ind w:right="177"/>
              <w:spacing w:after="0" w:line="142" w:lineRule="exact"/>
              <w:rPr>
                <w:sz w:val="20"/>
                <w:szCs w:val="20"/>
                <w:color w:val="auto"/>
              </w:rPr>
            </w:pPr>
            <w:r>
              <w:rPr>
                <w:rFonts w:ascii="Arial" w:cs="Arial" w:eastAsia="Arial" w:hAnsi="Arial"/>
                <w:sz w:val="13"/>
                <w:szCs w:val="13"/>
                <w:b w:val="1"/>
                <w:bCs w:val="1"/>
                <w:color w:val="auto"/>
                <w:w w:val="97"/>
              </w:rPr>
              <w:t>Services</w:t>
            </w:r>
          </w:p>
        </w:tc>
        <w:tc>
          <w:tcPr>
            <w:tcW w:w="280" w:type="dxa"/>
            <w:vAlign w:val="bottom"/>
            <w:shd w:val="clear" w:color="auto" w:fill="98B0CF"/>
          </w:tcPr>
          <w:p>
            <w:pPr>
              <w:spacing w:after="0"/>
              <w:rPr>
                <w:sz w:val="12"/>
                <w:szCs w:val="12"/>
                <w:color w:val="auto"/>
              </w:rPr>
            </w:pPr>
          </w:p>
        </w:tc>
        <w:tc>
          <w:tcPr>
            <w:tcW w:w="1100" w:type="dxa"/>
            <w:vAlign w:val="bottom"/>
            <w:shd w:val="clear" w:color="auto" w:fill="98B0CF"/>
          </w:tcPr>
          <w:p>
            <w:pPr>
              <w:jc w:val="center"/>
              <w:ind w:right="217"/>
              <w:spacing w:after="0" w:line="142" w:lineRule="exact"/>
              <w:rPr>
                <w:sz w:val="20"/>
                <w:szCs w:val="20"/>
                <w:color w:val="auto"/>
              </w:rPr>
            </w:pPr>
            <w:r>
              <w:rPr>
                <w:rFonts w:ascii="Arial" w:cs="Arial" w:eastAsia="Arial" w:hAnsi="Arial"/>
                <w:sz w:val="13"/>
                <w:szCs w:val="13"/>
                <w:b w:val="1"/>
                <w:bCs w:val="1"/>
                <w:color w:val="auto"/>
                <w:w w:val="96"/>
              </w:rPr>
              <w:t>transferred</w:t>
            </w:r>
          </w:p>
        </w:tc>
        <w:tc>
          <w:tcPr>
            <w:tcW w:w="380" w:type="dxa"/>
            <w:vAlign w:val="bottom"/>
            <w:shd w:val="clear" w:color="auto" w:fill="98B0CF"/>
          </w:tcPr>
          <w:p>
            <w:pPr>
              <w:spacing w:after="0"/>
              <w:rPr>
                <w:sz w:val="12"/>
                <w:szCs w:val="12"/>
                <w:color w:val="auto"/>
              </w:rPr>
            </w:pPr>
          </w:p>
        </w:tc>
        <w:tc>
          <w:tcPr>
            <w:tcW w:w="1040" w:type="dxa"/>
            <w:vAlign w:val="bottom"/>
            <w:shd w:val="clear" w:color="auto" w:fill="98B0CF"/>
          </w:tcPr>
          <w:p>
            <w:pPr>
              <w:spacing w:after="0"/>
              <w:rPr>
                <w:sz w:val="12"/>
                <w:szCs w:val="12"/>
                <w:color w:val="auto"/>
              </w:rPr>
            </w:pPr>
          </w:p>
        </w:tc>
      </w:tr>
      <w:tr>
        <w:trPr>
          <w:trHeight w:val="142"/>
        </w:trPr>
        <w:tc>
          <w:tcPr>
            <w:tcW w:w="2800" w:type="dxa"/>
            <w:vAlign w:val="bottom"/>
            <w:shd w:val="clear" w:color="auto" w:fill="98B0CF"/>
          </w:tcPr>
          <w:p>
            <w:pPr>
              <w:spacing w:after="0"/>
              <w:rPr>
                <w:sz w:val="12"/>
                <w:szCs w:val="12"/>
                <w:color w:val="auto"/>
              </w:rPr>
            </w:pPr>
          </w:p>
        </w:tc>
        <w:tc>
          <w:tcPr>
            <w:tcW w:w="160" w:type="dxa"/>
            <w:vAlign w:val="bottom"/>
            <w:shd w:val="clear" w:color="auto" w:fill="98B0CF"/>
          </w:tcPr>
          <w:p>
            <w:pPr>
              <w:spacing w:after="0"/>
              <w:rPr>
                <w:sz w:val="12"/>
                <w:szCs w:val="12"/>
                <w:color w:val="auto"/>
              </w:rPr>
            </w:pPr>
          </w:p>
        </w:tc>
        <w:tc>
          <w:tcPr>
            <w:tcW w:w="980" w:type="dxa"/>
            <w:vAlign w:val="bottom"/>
            <w:shd w:val="clear" w:color="auto" w:fill="98B0CF"/>
          </w:tcPr>
          <w:p>
            <w:pPr>
              <w:jc w:val="center"/>
              <w:ind w:right="97"/>
              <w:spacing w:after="0" w:line="142" w:lineRule="exact"/>
              <w:rPr>
                <w:sz w:val="20"/>
                <w:szCs w:val="20"/>
                <w:color w:val="auto"/>
              </w:rPr>
            </w:pPr>
            <w:r>
              <w:rPr>
                <w:rFonts w:ascii="Arial" w:cs="Arial" w:eastAsia="Arial" w:hAnsi="Arial"/>
                <w:sz w:val="13"/>
                <w:szCs w:val="13"/>
                <w:b w:val="1"/>
                <w:bCs w:val="1"/>
                <w:color w:val="auto"/>
                <w:w w:val="96"/>
              </w:rPr>
              <w:t>transferred</w:t>
            </w:r>
          </w:p>
        </w:tc>
        <w:tc>
          <w:tcPr>
            <w:tcW w:w="500" w:type="dxa"/>
            <w:vAlign w:val="bottom"/>
            <w:shd w:val="clear" w:color="auto" w:fill="98B0CF"/>
          </w:tcPr>
          <w:p>
            <w:pPr>
              <w:spacing w:after="0"/>
              <w:rPr>
                <w:sz w:val="12"/>
                <w:szCs w:val="12"/>
                <w:color w:val="auto"/>
              </w:rPr>
            </w:pPr>
          </w:p>
        </w:tc>
        <w:tc>
          <w:tcPr>
            <w:tcW w:w="1160" w:type="dxa"/>
            <w:vAlign w:val="bottom"/>
            <w:shd w:val="clear" w:color="auto" w:fill="98B0CF"/>
          </w:tcPr>
          <w:p>
            <w:pPr>
              <w:jc w:val="center"/>
              <w:ind w:right="217"/>
              <w:spacing w:after="0" w:line="142" w:lineRule="exact"/>
              <w:rPr>
                <w:sz w:val="20"/>
                <w:szCs w:val="20"/>
                <w:color w:val="auto"/>
              </w:rPr>
            </w:pPr>
            <w:r>
              <w:rPr>
                <w:rFonts w:ascii="Arial" w:cs="Arial" w:eastAsia="Arial" w:hAnsi="Arial"/>
                <w:sz w:val="13"/>
                <w:szCs w:val="13"/>
                <w:b w:val="1"/>
                <w:bCs w:val="1"/>
                <w:color w:val="auto"/>
                <w:w w:val="96"/>
              </w:rPr>
              <w:t>at a point</w:t>
            </w:r>
          </w:p>
        </w:tc>
        <w:tc>
          <w:tcPr>
            <w:tcW w:w="400" w:type="dxa"/>
            <w:vAlign w:val="bottom"/>
            <w:shd w:val="clear" w:color="auto" w:fill="98B0CF"/>
          </w:tcPr>
          <w:p>
            <w:pPr>
              <w:spacing w:after="0"/>
              <w:rPr>
                <w:sz w:val="12"/>
                <w:szCs w:val="12"/>
                <w:color w:val="auto"/>
              </w:rPr>
            </w:pPr>
          </w:p>
        </w:tc>
        <w:tc>
          <w:tcPr>
            <w:tcW w:w="118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1040" w:type="dxa"/>
            <w:vAlign w:val="bottom"/>
            <w:shd w:val="clear" w:color="auto" w:fill="98B0CF"/>
          </w:tcPr>
          <w:p>
            <w:pPr>
              <w:jc w:val="center"/>
              <w:ind w:right="197"/>
              <w:spacing w:after="0" w:line="142" w:lineRule="exact"/>
              <w:rPr>
                <w:sz w:val="20"/>
                <w:szCs w:val="20"/>
                <w:color w:val="auto"/>
              </w:rPr>
            </w:pPr>
            <w:r>
              <w:rPr>
                <w:rFonts w:ascii="Arial" w:cs="Arial" w:eastAsia="Arial" w:hAnsi="Arial"/>
                <w:sz w:val="13"/>
                <w:szCs w:val="13"/>
                <w:b w:val="1"/>
                <w:bCs w:val="1"/>
                <w:color w:val="auto"/>
                <w:w w:val="96"/>
              </w:rPr>
              <w:t>transferred</w:t>
            </w:r>
          </w:p>
        </w:tc>
        <w:tc>
          <w:tcPr>
            <w:tcW w:w="280" w:type="dxa"/>
            <w:vAlign w:val="bottom"/>
            <w:shd w:val="clear" w:color="auto" w:fill="98B0CF"/>
          </w:tcPr>
          <w:p>
            <w:pPr>
              <w:spacing w:after="0"/>
              <w:rPr>
                <w:sz w:val="12"/>
                <w:szCs w:val="12"/>
                <w:color w:val="auto"/>
              </w:rPr>
            </w:pPr>
          </w:p>
        </w:tc>
        <w:tc>
          <w:tcPr>
            <w:tcW w:w="1100" w:type="dxa"/>
            <w:vAlign w:val="bottom"/>
            <w:shd w:val="clear" w:color="auto" w:fill="98B0CF"/>
          </w:tcPr>
          <w:p>
            <w:pPr>
              <w:jc w:val="center"/>
              <w:ind w:right="237"/>
              <w:spacing w:after="0" w:line="142" w:lineRule="exact"/>
              <w:rPr>
                <w:sz w:val="20"/>
                <w:szCs w:val="20"/>
                <w:color w:val="auto"/>
              </w:rPr>
            </w:pPr>
            <w:r>
              <w:rPr>
                <w:rFonts w:ascii="Arial" w:cs="Arial" w:eastAsia="Arial" w:hAnsi="Arial"/>
                <w:sz w:val="13"/>
                <w:szCs w:val="13"/>
                <w:b w:val="1"/>
                <w:bCs w:val="1"/>
                <w:color w:val="auto"/>
                <w:w w:val="96"/>
              </w:rPr>
              <w:t>at a point</w:t>
            </w:r>
          </w:p>
        </w:tc>
        <w:tc>
          <w:tcPr>
            <w:tcW w:w="380" w:type="dxa"/>
            <w:vAlign w:val="bottom"/>
            <w:shd w:val="clear" w:color="auto" w:fill="98B0CF"/>
          </w:tcPr>
          <w:p>
            <w:pPr>
              <w:spacing w:after="0"/>
              <w:rPr>
                <w:sz w:val="12"/>
                <w:szCs w:val="12"/>
                <w:color w:val="auto"/>
              </w:rPr>
            </w:pPr>
          </w:p>
        </w:tc>
        <w:tc>
          <w:tcPr>
            <w:tcW w:w="1040" w:type="dxa"/>
            <w:vAlign w:val="bottom"/>
            <w:shd w:val="clear" w:color="auto" w:fill="98B0CF"/>
          </w:tcPr>
          <w:p>
            <w:pPr>
              <w:spacing w:after="0"/>
              <w:rPr>
                <w:sz w:val="12"/>
                <w:szCs w:val="12"/>
                <w:color w:val="auto"/>
              </w:rPr>
            </w:pPr>
          </w:p>
        </w:tc>
      </w:tr>
      <w:tr>
        <w:trPr>
          <w:trHeight w:val="156"/>
        </w:trPr>
        <w:tc>
          <w:tcPr>
            <w:tcW w:w="2800" w:type="dxa"/>
            <w:vAlign w:val="bottom"/>
            <w:tcBorders>
              <w:bottom w:val="single" w:sz="8" w:color="auto"/>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980" w:type="dxa"/>
            <w:vAlign w:val="bottom"/>
            <w:tcBorders>
              <w:bottom w:val="single" w:sz="8" w:color="auto"/>
            </w:tcBorders>
            <w:shd w:val="clear" w:color="auto" w:fill="98B0CF"/>
          </w:tcPr>
          <w:p>
            <w:pPr>
              <w:jc w:val="center"/>
              <w:ind w:right="77"/>
              <w:spacing w:after="0"/>
              <w:rPr>
                <w:sz w:val="20"/>
                <w:szCs w:val="20"/>
                <w:color w:val="auto"/>
              </w:rPr>
            </w:pPr>
            <w:r>
              <w:rPr>
                <w:rFonts w:ascii="Arial" w:cs="Arial" w:eastAsia="Arial" w:hAnsi="Arial"/>
                <w:sz w:val="13"/>
                <w:szCs w:val="13"/>
                <w:b w:val="1"/>
                <w:bCs w:val="1"/>
                <w:color w:val="auto"/>
                <w:w w:val="96"/>
              </w:rPr>
              <w:t>over time</w:t>
            </w:r>
          </w:p>
        </w:tc>
        <w:tc>
          <w:tcPr>
            <w:tcW w:w="500" w:type="dxa"/>
            <w:vAlign w:val="bottom"/>
            <w:tcBorders>
              <w:bottom w:val="single" w:sz="8" w:color="auto"/>
            </w:tcBorders>
            <w:shd w:val="clear" w:color="auto" w:fill="98B0CF"/>
          </w:tcPr>
          <w:p>
            <w:pPr>
              <w:spacing w:after="0"/>
              <w:rPr>
                <w:sz w:val="13"/>
                <w:szCs w:val="13"/>
                <w:color w:val="auto"/>
              </w:rPr>
            </w:pPr>
          </w:p>
        </w:tc>
        <w:tc>
          <w:tcPr>
            <w:tcW w:w="1160" w:type="dxa"/>
            <w:vAlign w:val="bottom"/>
            <w:tcBorders>
              <w:bottom w:val="single" w:sz="8" w:color="auto"/>
            </w:tcBorders>
            <w:shd w:val="clear" w:color="auto" w:fill="98B0CF"/>
          </w:tcPr>
          <w:p>
            <w:pPr>
              <w:jc w:val="center"/>
              <w:ind w:right="217"/>
              <w:spacing w:after="0"/>
              <w:rPr>
                <w:sz w:val="20"/>
                <w:szCs w:val="20"/>
                <w:color w:val="auto"/>
              </w:rPr>
            </w:pPr>
            <w:r>
              <w:rPr>
                <w:rFonts w:ascii="Arial" w:cs="Arial" w:eastAsia="Arial" w:hAnsi="Arial"/>
                <w:sz w:val="13"/>
                <w:szCs w:val="13"/>
                <w:b w:val="1"/>
                <w:bCs w:val="1"/>
                <w:color w:val="auto"/>
                <w:w w:val="95"/>
              </w:rPr>
              <w:t>in time</w:t>
            </w:r>
          </w:p>
        </w:tc>
        <w:tc>
          <w:tcPr>
            <w:tcW w:w="400" w:type="dxa"/>
            <w:vAlign w:val="bottom"/>
            <w:tcBorders>
              <w:bottom w:val="single" w:sz="8" w:color="auto"/>
            </w:tcBorders>
            <w:shd w:val="clear" w:color="auto" w:fill="98B0CF"/>
          </w:tcPr>
          <w:p>
            <w:pPr>
              <w:spacing w:after="0"/>
              <w:rPr>
                <w:sz w:val="13"/>
                <w:szCs w:val="13"/>
                <w:color w:val="auto"/>
              </w:rPr>
            </w:pPr>
          </w:p>
        </w:tc>
        <w:tc>
          <w:tcPr>
            <w:tcW w:w="1180" w:type="dxa"/>
            <w:vAlign w:val="bottom"/>
            <w:tcBorders>
              <w:bottom w:val="single" w:sz="8" w:color="auto"/>
            </w:tcBorders>
            <w:shd w:val="clear" w:color="auto" w:fill="98B0CF"/>
          </w:tcPr>
          <w:p>
            <w:pPr>
              <w:jc w:val="right"/>
              <w:ind w:right="577"/>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98B0CF"/>
            </w:tcBorders>
            <w:shd w:val="clear" w:color="auto" w:fill="98B0CF"/>
          </w:tcPr>
          <w:p>
            <w:pPr>
              <w:spacing w:after="0"/>
              <w:rPr>
                <w:sz w:val="13"/>
                <w:szCs w:val="13"/>
                <w:color w:val="auto"/>
              </w:rPr>
            </w:pPr>
          </w:p>
        </w:tc>
        <w:tc>
          <w:tcPr>
            <w:tcW w:w="140" w:type="dxa"/>
            <w:vAlign w:val="bottom"/>
            <w:tcBorders>
              <w:bottom w:val="single" w:sz="8" w:color="auto"/>
            </w:tcBorders>
            <w:shd w:val="clear" w:color="auto" w:fill="98B0CF"/>
          </w:tcPr>
          <w:p>
            <w:pPr>
              <w:spacing w:after="0"/>
              <w:rPr>
                <w:sz w:val="13"/>
                <w:szCs w:val="13"/>
                <w:color w:val="auto"/>
              </w:rPr>
            </w:pPr>
          </w:p>
        </w:tc>
        <w:tc>
          <w:tcPr>
            <w:tcW w:w="1040" w:type="dxa"/>
            <w:vAlign w:val="bottom"/>
            <w:tcBorders>
              <w:bottom w:val="single" w:sz="8" w:color="auto"/>
            </w:tcBorders>
            <w:shd w:val="clear" w:color="auto" w:fill="98B0CF"/>
          </w:tcPr>
          <w:p>
            <w:pPr>
              <w:jc w:val="center"/>
              <w:ind w:right="177"/>
              <w:spacing w:after="0"/>
              <w:rPr>
                <w:sz w:val="20"/>
                <w:szCs w:val="20"/>
                <w:color w:val="auto"/>
              </w:rPr>
            </w:pPr>
            <w:r>
              <w:rPr>
                <w:rFonts w:ascii="Arial" w:cs="Arial" w:eastAsia="Arial" w:hAnsi="Arial"/>
                <w:sz w:val="13"/>
                <w:szCs w:val="13"/>
                <w:b w:val="1"/>
                <w:bCs w:val="1"/>
                <w:color w:val="auto"/>
                <w:w w:val="96"/>
              </w:rPr>
              <w:t>over time</w:t>
            </w:r>
          </w:p>
        </w:tc>
        <w:tc>
          <w:tcPr>
            <w:tcW w:w="280" w:type="dxa"/>
            <w:vAlign w:val="bottom"/>
            <w:tcBorders>
              <w:bottom w:val="single" w:sz="8" w:color="auto"/>
            </w:tcBorders>
            <w:shd w:val="clear" w:color="auto" w:fill="98B0CF"/>
          </w:tcPr>
          <w:p>
            <w:pPr>
              <w:spacing w:after="0"/>
              <w:rPr>
                <w:sz w:val="13"/>
                <w:szCs w:val="13"/>
                <w:color w:val="auto"/>
              </w:rPr>
            </w:pPr>
          </w:p>
        </w:tc>
        <w:tc>
          <w:tcPr>
            <w:tcW w:w="1100" w:type="dxa"/>
            <w:vAlign w:val="bottom"/>
            <w:tcBorders>
              <w:bottom w:val="single" w:sz="8" w:color="auto"/>
            </w:tcBorders>
            <w:shd w:val="clear" w:color="auto" w:fill="98B0CF"/>
          </w:tcPr>
          <w:p>
            <w:pPr>
              <w:jc w:val="center"/>
              <w:ind w:right="217"/>
              <w:spacing w:after="0"/>
              <w:rPr>
                <w:sz w:val="20"/>
                <w:szCs w:val="20"/>
                <w:color w:val="auto"/>
              </w:rPr>
            </w:pPr>
            <w:r>
              <w:rPr>
                <w:rFonts w:ascii="Arial" w:cs="Arial" w:eastAsia="Arial" w:hAnsi="Arial"/>
                <w:sz w:val="13"/>
                <w:szCs w:val="13"/>
                <w:b w:val="1"/>
                <w:bCs w:val="1"/>
                <w:color w:val="auto"/>
              </w:rPr>
              <w:t>in time</w:t>
            </w:r>
          </w:p>
        </w:tc>
        <w:tc>
          <w:tcPr>
            <w:tcW w:w="380" w:type="dxa"/>
            <w:vAlign w:val="bottom"/>
            <w:tcBorders>
              <w:bottom w:val="single" w:sz="8" w:color="auto"/>
            </w:tcBorders>
            <w:shd w:val="clear" w:color="auto" w:fill="98B0CF"/>
          </w:tcPr>
          <w:p>
            <w:pPr>
              <w:spacing w:after="0"/>
              <w:rPr>
                <w:sz w:val="13"/>
                <w:szCs w:val="13"/>
                <w:color w:val="auto"/>
              </w:rPr>
            </w:pPr>
          </w:p>
        </w:tc>
        <w:tc>
          <w:tcPr>
            <w:tcW w:w="1040" w:type="dxa"/>
            <w:vAlign w:val="bottom"/>
            <w:tcBorders>
              <w:bottom w:val="single" w:sz="8" w:color="auto"/>
            </w:tcBorders>
            <w:shd w:val="clear" w:color="auto" w:fill="98B0CF"/>
          </w:tcPr>
          <w:p>
            <w:pPr>
              <w:jc w:val="right"/>
              <w:ind w:right="497"/>
              <w:spacing w:after="0"/>
              <w:rPr>
                <w:sz w:val="20"/>
                <w:szCs w:val="20"/>
                <w:color w:val="auto"/>
              </w:rPr>
            </w:pPr>
            <w:r>
              <w:rPr>
                <w:rFonts w:ascii="Arial" w:cs="Arial" w:eastAsia="Arial" w:hAnsi="Arial"/>
                <w:sz w:val="13"/>
                <w:szCs w:val="13"/>
                <w:b w:val="1"/>
                <w:bCs w:val="1"/>
                <w:color w:val="auto"/>
              </w:rPr>
              <w:t>Total</w:t>
            </w:r>
          </w:p>
        </w:tc>
      </w:tr>
      <w:tr>
        <w:trPr>
          <w:trHeight w:val="175"/>
        </w:trPr>
        <w:tc>
          <w:tcPr>
            <w:tcW w:w="2800" w:type="dxa"/>
            <w:vAlign w:val="bottom"/>
            <w:shd w:val="clear" w:color="auto" w:fill="E2E8F1"/>
          </w:tcPr>
          <w:p>
            <w:pPr>
              <w:ind w:left="80"/>
              <w:spacing w:after="0"/>
              <w:rPr>
                <w:sz w:val="20"/>
                <w:szCs w:val="20"/>
                <w:color w:val="auto"/>
              </w:rPr>
            </w:pPr>
            <w:r>
              <w:rPr>
                <w:rFonts w:ascii="Arial" w:cs="Arial" w:eastAsia="Arial" w:hAnsi="Arial"/>
                <w:sz w:val="13"/>
                <w:szCs w:val="13"/>
                <w:color w:val="auto"/>
              </w:rPr>
              <w:t>Americas:</w:t>
            </w:r>
          </w:p>
        </w:tc>
        <w:tc>
          <w:tcPr>
            <w:tcW w:w="160" w:type="dxa"/>
            <w:vAlign w:val="bottom"/>
            <w:shd w:val="clear" w:color="auto" w:fill="E2E8F1"/>
          </w:tcPr>
          <w:p>
            <w:pPr>
              <w:spacing w:after="0"/>
              <w:rPr>
                <w:sz w:val="15"/>
                <w:szCs w:val="15"/>
                <w:color w:val="auto"/>
              </w:rPr>
            </w:pPr>
          </w:p>
        </w:tc>
        <w:tc>
          <w:tcPr>
            <w:tcW w:w="980" w:type="dxa"/>
            <w:vAlign w:val="bottom"/>
            <w:shd w:val="clear" w:color="auto" w:fill="E2E8F1"/>
          </w:tcPr>
          <w:p>
            <w:pPr>
              <w:spacing w:after="0"/>
              <w:rPr>
                <w:sz w:val="15"/>
                <w:szCs w:val="15"/>
                <w:color w:val="auto"/>
              </w:rPr>
            </w:pPr>
          </w:p>
        </w:tc>
        <w:tc>
          <w:tcPr>
            <w:tcW w:w="500" w:type="dxa"/>
            <w:vAlign w:val="bottom"/>
            <w:shd w:val="clear" w:color="auto" w:fill="E2E8F1"/>
          </w:tcPr>
          <w:p>
            <w:pPr>
              <w:spacing w:after="0"/>
              <w:rPr>
                <w:sz w:val="15"/>
                <w:szCs w:val="15"/>
                <w:color w:val="auto"/>
              </w:rPr>
            </w:pPr>
          </w:p>
        </w:tc>
        <w:tc>
          <w:tcPr>
            <w:tcW w:w="1160" w:type="dxa"/>
            <w:vAlign w:val="bottom"/>
            <w:shd w:val="clear" w:color="auto" w:fill="E2E8F1"/>
          </w:tcPr>
          <w:p>
            <w:pPr>
              <w:spacing w:after="0"/>
              <w:rPr>
                <w:sz w:val="15"/>
                <w:szCs w:val="15"/>
                <w:color w:val="auto"/>
              </w:rPr>
            </w:pPr>
          </w:p>
        </w:tc>
        <w:tc>
          <w:tcPr>
            <w:tcW w:w="400" w:type="dxa"/>
            <w:vAlign w:val="bottom"/>
            <w:shd w:val="clear" w:color="auto" w:fill="E2E8F1"/>
          </w:tcPr>
          <w:p>
            <w:pPr>
              <w:spacing w:after="0"/>
              <w:rPr>
                <w:sz w:val="15"/>
                <w:szCs w:val="15"/>
                <w:color w:val="auto"/>
              </w:rPr>
            </w:pPr>
          </w:p>
        </w:tc>
        <w:tc>
          <w:tcPr>
            <w:tcW w:w="118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1040" w:type="dxa"/>
            <w:vAlign w:val="bottom"/>
            <w:shd w:val="clear" w:color="auto" w:fill="E2E8F1"/>
          </w:tcPr>
          <w:p>
            <w:pPr>
              <w:spacing w:after="0"/>
              <w:rPr>
                <w:sz w:val="15"/>
                <w:szCs w:val="15"/>
                <w:color w:val="auto"/>
              </w:rPr>
            </w:pPr>
          </w:p>
        </w:tc>
        <w:tc>
          <w:tcPr>
            <w:tcW w:w="280" w:type="dxa"/>
            <w:vAlign w:val="bottom"/>
            <w:shd w:val="clear" w:color="auto" w:fill="E2E8F1"/>
          </w:tcPr>
          <w:p>
            <w:pPr>
              <w:spacing w:after="0"/>
              <w:rPr>
                <w:sz w:val="15"/>
                <w:szCs w:val="15"/>
                <w:color w:val="auto"/>
              </w:rPr>
            </w:pPr>
          </w:p>
        </w:tc>
        <w:tc>
          <w:tcPr>
            <w:tcW w:w="1100" w:type="dxa"/>
            <w:vAlign w:val="bottom"/>
            <w:shd w:val="clear" w:color="auto" w:fill="E2E8F1"/>
          </w:tcPr>
          <w:p>
            <w:pPr>
              <w:spacing w:after="0"/>
              <w:rPr>
                <w:sz w:val="15"/>
                <w:szCs w:val="15"/>
                <w:color w:val="auto"/>
              </w:rPr>
            </w:pPr>
          </w:p>
        </w:tc>
        <w:tc>
          <w:tcPr>
            <w:tcW w:w="380" w:type="dxa"/>
            <w:vAlign w:val="bottom"/>
            <w:shd w:val="clear" w:color="auto" w:fill="E2E8F1"/>
          </w:tcPr>
          <w:p>
            <w:pPr>
              <w:spacing w:after="0"/>
              <w:rPr>
                <w:sz w:val="15"/>
                <w:szCs w:val="15"/>
                <w:color w:val="auto"/>
              </w:rPr>
            </w:pPr>
          </w:p>
        </w:tc>
        <w:tc>
          <w:tcPr>
            <w:tcW w:w="1040" w:type="dxa"/>
            <w:vAlign w:val="bottom"/>
            <w:shd w:val="clear" w:color="auto" w:fill="E2E8F1"/>
          </w:tcPr>
          <w:p>
            <w:pPr>
              <w:spacing w:after="0"/>
              <w:rPr>
                <w:sz w:val="15"/>
                <w:szCs w:val="15"/>
                <w:color w:val="auto"/>
              </w:rPr>
            </w:pPr>
          </w:p>
        </w:tc>
      </w:tr>
      <w:tr>
        <w:trPr>
          <w:trHeight w:val="177"/>
        </w:trPr>
        <w:tc>
          <w:tcPr>
            <w:tcW w:w="2800" w:type="dxa"/>
            <w:vAlign w:val="bottom"/>
          </w:tcPr>
          <w:p>
            <w:pPr>
              <w:ind w:left="160"/>
              <w:spacing w:after="0"/>
              <w:rPr>
                <w:sz w:val="20"/>
                <w:szCs w:val="20"/>
                <w:color w:val="auto"/>
              </w:rPr>
            </w:pPr>
            <w:r>
              <w:rPr>
                <w:rFonts w:ascii="Arial" w:cs="Arial" w:eastAsia="Arial" w:hAnsi="Arial"/>
                <w:sz w:val="13"/>
                <w:szCs w:val="13"/>
                <w:color w:val="auto"/>
              </w:rPr>
              <w:t>United States</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2,695.4</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71.2</w:t>
            </w:r>
          </w:p>
        </w:tc>
        <w:tc>
          <w:tcPr>
            <w:tcW w:w="4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2,766.6</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2,789.8</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76.4</w:t>
            </w:r>
          </w:p>
        </w:tc>
        <w:tc>
          <w:tcPr>
            <w:tcW w:w="3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2,866.2</w:t>
            </w:r>
          </w:p>
        </w:tc>
      </w:tr>
      <w:tr>
        <w:trPr>
          <w:trHeight w:val="177"/>
        </w:trPr>
        <w:tc>
          <w:tcPr>
            <w:tcW w:w="2800" w:type="dxa"/>
            <w:vAlign w:val="bottom"/>
            <w:tcBorders>
              <w:bottom w:val="single" w:sz="8" w:color="231F20"/>
            </w:tcBorders>
            <w:shd w:val="clear" w:color="auto" w:fill="E2E8F1"/>
          </w:tcPr>
          <w:p>
            <w:pPr>
              <w:ind w:left="160"/>
              <w:spacing w:after="0"/>
              <w:rPr>
                <w:sz w:val="20"/>
                <w:szCs w:val="20"/>
                <w:color w:val="auto"/>
              </w:rPr>
            </w:pPr>
            <w:r>
              <w:rPr>
                <w:rFonts w:ascii="Arial" w:cs="Arial" w:eastAsia="Arial" w:hAnsi="Arial"/>
                <w:sz w:val="13"/>
                <w:szCs w:val="13"/>
                <w:color w:val="auto"/>
              </w:rPr>
              <w:t>Other Americas</w:t>
            </w:r>
          </w:p>
        </w:tc>
        <w:tc>
          <w:tcPr>
            <w:tcW w:w="160" w:type="dxa"/>
            <w:vAlign w:val="bottom"/>
            <w:tcBorders>
              <w:bottom w:val="single" w:sz="8" w:color="231F20"/>
            </w:tcBorders>
            <w:shd w:val="clear" w:color="auto" w:fill="E2E8F1"/>
          </w:tcPr>
          <w:p>
            <w:pPr>
              <w:spacing w:after="0"/>
              <w:rPr>
                <w:sz w:val="15"/>
                <w:szCs w:val="15"/>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1,432.0</w:t>
            </w:r>
          </w:p>
        </w:tc>
        <w:tc>
          <w:tcPr>
            <w:tcW w:w="500" w:type="dxa"/>
            <w:vAlign w:val="bottom"/>
            <w:tcBorders>
              <w:bottom w:val="single" w:sz="8" w:color="231F20"/>
            </w:tcBorders>
            <w:shd w:val="clear" w:color="auto" w:fill="E2E8F1"/>
          </w:tcPr>
          <w:p>
            <w:pPr>
              <w:spacing w:after="0"/>
              <w:rPr>
                <w:sz w:val="15"/>
                <w:szCs w:val="15"/>
                <w:color w:val="auto"/>
              </w:rPr>
            </w:pPr>
          </w:p>
        </w:tc>
        <w:tc>
          <w:tcPr>
            <w:tcW w:w="1160" w:type="dxa"/>
            <w:vAlign w:val="bottom"/>
            <w:tcBorders>
              <w:bottom w:val="single" w:sz="8" w:color="231F20"/>
            </w:tcBorders>
            <w:shd w:val="clear" w:color="auto" w:fill="E2E8F1"/>
          </w:tcPr>
          <w:p>
            <w:pPr>
              <w:jc w:val="right"/>
              <w:ind w:right="57"/>
              <w:spacing w:after="0"/>
              <w:rPr>
                <w:sz w:val="20"/>
                <w:szCs w:val="20"/>
                <w:color w:val="auto"/>
              </w:rPr>
            </w:pPr>
            <w:r>
              <w:rPr>
                <w:rFonts w:ascii="Arial" w:cs="Arial" w:eastAsia="Arial" w:hAnsi="Arial"/>
                <w:sz w:val="13"/>
                <w:szCs w:val="13"/>
                <w:color w:val="auto"/>
              </w:rPr>
              <w:t>26.3</w:t>
            </w:r>
          </w:p>
        </w:tc>
        <w:tc>
          <w:tcPr>
            <w:tcW w:w="400" w:type="dxa"/>
            <w:vAlign w:val="bottom"/>
            <w:tcBorders>
              <w:bottom w:val="single" w:sz="8" w:color="231F20"/>
            </w:tcBorders>
            <w:shd w:val="clear" w:color="auto" w:fill="E2E8F1"/>
          </w:tcPr>
          <w:p>
            <w:pPr>
              <w:spacing w:after="0"/>
              <w:rPr>
                <w:sz w:val="15"/>
                <w:szCs w:val="15"/>
                <w:color w:val="auto"/>
              </w:rPr>
            </w:pPr>
          </w:p>
        </w:tc>
        <w:tc>
          <w:tcPr>
            <w:tcW w:w="1180" w:type="dxa"/>
            <w:vAlign w:val="bottom"/>
            <w:tcBorders>
              <w:bottom w:val="single" w:sz="8" w:color="231F20"/>
            </w:tcBorders>
            <w:shd w:val="clear" w:color="auto" w:fill="E2E8F1"/>
          </w:tcPr>
          <w:p>
            <w:pPr>
              <w:jc w:val="right"/>
              <w:ind w:right="77"/>
              <w:spacing w:after="0"/>
              <w:rPr>
                <w:sz w:val="20"/>
                <w:szCs w:val="20"/>
                <w:color w:val="auto"/>
              </w:rPr>
            </w:pPr>
            <w:r>
              <w:rPr>
                <w:rFonts w:ascii="Arial" w:cs="Arial" w:eastAsia="Arial" w:hAnsi="Arial"/>
                <w:sz w:val="13"/>
                <w:szCs w:val="13"/>
                <w:color w:val="auto"/>
              </w:rPr>
              <w:t>1,458.3</w:t>
            </w:r>
          </w:p>
        </w:tc>
        <w:tc>
          <w:tcPr>
            <w:tcW w:w="100" w:type="dxa"/>
            <w:vAlign w:val="bottom"/>
            <w:tcBorders>
              <w:bottom w:val="single" w:sz="8" w:color="231F20"/>
            </w:tcBorders>
            <w:shd w:val="clear" w:color="auto" w:fill="E2E8F1"/>
          </w:tcPr>
          <w:p>
            <w:pPr>
              <w:spacing w:after="0"/>
              <w:rPr>
                <w:sz w:val="15"/>
                <w:szCs w:val="15"/>
                <w:color w:val="auto"/>
              </w:rPr>
            </w:pPr>
          </w:p>
        </w:tc>
        <w:tc>
          <w:tcPr>
            <w:tcW w:w="140" w:type="dxa"/>
            <w:vAlign w:val="bottom"/>
            <w:tcBorders>
              <w:bottom w:val="single" w:sz="8" w:color="231F20"/>
            </w:tcBorders>
            <w:shd w:val="clear" w:color="auto" w:fill="E2E8F1"/>
          </w:tcPr>
          <w:p>
            <w:pPr>
              <w:spacing w:after="0"/>
              <w:rPr>
                <w:sz w:val="15"/>
                <w:szCs w:val="15"/>
                <w:color w:val="auto"/>
              </w:rPr>
            </w:pPr>
          </w:p>
        </w:tc>
        <w:tc>
          <w:tcPr>
            <w:tcW w:w="1040" w:type="dxa"/>
            <w:vAlign w:val="bottom"/>
            <w:tcBorders>
              <w:bottom w:val="single" w:sz="8" w:color="231F20"/>
            </w:tcBorders>
            <w:shd w:val="clear" w:color="auto" w:fill="E2E8F1"/>
          </w:tcPr>
          <w:p>
            <w:pPr>
              <w:jc w:val="right"/>
              <w:ind w:right="57"/>
              <w:spacing w:after="0"/>
              <w:rPr>
                <w:sz w:val="20"/>
                <w:szCs w:val="20"/>
                <w:color w:val="auto"/>
              </w:rPr>
            </w:pPr>
            <w:r>
              <w:rPr>
                <w:rFonts w:ascii="Arial" w:cs="Arial" w:eastAsia="Arial" w:hAnsi="Arial"/>
                <w:sz w:val="13"/>
                <w:szCs w:val="13"/>
                <w:color w:val="auto"/>
              </w:rPr>
              <w:t>1,518.8</w:t>
            </w:r>
          </w:p>
        </w:tc>
        <w:tc>
          <w:tcPr>
            <w:tcW w:w="280" w:type="dxa"/>
            <w:vAlign w:val="bottom"/>
            <w:tcBorders>
              <w:bottom w:val="single" w:sz="8" w:color="231F20"/>
            </w:tcBorders>
            <w:shd w:val="clear" w:color="auto" w:fill="E2E8F1"/>
          </w:tcPr>
          <w:p>
            <w:pPr>
              <w:spacing w:after="0"/>
              <w:rPr>
                <w:sz w:val="15"/>
                <w:szCs w:val="15"/>
                <w:color w:val="auto"/>
              </w:rPr>
            </w:pPr>
          </w:p>
        </w:tc>
        <w:tc>
          <w:tcPr>
            <w:tcW w:w="1100" w:type="dxa"/>
            <w:vAlign w:val="bottom"/>
            <w:tcBorders>
              <w:bottom w:val="single" w:sz="8" w:color="231F20"/>
            </w:tcBorders>
            <w:shd w:val="clear" w:color="auto" w:fill="E2E8F1"/>
          </w:tcPr>
          <w:p>
            <w:pPr>
              <w:jc w:val="right"/>
              <w:ind w:right="57"/>
              <w:spacing w:after="0"/>
              <w:rPr>
                <w:sz w:val="20"/>
                <w:szCs w:val="20"/>
                <w:color w:val="auto"/>
              </w:rPr>
            </w:pPr>
            <w:r>
              <w:rPr>
                <w:rFonts w:ascii="Arial" w:cs="Arial" w:eastAsia="Arial" w:hAnsi="Arial"/>
                <w:sz w:val="13"/>
                <w:szCs w:val="13"/>
                <w:color w:val="auto"/>
              </w:rPr>
              <w:t>29.8</w:t>
            </w:r>
          </w:p>
        </w:tc>
        <w:tc>
          <w:tcPr>
            <w:tcW w:w="380" w:type="dxa"/>
            <w:vAlign w:val="bottom"/>
            <w:tcBorders>
              <w:bottom w:val="single" w:sz="8" w:color="231F20"/>
            </w:tcBorders>
            <w:shd w:val="clear" w:color="auto" w:fill="E2E8F1"/>
          </w:tcPr>
          <w:p>
            <w:pPr>
              <w:spacing w:after="0"/>
              <w:rPr>
                <w:sz w:val="15"/>
                <w:szCs w:val="15"/>
                <w:color w:val="auto"/>
              </w:rPr>
            </w:pPr>
          </w:p>
        </w:tc>
        <w:tc>
          <w:tcPr>
            <w:tcW w:w="1040" w:type="dxa"/>
            <w:vAlign w:val="bottom"/>
            <w:tcBorders>
              <w:bottom w:val="single" w:sz="8" w:color="231F20"/>
            </w:tcBorders>
            <w:shd w:val="clear" w:color="auto" w:fill="E2E8F1"/>
          </w:tcPr>
          <w:p>
            <w:pPr>
              <w:jc w:val="right"/>
              <w:ind w:right="77"/>
              <w:spacing w:after="0"/>
              <w:rPr>
                <w:sz w:val="20"/>
                <w:szCs w:val="20"/>
                <w:color w:val="auto"/>
              </w:rPr>
            </w:pPr>
            <w:r>
              <w:rPr>
                <w:rFonts w:ascii="Arial" w:cs="Arial" w:eastAsia="Arial" w:hAnsi="Arial"/>
                <w:sz w:val="13"/>
                <w:szCs w:val="13"/>
                <w:color w:val="auto"/>
              </w:rPr>
              <w:t>1,548.6</w:t>
            </w:r>
          </w:p>
        </w:tc>
      </w:tr>
      <w:tr>
        <w:trPr>
          <w:trHeight w:val="169"/>
        </w:trPr>
        <w:tc>
          <w:tcPr>
            <w:tcW w:w="2800" w:type="dxa"/>
            <w:vAlign w:val="bottom"/>
            <w:tcBorders>
              <w:bottom w:val="single" w:sz="8" w:color="231F20"/>
            </w:tcBorders>
          </w:tcPr>
          <w:p>
            <w:pPr>
              <w:spacing w:after="0"/>
              <w:rPr>
                <w:sz w:val="14"/>
                <w:szCs w:val="14"/>
                <w:color w:val="auto"/>
              </w:rPr>
            </w:pPr>
          </w:p>
        </w:tc>
        <w:tc>
          <w:tcPr>
            <w:tcW w:w="160" w:type="dxa"/>
            <w:vAlign w:val="bottom"/>
            <w:tcBorders>
              <w:bottom w:val="single" w:sz="8" w:color="231F20"/>
            </w:tcBorders>
          </w:tcPr>
          <w:p>
            <w:pPr>
              <w:spacing w:after="0"/>
              <w:rPr>
                <w:sz w:val="14"/>
                <w:szCs w:val="14"/>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4,127.4</w:t>
            </w:r>
          </w:p>
        </w:tc>
        <w:tc>
          <w:tcPr>
            <w:tcW w:w="500" w:type="dxa"/>
            <w:vAlign w:val="bottom"/>
            <w:tcBorders>
              <w:bottom w:val="single" w:sz="8" w:color="231F20"/>
            </w:tcBorders>
          </w:tcPr>
          <w:p>
            <w:pPr>
              <w:spacing w:after="0"/>
              <w:rPr>
                <w:sz w:val="14"/>
                <w:szCs w:val="14"/>
                <w:color w:val="auto"/>
              </w:rPr>
            </w:pPr>
          </w:p>
        </w:tc>
        <w:tc>
          <w:tcPr>
            <w:tcW w:w="1160" w:type="dxa"/>
            <w:vAlign w:val="bottom"/>
            <w:tcBorders>
              <w:bottom w:val="single" w:sz="8" w:color="231F20"/>
            </w:tcBorders>
          </w:tcPr>
          <w:p>
            <w:pPr>
              <w:jc w:val="right"/>
              <w:ind w:right="57"/>
              <w:spacing w:after="0"/>
              <w:rPr>
                <w:sz w:val="20"/>
                <w:szCs w:val="20"/>
                <w:color w:val="auto"/>
              </w:rPr>
            </w:pPr>
            <w:r>
              <w:rPr>
                <w:rFonts w:ascii="Arial" w:cs="Arial" w:eastAsia="Arial" w:hAnsi="Arial"/>
                <w:sz w:val="13"/>
                <w:szCs w:val="13"/>
                <w:color w:val="auto"/>
              </w:rPr>
              <w:t>97.5</w:t>
            </w:r>
          </w:p>
        </w:tc>
        <w:tc>
          <w:tcPr>
            <w:tcW w:w="400" w:type="dxa"/>
            <w:vAlign w:val="bottom"/>
            <w:tcBorders>
              <w:bottom w:val="single" w:sz="8" w:color="231F20"/>
            </w:tcBorders>
          </w:tcPr>
          <w:p>
            <w:pPr>
              <w:spacing w:after="0"/>
              <w:rPr>
                <w:sz w:val="14"/>
                <w:szCs w:val="14"/>
                <w:color w:val="auto"/>
              </w:rPr>
            </w:pPr>
          </w:p>
        </w:tc>
        <w:tc>
          <w:tcPr>
            <w:tcW w:w="1180" w:type="dxa"/>
            <w:vAlign w:val="bottom"/>
            <w:tcBorders>
              <w:bottom w:val="single" w:sz="8" w:color="231F20"/>
            </w:tcBorders>
          </w:tcPr>
          <w:p>
            <w:pPr>
              <w:jc w:val="right"/>
              <w:ind w:right="77"/>
              <w:spacing w:after="0"/>
              <w:rPr>
                <w:sz w:val="20"/>
                <w:szCs w:val="20"/>
                <w:color w:val="auto"/>
              </w:rPr>
            </w:pPr>
            <w:r>
              <w:rPr>
                <w:rFonts w:ascii="Arial" w:cs="Arial" w:eastAsia="Arial" w:hAnsi="Arial"/>
                <w:sz w:val="13"/>
                <w:szCs w:val="13"/>
                <w:color w:val="auto"/>
              </w:rPr>
              <w:t>4,224.9</w:t>
            </w:r>
          </w:p>
        </w:tc>
        <w:tc>
          <w:tcPr>
            <w:tcW w:w="100" w:type="dxa"/>
            <w:vAlign w:val="bottom"/>
            <w:tcBorders>
              <w:bottom w:val="single" w:sz="8" w:color="231F20"/>
            </w:tcBorders>
          </w:tcPr>
          <w:p>
            <w:pPr>
              <w:spacing w:after="0"/>
              <w:rPr>
                <w:sz w:val="14"/>
                <w:szCs w:val="14"/>
                <w:color w:val="auto"/>
              </w:rPr>
            </w:pPr>
          </w:p>
        </w:tc>
        <w:tc>
          <w:tcPr>
            <w:tcW w:w="140" w:type="dxa"/>
            <w:vAlign w:val="bottom"/>
            <w:tcBorders>
              <w:bottom w:val="single" w:sz="8" w:color="231F20"/>
            </w:tcBorders>
          </w:tcPr>
          <w:p>
            <w:pPr>
              <w:spacing w:after="0"/>
              <w:rPr>
                <w:sz w:val="14"/>
                <w:szCs w:val="14"/>
                <w:color w:val="auto"/>
              </w:rPr>
            </w:pPr>
          </w:p>
        </w:tc>
        <w:tc>
          <w:tcPr>
            <w:tcW w:w="1040" w:type="dxa"/>
            <w:vAlign w:val="bottom"/>
            <w:tcBorders>
              <w:bottom w:val="single" w:sz="8" w:color="231F20"/>
            </w:tcBorders>
          </w:tcPr>
          <w:p>
            <w:pPr>
              <w:jc w:val="right"/>
              <w:ind w:right="57"/>
              <w:spacing w:after="0"/>
              <w:rPr>
                <w:sz w:val="20"/>
                <w:szCs w:val="20"/>
                <w:color w:val="auto"/>
              </w:rPr>
            </w:pPr>
            <w:r>
              <w:rPr>
                <w:rFonts w:ascii="Arial" w:cs="Arial" w:eastAsia="Arial" w:hAnsi="Arial"/>
                <w:sz w:val="13"/>
                <w:szCs w:val="13"/>
                <w:color w:val="auto"/>
              </w:rPr>
              <w:t>4,308.6</w:t>
            </w:r>
          </w:p>
        </w:tc>
        <w:tc>
          <w:tcPr>
            <w:tcW w:w="280" w:type="dxa"/>
            <w:vAlign w:val="bottom"/>
            <w:tcBorders>
              <w:bottom w:val="single" w:sz="8" w:color="231F20"/>
            </w:tcBorders>
          </w:tcPr>
          <w:p>
            <w:pPr>
              <w:spacing w:after="0"/>
              <w:rPr>
                <w:sz w:val="14"/>
                <w:szCs w:val="14"/>
                <w:color w:val="auto"/>
              </w:rPr>
            </w:pPr>
          </w:p>
        </w:tc>
        <w:tc>
          <w:tcPr>
            <w:tcW w:w="1100" w:type="dxa"/>
            <w:vAlign w:val="bottom"/>
            <w:tcBorders>
              <w:bottom w:val="single" w:sz="8" w:color="231F20"/>
            </w:tcBorders>
          </w:tcPr>
          <w:p>
            <w:pPr>
              <w:jc w:val="right"/>
              <w:ind w:right="57"/>
              <w:spacing w:after="0"/>
              <w:rPr>
                <w:sz w:val="20"/>
                <w:szCs w:val="20"/>
                <w:color w:val="auto"/>
              </w:rPr>
            </w:pPr>
            <w:r>
              <w:rPr>
                <w:rFonts w:ascii="Arial" w:cs="Arial" w:eastAsia="Arial" w:hAnsi="Arial"/>
                <w:sz w:val="13"/>
                <w:szCs w:val="13"/>
                <w:color w:val="auto"/>
              </w:rPr>
              <w:t>106.2</w:t>
            </w:r>
          </w:p>
        </w:tc>
        <w:tc>
          <w:tcPr>
            <w:tcW w:w="380" w:type="dxa"/>
            <w:vAlign w:val="bottom"/>
            <w:tcBorders>
              <w:bottom w:val="single" w:sz="8" w:color="231F20"/>
            </w:tcBorders>
          </w:tcPr>
          <w:p>
            <w:pPr>
              <w:spacing w:after="0"/>
              <w:rPr>
                <w:sz w:val="14"/>
                <w:szCs w:val="14"/>
                <w:color w:val="auto"/>
              </w:rPr>
            </w:pPr>
          </w:p>
        </w:tc>
        <w:tc>
          <w:tcPr>
            <w:tcW w:w="1040" w:type="dxa"/>
            <w:vAlign w:val="bottom"/>
            <w:tcBorders>
              <w:bottom w:val="single" w:sz="8" w:color="231F20"/>
            </w:tcBorders>
          </w:tcPr>
          <w:p>
            <w:pPr>
              <w:jc w:val="right"/>
              <w:ind w:right="77"/>
              <w:spacing w:after="0"/>
              <w:rPr>
                <w:sz w:val="20"/>
                <w:szCs w:val="20"/>
                <w:color w:val="auto"/>
              </w:rPr>
            </w:pPr>
            <w:r>
              <w:rPr>
                <w:rFonts w:ascii="Arial" w:cs="Arial" w:eastAsia="Arial" w:hAnsi="Arial"/>
                <w:sz w:val="13"/>
                <w:szCs w:val="13"/>
                <w:color w:val="auto"/>
              </w:rPr>
              <w:t>4,414.8</w:t>
            </w:r>
          </w:p>
        </w:tc>
      </w:tr>
      <w:tr>
        <w:trPr>
          <w:trHeight w:val="169"/>
        </w:trPr>
        <w:tc>
          <w:tcPr>
            <w:tcW w:w="2800" w:type="dxa"/>
            <w:vAlign w:val="bottom"/>
            <w:shd w:val="clear" w:color="auto" w:fill="E2E8F1"/>
          </w:tcPr>
          <w:p>
            <w:pPr>
              <w:ind w:left="80"/>
              <w:spacing w:after="0"/>
              <w:rPr>
                <w:sz w:val="20"/>
                <w:szCs w:val="20"/>
                <w:color w:val="auto"/>
              </w:rPr>
            </w:pPr>
            <w:r>
              <w:rPr>
                <w:rFonts w:ascii="Arial" w:cs="Arial" w:eastAsia="Arial" w:hAnsi="Arial"/>
                <w:sz w:val="13"/>
                <w:szCs w:val="13"/>
                <w:color w:val="auto"/>
              </w:rPr>
              <w:t>Southern Europe:</w:t>
            </w:r>
          </w:p>
        </w:tc>
        <w:tc>
          <w:tcPr>
            <w:tcW w:w="160" w:type="dxa"/>
            <w:vAlign w:val="bottom"/>
            <w:shd w:val="clear" w:color="auto" w:fill="E2E8F1"/>
          </w:tcPr>
          <w:p>
            <w:pPr>
              <w:spacing w:after="0"/>
              <w:rPr>
                <w:sz w:val="14"/>
                <w:szCs w:val="14"/>
                <w:color w:val="auto"/>
              </w:rPr>
            </w:pPr>
          </w:p>
        </w:tc>
        <w:tc>
          <w:tcPr>
            <w:tcW w:w="980" w:type="dxa"/>
            <w:vAlign w:val="bottom"/>
            <w:shd w:val="clear" w:color="auto" w:fill="E2E8F1"/>
          </w:tcPr>
          <w:p>
            <w:pPr>
              <w:spacing w:after="0"/>
              <w:rPr>
                <w:sz w:val="14"/>
                <w:szCs w:val="14"/>
                <w:color w:val="auto"/>
              </w:rPr>
            </w:pPr>
          </w:p>
        </w:tc>
        <w:tc>
          <w:tcPr>
            <w:tcW w:w="500" w:type="dxa"/>
            <w:vAlign w:val="bottom"/>
            <w:shd w:val="clear" w:color="auto" w:fill="E2E8F1"/>
          </w:tcPr>
          <w:p>
            <w:pPr>
              <w:spacing w:after="0"/>
              <w:rPr>
                <w:sz w:val="14"/>
                <w:szCs w:val="14"/>
                <w:color w:val="auto"/>
              </w:rPr>
            </w:pPr>
          </w:p>
        </w:tc>
        <w:tc>
          <w:tcPr>
            <w:tcW w:w="116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100" w:type="dxa"/>
            <w:vAlign w:val="bottom"/>
            <w:shd w:val="clear" w:color="auto" w:fill="E2E8F1"/>
          </w:tcPr>
          <w:p>
            <w:pPr>
              <w:spacing w:after="0"/>
              <w:rPr>
                <w:sz w:val="14"/>
                <w:szCs w:val="14"/>
                <w:color w:val="auto"/>
              </w:rPr>
            </w:pPr>
          </w:p>
        </w:tc>
        <w:tc>
          <w:tcPr>
            <w:tcW w:w="38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r>
      <w:tr>
        <w:trPr>
          <w:trHeight w:val="177"/>
        </w:trPr>
        <w:tc>
          <w:tcPr>
            <w:tcW w:w="2800" w:type="dxa"/>
            <w:vAlign w:val="bottom"/>
          </w:tcPr>
          <w:p>
            <w:pPr>
              <w:ind w:left="160"/>
              <w:spacing w:after="0"/>
              <w:rPr>
                <w:sz w:val="20"/>
                <w:szCs w:val="20"/>
                <w:color w:val="auto"/>
              </w:rPr>
            </w:pPr>
            <w:r>
              <w:rPr>
                <w:rFonts w:ascii="Arial" w:cs="Arial" w:eastAsia="Arial" w:hAnsi="Arial"/>
                <w:sz w:val="13"/>
                <w:szCs w:val="13"/>
                <w:color w:val="auto"/>
              </w:rPr>
              <w:t>France</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4,573.3</w:t>
            </w:r>
          </w:p>
        </w:tc>
        <w:tc>
          <w:tcPr>
            <w:tcW w:w="500" w:type="dxa"/>
            <w:vAlign w:val="bottom"/>
          </w:tcPr>
          <w:p>
            <w:pPr>
              <w:spacing w:after="0"/>
              <w:rPr>
                <w:sz w:val="15"/>
                <w:szCs w:val="15"/>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45.1</w:t>
            </w:r>
          </w:p>
        </w:tc>
        <w:tc>
          <w:tcPr>
            <w:tcW w:w="400" w:type="dxa"/>
            <w:vAlign w:val="bottom"/>
          </w:tcPr>
          <w:p>
            <w:pPr>
              <w:spacing w:after="0"/>
              <w:rPr>
                <w:sz w:val="15"/>
                <w:szCs w:val="15"/>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4,618.4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4,814.5</w:t>
            </w:r>
          </w:p>
        </w:tc>
        <w:tc>
          <w:tcPr>
            <w:tcW w:w="280" w:type="dxa"/>
            <w:vAlign w:val="bottom"/>
          </w:tcPr>
          <w:p>
            <w:pPr>
              <w:spacing w:after="0"/>
              <w:rPr>
                <w:sz w:val="15"/>
                <w:szCs w:val="15"/>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52.6</w:t>
            </w:r>
          </w:p>
        </w:tc>
        <w:tc>
          <w:tcPr>
            <w:tcW w:w="38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4,867.1</w:t>
            </w:r>
          </w:p>
        </w:tc>
      </w:tr>
      <w:tr>
        <w:trPr>
          <w:trHeight w:val="177"/>
        </w:trPr>
        <w:tc>
          <w:tcPr>
            <w:tcW w:w="2800" w:type="dxa"/>
            <w:vAlign w:val="bottom"/>
            <w:shd w:val="clear" w:color="auto" w:fill="E2E8F1"/>
          </w:tcPr>
          <w:p>
            <w:pPr>
              <w:ind w:left="160"/>
              <w:spacing w:after="0"/>
              <w:rPr>
                <w:sz w:val="20"/>
                <w:szCs w:val="20"/>
                <w:color w:val="auto"/>
              </w:rPr>
            </w:pPr>
            <w:r>
              <w:rPr>
                <w:rFonts w:ascii="Arial" w:cs="Arial" w:eastAsia="Arial" w:hAnsi="Arial"/>
                <w:sz w:val="13"/>
                <w:szCs w:val="13"/>
                <w:color w:val="auto"/>
              </w:rPr>
              <w:t>Italy</w:t>
            </w:r>
          </w:p>
        </w:tc>
        <w:tc>
          <w:tcPr>
            <w:tcW w:w="160" w:type="dxa"/>
            <w:vAlign w:val="bottom"/>
            <w:shd w:val="clear" w:color="auto" w:fill="E2E8F1"/>
          </w:tcPr>
          <w:p>
            <w:pPr>
              <w:spacing w:after="0"/>
              <w:rPr>
                <w:sz w:val="15"/>
                <w:szCs w:val="15"/>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3"/>
                <w:szCs w:val="13"/>
                <w:color w:val="auto"/>
              </w:rPr>
              <w:t>1,632.6</w:t>
            </w:r>
          </w:p>
        </w:tc>
        <w:tc>
          <w:tcPr>
            <w:tcW w:w="500" w:type="dxa"/>
            <w:vAlign w:val="bottom"/>
            <w:shd w:val="clear" w:color="auto" w:fill="E2E8F1"/>
          </w:tcPr>
          <w:p>
            <w:pPr>
              <w:spacing w:after="0"/>
              <w:rPr>
                <w:sz w:val="15"/>
                <w:szCs w:val="15"/>
                <w:color w:val="auto"/>
              </w:rPr>
            </w:pPr>
          </w:p>
        </w:tc>
        <w:tc>
          <w:tcPr>
            <w:tcW w:w="1160" w:type="dxa"/>
            <w:vAlign w:val="bottom"/>
            <w:shd w:val="clear" w:color="auto" w:fill="E2E8F1"/>
          </w:tcPr>
          <w:p>
            <w:pPr>
              <w:jc w:val="right"/>
              <w:ind w:right="57"/>
              <w:spacing w:after="0"/>
              <w:rPr>
                <w:sz w:val="20"/>
                <w:szCs w:val="20"/>
                <w:color w:val="auto"/>
              </w:rPr>
            </w:pPr>
            <w:r>
              <w:rPr>
                <w:rFonts w:ascii="Arial" w:cs="Arial" w:eastAsia="Arial" w:hAnsi="Arial"/>
                <w:sz w:val="13"/>
                <w:szCs w:val="13"/>
                <w:color w:val="auto"/>
              </w:rPr>
              <w:t>44.4</w:t>
            </w:r>
          </w:p>
        </w:tc>
        <w:tc>
          <w:tcPr>
            <w:tcW w:w="400" w:type="dxa"/>
            <w:vAlign w:val="bottom"/>
            <w:shd w:val="clear" w:color="auto" w:fill="E2E8F1"/>
          </w:tcPr>
          <w:p>
            <w:pPr>
              <w:spacing w:after="0"/>
              <w:rPr>
                <w:sz w:val="15"/>
                <w:szCs w:val="15"/>
                <w:color w:val="auto"/>
              </w:rPr>
            </w:pPr>
          </w:p>
        </w:tc>
        <w:tc>
          <w:tcPr>
            <w:tcW w:w="1180" w:type="dxa"/>
            <w:vAlign w:val="bottom"/>
            <w:shd w:val="clear" w:color="auto" w:fill="E2E8F1"/>
          </w:tcPr>
          <w:p>
            <w:pPr>
              <w:jc w:val="right"/>
              <w:ind w:right="77"/>
              <w:spacing w:after="0"/>
              <w:rPr>
                <w:sz w:val="20"/>
                <w:szCs w:val="20"/>
                <w:color w:val="auto"/>
              </w:rPr>
            </w:pPr>
            <w:r>
              <w:rPr>
                <w:rFonts w:ascii="Arial" w:cs="Arial" w:eastAsia="Arial" w:hAnsi="Arial"/>
                <w:sz w:val="13"/>
                <w:szCs w:val="13"/>
                <w:color w:val="auto"/>
              </w:rPr>
              <w:t>1,677.0</w:t>
            </w:r>
          </w:p>
        </w:tc>
        <w:tc>
          <w:tcPr>
            <w:tcW w:w="10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1040" w:type="dxa"/>
            <w:vAlign w:val="bottom"/>
            <w:shd w:val="clear" w:color="auto" w:fill="E2E8F1"/>
          </w:tcPr>
          <w:p>
            <w:pPr>
              <w:jc w:val="right"/>
              <w:ind w:right="57"/>
              <w:spacing w:after="0"/>
              <w:rPr>
                <w:sz w:val="20"/>
                <w:szCs w:val="20"/>
                <w:color w:val="auto"/>
              </w:rPr>
            </w:pPr>
            <w:r>
              <w:rPr>
                <w:rFonts w:ascii="Arial" w:cs="Arial" w:eastAsia="Arial" w:hAnsi="Arial"/>
                <w:sz w:val="13"/>
                <w:szCs w:val="13"/>
                <w:color w:val="auto"/>
              </w:rPr>
              <w:t>1,657.8</w:t>
            </w:r>
          </w:p>
        </w:tc>
        <w:tc>
          <w:tcPr>
            <w:tcW w:w="280" w:type="dxa"/>
            <w:vAlign w:val="bottom"/>
            <w:shd w:val="clear" w:color="auto" w:fill="E2E8F1"/>
          </w:tcPr>
          <w:p>
            <w:pPr>
              <w:spacing w:after="0"/>
              <w:rPr>
                <w:sz w:val="15"/>
                <w:szCs w:val="15"/>
                <w:color w:val="auto"/>
              </w:rPr>
            </w:pPr>
          </w:p>
        </w:tc>
        <w:tc>
          <w:tcPr>
            <w:tcW w:w="1100" w:type="dxa"/>
            <w:vAlign w:val="bottom"/>
            <w:shd w:val="clear" w:color="auto" w:fill="E2E8F1"/>
          </w:tcPr>
          <w:p>
            <w:pPr>
              <w:jc w:val="right"/>
              <w:ind w:right="57"/>
              <w:spacing w:after="0"/>
              <w:rPr>
                <w:sz w:val="20"/>
                <w:szCs w:val="20"/>
                <w:color w:val="auto"/>
              </w:rPr>
            </w:pPr>
            <w:r>
              <w:rPr>
                <w:rFonts w:ascii="Arial" w:cs="Arial" w:eastAsia="Arial" w:hAnsi="Arial"/>
                <w:sz w:val="13"/>
                <w:szCs w:val="13"/>
                <w:color w:val="auto"/>
              </w:rPr>
              <w:t>51.0</w:t>
            </w:r>
          </w:p>
        </w:tc>
        <w:tc>
          <w:tcPr>
            <w:tcW w:w="380" w:type="dxa"/>
            <w:vAlign w:val="bottom"/>
            <w:shd w:val="clear" w:color="auto" w:fill="E2E8F1"/>
          </w:tcPr>
          <w:p>
            <w:pPr>
              <w:spacing w:after="0"/>
              <w:rPr>
                <w:sz w:val="15"/>
                <w:szCs w:val="15"/>
                <w:color w:val="auto"/>
              </w:rPr>
            </w:pPr>
          </w:p>
        </w:tc>
        <w:tc>
          <w:tcPr>
            <w:tcW w:w="1040" w:type="dxa"/>
            <w:vAlign w:val="bottom"/>
            <w:shd w:val="clear" w:color="auto" w:fill="E2E8F1"/>
          </w:tcPr>
          <w:p>
            <w:pPr>
              <w:jc w:val="right"/>
              <w:ind w:right="77"/>
              <w:spacing w:after="0"/>
              <w:rPr>
                <w:sz w:val="20"/>
                <w:szCs w:val="20"/>
                <w:color w:val="auto"/>
              </w:rPr>
            </w:pPr>
            <w:r>
              <w:rPr>
                <w:rFonts w:ascii="Arial" w:cs="Arial" w:eastAsia="Arial" w:hAnsi="Arial"/>
                <w:sz w:val="13"/>
                <w:szCs w:val="13"/>
                <w:color w:val="auto"/>
              </w:rPr>
              <w:t>1,708.8</w:t>
            </w:r>
          </w:p>
        </w:tc>
      </w:tr>
      <w:tr>
        <w:trPr>
          <w:trHeight w:val="177"/>
        </w:trPr>
        <w:tc>
          <w:tcPr>
            <w:tcW w:w="2800" w:type="dxa"/>
            <w:vAlign w:val="bottom"/>
            <w:tcBorders>
              <w:bottom w:val="single" w:sz="8" w:color="231F20"/>
            </w:tcBorders>
          </w:tcPr>
          <w:p>
            <w:pPr>
              <w:ind w:left="160"/>
              <w:spacing w:after="0"/>
              <w:rPr>
                <w:sz w:val="20"/>
                <w:szCs w:val="20"/>
                <w:color w:val="auto"/>
              </w:rPr>
            </w:pPr>
            <w:r>
              <w:rPr>
                <w:rFonts w:ascii="Arial" w:cs="Arial" w:eastAsia="Arial" w:hAnsi="Arial"/>
                <w:sz w:val="13"/>
                <w:szCs w:val="13"/>
                <w:color w:val="auto"/>
              </w:rPr>
              <w:t>Other Southern Europe</w:t>
            </w:r>
          </w:p>
        </w:tc>
        <w:tc>
          <w:tcPr>
            <w:tcW w:w="160" w:type="dxa"/>
            <w:vAlign w:val="bottom"/>
            <w:tcBorders>
              <w:bottom w:val="single" w:sz="8" w:color="231F20"/>
            </w:tcBorders>
          </w:tcPr>
          <w:p>
            <w:pPr>
              <w:spacing w:after="0"/>
              <w:rPr>
                <w:sz w:val="15"/>
                <w:szCs w:val="15"/>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1,880.6</w:t>
            </w:r>
          </w:p>
        </w:tc>
        <w:tc>
          <w:tcPr>
            <w:tcW w:w="500" w:type="dxa"/>
            <w:vAlign w:val="bottom"/>
            <w:tcBorders>
              <w:bottom w:val="single" w:sz="8" w:color="231F20"/>
            </w:tcBorders>
          </w:tcPr>
          <w:p>
            <w:pPr>
              <w:spacing w:after="0"/>
              <w:rPr>
                <w:sz w:val="15"/>
                <w:szCs w:val="15"/>
                <w:color w:val="auto"/>
              </w:rPr>
            </w:pPr>
          </w:p>
        </w:tc>
        <w:tc>
          <w:tcPr>
            <w:tcW w:w="1160" w:type="dxa"/>
            <w:vAlign w:val="bottom"/>
            <w:tcBorders>
              <w:bottom w:val="single" w:sz="8" w:color="231F20"/>
            </w:tcBorders>
          </w:tcPr>
          <w:p>
            <w:pPr>
              <w:jc w:val="right"/>
              <w:ind w:right="57"/>
              <w:spacing w:after="0"/>
              <w:rPr>
                <w:sz w:val="20"/>
                <w:szCs w:val="20"/>
                <w:color w:val="auto"/>
              </w:rPr>
            </w:pPr>
            <w:r>
              <w:rPr>
                <w:rFonts w:ascii="Arial" w:cs="Arial" w:eastAsia="Arial" w:hAnsi="Arial"/>
                <w:sz w:val="13"/>
                <w:szCs w:val="13"/>
                <w:color w:val="auto"/>
              </w:rPr>
              <w:t>42.3</w:t>
            </w:r>
          </w:p>
        </w:tc>
        <w:tc>
          <w:tcPr>
            <w:tcW w:w="400" w:type="dxa"/>
            <w:vAlign w:val="bottom"/>
            <w:tcBorders>
              <w:bottom w:val="single" w:sz="8" w:color="231F20"/>
            </w:tcBorders>
          </w:tcPr>
          <w:p>
            <w:pPr>
              <w:spacing w:after="0"/>
              <w:rPr>
                <w:sz w:val="15"/>
                <w:szCs w:val="15"/>
                <w:color w:val="auto"/>
              </w:rPr>
            </w:pPr>
          </w:p>
        </w:tc>
        <w:tc>
          <w:tcPr>
            <w:tcW w:w="1180" w:type="dxa"/>
            <w:vAlign w:val="bottom"/>
            <w:tcBorders>
              <w:bottom w:val="single" w:sz="8" w:color="231F20"/>
            </w:tcBorders>
          </w:tcPr>
          <w:p>
            <w:pPr>
              <w:jc w:val="right"/>
              <w:ind w:right="77"/>
              <w:spacing w:after="0"/>
              <w:rPr>
                <w:sz w:val="20"/>
                <w:szCs w:val="20"/>
                <w:color w:val="auto"/>
              </w:rPr>
            </w:pPr>
            <w:r>
              <w:rPr>
                <w:rFonts w:ascii="Arial" w:cs="Arial" w:eastAsia="Arial" w:hAnsi="Arial"/>
                <w:sz w:val="13"/>
                <w:szCs w:val="13"/>
                <w:color w:val="auto"/>
              </w:rPr>
              <w:t>1,922.9</w:t>
            </w:r>
          </w:p>
        </w:tc>
        <w:tc>
          <w:tcPr>
            <w:tcW w:w="100" w:type="dxa"/>
            <w:vAlign w:val="bottom"/>
            <w:tcBorders>
              <w:bottom w:val="single" w:sz="8" w:color="231F20"/>
            </w:tcBorders>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right"/>
              <w:ind w:right="57"/>
              <w:spacing w:after="0"/>
              <w:rPr>
                <w:sz w:val="20"/>
                <w:szCs w:val="20"/>
                <w:color w:val="auto"/>
              </w:rPr>
            </w:pPr>
            <w:r>
              <w:rPr>
                <w:rFonts w:ascii="Arial" w:cs="Arial" w:eastAsia="Arial" w:hAnsi="Arial"/>
                <w:sz w:val="13"/>
                <w:szCs w:val="13"/>
                <w:color w:val="auto"/>
              </w:rPr>
              <w:t>1,891.1</w:t>
            </w:r>
          </w:p>
        </w:tc>
        <w:tc>
          <w:tcPr>
            <w:tcW w:w="2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57"/>
              <w:spacing w:after="0"/>
              <w:rPr>
                <w:sz w:val="20"/>
                <w:szCs w:val="20"/>
                <w:color w:val="auto"/>
              </w:rPr>
            </w:pPr>
            <w:r>
              <w:rPr>
                <w:rFonts w:ascii="Arial" w:cs="Arial" w:eastAsia="Arial" w:hAnsi="Arial"/>
                <w:sz w:val="13"/>
                <w:szCs w:val="13"/>
                <w:color w:val="auto"/>
              </w:rPr>
              <w:t>48.3</w:t>
            </w:r>
          </w:p>
        </w:tc>
        <w:tc>
          <w:tcPr>
            <w:tcW w:w="38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right"/>
              <w:ind w:right="77"/>
              <w:spacing w:after="0"/>
              <w:rPr>
                <w:sz w:val="20"/>
                <w:szCs w:val="20"/>
                <w:color w:val="auto"/>
              </w:rPr>
            </w:pPr>
            <w:r>
              <w:rPr>
                <w:rFonts w:ascii="Arial" w:cs="Arial" w:eastAsia="Arial" w:hAnsi="Arial"/>
                <w:sz w:val="13"/>
                <w:szCs w:val="13"/>
                <w:color w:val="auto"/>
              </w:rPr>
              <w:t>1,939.4</w:t>
            </w:r>
          </w:p>
        </w:tc>
      </w:tr>
      <w:tr>
        <w:trPr>
          <w:trHeight w:val="169"/>
        </w:trPr>
        <w:tc>
          <w:tcPr>
            <w:tcW w:w="2800" w:type="dxa"/>
            <w:vAlign w:val="bottom"/>
            <w:tcBorders>
              <w:bottom w:val="single" w:sz="8" w:color="231F20"/>
            </w:tcBorders>
            <w:shd w:val="clear" w:color="auto" w:fill="E2E8F1"/>
          </w:tcPr>
          <w:p>
            <w:pPr>
              <w:spacing w:after="0"/>
              <w:rPr>
                <w:sz w:val="14"/>
                <w:szCs w:val="14"/>
                <w:color w:val="auto"/>
              </w:rPr>
            </w:pPr>
          </w:p>
        </w:tc>
        <w:tc>
          <w:tcPr>
            <w:tcW w:w="160" w:type="dxa"/>
            <w:vAlign w:val="bottom"/>
            <w:tcBorders>
              <w:bottom w:val="single" w:sz="8" w:color="231F20"/>
            </w:tcBorders>
            <w:shd w:val="clear" w:color="auto" w:fill="E2E8F1"/>
          </w:tcPr>
          <w:p>
            <w:pPr>
              <w:spacing w:after="0"/>
              <w:rPr>
                <w:sz w:val="14"/>
                <w:szCs w:val="14"/>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8,086.5</w:t>
            </w:r>
          </w:p>
        </w:tc>
        <w:tc>
          <w:tcPr>
            <w:tcW w:w="500" w:type="dxa"/>
            <w:vAlign w:val="bottom"/>
            <w:tcBorders>
              <w:bottom w:val="single" w:sz="8" w:color="231F20"/>
            </w:tcBorders>
            <w:shd w:val="clear" w:color="auto" w:fill="E2E8F1"/>
          </w:tcPr>
          <w:p>
            <w:pPr>
              <w:spacing w:after="0"/>
              <w:rPr>
                <w:sz w:val="14"/>
                <w:szCs w:val="14"/>
                <w:color w:val="auto"/>
              </w:rPr>
            </w:pPr>
          </w:p>
        </w:tc>
        <w:tc>
          <w:tcPr>
            <w:tcW w:w="1160" w:type="dxa"/>
            <w:vAlign w:val="bottom"/>
            <w:tcBorders>
              <w:bottom w:val="single" w:sz="8" w:color="231F20"/>
            </w:tcBorders>
            <w:shd w:val="clear" w:color="auto" w:fill="E2E8F1"/>
          </w:tcPr>
          <w:p>
            <w:pPr>
              <w:jc w:val="right"/>
              <w:ind w:right="57"/>
              <w:spacing w:after="0"/>
              <w:rPr>
                <w:sz w:val="20"/>
                <w:szCs w:val="20"/>
                <w:color w:val="auto"/>
              </w:rPr>
            </w:pPr>
            <w:r>
              <w:rPr>
                <w:rFonts w:ascii="Arial" w:cs="Arial" w:eastAsia="Arial" w:hAnsi="Arial"/>
                <w:sz w:val="13"/>
                <w:szCs w:val="13"/>
                <w:color w:val="auto"/>
              </w:rPr>
              <w:t>131.8</w:t>
            </w:r>
          </w:p>
        </w:tc>
        <w:tc>
          <w:tcPr>
            <w:tcW w:w="400" w:type="dxa"/>
            <w:vAlign w:val="bottom"/>
            <w:tcBorders>
              <w:bottom w:val="single" w:sz="8" w:color="231F20"/>
            </w:tcBorders>
            <w:shd w:val="clear" w:color="auto" w:fill="E2E8F1"/>
          </w:tcPr>
          <w:p>
            <w:pPr>
              <w:spacing w:after="0"/>
              <w:rPr>
                <w:sz w:val="14"/>
                <w:szCs w:val="14"/>
                <w:color w:val="auto"/>
              </w:rPr>
            </w:pPr>
          </w:p>
        </w:tc>
        <w:tc>
          <w:tcPr>
            <w:tcW w:w="1180" w:type="dxa"/>
            <w:vAlign w:val="bottom"/>
            <w:tcBorders>
              <w:bottom w:val="single" w:sz="8" w:color="231F20"/>
            </w:tcBorders>
            <w:shd w:val="clear" w:color="auto" w:fill="E2E8F1"/>
          </w:tcPr>
          <w:p>
            <w:pPr>
              <w:jc w:val="right"/>
              <w:ind w:right="77"/>
              <w:spacing w:after="0"/>
              <w:rPr>
                <w:sz w:val="20"/>
                <w:szCs w:val="20"/>
                <w:color w:val="auto"/>
              </w:rPr>
            </w:pPr>
            <w:r>
              <w:rPr>
                <w:rFonts w:ascii="Arial" w:cs="Arial" w:eastAsia="Arial" w:hAnsi="Arial"/>
                <w:sz w:val="13"/>
                <w:szCs w:val="13"/>
                <w:color w:val="auto"/>
              </w:rPr>
              <w:t>8,218.3</w:t>
            </w:r>
          </w:p>
        </w:tc>
        <w:tc>
          <w:tcPr>
            <w:tcW w:w="100" w:type="dxa"/>
            <w:vAlign w:val="bottom"/>
            <w:tcBorders>
              <w:bottom w:val="single" w:sz="8" w:color="231F20"/>
            </w:tcBorders>
            <w:shd w:val="clear" w:color="auto" w:fill="E2E8F1"/>
          </w:tcPr>
          <w:p>
            <w:pPr>
              <w:spacing w:after="0"/>
              <w:rPr>
                <w:sz w:val="14"/>
                <w:szCs w:val="14"/>
                <w:color w:val="auto"/>
              </w:rPr>
            </w:pPr>
          </w:p>
        </w:tc>
        <w:tc>
          <w:tcPr>
            <w:tcW w:w="140" w:type="dxa"/>
            <w:vAlign w:val="bottom"/>
            <w:tcBorders>
              <w:bottom w:val="single" w:sz="8" w:color="231F20"/>
            </w:tcBorders>
            <w:shd w:val="clear" w:color="auto" w:fill="E2E8F1"/>
          </w:tcPr>
          <w:p>
            <w:pPr>
              <w:spacing w:after="0"/>
              <w:rPr>
                <w:sz w:val="14"/>
                <w:szCs w:val="14"/>
                <w:color w:val="auto"/>
              </w:rPr>
            </w:pPr>
          </w:p>
        </w:tc>
        <w:tc>
          <w:tcPr>
            <w:tcW w:w="1040" w:type="dxa"/>
            <w:vAlign w:val="bottom"/>
            <w:tcBorders>
              <w:bottom w:val="single" w:sz="8" w:color="231F20"/>
            </w:tcBorders>
            <w:shd w:val="clear" w:color="auto" w:fill="E2E8F1"/>
          </w:tcPr>
          <w:p>
            <w:pPr>
              <w:jc w:val="right"/>
              <w:ind w:right="57"/>
              <w:spacing w:after="0"/>
              <w:rPr>
                <w:sz w:val="20"/>
                <w:szCs w:val="20"/>
                <w:color w:val="auto"/>
              </w:rPr>
            </w:pPr>
            <w:r>
              <w:rPr>
                <w:rFonts w:ascii="Arial" w:cs="Arial" w:eastAsia="Arial" w:hAnsi="Arial"/>
                <w:sz w:val="13"/>
                <w:szCs w:val="13"/>
                <w:color w:val="auto"/>
              </w:rPr>
              <w:t>8,363.4</w:t>
            </w:r>
          </w:p>
        </w:tc>
        <w:tc>
          <w:tcPr>
            <w:tcW w:w="280" w:type="dxa"/>
            <w:vAlign w:val="bottom"/>
            <w:tcBorders>
              <w:bottom w:val="single" w:sz="8" w:color="231F20"/>
            </w:tcBorders>
            <w:shd w:val="clear" w:color="auto" w:fill="E2E8F1"/>
          </w:tcPr>
          <w:p>
            <w:pPr>
              <w:spacing w:after="0"/>
              <w:rPr>
                <w:sz w:val="14"/>
                <w:szCs w:val="14"/>
                <w:color w:val="auto"/>
              </w:rPr>
            </w:pPr>
          </w:p>
        </w:tc>
        <w:tc>
          <w:tcPr>
            <w:tcW w:w="1100" w:type="dxa"/>
            <w:vAlign w:val="bottom"/>
            <w:tcBorders>
              <w:bottom w:val="single" w:sz="8" w:color="231F20"/>
            </w:tcBorders>
            <w:shd w:val="clear" w:color="auto" w:fill="E2E8F1"/>
          </w:tcPr>
          <w:p>
            <w:pPr>
              <w:jc w:val="right"/>
              <w:ind w:right="57"/>
              <w:spacing w:after="0"/>
              <w:rPr>
                <w:sz w:val="20"/>
                <w:szCs w:val="20"/>
                <w:color w:val="auto"/>
              </w:rPr>
            </w:pPr>
            <w:r>
              <w:rPr>
                <w:rFonts w:ascii="Arial" w:cs="Arial" w:eastAsia="Arial" w:hAnsi="Arial"/>
                <w:sz w:val="13"/>
                <w:szCs w:val="13"/>
                <w:color w:val="auto"/>
              </w:rPr>
              <w:t>151.9</w:t>
            </w:r>
          </w:p>
        </w:tc>
        <w:tc>
          <w:tcPr>
            <w:tcW w:w="380" w:type="dxa"/>
            <w:vAlign w:val="bottom"/>
            <w:tcBorders>
              <w:bottom w:val="single" w:sz="8" w:color="231F20"/>
            </w:tcBorders>
            <w:shd w:val="clear" w:color="auto" w:fill="E2E8F1"/>
          </w:tcPr>
          <w:p>
            <w:pPr>
              <w:spacing w:after="0"/>
              <w:rPr>
                <w:sz w:val="14"/>
                <w:szCs w:val="14"/>
                <w:color w:val="auto"/>
              </w:rPr>
            </w:pPr>
          </w:p>
        </w:tc>
        <w:tc>
          <w:tcPr>
            <w:tcW w:w="1040" w:type="dxa"/>
            <w:vAlign w:val="bottom"/>
            <w:tcBorders>
              <w:bottom w:val="single" w:sz="8" w:color="231F20"/>
            </w:tcBorders>
            <w:shd w:val="clear" w:color="auto" w:fill="E2E8F1"/>
          </w:tcPr>
          <w:p>
            <w:pPr>
              <w:jc w:val="right"/>
              <w:ind w:right="77"/>
              <w:spacing w:after="0"/>
              <w:rPr>
                <w:sz w:val="20"/>
                <w:szCs w:val="20"/>
                <w:color w:val="auto"/>
              </w:rPr>
            </w:pPr>
            <w:r>
              <w:rPr>
                <w:rFonts w:ascii="Arial" w:cs="Arial" w:eastAsia="Arial" w:hAnsi="Arial"/>
                <w:sz w:val="13"/>
                <w:szCs w:val="13"/>
                <w:color w:val="auto"/>
              </w:rPr>
              <w:t>8,515.3</w:t>
            </w:r>
          </w:p>
        </w:tc>
      </w:tr>
      <w:tr>
        <w:trPr>
          <w:trHeight w:val="169"/>
        </w:trPr>
        <w:tc>
          <w:tcPr>
            <w:tcW w:w="2800" w:type="dxa"/>
            <w:vAlign w:val="bottom"/>
          </w:tcPr>
          <w:p>
            <w:pPr>
              <w:ind w:left="80"/>
              <w:spacing w:after="0"/>
              <w:rPr>
                <w:sz w:val="20"/>
                <w:szCs w:val="20"/>
                <w:color w:val="auto"/>
              </w:rPr>
            </w:pPr>
            <w:r>
              <w:rPr>
                <w:rFonts w:ascii="Arial" w:cs="Arial" w:eastAsia="Arial" w:hAnsi="Arial"/>
                <w:sz w:val="13"/>
                <w:szCs w:val="13"/>
                <w:color w:val="auto"/>
              </w:rPr>
              <w:t>Northern Europe</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3,208.9</w:t>
            </w:r>
          </w:p>
        </w:tc>
        <w:tc>
          <w:tcPr>
            <w:tcW w:w="500" w:type="dxa"/>
            <w:vAlign w:val="bottom"/>
          </w:tcPr>
          <w:p>
            <w:pPr>
              <w:spacing w:after="0"/>
              <w:rPr>
                <w:sz w:val="14"/>
                <w:szCs w:val="14"/>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95.4</w:t>
            </w:r>
          </w:p>
        </w:tc>
        <w:tc>
          <w:tcPr>
            <w:tcW w:w="400" w:type="dxa"/>
            <w:vAlign w:val="bottom"/>
          </w:tcPr>
          <w:p>
            <w:pPr>
              <w:spacing w:after="0"/>
              <w:rPr>
                <w:sz w:val="14"/>
                <w:szCs w:val="14"/>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3,304.3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3,627.5</w:t>
            </w:r>
          </w:p>
        </w:tc>
        <w:tc>
          <w:tcPr>
            <w:tcW w:w="280" w:type="dxa"/>
            <w:vAlign w:val="bottom"/>
          </w:tcPr>
          <w:p>
            <w:pPr>
              <w:spacing w:after="0"/>
              <w:rPr>
                <w:sz w:val="14"/>
                <w:szCs w:val="14"/>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120.5</w:t>
            </w:r>
          </w:p>
        </w:tc>
        <w:tc>
          <w:tcPr>
            <w:tcW w:w="38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3,748.0</w:t>
            </w:r>
          </w:p>
        </w:tc>
      </w:tr>
      <w:tr>
        <w:trPr>
          <w:trHeight w:val="177"/>
        </w:trPr>
        <w:tc>
          <w:tcPr>
            <w:tcW w:w="280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3"/>
                <w:szCs w:val="13"/>
                <w:color w:val="auto"/>
              </w:rPr>
              <w:t>APME</w:t>
            </w:r>
          </w:p>
        </w:tc>
        <w:tc>
          <w:tcPr>
            <w:tcW w:w="160" w:type="dxa"/>
            <w:vAlign w:val="bottom"/>
            <w:tcBorders>
              <w:bottom w:val="single" w:sz="8" w:color="231F20"/>
            </w:tcBorders>
            <w:shd w:val="clear" w:color="auto" w:fill="E2E8F1"/>
          </w:tcPr>
          <w:p>
            <w:pPr>
              <w:spacing w:after="0"/>
              <w:rPr>
                <w:sz w:val="15"/>
                <w:szCs w:val="15"/>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2,116.2</w:t>
            </w:r>
          </w:p>
        </w:tc>
        <w:tc>
          <w:tcPr>
            <w:tcW w:w="500" w:type="dxa"/>
            <w:vAlign w:val="bottom"/>
            <w:tcBorders>
              <w:bottom w:val="single" w:sz="8" w:color="231F20"/>
            </w:tcBorders>
            <w:shd w:val="clear" w:color="auto" w:fill="E2E8F1"/>
          </w:tcPr>
          <w:p>
            <w:pPr>
              <w:spacing w:after="0"/>
              <w:rPr>
                <w:sz w:val="15"/>
                <w:szCs w:val="15"/>
                <w:color w:val="auto"/>
              </w:rPr>
            </w:pPr>
          </w:p>
        </w:tc>
        <w:tc>
          <w:tcPr>
            <w:tcW w:w="1160" w:type="dxa"/>
            <w:vAlign w:val="bottom"/>
            <w:tcBorders>
              <w:bottom w:val="single" w:sz="8" w:color="231F20"/>
            </w:tcBorders>
            <w:shd w:val="clear" w:color="auto" w:fill="E2E8F1"/>
          </w:tcPr>
          <w:p>
            <w:pPr>
              <w:jc w:val="right"/>
              <w:ind w:right="57"/>
              <w:spacing w:after="0"/>
              <w:rPr>
                <w:sz w:val="20"/>
                <w:szCs w:val="20"/>
                <w:color w:val="auto"/>
              </w:rPr>
            </w:pPr>
            <w:r>
              <w:rPr>
                <w:rFonts w:ascii="Arial" w:cs="Arial" w:eastAsia="Arial" w:hAnsi="Arial"/>
                <w:sz w:val="13"/>
                <w:szCs w:val="13"/>
                <w:color w:val="auto"/>
              </w:rPr>
              <w:t>45.1</w:t>
            </w:r>
          </w:p>
        </w:tc>
        <w:tc>
          <w:tcPr>
            <w:tcW w:w="400" w:type="dxa"/>
            <w:vAlign w:val="bottom"/>
            <w:tcBorders>
              <w:bottom w:val="single" w:sz="8" w:color="231F20"/>
            </w:tcBorders>
            <w:shd w:val="clear" w:color="auto" w:fill="E2E8F1"/>
          </w:tcPr>
          <w:p>
            <w:pPr>
              <w:spacing w:after="0"/>
              <w:rPr>
                <w:sz w:val="15"/>
                <w:szCs w:val="15"/>
                <w:color w:val="auto"/>
              </w:rPr>
            </w:pPr>
          </w:p>
        </w:tc>
        <w:tc>
          <w:tcPr>
            <w:tcW w:w="1180" w:type="dxa"/>
            <w:vAlign w:val="bottom"/>
            <w:tcBorders>
              <w:bottom w:val="single" w:sz="8" w:color="231F20"/>
            </w:tcBorders>
            <w:shd w:val="clear" w:color="auto" w:fill="E2E8F1"/>
          </w:tcPr>
          <w:p>
            <w:pPr>
              <w:jc w:val="right"/>
              <w:ind w:right="77"/>
              <w:spacing w:after="0"/>
              <w:rPr>
                <w:sz w:val="20"/>
                <w:szCs w:val="20"/>
                <w:color w:val="auto"/>
              </w:rPr>
            </w:pPr>
            <w:r>
              <w:rPr>
                <w:rFonts w:ascii="Arial" w:cs="Arial" w:eastAsia="Arial" w:hAnsi="Arial"/>
                <w:sz w:val="13"/>
                <w:szCs w:val="13"/>
                <w:color w:val="auto"/>
              </w:rPr>
              <w:t>2,161.3</w:t>
            </w:r>
          </w:p>
        </w:tc>
        <w:tc>
          <w:tcPr>
            <w:tcW w:w="100" w:type="dxa"/>
            <w:vAlign w:val="bottom"/>
            <w:tcBorders>
              <w:bottom w:val="single" w:sz="8" w:color="231F20"/>
            </w:tcBorders>
            <w:shd w:val="clear" w:color="auto" w:fill="E2E8F1"/>
          </w:tcPr>
          <w:p>
            <w:pPr>
              <w:spacing w:after="0"/>
              <w:rPr>
                <w:sz w:val="15"/>
                <w:szCs w:val="15"/>
                <w:color w:val="auto"/>
              </w:rPr>
            </w:pPr>
          </w:p>
        </w:tc>
        <w:tc>
          <w:tcPr>
            <w:tcW w:w="140" w:type="dxa"/>
            <w:vAlign w:val="bottom"/>
            <w:tcBorders>
              <w:bottom w:val="single" w:sz="8" w:color="231F20"/>
            </w:tcBorders>
            <w:shd w:val="clear" w:color="auto" w:fill="E2E8F1"/>
          </w:tcPr>
          <w:p>
            <w:pPr>
              <w:spacing w:after="0"/>
              <w:rPr>
                <w:sz w:val="15"/>
                <w:szCs w:val="15"/>
                <w:color w:val="auto"/>
              </w:rPr>
            </w:pPr>
          </w:p>
        </w:tc>
        <w:tc>
          <w:tcPr>
            <w:tcW w:w="1040" w:type="dxa"/>
            <w:vAlign w:val="bottom"/>
            <w:tcBorders>
              <w:bottom w:val="single" w:sz="8" w:color="231F20"/>
            </w:tcBorders>
            <w:shd w:val="clear" w:color="auto" w:fill="E2E8F1"/>
          </w:tcPr>
          <w:p>
            <w:pPr>
              <w:jc w:val="right"/>
              <w:ind w:right="57"/>
              <w:spacing w:after="0"/>
              <w:rPr>
                <w:sz w:val="20"/>
                <w:szCs w:val="20"/>
                <w:color w:val="auto"/>
              </w:rPr>
            </w:pPr>
            <w:r>
              <w:rPr>
                <w:rFonts w:ascii="Arial" w:cs="Arial" w:eastAsia="Arial" w:hAnsi="Arial"/>
                <w:sz w:val="13"/>
                <w:szCs w:val="13"/>
                <w:color w:val="auto"/>
              </w:rPr>
              <w:t>2,255.2</w:t>
            </w:r>
          </w:p>
        </w:tc>
        <w:tc>
          <w:tcPr>
            <w:tcW w:w="280" w:type="dxa"/>
            <w:vAlign w:val="bottom"/>
            <w:tcBorders>
              <w:bottom w:val="single" w:sz="8" w:color="231F20"/>
            </w:tcBorders>
            <w:shd w:val="clear" w:color="auto" w:fill="E2E8F1"/>
          </w:tcPr>
          <w:p>
            <w:pPr>
              <w:spacing w:after="0"/>
              <w:rPr>
                <w:sz w:val="15"/>
                <w:szCs w:val="15"/>
                <w:color w:val="auto"/>
              </w:rPr>
            </w:pPr>
          </w:p>
        </w:tc>
        <w:tc>
          <w:tcPr>
            <w:tcW w:w="1100" w:type="dxa"/>
            <w:vAlign w:val="bottom"/>
            <w:tcBorders>
              <w:bottom w:val="single" w:sz="8" w:color="231F20"/>
            </w:tcBorders>
            <w:shd w:val="clear" w:color="auto" w:fill="E2E8F1"/>
          </w:tcPr>
          <w:p>
            <w:pPr>
              <w:jc w:val="right"/>
              <w:ind w:right="57"/>
              <w:spacing w:after="0"/>
              <w:rPr>
                <w:sz w:val="20"/>
                <w:szCs w:val="20"/>
                <w:color w:val="auto"/>
              </w:rPr>
            </w:pPr>
            <w:r>
              <w:rPr>
                <w:rFonts w:ascii="Arial" w:cs="Arial" w:eastAsia="Arial" w:hAnsi="Arial"/>
                <w:sz w:val="13"/>
                <w:szCs w:val="13"/>
                <w:color w:val="auto"/>
              </w:rPr>
              <w:t>67.1</w:t>
            </w:r>
          </w:p>
        </w:tc>
        <w:tc>
          <w:tcPr>
            <w:tcW w:w="380" w:type="dxa"/>
            <w:vAlign w:val="bottom"/>
            <w:tcBorders>
              <w:bottom w:val="single" w:sz="8" w:color="231F20"/>
            </w:tcBorders>
            <w:shd w:val="clear" w:color="auto" w:fill="E2E8F1"/>
          </w:tcPr>
          <w:p>
            <w:pPr>
              <w:spacing w:after="0"/>
              <w:rPr>
                <w:sz w:val="15"/>
                <w:szCs w:val="15"/>
                <w:color w:val="auto"/>
              </w:rPr>
            </w:pPr>
          </w:p>
        </w:tc>
        <w:tc>
          <w:tcPr>
            <w:tcW w:w="1040" w:type="dxa"/>
            <w:vAlign w:val="bottom"/>
            <w:tcBorders>
              <w:bottom w:val="single" w:sz="8" w:color="231F20"/>
            </w:tcBorders>
            <w:shd w:val="clear" w:color="auto" w:fill="E2E8F1"/>
          </w:tcPr>
          <w:p>
            <w:pPr>
              <w:jc w:val="right"/>
              <w:ind w:right="77"/>
              <w:spacing w:after="0"/>
              <w:rPr>
                <w:sz w:val="20"/>
                <w:szCs w:val="20"/>
                <w:color w:val="auto"/>
              </w:rPr>
            </w:pPr>
            <w:r>
              <w:rPr>
                <w:rFonts w:ascii="Arial" w:cs="Arial" w:eastAsia="Arial" w:hAnsi="Arial"/>
                <w:sz w:val="13"/>
                <w:szCs w:val="13"/>
                <w:color w:val="auto"/>
              </w:rPr>
              <w:t>2,322.3</w:t>
            </w:r>
          </w:p>
        </w:tc>
      </w:tr>
      <w:tr>
        <w:trPr>
          <w:trHeight w:val="169"/>
        </w:trPr>
        <w:tc>
          <w:tcPr>
            <w:tcW w:w="2800" w:type="dxa"/>
            <w:vAlign w:val="bottom"/>
            <w:tcBorders>
              <w:bottom w:val="single" w:sz="8" w:color="231F20"/>
            </w:tcBorders>
          </w:tcPr>
          <w:p>
            <w:pPr>
              <w:spacing w:after="0"/>
              <w:rPr>
                <w:sz w:val="14"/>
                <w:szCs w:val="14"/>
                <w:color w:val="auto"/>
              </w:rPr>
            </w:pPr>
          </w:p>
        </w:tc>
        <w:tc>
          <w:tcPr>
            <w:tcW w:w="160" w:type="dxa"/>
            <w:vAlign w:val="bottom"/>
            <w:tcBorders>
              <w:bottom w:val="single" w:sz="8" w:color="231F20"/>
            </w:tcBorders>
          </w:tcPr>
          <w:p>
            <w:pPr>
              <w:spacing w:after="0"/>
              <w:rPr>
                <w:sz w:val="14"/>
                <w:szCs w:val="14"/>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17,539.0</w:t>
            </w:r>
          </w:p>
        </w:tc>
        <w:tc>
          <w:tcPr>
            <w:tcW w:w="500" w:type="dxa"/>
            <w:vAlign w:val="bottom"/>
            <w:tcBorders>
              <w:bottom w:val="single" w:sz="8" w:color="231F20"/>
            </w:tcBorders>
          </w:tcPr>
          <w:p>
            <w:pPr>
              <w:spacing w:after="0"/>
              <w:rPr>
                <w:sz w:val="14"/>
                <w:szCs w:val="14"/>
                <w:color w:val="auto"/>
              </w:rPr>
            </w:pPr>
          </w:p>
        </w:tc>
        <w:tc>
          <w:tcPr>
            <w:tcW w:w="1160" w:type="dxa"/>
            <w:vAlign w:val="bottom"/>
            <w:tcBorders>
              <w:bottom w:val="single" w:sz="8" w:color="231F20"/>
            </w:tcBorders>
          </w:tcPr>
          <w:p>
            <w:pPr>
              <w:jc w:val="right"/>
              <w:ind w:right="57"/>
              <w:spacing w:after="0"/>
              <w:rPr>
                <w:sz w:val="20"/>
                <w:szCs w:val="20"/>
                <w:color w:val="auto"/>
              </w:rPr>
            </w:pPr>
            <w:r>
              <w:rPr>
                <w:rFonts w:ascii="Arial" w:cs="Arial" w:eastAsia="Arial" w:hAnsi="Arial"/>
                <w:sz w:val="13"/>
                <w:szCs w:val="13"/>
                <w:color w:val="auto"/>
              </w:rPr>
              <w:t>369.8</w:t>
            </w:r>
          </w:p>
        </w:tc>
        <w:tc>
          <w:tcPr>
            <w:tcW w:w="400" w:type="dxa"/>
            <w:vAlign w:val="bottom"/>
            <w:tcBorders>
              <w:bottom w:val="single" w:sz="8" w:color="231F20"/>
            </w:tcBorders>
          </w:tcPr>
          <w:p>
            <w:pPr>
              <w:spacing w:after="0"/>
              <w:rPr>
                <w:sz w:val="14"/>
                <w:szCs w:val="14"/>
                <w:color w:val="auto"/>
              </w:rPr>
            </w:pPr>
          </w:p>
        </w:tc>
        <w:tc>
          <w:tcPr>
            <w:tcW w:w="1180" w:type="dxa"/>
            <w:vAlign w:val="bottom"/>
            <w:tcBorders>
              <w:bottom w:val="single" w:sz="8" w:color="231F20"/>
            </w:tcBorders>
          </w:tcPr>
          <w:p>
            <w:pPr>
              <w:jc w:val="right"/>
              <w:ind w:right="77"/>
              <w:spacing w:after="0"/>
              <w:rPr>
                <w:sz w:val="20"/>
                <w:szCs w:val="20"/>
                <w:color w:val="auto"/>
              </w:rPr>
            </w:pPr>
            <w:r>
              <w:rPr>
                <w:rFonts w:ascii="Arial" w:cs="Arial" w:eastAsia="Arial" w:hAnsi="Arial"/>
                <w:sz w:val="13"/>
                <w:szCs w:val="13"/>
                <w:color w:val="auto"/>
              </w:rPr>
              <w:t>17,908.8</w:t>
            </w:r>
          </w:p>
        </w:tc>
        <w:tc>
          <w:tcPr>
            <w:tcW w:w="100" w:type="dxa"/>
            <w:vAlign w:val="bottom"/>
            <w:tcBorders>
              <w:bottom w:val="single" w:sz="8" w:color="231F20"/>
            </w:tcBorders>
          </w:tcPr>
          <w:p>
            <w:pPr>
              <w:spacing w:after="0"/>
              <w:rPr>
                <w:sz w:val="14"/>
                <w:szCs w:val="14"/>
                <w:color w:val="auto"/>
              </w:rPr>
            </w:pPr>
          </w:p>
        </w:tc>
        <w:tc>
          <w:tcPr>
            <w:tcW w:w="140" w:type="dxa"/>
            <w:vAlign w:val="bottom"/>
            <w:tcBorders>
              <w:bottom w:val="single" w:sz="8" w:color="231F20"/>
            </w:tcBorders>
          </w:tcPr>
          <w:p>
            <w:pPr>
              <w:spacing w:after="0"/>
              <w:rPr>
                <w:sz w:val="14"/>
                <w:szCs w:val="14"/>
                <w:color w:val="auto"/>
              </w:rPr>
            </w:pPr>
          </w:p>
        </w:tc>
        <w:tc>
          <w:tcPr>
            <w:tcW w:w="1040" w:type="dxa"/>
            <w:vAlign w:val="bottom"/>
            <w:tcBorders>
              <w:bottom w:val="single" w:sz="8" w:color="231F20"/>
            </w:tcBorders>
          </w:tcPr>
          <w:p>
            <w:pPr>
              <w:jc w:val="right"/>
              <w:ind w:right="57"/>
              <w:spacing w:after="0"/>
              <w:rPr>
                <w:sz w:val="20"/>
                <w:szCs w:val="20"/>
                <w:color w:val="auto"/>
              </w:rPr>
            </w:pPr>
            <w:r>
              <w:rPr>
                <w:rFonts w:ascii="Arial" w:cs="Arial" w:eastAsia="Arial" w:hAnsi="Arial"/>
                <w:sz w:val="13"/>
                <w:szCs w:val="13"/>
                <w:color w:val="auto"/>
              </w:rPr>
              <w:t>18,554.7</w:t>
            </w:r>
          </w:p>
        </w:tc>
        <w:tc>
          <w:tcPr>
            <w:tcW w:w="280" w:type="dxa"/>
            <w:vAlign w:val="bottom"/>
            <w:tcBorders>
              <w:bottom w:val="single" w:sz="8" w:color="231F20"/>
            </w:tcBorders>
          </w:tcPr>
          <w:p>
            <w:pPr>
              <w:spacing w:after="0"/>
              <w:rPr>
                <w:sz w:val="14"/>
                <w:szCs w:val="14"/>
                <w:color w:val="auto"/>
              </w:rPr>
            </w:pPr>
          </w:p>
        </w:tc>
        <w:tc>
          <w:tcPr>
            <w:tcW w:w="1100" w:type="dxa"/>
            <w:vAlign w:val="bottom"/>
            <w:tcBorders>
              <w:bottom w:val="single" w:sz="8" w:color="231F20"/>
            </w:tcBorders>
          </w:tcPr>
          <w:p>
            <w:pPr>
              <w:jc w:val="right"/>
              <w:ind w:right="57"/>
              <w:spacing w:after="0"/>
              <w:rPr>
                <w:sz w:val="20"/>
                <w:szCs w:val="20"/>
                <w:color w:val="auto"/>
              </w:rPr>
            </w:pPr>
            <w:r>
              <w:rPr>
                <w:rFonts w:ascii="Arial" w:cs="Arial" w:eastAsia="Arial" w:hAnsi="Arial"/>
                <w:sz w:val="13"/>
                <w:szCs w:val="13"/>
                <w:color w:val="auto"/>
              </w:rPr>
              <w:t>445.7</w:t>
            </w:r>
          </w:p>
        </w:tc>
        <w:tc>
          <w:tcPr>
            <w:tcW w:w="380" w:type="dxa"/>
            <w:vAlign w:val="bottom"/>
            <w:tcBorders>
              <w:bottom w:val="single" w:sz="8" w:color="231F20"/>
            </w:tcBorders>
          </w:tcPr>
          <w:p>
            <w:pPr>
              <w:spacing w:after="0"/>
              <w:rPr>
                <w:sz w:val="14"/>
                <w:szCs w:val="14"/>
                <w:color w:val="auto"/>
              </w:rPr>
            </w:pPr>
          </w:p>
        </w:tc>
        <w:tc>
          <w:tcPr>
            <w:tcW w:w="1040" w:type="dxa"/>
            <w:vAlign w:val="bottom"/>
            <w:tcBorders>
              <w:bottom w:val="single" w:sz="8" w:color="231F20"/>
            </w:tcBorders>
          </w:tcPr>
          <w:p>
            <w:pPr>
              <w:jc w:val="right"/>
              <w:ind w:right="77"/>
              <w:spacing w:after="0"/>
              <w:rPr>
                <w:sz w:val="20"/>
                <w:szCs w:val="20"/>
                <w:color w:val="auto"/>
              </w:rPr>
            </w:pPr>
            <w:r>
              <w:rPr>
                <w:rFonts w:ascii="Arial" w:cs="Arial" w:eastAsia="Arial" w:hAnsi="Arial"/>
                <w:sz w:val="13"/>
                <w:szCs w:val="13"/>
                <w:color w:val="auto"/>
              </w:rPr>
              <w:t>19,000.4</w:t>
            </w:r>
          </w:p>
        </w:tc>
      </w:tr>
      <w:tr>
        <w:trPr>
          <w:trHeight w:val="169"/>
        </w:trPr>
        <w:tc>
          <w:tcPr>
            <w:tcW w:w="280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3"/>
                <w:szCs w:val="13"/>
                <w:color w:val="auto"/>
              </w:rPr>
              <w:t>Intercompany Eliminations</w:t>
            </w:r>
          </w:p>
        </w:tc>
        <w:tc>
          <w:tcPr>
            <w:tcW w:w="160" w:type="dxa"/>
            <w:vAlign w:val="bottom"/>
            <w:tcBorders>
              <w:bottom w:val="single" w:sz="8" w:color="231F20"/>
            </w:tcBorders>
            <w:shd w:val="clear" w:color="auto" w:fill="E2E8F1"/>
          </w:tcPr>
          <w:p>
            <w:pPr>
              <w:spacing w:after="0"/>
              <w:rPr>
                <w:sz w:val="14"/>
                <w:szCs w:val="14"/>
                <w:color w:val="auto"/>
              </w:rPr>
            </w:pPr>
          </w:p>
        </w:tc>
        <w:tc>
          <w:tcPr>
            <w:tcW w:w="980" w:type="dxa"/>
            <w:vAlign w:val="bottom"/>
            <w:tcBorders>
              <w:bottom w:val="single" w:sz="8" w:color="231F20"/>
            </w:tcBorders>
            <w:shd w:val="clear" w:color="auto" w:fill="E2E8F1"/>
          </w:tcPr>
          <w:p>
            <w:pPr>
              <w:spacing w:after="0"/>
              <w:rPr>
                <w:sz w:val="14"/>
                <w:szCs w:val="14"/>
                <w:color w:val="auto"/>
              </w:rPr>
            </w:pPr>
          </w:p>
        </w:tc>
        <w:tc>
          <w:tcPr>
            <w:tcW w:w="500" w:type="dxa"/>
            <w:vAlign w:val="bottom"/>
            <w:tcBorders>
              <w:bottom w:val="single" w:sz="8" w:color="231F20"/>
            </w:tcBorders>
            <w:shd w:val="clear" w:color="auto" w:fill="E2E8F1"/>
          </w:tcPr>
          <w:p>
            <w:pPr>
              <w:spacing w:after="0"/>
              <w:rPr>
                <w:sz w:val="14"/>
                <w:szCs w:val="14"/>
                <w:color w:val="auto"/>
              </w:rPr>
            </w:pPr>
          </w:p>
        </w:tc>
        <w:tc>
          <w:tcPr>
            <w:tcW w:w="1160" w:type="dxa"/>
            <w:vAlign w:val="bottom"/>
            <w:tcBorders>
              <w:bottom w:val="single" w:sz="8" w:color="231F20"/>
            </w:tcBorders>
            <w:shd w:val="clear" w:color="auto" w:fill="E2E8F1"/>
          </w:tcPr>
          <w:p>
            <w:pPr>
              <w:spacing w:after="0"/>
              <w:rPr>
                <w:sz w:val="14"/>
                <w:szCs w:val="14"/>
                <w:color w:val="auto"/>
              </w:rPr>
            </w:pPr>
          </w:p>
        </w:tc>
        <w:tc>
          <w:tcPr>
            <w:tcW w:w="400" w:type="dxa"/>
            <w:vAlign w:val="bottom"/>
            <w:tcBorders>
              <w:bottom w:val="single" w:sz="8" w:color="231F20"/>
            </w:tcBorders>
            <w:shd w:val="clear" w:color="auto" w:fill="E2E8F1"/>
          </w:tcPr>
          <w:p>
            <w:pPr>
              <w:spacing w:after="0"/>
              <w:rPr>
                <w:sz w:val="14"/>
                <w:szCs w:val="14"/>
                <w:color w:val="auto"/>
              </w:rPr>
            </w:pPr>
          </w:p>
        </w:tc>
        <w:tc>
          <w:tcPr>
            <w:tcW w:w="11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(54.9 )</w:t>
            </w:r>
          </w:p>
        </w:tc>
        <w:tc>
          <w:tcPr>
            <w:tcW w:w="100" w:type="dxa"/>
            <w:vAlign w:val="bottom"/>
            <w:tcBorders>
              <w:bottom w:val="single" w:sz="8" w:color="231F20"/>
            </w:tcBorders>
            <w:shd w:val="clear" w:color="auto" w:fill="E2E8F1"/>
          </w:tcPr>
          <w:p>
            <w:pPr>
              <w:spacing w:after="0"/>
              <w:rPr>
                <w:sz w:val="14"/>
                <w:szCs w:val="14"/>
                <w:color w:val="auto"/>
              </w:rPr>
            </w:pPr>
          </w:p>
        </w:tc>
        <w:tc>
          <w:tcPr>
            <w:tcW w:w="140" w:type="dxa"/>
            <w:vAlign w:val="bottom"/>
            <w:tcBorders>
              <w:bottom w:val="single" w:sz="8" w:color="231F20"/>
            </w:tcBorders>
            <w:shd w:val="clear" w:color="auto" w:fill="E2E8F1"/>
          </w:tcPr>
          <w:p>
            <w:pPr>
              <w:spacing w:after="0"/>
              <w:rPr>
                <w:sz w:val="14"/>
                <w:szCs w:val="14"/>
                <w:color w:val="auto"/>
              </w:rPr>
            </w:pPr>
          </w:p>
        </w:tc>
        <w:tc>
          <w:tcPr>
            <w:tcW w:w="1040" w:type="dxa"/>
            <w:vAlign w:val="bottom"/>
            <w:tcBorders>
              <w:bottom w:val="single" w:sz="8" w:color="231F20"/>
            </w:tcBorders>
            <w:shd w:val="clear" w:color="auto" w:fill="E2E8F1"/>
          </w:tcPr>
          <w:p>
            <w:pPr>
              <w:spacing w:after="0"/>
              <w:rPr>
                <w:sz w:val="14"/>
                <w:szCs w:val="14"/>
                <w:color w:val="auto"/>
              </w:rPr>
            </w:pPr>
          </w:p>
        </w:tc>
        <w:tc>
          <w:tcPr>
            <w:tcW w:w="280" w:type="dxa"/>
            <w:vAlign w:val="bottom"/>
            <w:tcBorders>
              <w:bottom w:val="single" w:sz="8" w:color="231F20"/>
            </w:tcBorders>
            <w:shd w:val="clear" w:color="auto" w:fill="E2E8F1"/>
          </w:tcPr>
          <w:p>
            <w:pPr>
              <w:spacing w:after="0"/>
              <w:rPr>
                <w:sz w:val="14"/>
                <w:szCs w:val="14"/>
                <w:color w:val="auto"/>
              </w:rPr>
            </w:pPr>
          </w:p>
        </w:tc>
        <w:tc>
          <w:tcPr>
            <w:tcW w:w="1100" w:type="dxa"/>
            <w:vAlign w:val="bottom"/>
            <w:tcBorders>
              <w:bottom w:val="single" w:sz="8" w:color="231F20"/>
            </w:tcBorders>
            <w:shd w:val="clear" w:color="auto" w:fill="E2E8F1"/>
          </w:tcPr>
          <w:p>
            <w:pPr>
              <w:spacing w:after="0"/>
              <w:rPr>
                <w:sz w:val="14"/>
                <w:szCs w:val="14"/>
                <w:color w:val="auto"/>
              </w:rPr>
            </w:pPr>
          </w:p>
        </w:tc>
        <w:tc>
          <w:tcPr>
            <w:tcW w:w="380" w:type="dxa"/>
            <w:vAlign w:val="bottom"/>
            <w:tcBorders>
              <w:bottom w:val="single" w:sz="8" w:color="231F20"/>
            </w:tcBorders>
            <w:shd w:val="clear" w:color="auto" w:fill="E2E8F1"/>
          </w:tcPr>
          <w:p>
            <w:pPr>
              <w:spacing w:after="0"/>
              <w:rPr>
                <w:sz w:val="14"/>
                <w:szCs w:val="14"/>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(85.9 )</w:t>
            </w:r>
          </w:p>
        </w:tc>
      </w:tr>
      <w:tr>
        <w:trPr>
          <w:trHeight w:val="157"/>
        </w:trPr>
        <w:tc>
          <w:tcPr>
            <w:tcW w:w="2800" w:type="dxa"/>
            <w:vAlign w:val="bottom"/>
            <w:tcBorders>
              <w:bottom w:val="single" w:sz="8" w:color="231F20"/>
            </w:tcBorders>
          </w:tcPr>
          <w:p>
            <w:pPr>
              <w:ind w:left="80"/>
              <w:spacing w:after="0"/>
              <w:rPr>
                <w:sz w:val="20"/>
                <w:szCs w:val="20"/>
                <w:color w:val="auto"/>
              </w:rPr>
            </w:pPr>
            <w:r>
              <w:rPr>
                <w:rFonts w:ascii="Arial" w:cs="Arial" w:eastAsia="Arial" w:hAnsi="Arial"/>
                <w:sz w:val="13"/>
                <w:szCs w:val="13"/>
                <w:color w:val="auto"/>
              </w:rPr>
              <w:t>Total</w:t>
            </w:r>
          </w:p>
        </w:tc>
        <w:tc>
          <w:tcPr>
            <w:tcW w:w="160" w:type="dxa"/>
            <w:vAlign w:val="bottom"/>
            <w:tcBorders>
              <w:bottom w:val="single" w:sz="8" w:color="231F20"/>
            </w:tcBorders>
          </w:tcPr>
          <w:p>
            <w:pPr>
              <w:spacing w:after="0"/>
              <w:rPr>
                <w:sz w:val="13"/>
                <w:szCs w:val="13"/>
                <w:color w:val="auto"/>
              </w:rPr>
            </w:pPr>
          </w:p>
        </w:tc>
        <w:tc>
          <w:tcPr>
            <w:tcW w:w="980" w:type="dxa"/>
            <w:vAlign w:val="bottom"/>
            <w:tcBorders>
              <w:bottom w:val="single" w:sz="8" w:color="231F20"/>
            </w:tcBorders>
          </w:tcPr>
          <w:p>
            <w:pPr>
              <w:spacing w:after="0"/>
              <w:rPr>
                <w:sz w:val="13"/>
                <w:szCs w:val="13"/>
                <w:color w:val="auto"/>
              </w:rPr>
            </w:pPr>
          </w:p>
        </w:tc>
        <w:tc>
          <w:tcPr>
            <w:tcW w:w="500" w:type="dxa"/>
            <w:vAlign w:val="bottom"/>
            <w:tcBorders>
              <w:bottom w:val="single" w:sz="8" w:color="231F20"/>
            </w:tcBorders>
          </w:tcPr>
          <w:p>
            <w:pPr>
              <w:spacing w:after="0"/>
              <w:rPr>
                <w:sz w:val="13"/>
                <w:szCs w:val="13"/>
                <w:color w:val="auto"/>
              </w:rPr>
            </w:pPr>
          </w:p>
        </w:tc>
        <w:tc>
          <w:tcPr>
            <w:tcW w:w="1160" w:type="dxa"/>
            <w:vAlign w:val="bottom"/>
            <w:tcBorders>
              <w:bottom w:val="single" w:sz="8" w:color="231F20"/>
            </w:tcBorders>
          </w:tcPr>
          <w:p>
            <w:pPr>
              <w:spacing w:after="0"/>
              <w:rPr>
                <w:sz w:val="13"/>
                <w:szCs w:val="13"/>
                <w:color w:val="auto"/>
              </w:rPr>
            </w:pPr>
          </w:p>
        </w:tc>
        <w:tc>
          <w:tcPr>
            <w:tcW w:w="400" w:type="dxa"/>
            <w:vAlign w:val="bottom"/>
            <w:tcBorders>
              <w:bottom w:val="single" w:sz="8" w:color="231F20"/>
            </w:tcBorders>
          </w:tcPr>
          <w:p>
            <w:pPr>
              <w:jc w:val="right"/>
              <w:ind w:right="137"/>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231F20"/>
            </w:tcBorders>
          </w:tcPr>
          <w:p>
            <w:pPr>
              <w:jc w:val="right"/>
              <w:ind w:right="77"/>
              <w:spacing w:after="0"/>
              <w:rPr>
                <w:sz w:val="20"/>
                <w:szCs w:val="20"/>
                <w:color w:val="auto"/>
              </w:rPr>
            </w:pPr>
            <w:r>
              <w:rPr>
                <w:rFonts w:ascii="Arial" w:cs="Arial" w:eastAsia="Arial" w:hAnsi="Arial"/>
                <w:sz w:val="13"/>
                <w:szCs w:val="13"/>
                <w:color w:val="auto"/>
              </w:rPr>
              <w:t>17,853.9</w:t>
            </w:r>
          </w:p>
        </w:tc>
        <w:tc>
          <w:tcPr>
            <w:tcW w:w="100" w:type="dxa"/>
            <w:vAlign w:val="bottom"/>
            <w:tcBorders>
              <w:bottom w:val="single" w:sz="8" w:color="231F20"/>
            </w:tcBorders>
          </w:tcPr>
          <w:p>
            <w:pPr>
              <w:spacing w:after="0"/>
              <w:rPr>
                <w:sz w:val="13"/>
                <w:szCs w:val="13"/>
                <w:color w:val="auto"/>
              </w:rPr>
            </w:pPr>
          </w:p>
        </w:tc>
        <w:tc>
          <w:tcPr>
            <w:tcW w:w="140" w:type="dxa"/>
            <w:vAlign w:val="bottom"/>
            <w:tcBorders>
              <w:bottom w:val="single" w:sz="8" w:color="231F20"/>
            </w:tcBorders>
          </w:tcPr>
          <w:p>
            <w:pPr>
              <w:spacing w:after="0"/>
              <w:rPr>
                <w:sz w:val="13"/>
                <w:szCs w:val="13"/>
                <w:color w:val="auto"/>
              </w:rPr>
            </w:pPr>
          </w:p>
        </w:tc>
        <w:tc>
          <w:tcPr>
            <w:tcW w:w="1040" w:type="dxa"/>
            <w:vAlign w:val="bottom"/>
            <w:tcBorders>
              <w:bottom w:val="single" w:sz="8" w:color="231F20"/>
            </w:tcBorders>
          </w:tcPr>
          <w:p>
            <w:pPr>
              <w:spacing w:after="0"/>
              <w:rPr>
                <w:sz w:val="13"/>
                <w:szCs w:val="13"/>
                <w:color w:val="auto"/>
              </w:rPr>
            </w:pPr>
          </w:p>
        </w:tc>
        <w:tc>
          <w:tcPr>
            <w:tcW w:w="280" w:type="dxa"/>
            <w:vAlign w:val="bottom"/>
            <w:tcBorders>
              <w:bottom w:val="single" w:sz="8" w:color="231F20"/>
            </w:tcBorders>
          </w:tcPr>
          <w:p>
            <w:pPr>
              <w:spacing w:after="0"/>
              <w:rPr>
                <w:sz w:val="13"/>
                <w:szCs w:val="13"/>
                <w:color w:val="auto"/>
              </w:rPr>
            </w:pPr>
          </w:p>
        </w:tc>
        <w:tc>
          <w:tcPr>
            <w:tcW w:w="1100" w:type="dxa"/>
            <w:vAlign w:val="bottom"/>
            <w:tcBorders>
              <w:bottom w:val="single" w:sz="8" w:color="231F20"/>
            </w:tcBorders>
          </w:tcPr>
          <w:p>
            <w:pPr>
              <w:spacing w:after="0"/>
              <w:rPr>
                <w:sz w:val="13"/>
                <w:szCs w:val="13"/>
                <w:color w:val="auto"/>
              </w:rPr>
            </w:pPr>
          </w:p>
        </w:tc>
        <w:tc>
          <w:tcPr>
            <w:tcW w:w="380" w:type="dxa"/>
            <w:vAlign w:val="bottom"/>
            <w:tcBorders>
              <w:bottom w:val="single" w:sz="8" w:color="231F20"/>
            </w:tcBorders>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231F20"/>
            </w:tcBorders>
          </w:tcPr>
          <w:p>
            <w:pPr>
              <w:jc w:val="right"/>
              <w:ind w:right="77"/>
              <w:spacing w:after="0"/>
              <w:rPr>
                <w:sz w:val="20"/>
                <w:szCs w:val="20"/>
                <w:color w:val="auto"/>
              </w:rPr>
            </w:pPr>
            <w:r>
              <w:rPr>
                <w:rFonts w:ascii="Arial" w:cs="Arial" w:eastAsia="Arial" w:hAnsi="Arial"/>
                <w:sz w:val="13"/>
                <w:szCs w:val="13"/>
                <w:color w:val="auto"/>
              </w:rPr>
              <w:t>18,914.5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-2056765</wp:posOffset>
            </wp:positionV>
            <wp:extent cx="6731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-1636395</wp:posOffset>
            </wp:positionV>
            <wp:extent cx="6731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79" w:lineRule="exact"/>
        <w:rPr>
          <w:sz w:val="20"/>
          <w:szCs w:val="20"/>
          <w:color w:val="auto"/>
        </w:rPr>
      </w:pPr>
    </w:p>
    <w:p>
      <w:pPr>
        <w:ind w:left="325" w:right="20" w:hanging="325"/>
        <w:spacing w:after="0" w:line="214" w:lineRule="auto"/>
        <w:tabs>
          <w:tab w:leader="none" w:pos="325" w:val="left"/>
        </w:tabs>
        <w:numPr>
          <w:ilvl w:val="0"/>
          <w:numId w:val="39"/>
        </w:numPr>
        <w:rPr>
          <w:rFonts w:ascii="Arial" w:cs="Arial" w:eastAsia="Arial" w:hAnsi="Arial"/>
          <w:sz w:val="17"/>
          <w:szCs w:val="17"/>
          <w:color w:val="231F20"/>
          <w:vertAlign w:val="superscript"/>
        </w:rPr>
      </w:pPr>
      <w:r>
        <w:rPr>
          <w:rFonts w:ascii="Arial" w:cs="Arial" w:eastAsia="Arial" w:hAnsi="Arial"/>
          <w:sz w:val="13"/>
          <w:szCs w:val="13"/>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25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64" w:name="page65"/>
    <w:bookmarkEnd w:id="64"/>
    <w:p>
      <w:pPr>
        <w:ind w:left="107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6" w:lineRule="exact"/>
        <w:rPr>
          <w:sz w:val="20"/>
          <w:szCs w:val="20"/>
          <w:color w:val="auto"/>
        </w:rPr>
      </w:pPr>
    </w:p>
    <w:p>
      <w:pPr>
        <w:ind w:left="325" w:hanging="325"/>
        <w:spacing w:after="0"/>
        <w:tabs>
          <w:tab w:leader="none" w:pos="325" w:val="left"/>
        </w:tabs>
        <w:numPr>
          <w:ilvl w:val="0"/>
          <w:numId w:val="40"/>
        </w:numPr>
        <w:rPr>
          <w:rFonts w:ascii="Arial" w:cs="Arial" w:eastAsia="Arial" w:hAnsi="Arial"/>
          <w:sz w:val="22"/>
          <w:szCs w:val="22"/>
          <w:b w:val="1"/>
          <w:bCs w:val="1"/>
          <w:color w:val="5B89B4"/>
        </w:rPr>
      </w:pPr>
      <w:r>
        <w:rPr>
          <w:rFonts w:ascii="Arial" w:cs="Arial" w:eastAsia="Arial" w:hAnsi="Arial"/>
          <w:sz w:val="22"/>
          <w:szCs w:val="22"/>
          <w:b w:val="1"/>
          <w:bCs w:val="1"/>
          <w:u w:val="single" w:color="auto"/>
          <w:color w:val="5B89B4"/>
        </w:rPr>
        <w:t>Share-Based Compensation Plans</w:t>
      </w:r>
    </w:p>
    <w:p>
      <w:pPr>
        <w:spacing w:after="0" w:line="108" w:lineRule="exact"/>
        <w:rPr>
          <w:sz w:val="20"/>
          <w:szCs w:val="20"/>
          <w:color w:val="auto"/>
        </w:rPr>
      </w:pPr>
    </w:p>
    <w:p>
      <w:pPr>
        <w:jc w:val="both"/>
        <w:ind w:left="5"/>
        <w:spacing w:after="0" w:line="239" w:lineRule="auto"/>
        <w:rPr>
          <w:sz w:val="20"/>
          <w:szCs w:val="20"/>
          <w:color w:val="auto"/>
        </w:rPr>
      </w:pPr>
      <w:r>
        <w:rPr>
          <w:rFonts w:ascii="Arial" w:cs="Arial" w:eastAsia="Arial" w:hAnsi="Arial"/>
          <w:sz w:val="16"/>
          <w:szCs w:val="16"/>
          <w:color w:val="231F20"/>
        </w:rPr>
        <w:t>During 2024, 2023 and 2022, we recognized $27.3, $28.7 and $37.6, respectively, in share-based compensation expense related to stock options, deferred stock, restricted stock and performance share units, all of which is recorded in selling and administrative expenses. Consideration received from share-based awards for 2024, 2023 and 2022 was $0.8, $1.8 and $0.3, respectively. The income tax benefit recognized during 2024, 2023 and 2022 was $1.3, $1.0 and $2.6, respectively, for the United States share-based compensation and $1.2, $1.6 and $1.3, respectively, for non-United States share-based compensation. We recognize compensation expense on grants of share-based compensation awards on a straight-line basis over the vesting period of each award.</w:t>
      </w:r>
    </w:p>
    <w:p>
      <w:pPr>
        <w:spacing w:after="0" w:line="101"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Stock Options and Stock Appreciation Rights</w:t>
      </w:r>
    </w:p>
    <w:p>
      <w:pPr>
        <w:spacing w:after="0" w:line="88"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231F20"/>
        </w:rPr>
        <w:t>All share-based compensation is granted under the 2011 Equity Incentive Plan of ManpowerGroup Inc. (“2011 Plan”). Under the 2011 Plan, stock options and stock appreciation rights are required to be granted at a price not less than 100% of the fair market value of the common stock at the date of grant. Generally, options are granted with a ratable vesting period of up to four years and expire 10 years from date of grant. No options were granted subsequent to 2021, and we have not granted stock appreciation rights under the 2011 Plan. A summary of stock option activity is as follows:</w:t>
      </w:r>
    </w:p>
    <w:p>
      <w:pPr>
        <w:spacing w:after="0" w:line="72" w:lineRule="exact"/>
        <w:rPr>
          <w:sz w:val="20"/>
          <w:szCs w:val="20"/>
          <w:color w:val="auto"/>
        </w:rPr>
      </w:pPr>
    </w:p>
    <w:tbl>
      <w:tblPr>
        <w:tblLayout w:type="fixed"/>
        <w:tblInd w:w="5" w:type="dxa"/>
        <w:tblCellMar>
          <w:top w:w="0" w:type="dxa"/>
          <w:left w:w="0" w:type="dxa"/>
          <w:bottom w:w="0" w:type="dxa"/>
          <w:right w:w="0" w:type="dxa"/>
        </w:tblCellMar>
      </w:tblPr>
      <w:tr>
        <w:trPr>
          <w:trHeight w:val="146"/>
        </w:trPr>
        <w:tc>
          <w:tcPr>
            <w:tcW w:w="4060" w:type="dxa"/>
            <w:vAlign w:val="bottom"/>
            <w:tcBorders>
              <w:top w:val="single" w:sz="8" w:color="231F20"/>
            </w:tcBorders>
            <w:shd w:val="clear" w:color="auto" w:fill="98B0CF"/>
          </w:tcPr>
          <w:p>
            <w:pPr>
              <w:spacing w:after="0"/>
              <w:rPr>
                <w:sz w:val="12"/>
                <w:szCs w:val="12"/>
                <w:color w:val="auto"/>
              </w:rPr>
            </w:pPr>
          </w:p>
        </w:tc>
        <w:tc>
          <w:tcPr>
            <w:tcW w:w="1310" w:type="dxa"/>
            <w:vAlign w:val="bottom"/>
            <w:tcBorders>
              <w:top w:val="single" w:sz="8" w:color="231F20"/>
            </w:tcBorders>
            <w:shd w:val="clear" w:color="auto" w:fill="98B0CF"/>
          </w:tcPr>
          <w:p>
            <w:pPr>
              <w:spacing w:after="0"/>
              <w:rPr>
                <w:sz w:val="12"/>
                <w:szCs w:val="12"/>
                <w:color w:val="auto"/>
              </w:rPr>
            </w:pPr>
          </w:p>
        </w:tc>
        <w:tc>
          <w:tcPr>
            <w:tcW w:w="330" w:type="dxa"/>
            <w:vAlign w:val="bottom"/>
            <w:tcBorders>
              <w:top w:val="single" w:sz="8" w:color="231F20"/>
            </w:tcBorders>
            <w:shd w:val="clear" w:color="auto" w:fill="98B0CF"/>
          </w:tcPr>
          <w:p>
            <w:pPr>
              <w:spacing w:after="0"/>
              <w:rPr>
                <w:sz w:val="12"/>
                <w:szCs w:val="12"/>
                <w:color w:val="auto"/>
              </w:rPr>
            </w:pPr>
          </w:p>
        </w:tc>
        <w:tc>
          <w:tcPr>
            <w:tcW w:w="520" w:type="dxa"/>
            <w:vAlign w:val="bottom"/>
            <w:tcBorders>
              <w:top w:val="single" w:sz="8" w:color="231F20"/>
            </w:tcBorders>
            <w:shd w:val="clear" w:color="auto" w:fill="98B0CF"/>
          </w:tcPr>
          <w:p>
            <w:pPr>
              <w:spacing w:after="0"/>
              <w:rPr>
                <w:sz w:val="12"/>
                <w:szCs w:val="12"/>
                <w:color w:val="auto"/>
              </w:rPr>
            </w:pPr>
          </w:p>
        </w:tc>
        <w:tc>
          <w:tcPr>
            <w:tcW w:w="580" w:type="dxa"/>
            <w:vAlign w:val="bottom"/>
            <w:tcBorders>
              <w:top w:val="single" w:sz="8" w:color="231F20"/>
            </w:tcBorders>
            <w:shd w:val="clear" w:color="auto" w:fill="98B0CF"/>
          </w:tcPr>
          <w:p>
            <w:pPr>
              <w:spacing w:after="0"/>
              <w:rPr>
                <w:sz w:val="12"/>
                <w:szCs w:val="12"/>
                <w:color w:val="auto"/>
              </w:rPr>
            </w:pPr>
          </w:p>
        </w:tc>
        <w:tc>
          <w:tcPr>
            <w:tcW w:w="600" w:type="dxa"/>
            <w:vAlign w:val="bottom"/>
            <w:tcBorders>
              <w:top w:val="single" w:sz="8" w:color="231F20"/>
            </w:tcBorders>
            <w:shd w:val="clear" w:color="auto" w:fill="98B0CF"/>
          </w:tcPr>
          <w:p>
            <w:pPr>
              <w:spacing w:after="0"/>
              <w:rPr>
                <w:sz w:val="12"/>
                <w:szCs w:val="12"/>
                <w:color w:val="auto"/>
              </w:rPr>
            </w:pPr>
          </w:p>
        </w:tc>
        <w:tc>
          <w:tcPr>
            <w:tcW w:w="960" w:type="dxa"/>
            <w:vAlign w:val="bottom"/>
            <w:tcBorders>
              <w:top w:val="single" w:sz="8" w:color="231F20"/>
            </w:tcBorders>
            <w:shd w:val="clear" w:color="auto" w:fill="98B0CF"/>
          </w:tcPr>
          <w:p>
            <w:pPr>
              <w:spacing w:after="0"/>
              <w:rPr>
                <w:sz w:val="12"/>
                <w:szCs w:val="12"/>
                <w:color w:val="auto"/>
              </w:rPr>
            </w:pPr>
          </w:p>
        </w:tc>
        <w:tc>
          <w:tcPr>
            <w:tcW w:w="100" w:type="dxa"/>
            <w:vAlign w:val="bottom"/>
            <w:tcBorders>
              <w:top w:val="single" w:sz="8" w:color="231F20"/>
            </w:tcBorders>
            <w:shd w:val="clear" w:color="auto" w:fill="98B0CF"/>
          </w:tcPr>
          <w:p>
            <w:pPr>
              <w:spacing w:after="0"/>
              <w:rPr>
                <w:sz w:val="12"/>
                <w:szCs w:val="12"/>
                <w:color w:val="auto"/>
              </w:rPr>
            </w:pPr>
          </w:p>
        </w:tc>
        <w:tc>
          <w:tcPr>
            <w:tcW w:w="1260" w:type="dxa"/>
            <w:vAlign w:val="bottom"/>
            <w:tcBorders>
              <w:top w:val="single" w:sz="8" w:color="231F20"/>
            </w:tcBorders>
            <w:shd w:val="clear" w:color="auto" w:fill="98B0CF"/>
          </w:tcPr>
          <w:p>
            <w:pPr>
              <w:jc w:val="center"/>
              <w:ind w:right="617"/>
              <w:spacing w:after="0" w:line="146" w:lineRule="exact"/>
              <w:rPr>
                <w:sz w:val="20"/>
                <w:szCs w:val="20"/>
                <w:color w:val="auto"/>
              </w:rPr>
            </w:pPr>
            <w:r>
              <w:rPr>
                <w:rFonts w:ascii="Arial" w:cs="Arial" w:eastAsia="Arial" w:hAnsi="Arial"/>
                <w:sz w:val="13"/>
                <w:szCs w:val="13"/>
                <w:b w:val="1"/>
                <w:bCs w:val="1"/>
                <w:color w:val="auto"/>
                <w:w w:val="96"/>
              </w:rPr>
              <w:t>Wtd. Avg.</w:t>
            </w:r>
          </w:p>
        </w:tc>
        <w:tc>
          <w:tcPr>
            <w:tcW w:w="280" w:type="dxa"/>
            <w:vAlign w:val="bottom"/>
            <w:tcBorders>
              <w:top w:val="single" w:sz="8" w:color="231F20"/>
            </w:tcBorders>
            <w:shd w:val="clear" w:color="auto" w:fill="98B0CF"/>
          </w:tcPr>
          <w:p>
            <w:pPr>
              <w:spacing w:after="0"/>
              <w:rPr>
                <w:sz w:val="12"/>
                <w:szCs w:val="12"/>
                <w:color w:val="auto"/>
              </w:rPr>
            </w:pPr>
          </w:p>
        </w:tc>
        <w:tc>
          <w:tcPr>
            <w:tcW w:w="1260" w:type="dxa"/>
            <w:vAlign w:val="bottom"/>
            <w:tcBorders>
              <w:top w:val="single" w:sz="8" w:color="231F20"/>
            </w:tcBorders>
            <w:shd w:val="clear" w:color="auto" w:fill="98B0CF"/>
          </w:tcPr>
          <w:p>
            <w:pPr>
              <w:spacing w:after="0"/>
              <w:rPr>
                <w:sz w:val="12"/>
                <w:szCs w:val="12"/>
                <w:color w:val="auto"/>
              </w:rPr>
            </w:pPr>
          </w:p>
        </w:tc>
      </w:tr>
      <w:tr>
        <w:trPr>
          <w:trHeight w:val="142"/>
        </w:trPr>
        <w:tc>
          <w:tcPr>
            <w:tcW w:w="4060" w:type="dxa"/>
            <w:vAlign w:val="bottom"/>
            <w:shd w:val="clear" w:color="auto" w:fill="98B0CF"/>
          </w:tcPr>
          <w:p>
            <w:pPr>
              <w:spacing w:after="0"/>
              <w:rPr>
                <w:sz w:val="12"/>
                <w:szCs w:val="12"/>
                <w:color w:val="auto"/>
              </w:rPr>
            </w:pPr>
          </w:p>
        </w:tc>
        <w:tc>
          <w:tcPr>
            <w:tcW w:w="1310" w:type="dxa"/>
            <w:vAlign w:val="bottom"/>
            <w:shd w:val="clear" w:color="auto" w:fill="98B0CF"/>
          </w:tcPr>
          <w:p>
            <w:pPr>
              <w:spacing w:after="0"/>
              <w:rPr>
                <w:sz w:val="12"/>
                <w:szCs w:val="12"/>
                <w:color w:val="auto"/>
              </w:rPr>
            </w:pPr>
          </w:p>
        </w:tc>
        <w:tc>
          <w:tcPr>
            <w:tcW w:w="330" w:type="dxa"/>
            <w:vAlign w:val="bottom"/>
            <w:shd w:val="clear" w:color="auto" w:fill="98B0CF"/>
          </w:tcPr>
          <w:p>
            <w:pPr>
              <w:spacing w:after="0"/>
              <w:rPr>
                <w:sz w:val="12"/>
                <w:szCs w:val="12"/>
                <w:color w:val="auto"/>
              </w:rPr>
            </w:pPr>
          </w:p>
        </w:tc>
        <w:tc>
          <w:tcPr>
            <w:tcW w:w="520" w:type="dxa"/>
            <w:vAlign w:val="bottom"/>
            <w:shd w:val="clear" w:color="auto" w:fill="98B0CF"/>
          </w:tcPr>
          <w:p>
            <w:pPr>
              <w:spacing w:after="0"/>
              <w:rPr>
                <w:sz w:val="12"/>
                <w:szCs w:val="12"/>
                <w:color w:val="auto"/>
              </w:rPr>
            </w:pPr>
          </w:p>
        </w:tc>
        <w:tc>
          <w:tcPr>
            <w:tcW w:w="580" w:type="dxa"/>
            <w:vAlign w:val="bottom"/>
            <w:shd w:val="clear" w:color="auto" w:fill="98B0CF"/>
          </w:tcPr>
          <w:p>
            <w:pPr>
              <w:spacing w:after="0"/>
              <w:rPr>
                <w:sz w:val="12"/>
                <w:szCs w:val="12"/>
                <w:color w:val="auto"/>
              </w:rPr>
            </w:pPr>
          </w:p>
        </w:tc>
        <w:tc>
          <w:tcPr>
            <w:tcW w:w="600" w:type="dxa"/>
            <w:vAlign w:val="bottom"/>
            <w:shd w:val="clear" w:color="auto" w:fill="98B0CF"/>
          </w:tcPr>
          <w:p>
            <w:pPr>
              <w:jc w:val="center"/>
              <w:spacing w:after="0" w:line="142" w:lineRule="exact"/>
              <w:rPr>
                <w:sz w:val="20"/>
                <w:szCs w:val="20"/>
                <w:color w:val="auto"/>
              </w:rPr>
            </w:pPr>
            <w:r>
              <w:rPr>
                <w:rFonts w:ascii="Arial" w:cs="Arial" w:eastAsia="Arial" w:hAnsi="Arial"/>
                <w:sz w:val="13"/>
                <w:szCs w:val="13"/>
                <w:b w:val="1"/>
                <w:bCs w:val="1"/>
                <w:color w:val="auto"/>
                <w:w w:val="96"/>
              </w:rPr>
              <w:t>Wtd. Avg.</w:t>
            </w:r>
          </w:p>
        </w:tc>
        <w:tc>
          <w:tcPr>
            <w:tcW w:w="960" w:type="dxa"/>
            <w:vAlign w:val="bottom"/>
            <w:shd w:val="clear" w:color="auto" w:fill="98B0CF"/>
          </w:tcPr>
          <w:p>
            <w:pPr>
              <w:spacing w:after="0"/>
              <w:rPr>
                <w:sz w:val="12"/>
                <w:szCs w:val="12"/>
                <w:color w:val="auto"/>
              </w:rPr>
            </w:pPr>
          </w:p>
        </w:tc>
        <w:tc>
          <w:tcPr>
            <w:tcW w:w="1360" w:type="dxa"/>
            <w:vAlign w:val="bottom"/>
            <w:gridSpan w:val="2"/>
            <w:shd w:val="clear" w:color="auto" w:fill="98B0CF"/>
          </w:tcPr>
          <w:p>
            <w:pPr>
              <w:jc w:val="center"/>
              <w:ind w:right="477"/>
              <w:spacing w:after="0" w:line="142" w:lineRule="exact"/>
              <w:rPr>
                <w:sz w:val="20"/>
                <w:szCs w:val="20"/>
                <w:color w:val="auto"/>
              </w:rPr>
            </w:pPr>
            <w:r>
              <w:rPr>
                <w:rFonts w:ascii="Arial" w:cs="Arial" w:eastAsia="Arial" w:hAnsi="Arial"/>
                <w:sz w:val="13"/>
                <w:szCs w:val="13"/>
                <w:b w:val="1"/>
                <w:bCs w:val="1"/>
                <w:color w:val="auto"/>
                <w:w w:val="99"/>
              </w:rPr>
              <w:t>Remaining</w:t>
            </w:r>
          </w:p>
        </w:tc>
        <w:tc>
          <w:tcPr>
            <w:tcW w:w="280" w:type="dxa"/>
            <w:vAlign w:val="bottom"/>
            <w:shd w:val="clear" w:color="auto" w:fill="98B0CF"/>
          </w:tcPr>
          <w:p>
            <w:pPr>
              <w:spacing w:after="0"/>
              <w:rPr>
                <w:sz w:val="12"/>
                <w:szCs w:val="12"/>
                <w:color w:val="auto"/>
              </w:rPr>
            </w:pPr>
          </w:p>
        </w:tc>
        <w:tc>
          <w:tcPr>
            <w:tcW w:w="1260" w:type="dxa"/>
            <w:vAlign w:val="bottom"/>
            <w:shd w:val="clear" w:color="auto" w:fill="98B0CF"/>
          </w:tcPr>
          <w:p>
            <w:pPr>
              <w:jc w:val="center"/>
              <w:ind w:right="332"/>
              <w:spacing w:after="0" w:line="142" w:lineRule="exact"/>
              <w:rPr>
                <w:sz w:val="20"/>
                <w:szCs w:val="20"/>
                <w:color w:val="auto"/>
              </w:rPr>
            </w:pPr>
            <w:r>
              <w:rPr>
                <w:rFonts w:ascii="Arial" w:cs="Arial" w:eastAsia="Arial" w:hAnsi="Arial"/>
                <w:sz w:val="13"/>
                <w:szCs w:val="13"/>
                <w:b w:val="1"/>
                <w:bCs w:val="1"/>
                <w:color w:val="auto"/>
                <w:w w:val="96"/>
              </w:rPr>
              <w:t>Aggregate</w:t>
            </w:r>
          </w:p>
        </w:tc>
      </w:tr>
      <w:tr>
        <w:trPr>
          <w:trHeight w:val="142"/>
        </w:trPr>
        <w:tc>
          <w:tcPr>
            <w:tcW w:w="4060" w:type="dxa"/>
            <w:vAlign w:val="bottom"/>
            <w:shd w:val="clear" w:color="auto" w:fill="98B0CF"/>
          </w:tcPr>
          <w:p>
            <w:pPr>
              <w:spacing w:after="0"/>
              <w:rPr>
                <w:sz w:val="12"/>
                <w:szCs w:val="12"/>
                <w:color w:val="auto"/>
              </w:rPr>
            </w:pPr>
          </w:p>
        </w:tc>
        <w:tc>
          <w:tcPr>
            <w:tcW w:w="1310" w:type="dxa"/>
            <w:vAlign w:val="bottom"/>
            <w:shd w:val="clear" w:color="auto" w:fill="98B0CF"/>
          </w:tcPr>
          <w:p>
            <w:pPr>
              <w:spacing w:after="0"/>
              <w:rPr>
                <w:sz w:val="12"/>
                <w:szCs w:val="12"/>
                <w:color w:val="auto"/>
              </w:rPr>
            </w:pPr>
          </w:p>
        </w:tc>
        <w:tc>
          <w:tcPr>
            <w:tcW w:w="330" w:type="dxa"/>
            <w:vAlign w:val="bottom"/>
            <w:shd w:val="clear" w:color="auto" w:fill="98B0CF"/>
          </w:tcPr>
          <w:p>
            <w:pPr>
              <w:spacing w:after="0"/>
              <w:rPr>
                <w:sz w:val="12"/>
                <w:szCs w:val="12"/>
                <w:color w:val="auto"/>
              </w:rPr>
            </w:pPr>
          </w:p>
        </w:tc>
        <w:tc>
          <w:tcPr>
            <w:tcW w:w="520" w:type="dxa"/>
            <w:vAlign w:val="bottom"/>
            <w:shd w:val="clear" w:color="auto" w:fill="98B0CF"/>
          </w:tcPr>
          <w:p>
            <w:pPr>
              <w:spacing w:after="0"/>
              <w:rPr>
                <w:sz w:val="12"/>
                <w:szCs w:val="12"/>
                <w:color w:val="auto"/>
              </w:rPr>
            </w:pPr>
          </w:p>
        </w:tc>
        <w:tc>
          <w:tcPr>
            <w:tcW w:w="2140" w:type="dxa"/>
            <w:vAlign w:val="bottom"/>
            <w:gridSpan w:val="3"/>
            <w:shd w:val="clear" w:color="auto" w:fill="98B0CF"/>
          </w:tcPr>
          <w:p>
            <w:pPr>
              <w:jc w:val="center"/>
              <w:ind w:right="330"/>
              <w:spacing w:after="0" w:line="142" w:lineRule="exact"/>
              <w:rPr>
                <w:sz w:val="20"/>
                <w:szCs w:val="20"/>
                <w:color w:val="auto"/>
              </w:rPr>
            </w:pPr>
            <w:r>
              <w:rPr>
                <w:rFonts w:ascii="Arial" w:cs="Arial" w:eastAsia="Arial" w:hAnsi="Arial"/>
                <w:sz w:val="13"/>
                <w:szCs w:val="13"/>
                <w:b w:val="1"/>
                <w:bCs w:val="1"/>
                <w:color w:val="auto"/>
                <w:w w:val="96"/>
              </w:rPr>
              <w:t>Exercise Price</w:t>
            </w:r>
          </w:p>
        </w:tc>
        <w:tc>
          <w:tcPr>
            <w:tcW w:w="1360" w:type="dxa"/>
            <w:vAlign w:val="bottom"/>
            <w:gridSpan w:val="2"/>
            <w:shd w:val="clear" w:color="auto" w:fill="98B0CF"/>
          </w:tcPr>
          <w:p>
            <w:pPr>
              <w:jc w:val="center"/>
              <w:ind w:right="477"/>
              <w:spacing w:after="0" w:line="142" w:lineRule="exact"/>
              <w:rPr>
                <w:sz w:val="20"/>
                <w:szCs w:val="20"/>
                <w:color w:val="auto"/>
              </w:rPr>
            </w:pPr>
            <w:r>
              <w:rPr>
                <w:rFonts w:ascii="Arial" w:cs="Arial" w:eastAsia="Arial" w:hAnsi="Arial"/>
                <w:sz w:val="13"/>
                <w:szCs w:val="13"/>
                <w:b w:val="1"/>
                <w:bCs w:val="1"/>
                <w:color w:val="auto"/>
                <w:w w:val="96"/>
              </w:rPr>
              <w:t>Contractual</w:t>
            </w:r>
          </w:p>
        </w:tc>
        <w:tc>
          <w:tcPr>
            <w:tcW w:w="280" w:type="dxa"/>
            <w:vAlign w:val="bottom"/>
            <w:shd w:val="clear" w:color="auto" w:fill="98B0CF"/>
          </w:tcPr>
          <w:p>
            <w:pPr>
              <w:spacing w:after="0"/>
              <w:rPr>
                <w:sz w:val="12"/>
                <w:szCs w:val="12"/>
                <w:color w:val="auto"/>
              </w:rPr>
            </w:pPr>
          </w:p>
        </w:tc>
        <w:tc>
          <w:tcPr>
            <w:tcW w:w="1260" w:type="dxa"/>
            <w:vAlign w:val="bottom"/>
            <w:shd w:val="clear" w:color="auto" w:fill="98B0CF"/>
          </w:tcPr>
          <w:p>
            <w:pPr>
              <w:jc w:val="center"/>
              <w:ind w:right="332"/>
              <w:spacing w:after="0" w:line="142" w:lineRule="exact"/>
              <w:rPr>
                <w:sz w:val="20"/>
                <w:szCs w:val="20"/>
                <w:color w:val="auto"/>
              </w:rPr>
            </w:pPr>
            <w:r>
              <w:rPr>
                <w:rFonts w:ascii="Arial" w:cs="Arial" w:eastAsia="Arial" w:hAnsi="Arial"/>
                <w:sz w:val="13"/>
                <w:szCs w:val="13"/>
                <w:b w:val="1"/>
                <w:bCs w:val="1"/>
                <w:color w:val="auto"/>
                <w:w w:val="96"/>
              </w:rPr>
              <w:t>Intrinsic Value</w:t>
            </w:r>
          </w:p>
        </w:tc>
      </w:tr>
      <w:tr>
        <w:trPr>
          <w:trHeight w:val="156"/>
        </w:trPr>
        <w:tc>
          <w:tcPr>
            <w:tcW w:w="4060" w:type="dxa"/>
            <w:vAlign w:val="bottom"/>
            <w:tcBorders>
              <w:bottom w:val="single" w:sz="8" w:color="auto"/>
            </w:tcBorders>
            <w:shd w:val="clear" w:color="auto" w:fill="98B0CF"/>
          </w:tcPr>
          <w:p>
            <w:pPr>
              <w:spacing w:after="0"/>
              <w:rPr>
                <w:sz w:val="13"/>
                <w:szCs w:val="13"/>
                <w:color w:val="auto"/>
              </w:rPr>
            </w:pPr>
          </w:p>
        </w:tc>
        <w:tc>
          <w:tcPr>
            <w:tcW w:w="1640" w:type="dxa"/>
            <w:vAlign w:val="bottom"/>
            <w:tcBorders>
              <w:bottom w:val="single" w:sz="8" w:color="auto"/>
            </w:tcBorders>
            <w:gridSpan w:val="2"/>
            <w:shd w:val="clear" w:color="auto" w:fill="98B0CF"/>
          </w:tcPr>
          <w:p>
            <w:pPr>
              <w:ind w:left="880"/>
              <w:spacing w:after="0"/>
              <w:rPr>
                <w:sz w:val="20"/>
                <w:szCs w:val="20"/>
                <w:color w:val="auto"/>
              </w:rPr>
            </w:pPr>
            <w:r>
              <w:rPr>
                <w:rFonts w:ascii="Arial" w:cs="Arial" w:eastAsia="Arial" w:hAnsi="Arial"/>
                <w:sz w:val="13"/>
                <w:szCs w:val="13"/>
                <w:b w:val="1"/>
                <w:bCs w:val="1"/>
                <w:color w:val="auto"/>
                <w:w w:val="95"/>
              </w:rPr>
              <w:t>Shares (000)</w:t>
            </w:r>
          </w:p>
        </w:tc>
        <w:tc>
          <w:tcPr>
            <w:tcW w:w="520" w:type="dxa"/>
            <w:vAlign w:val="bottom"/>
            <w:tcBorders>
              <w:bottom w:val="single" w:sz="8" w:color="auto"/>
            </w:tcBorders>
            <w:shd w:val="clear" w:color="auto" w:fill="98B0CF"/>
          </w:tcPr>
          <w:p>
            <w:pPr>
              <w:spacing w:after="0"/>
              <w:rPr>
                <w:sz w:val="13"/>
                <w:szCs w:val="13"/>
                <w:color w:val="auto"/>
              </w:rPr>
            </w:pPr>
          </w:p>
        </w:tc>
        <w:tc>
          <w:tcPr>
            <w:tcW w:w="1180" w:type="dxa"/>
            <w:vAlign w:val="bottom"/>
            <w:tcBorders>
              <w:bottom w:val="single" w:sz="8" w:color="auto"/>
            </w:tcBorders>
            <w:gridSpan w:val="2"/>
            <w:shd w:val="clear" w:color="auto" w:fill="98B0CF"/>
          </w:tcPr>
          <w:p>
            <w:pPr>
              <w:jc w:val="center"/>
              <w:ind w:left="510"/>
              <w:spacing w:after="0"/>
              <w:rPr>
                <w:sz w:val="20"/>
                <w:szCs w:val="20"/>
                <w:color w:val="auto"/>
              </w:rPr>
            </w:pPr>
            <w:r>
              <w:rPr>
                <w:rFonts w:ascii="Arial" w:cs="Arial" w:eastAsia="Arial" w:hAnsi="Arial"/>
                <w:sz w:val="13"/>
                <w:szCs w:val="13"/>
                <w:b w:val="1"/>
                <w:bCs w:val="1"/>
                <w:color w:val="auto"/>
                <w:w w:val="98"/>
              </w:rPr>
              <w:t>Per Share</w:t>
            </w:r>
          </w:p>
        </w:tc>
        <w:tc>
          <w:tcPr>
            <w:tcW w:w="960" w:type="dxa"/>
            <w:vAlign w:val="bottom"/>
            <w:tcBorders>
              <w:bottom w:val="single" w:sz="8" w:color="auto"/>
            </w:tcBorders>
            <w:shd w:val="clear" w:color="auto" w:fill="98B0CF"/>
          </w:tcPr>
          <w:p>
            <w:pPr>
              <w:spacing w:after="0"/>
              <w:rPr>
                <w:sz w:val="13"/>
                <w:szCs w:val="13"/>
                <w:color w:val="auto"/>
              </w:rPr>
            </w:pPr>
          </w:p>
        </w:tc>
        <w:tc>
          <w:tcPr>
            <w:tcW w:w="1360" w:type="dxa"/>
            <w:vAlign w:val="bottom"/>
            <w:tcBorders>
              <w:bottom w:val="single" w:sz="8" w:color="auto"/>
            </w:tcBorders>
            <w:gridSpan w:val="2"/>
            <w:shd w:val="clear" w:color="auto" w:fill="98B0CF"/>
          </w:tcPr>
          <w:p>
            <w:pPr>
              <w:jc w:val="center"/>
              <w:ind w:right="497"/>
              <w:spacing w:after="0"/>
              <w:rPr>
                <w:sz w:val="20"/>
                <w:szCs w:val="20"/>
                <w:color w:val="auto"/>
              </w:rPr>
            </w:pPr>
            <w:r>
              <w:rPr>
                <w:rFonts w:ascii="Arial" w:cs="Arial" w:eastAsia="Arial" w:hAnsi="Arial"/>
                <w:sz w:val="13"/>
                <w:szCs w:val="13"/>
                <w:b w:val="1"/>
                <w:bCs w:val="1"/>
                <w:color w:val="auto"/>
                <w:w w:val="97"/>
              </w:rPr>
              <w:t>Term (years)</w:t>
            </w:r>
          </w:p>
        </w:tc>
        <w:tc>
          <w:tcPr>
            <w:tcW w:w="280" w:type="dxa"/>
            <w:vAlign w:val="bottom"/>
            <w:tcBorders>
              <w:bottom w:val="single" w:sz="8" w:color="auto"/>
            </w:tcBorders>
            <w:shd w:val="clear" w:color="auto" w:fill="98B0CF"/>
          </w:tcPr>
          <w:p>
            <w:pPr>
              <w:spacing w:after="0"/>
              <w:rPr>
                <w:sz w:val="13"/>
                <w:szCs w:val="13"/>
                <w:color w:val="auto"/>
              </w:rPr>
            </w:pPr>
          </w:p>
        </w:tc>
        <w:tc>
          <w:tcPr>
            <w:tcW w:w="1260" w:type="dxa"/>
            <w:vAlign w:val="bottom"/>
            <w:tcBorders>
              <w:bottom w:val="single" w:sz="8" w:color="auto"/>
            </w:tcBorders>
            <w:shd w:val="clear" w:color="auto" w:fill="98B0CF"/>
          </w:tcPr>
          <w:p>
            <w:pPr>
              <w:jc w:val="center"/>
              <w:ind w:right="312"/>
              <w:spacing w:after="0"/>
              <w:rPr>
                <w:sz w:val="20"/>
                <w:szCs w:val="20"/>
                <w:color w:val="auto"/>
              </w:rPr>
            </w:pPr>
            <w:r>
              <w:rPr>
                <w:rFonts w:ascii="Arial" w:cs="Arial" w:eastAsia="Arial" w:hAnsi="Arial"/>
                <w:sz w:val="13"/>
                <w:szCs w:val="13"/>
                <w:b w:val="1"/>
                <w:bCs w:val="1"/>
                <w:color w:val="auto"/>
                <w:w w:val="98"/>
              </w:rPr>
              <w:t>(in millions)</w:t>
            </w:r>
          </w:p>
        </w:tc>
      </w:tr>
      <w:tr>
        <w:trPr>
          <w:trHeight w:val="187"/>
        </w:trPr>
        <w:tc>
          <w:tcPr>
            <w:tcW w:w="4060" w:type="dxa"/>
            <w:vAlign w:val="bottom"/>
            <w:shd w:val="clear" w:color="auto" w:fill="E2E8F1"/>
          </w:tcPr>
          <w:p>
            <w:pPr>
              <w:ind w:left="80"/>
              <w:spacing w:after="0"/>
              <w:rPr>
                <w:sz w:val="20"/>
                <w:szCs w:val="20"/>
                <w:color w:val="auto"/>
              </w:rPr>
            </w:pPr>
            <w:r>
              <w:rPr>
                <w:rFonts w:ascii="Arial" w:cs="Arial" w:eastAsia="Arial" w:hAnsi="Arial"/>
                <w:sz w:val="14"/>
                <w:szCs w:val="14"/>
                <w:color w:val="auto"/>
              </w:rPr>
              <w:t>Outstanding, January 1, 2022</w:t>
            </w:r>
          </w:p>
        </w:tc>
        <w:tc>
          <w:tcPr>
            <w:tcW w:w="1310" w:type="dxa"/>
            <w:vAlign w:val="bottom"/>
            <w:shd w:val="clear" w:color="auto" w:fill="E2E8F1"/>
          </w:tcPr>
          <w:p>
            <w:pPr>
              <w:spacing w:after="0"/>
              <w:rPr>
                <w:sz w:val="16"/>
                <w:szCs w:val="16"/>
                <w:color w:val="auto"/>
              </w:rPr>
            </w:pPr>
          </w:p>
        </w:tc>
        <w:tc>
          <w:tcPr>
            <w:tcW w:w="330" w:type="dxa"/>
            <w:vAlign w:val="bottom"/>
            <w:shd w:val="clear" w:color="auto" w:fill="E2E8F1"/>
          </w:tcPr>
          <w:p>
            <w:pPr>
              <w:spacing w:after="0"/>
              <w:rPr>
                <w:sz w:val="16"/>
                <w:szCs w:val="16"/>
                <w:color w:val="auto"/>
              </w:rPr>
            </w:pPr>
          </w:p>
        </w:tc>
        <w:tc>
          <w:tcPr>
            <w:tcW w:w="520" w:type="dxa"/>
            <w:vAlign w:val="bottom"/>
            <w:shd w:val="clear" w:color="auto" w:fill="E2E8F1"/>
          </w:tcPr>
          <w:p>
            <w:pPr>
              <w:jc w:val="right"/>
              <w:ind w:right="191"/>
              <w:spacing w:after="0"/>
              <w:rPr>
                <w:sz w:val="20"/>
                <w:szCs w:val="20"/>
                <w:color w:val="auto"/>
              </w:rPr>
            </w:pPr>
            <w:r>
              <w:rPr>
                <w:rFonts w:ascii="Arial" w:cs="Arial" w:eastAsia="Arial" w:hAnsi="Arial"/>
                <w:sz w:val="14"/>
                <w:szCs w:val="14"/>
                <w:color w:val="auto"/>
              </w:rPr>
              <w:t>852</w:t>
            </w:r>
          </w:p>
        </w:tc>
        <w:tc>
          <w:tcPr>
            <w:tcW w:w="580" w:type="dxa"/>
            <w:vAlign w:val="bottom"/>
            <w:shd w:val="clear" w:color="auto" w:fill="E2E8F1"/>
          </w:tcPr>
          <w:p>
            <w:pPr>
              <w:jc w:val="right"/>
              <w:ind w:right="250"/>
              <w:spacing w:after="0"/>
              <w:rPr>
                <w:sz w:val="20"/>
                <w:szCs w:val="20"/>
                <w:color w:val="auto"/>
              </w:rPr>
            </w:pPr>
            <w:r>
              <w:rPr>
                <w:rFonts w:ascii="Arial" w:cs="Arial" w:eastAsia="Arial" w:hAnsi="Arial"/>
                <w:sz w:val="14"/>
                <w:szCs w:val="14"/>
                <w:color w:val="auto"/>
              </w:rPr>
              <w:t>$</w:t>
            </w:r>
          </w:p>
        </w:tc>
        <w:tc>
          <w:tcPr>
            <w:tcW w:w="600" w:type="dxa"/>
            <w:vAlign w:val="bottom"/>
            <w:shd w:val="clear" w:color="auto" w:fill="E2E8F1"/>
          </w:tcPr>
          <w:p>
            <w:pPr>
              <w:spacing w:after="0"/>
              <w:rPr>
                <w:sz w:val="16"/>
                <w:szCs w:val="16"/>
                <w:color w:val="auto"/>
              </w:rPr>
            </w:pPr>
          </w:p>
        </w:tc>
        <w:tc>
          <w:tcPr>
            <w:tcW w:w="960" w:type="dxa"/>
            <w:vAlign w:val="bottom"/>
            <w:shd w:val="clear" w:color="auto" w:fill="E2E8F1"/>
          </w:tcPr>
          <w:p>
            <w:pPr>
              <w:jc w:val="right"/>
              <w:ind w:right="510"/>
              <w:spacing w:after="0"/>
              <w:rPr>
                <w:sz w:val="20"/>
                <w:szCs w:val="20"/>
                <w:color w:val="auto"/>
              </w:rPr>
            </w:pPr>
            <w:r>
              <w:rPr>
                <w:rFonts w:ascii="Arial" w:cs="Arial" w:eastAsia="Arial" w:hAnsi="Arial"/>
                <w:sz w:val="14"/>
                <w:szCs w:val="14"/>
                <w:color w:val="auto"/>
              </w:rPr>
              <w:t>90</w:t>
            </w:r>
          </w:p>
        </w:tc>
        <w:tc>
          <w:tcPr>
            <w:tcW w:w="10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c>
          <w:tcPr>
            <w:tcW w:w="28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r>
      <w:tr>
        <w:trPr>
          <w:trHeight w:val="189"/>
        </w:trPr>
        <w:tc>
          <w:tcPr>
            <w:tcW w:w="4060" w:type="dxa"/>
            <w:vAlign w:val="bottom"/>
          </w:tcPr>
          <w:p>
            <w:pPr>
              <w:ind w:left="240"/>
              <w:spacing w:after="0"/>
              <w:rPr>
                <w:sz w:val="20"/>
                <w:szCs w:val="20"/>
                <w:color w:val="auto"/>
              </w:rPr>
            </w:pPr>
            <w:r>
              <w:rPr>
                <w:rFonts w:ascii="Arial" w:cs="Arial" w:eastAsia="Arial" w:hAnsi="Arial"/>
                <w:sz w:val="14"/>
                <w:szCs w:val="14"/>
                <w:color w:val="auto"/>
              </w:rPr>
              <w:t>Granted</w:t>
            </w:r>
          </w:p>
        </w:tc>
        <w:tc>
          <w:tcPr>
            <w:tcW w:w="131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5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center"/>
              <w:ind w:right="350"/>
              <w:spacing w:after="0"/>
              <w:rPr>
                <w:sz w:val="20"/>
                <w:szCs w:val="20"/>
                <w:color w:val="auto"/>
              </w:rPr>
            </w:pPr>
            <w:r>
              <w:rPr>
                <w:rFonts w:ascii="Arial" w:cs="Arial" w:eastAsia="Arial" w:hAnsi="Arial"/>
                <w:sz w:val="14"/>
                <w:szCs w:val="14"/>
                <w:color w:val="auto"/>
                <w:w w:val="94"/>
              </w:rPr>
              <w:t>N/A</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4060" w:type="dxa"/>
            <w:vAlign w:val="bottom"/>
            <w:shd w:val="clear" w:color="auto" w:fill="E2E8F1"/>
          </w:tcPr>
          <w:p>
            <w:pPr>
              <w:ind w:left="240"/>
              <w:spacing w:after="0"/>
              <w:rPr>
                <w:sz w:val="20"/>
                <w:szCs w:val="20"/>
                <w:color w:val="auto"/>
              </w:rPr>
            </w:pPr>
            <w:r>
              <w:rPr>
                <w:rFonts w:ascii="Arial" w:cs="Arial" w:eastAsia="Arial" w:hAnsi="Arial"/>
                <w:sz w:val="14"/>
                <w:szCs w:val="14"/>
                <w:color w:val="auto"/>
              </w:rPr>
              <w:t>Exercised</w:t>
            </w:r>
          </w:p>
        </w:tc>
        <w:tc>
          <w:tcPr>
            <w:tcW w:w="1310" w:type="dxa"/>
            <w:vAlign w:val="bottom"/>
            <w:shd w:val="clear" w:color="auto" w:fill="E2E8F1"/>
          </w:tcPr>
          <w:p>
            <w:pPr>
              <w:spacing w:after="0"/>
              <w:rPr>
                <w:sz w:val="16"/>
                <w:szCs w:val="16"/>
                <w:color w:val="auto"/>
              </w:rPr>
            </w:pPr>
          </w:p>
        </w:tc>
        <w:tc>
          <w:tcPr>
            <w:tcW w:w="330" w:type="dxa"/>
            <w:vAlign w:val="bottom"/>
            <w:shd w:val="clear" w:color="auto" w:fill="E2E8F1"/>
          </w:tcPr>
          <w:p>
            <w:pPr>
              <w:spacing w:after="0"/>
              <w:rPr>
                <w:sz w:val="16"/>
                <w:szCs w:val="16"/>
                <w:color w:val="auto"/>
              </w:rPr>
            </w:pPr>
          </w:p>
        </w:tc>
        <w:tc>
          <w:tcPr>
            <w:tcW w:w="520" w:type="dxa"/>
            <w:vAlign w:val="bottom"/>
            <w:shd w:val="clear" w:color="auto" w:fill="E2E8F1"/>
          </w:tcPr>
          <w:p>
            <w:pPr>
              <w:jc w:val="right"/>
              <w:ind w:right="191"/>
              <w:spacing w:after="0"/>
              <w:rPr>
                <w:sz w:val="20"/>
                <w:szCs w:val="20"/>
                <w:color w:val="auto"/>
              </w:rPr>
            </w:pPr>
            <w:r>
              <w:rPr>
                <w:rFonts w:ascii="Arial" w:cs="Arial" w:eastAsia="Arial" w:hAnsi="Arial"/>
                <w:sz w:val="14"/>
                <w:szCs w:val="14"/>
                <w:color w:val="auto"/>
              </w:rPr>
              <w:t>—</w:t>
            </w:r>
          </w:p>
        </w:tc>
        <w:tc>
          <w:tcPr>
            <w:tcW w:w="580" w:type="dxa"/>
            <w:vAlign w:val="bottom"/>
            <w:shd w:val="clear" w:color="auto" w:fill="E2E8F1"/>
          </w:tcPr>
          <w:p>
            <w:pPr>
              <w:spacing w:after="0"/>
              <w:rPr>
                <w:sz w:val="16"/>
                <w:szCs w:val="16"/>
                <w:color w:val="auto"/>
              </w:rPr>
            </w:pPr>
          </w:p>
        </w:tc>
        <w:tc>
          <w:tcPr>
            <w:tcW w:w="600" w:type="dxa"/>
            <w:vAlign w:val="bottom"/>
            <w:shd w:val="clear" w:color="auto" w:fill="E2E8F1"/>
          </w:tcPr>
          <w:p>
            <w:pPr>
              <w:spacing w:after="0"/>
              <w:rPr>
                <w:sz w:val="16"/>
                <w:szCs w:val="16"/>
                <w:color w:val="auto"/>
              </w:rPr>
            </w:pPr>
          </w:p>
        </w:tc>
        <w:tc>
          <w:tcPr>
            <w:tcW w:w="960" w:type="dxa"/>
            <w:vAlign w:val="bottom"/>
            <w:shd w:val="clear" w:color="auto" w:fill="E2E8F1"/>
          </w:tcPr>
          <w:p>
            <w:pPr>
              <w:jc w:val="center"/>
              <w:ind w:right="350"/>
              <w:spacing w:after="0"/>
              <w:rPr>
                <w:sz w:val="20"/>
                <w:szCs w:val="20"/>
                <w:color w:val="auto"/>
              </w:rPr>
            </w:pPr>
            <w:r>
              <w:rPr>
                <w:rFonts w:ascii="Arial" w:cs="Arial" w:eastAsia="Arial" w:hAnsi="Arial"/>
                <w:sz w:val="14"/>
                <w:szCs w:val="14"/>
                <w:color w:val="auto"/>
                <w:w w:val="94"/>
              </w:rPr>
              <w:t>N/A</w:t>
            </w:r>
          </w:p>
        </w:tc>
        <w:tc>
          <w:tcPr>
            <w:tcW w:w="10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c>
          <w:tcPr>
            <w:tcW w:w="28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r>
      <w:tr>
        <w:trPr>
          <w:trHeight w:val="189"/>
        </w:trPr>
        <w:tc>
          <w:tcPr>
            <w:tcW w:w="40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Expired or cancelled</w:t>
            </w:r>
          </w:p>
        </w:tc>
        <w:tc>
          <w:tcPr>
            <w:tcW w:w="1310" w:type="dxa"/>
            <w:vAlign w:val="bottom"/>
            <w:tcBorders>
              <w:bottom w:val="single" w:sz="8" w:color="auto"/>
            </w:tcBorders>
          </w:tcPr>
          <w:p>
            <w:pPr>
              <w:spacing w:after="0"/>
              <w:rPr>
                <w:sz w:val="16"/>
                <w:szCs w:val="16"/>
                <w:color w:val="auto"/>
              </w:rPr>
            </w:pPr>
          </w:p>
        </w:tc>
        <w:tc>
          <w:tcPr>
            <w:tcW w:w="33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50"/>
              <w:spacing w:after="0"/>
              <w:rPr>
                <w:sz w:val="20"/>
                <w:szCs w:val="20"/>
                <w:color w:val="auto"/>
              </w:rPr>
            </w:pPr>
            <w:r>
              <w:rPr>
                <w:rFonts w:ascii="Arial" w:cs="Arial" w:eastAsia="Arial" w:hAnsi="Arial"/>
                <w:sz w:val="14"/>
                <w:szCs w:val="14"/>
                <w:color w:val="auto"/>
                <w:w w:val="94"/>
              </w:rPr>
              <w:t>N/A</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1"/>
        </w:trPr>
        <w:tc>
          <w:tcPr>
            <w:tcW w:w="406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auto"/>
              </w:rPr>
              <w:t>Outstanding, December 31, 2022</w:t>
            </w:r>
          </w:p>
        </w:tc>
        <w:tc>
          <w:tcPr>
            <w:tcW w:w="1310" w:type="dxa"/>
            <w:vAlign w:val="bottom"/>
            <w:tcBorders>
              <w:bottom w:val="single" w:sz="8" w:color="auto"/>
            </w:tcBorders>
            <w:shd w:val="clear" w:color="auto" w:fill="E2E8F1"/>
          </w:tcPr>
          <w:p>
            <w:pPr>
              <w:spacing w:after="0"/>
              <w:rPr>
                <w:sz w:val="15"/>
                <w:szCs w:val="15"/>
                <w:color w:val="auto"/>
              </w:rPr>
            </w:pPr>
          </w:p>
        </w:tc>
        <w:tc>
          <w:tcPr>
            <w:tcW w:w="330" w:type="dxa"/>
            <w:vAlign w:val="bottom"/>
            <w:tcBorders>
              <w:bottom w:val="single" w:sz="8" w:color="auto"/>
            </w:tcBorders>
            <w:shd w:val="clear" w:color="auto" w:fill="E2E8F1"/>
          </w:tcPr>
          <w:p>
            <w:pPr>
              <w:spacing w:after="0"/>
              <w:rPr>
                <w:sz w:val="15"/>
                <w:szCs w:val="15"/>
                <w:color w:val="auto"/>
              </w:rPr>
            </w:pPr>
          </w:p>
        </w:tc>
        <w:tc>
          <w:tcPr>
            <w:tcW w:w="520" w:type="dxa"/>
            <w:vAlign w:val="bottom"/>
            <w:tcBorders>
              <w:bottom w:val="single" w:sz="8" w:color="auto"/>
            </w:tcBorders>
            <w:shd w:val="clear" w:color="auto" w:fill="E2E8F1"/>
          </w:tcPr>
          <w:p>
            <w:pPr>
              <w:jc w:val="right"/>
              <w:ind w:right="191"/>
              <w:spacing w:after="0"/>
              <w:rPr>
                <w:sz w:val="20"/>
                <w:szCs w:val="20"/>
                <w:color w:val="auto"/>
              </w:rPr>
            </w:pPr>
            <w:r>
              <w:rPr>
                <w:rFonts w:ascii="Arial" w:cs="Arial" w:eastAsia="Arial" w:hAnsi="Arial"/>
                <w:sz w:val="14"/>
                <w:szCs w:val="14"/>
                <w:color w:val="auto"/>
              </w:rPr>
              <w:t>852</w:t>
            </w:r>
          </w:p>
        </w:tc>
        <w:tc>
          <w:tcPr>
            <w:tcW w:w="580" w:type="dxa"/>
            <w:vAlign w:val="bottom"/>
            <w:tcBorders>
              <w:bottom w:val="single" w:sz="8" w:color="auto"/>
            </w:tcBorders>
            <w:shd w:val="clear" w:color="auto" w:fill="E2E8F1"/>
          </w:tcPr>
          <w:p>
            <w:pPr>
              <w:jc w:val="right"/>
              <w:ind w:right="25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E2E8F1"/>
          </w:tcPr>
          <w:p>
            <w:pPr>
              <w:spacing w:after="0"/>
              <w:rPr>
                <w:sz w:val="15"/>
                <w:szCs w:val="15"/>
                <w:color w:val="auto"/>
              </w:rPr>
            </w:pPr>
          </w:p>
        </w:tc>
        <w:tc>
          <w:tcPr>
            <w:tcW w:w="960" w:type="dxa"/>
            <w:vAlign w:val="bottom"/>
            <w:tcBorders>
              <w:bottom w:val="single" w:sz="8" w:color="auto"/>
            </w:tcBorders>
            <w:shd w:val="clear" w:color="auto" w:fill="E2E8F1"/>
          </w:tcPr>
          <w:p>
            <w:pPr>
              <w:jc w:val="right"/>
              <w:ind w:right="510"/>
              <w:spacing w:after="0"/>
              <w:rPr>
                <w:sz w:val="20"/>
                <w:szCs w:val="20"/>
                <w:color w:val="auto"/>
              </w:rPr>
            </w:pPr>
            <w:r>
              <w:rPr>
                <w:rFonts w:ascii="Arial" w:cs="Arial" w:eastAsia="Arial" w:hAnsi="Arial"/>
                <w:sz w:val="14"/>
                <w:szCs w:val="14"/>
                <w:color w:val="auto"/>
              </w:rPr>
              <w:t>90</w:t>
            </w:r>
          </w:p>
        </w:tc>
        <w:tc>
          <w:tcPr>
            <w:tcW w:w="1360" w:type="dxa"/>
            <w:vAlign w:val="bottom"/>
            <w:tcBorders>
              <w:bottom w:val="single" w:sz="8" w:color="auto"/>
            </w:tcBorders>
            <w:gridSpan w:val="2"/>
            <w:shd w:val="clear" w:color="auto" w:fill="E2E8F1"/>
          </w:tcPr>
          <w:p>
            <w:pPr>
              <w:jc w:val="right"/>
              <w:ind w:right="197"/>
              <w:spacing w:after="0"/>
              <w:rPr>
                <w:sz w:val="20"/>
                <w:szCs w:val="20"/>
                <w:color w:val="auto"/>
              </w:rPr>
            </w:pPr>
            <w:r>
              <w:rPr>
                <w:rFonts w:ascii="Arial" w:cs="Arial" w:eastAsia="Arial" w:hAnsi="Arial"/>
                <w:sz w:val="14"/>
                <w:szCs w:val="14"/>
                <w:color w:val="auto"/>
              </w:rPr>
              <w:t>5.1</w:t>
            </w:r>
          </w:p>
        </w:tc>
        <w:tc>
          <w:tcPr>
            <w:tcW w:w="280" w:type="dxa"/>
            <w:vAlign w:val="bottom"/>
            <w:tcBorders>
              <w:bottom w:val="single" w:sz="8" w:color="auto"/>
            </w:tcBorders>
            <w:shd w:val="clear" w:color="auto" w:fill="E2E8F1"/>
          </w:tcPr>
          <w:p>
            <w:pPr>
              <w:jc w:val="center"/>
              <w:ind w:right="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2E8F1"/>
          </w:tcPr>
          <w:p>
            <w:pPr>
              <w:jc w:val="right"/>
              <w:ind w:right="72"/>
              <w:spacing w:after="0"/>
              <w:rPr>
                <w:sz w:val="20"/>
                <w:szCs w:val="20"/>
                <w:color w:val="auto"/>
              </w:rPr>
            </w:pPr>
            <w:r>
              <w:rPr>
                <w:rFonts w:ascii="Arial" w:cs="Arial" w:eastAsia="Arial" w:hAnsi="Arial"/>
                <w:sz w:val="14"/>
                <w:szCs w:val="14"/>
                <w:color w:val="auto"/>
              </w:rPr>
              <w:t>2</w:t>
            </w:r>
          </w:p>
        </w:tc>
      </w:tr>
      <w:tr>
        <w:trPr>
          <w:trHeight w:val="181"/>
        </w:trPr>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Exercisable, December 31, 2022</w:t>
            </w:r>
          </w:p>
        </w:tc>
        <w:tc>
          <w:tcPr>
            <w:tcW w:w="1310" w:type="dxa"/>
            <w:vAlign w:val="bottom"/>
            <w:tcBorders>
              <w:bottom w:val="single" w:sz="8" w:color="auto"/>
            </w:tcBorders>
          </w:tcPr>
          <w:p>
            <w:pPr>
              <w:spacing w:after="0"/>
              <w:rPr>
                <w:sz w:val="15"/>
                <w:szCs w:val="15"/>
                <w:color w:val="auto"/>
              </w:rPr>
            </w:pPr>
          </w:p>
        </w:tc>
        <w:tc>
          <w:tcPr>
            <w:tcW w:w="33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639</w:t>
            </w: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rPr>
              <w:t>90</w:t>
            </w:r>
          </w:p>
        </w:tc>
        <w:tc>
          <w:tcPr>
            <w:tcW w:w="1360" w:type="dxa"/>
            <w:vAlign w:val="bottom"/>
            <w:tcBorders>
              <w:bottom w:val="single" w:sz="8" w:color="auto"/>
            </w:tcBorders>
            <w:gridSpan w:val="2"/>
          </w:tcPr>
          <w:p>
            <w:pPr>
              <w:jc w:val="right"/>
              <w:ind w:right="197"/>
              <w:spacing w:after="0"/>
              <w:rPr>
                <w:sz w:val="20"/>
                <w:szCs w:val="20"/>
                <w:color w:val="auto"/>
              </w:rPr>
            </w:pPr>
            <w:r>
              <w:rPr>
                <w:rFonts w:ascii="Arial" w:cs="Arial" w:eastAsia="Arial" w:hAnsi="Arial"/>
                <w:sz w:val="14"/>
                <w:szCs w:val="14"/>
                <w:color w:val="auto"/>
              </w:rPr>
              <w:t>4.4</w:t>
            </w:r>
          </w:p>
        </w:tc>
        <w:tc>
          <w:tcPr>
            <w:tcW w:w="2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w:t>
            </w:r>
          </w:p>
        </w:tc>
      </w:tr>
      <w:tr>
        <w:trPr>
          <w:trHeight w:val="181"/>
        </w:trPr>
        <w:tc>
          <w:tcPr>
            <w:tcW w:w="4060" w:type="dxa"/>
            <w:vAlign w:val="bottom"/>
            <w:shd w:val="clear" w:color="auto" w:fill="E2E8F1"/>
          </w:tcPr>
          <w:p>
            <w:pPr>
              <w:ind w:left="80"/>
              <w:spacing w:after="0"/>
              <w:rPr>
                <w:sz w:val="20"/>
                <w:szCs w:val="20"/>
                <w:color w:val="auto"/>
              </w:rPr>
            </w:pPr>
            <w:r>
              <w:rPr>
                <w:rFonts w:ascii="Arial" w:cs="Arial" w:eastAsia="Arial" w:hAnsi="Arial"/>
                <w:sz w:val="14"/>
                <w:szCs w:val="14"/>
                <w:color w:val="auto"/>
              </w:rPr>
              <w:t>Outstanding, January 1, 2023</w:t>
            </w:r>
          </w:p>
        </w:tc>
        <w:tc>
          <w:tcPr>
            <w:tcW w:w="1310" w:type="dxa"/>
            <w:vAlign w:val="bottom"/>
            <w:shd w:val="clear" w:color="auto" w:fill="E2E8F1"/>
          </w:tcPr>
          <w:p>
            <w:pPr>
              <w:spacing w:after="0"/>
              <w:rPr>
                <w:sz w:val="15"/>
                <w:szCs w:val="15"/>
                <w:color w:val="auto"/>
              </w:rPr>
            </w:pPr>
          </w:p>
        </w:tc>
        <w:tc>
          <w:tcPr>
            <w:tcW w:w="330" w:type="dxa"/>
            <w:vAlign w:val="bottom"/>
            <w:shd w:val="clear" w:color="auto" w:fill="E2E8F1"/>
          </w:tcPr>
          <w:p>
            <w:pPr>
              <w:spacing w:after="0"/>
              <w:rPr>
                <w:sz w:val="15"/>
                <w:szCs w:val="15"/>
                <w:color w:val="auto"/>
              </w:rPr>
            </w:pPr>
          </w:p>
        </w:tc>
        <w:tc>
          <w:tcPr>
            <w:tcW w:w="520" w:type="dxa"/>
            <w:vAlign w:val="bottom"/>
            <w:shd w:val="clear" w:color="auto" w:fill="E2E8F1"/>
          </w:tcPr>
          <w:p>
            <w:pPr>
              <w:jc w:val="right"/>
              <w:ind w:right="191"/>
              <w:spacing w:after="0"/>
              <w:rPr>
                <w:sz w:val="20"/>
                <w:szCs w:val="20"/>
                <w:color w:val="auto"/>
              </w:rPr>
            </w:pPr>
            <w:r>
              <w:rPr>
                <w:rFonts w:ascii="Arial" w:cs="Arial" w:eastAsia="Arial" w:hAnsi="Arial"/>
                <w:sz w:val="14"/>
                <w:szCs w:val="14"/>
                <w:color w:val="auto"/>
              </w:rPr>
              <w:t>852</w:t>
            </w:r>
          </w:p>
        </w:tc>
        <w:tc>
          <w:tcPr>
            <w:tcW w:w="580" w:type="dxa"/>
            <w:vAlign w:val="bottom"/>
            <w:shd w:val="clear" w:color="auto" w:fill="E2E8F1"/>
          </w:tcPr>
          <w:p>
            <w:pPr>
              <w:jc w:val="right"/>
              <w:ind w:right="250"/>
              <w:spacing w:after="0"/>
              <w:rPr>
                <w:sz w:val="20"/>
                <w:szCs w:val="20"/>
                <w:color w:val="auto"/>
              </w:rPr>
            </w:pPr>
            <w:r>
              <w:rPr>
                <w:rFonts w:ascii="Arial" w:cs="Arial" w:eastAsia="Arial" w:hAnsi="Arial"/>
                <w:sz w:val="14"/>
                <w:szCs w:val="14"/>
                <w:color w:val="auto"/>
              </w:rPr>
              <w:t>$</w:t>
            </w:r>
          </w:p>
        </w:tc>
        <w:tc>
          <w:tcPr>
            <w:tcW w:w="600" w:type="dxa"/>
            <w:vAlign w:val="bottom"/>
            <w:shd w:val="clear" w:color="auto" w:fill="E2E8F1"/>
          </w:tcPr>
          <w:p>
            <w:pPr>
              <w:spacing w:after="0"/>
              <w:rPr>
                <w:sz w:val="15"/>
                <w:szCs w:val="15"/>
                <w:color w:val="auto"/>
              </w:rPr>
            </w:pPr>
          </w:p>
        </w:tc>
        <w:tc>
          <w:tcPr>
            <w:tcW w:w="960" w:type="dxa"/>
            <w:vAlign w:val="bottom"/>
            <w:shd w:val="clear" w:color="auto" w:fill="E2E8F1"/>
          </w:tcPr>
          <w:p>
            <w:pPr>
              <w:jc w:val="right"/>
              <w:ind w:right="510"/>
              <w:spacing w:after="0"/>
              <w:rPr>
                <w:sz w:val="20"/>
                <w:szCs w:val="20"/>
                <w:color w:val="auto"/>
              </w:rPr>
            </w:pPr>
            <w:r>
              <w:rPr>
                <w:rFonts w:ascii="Arial" w:cs="Arial" w:eastAsia="Arial" w:hAnsi="Arial"/>
                <w:sz w:val="14"/>
                <w:szCs w:val="14"/>
                <w:color w:val="auto"/>
              </w:rPr>
              <w:t>90</w:t>
            </w:r>
          </w:p>
        </w:tc>
        <w:tc>
          <w:tcPr>
            <w:tcW w:w="100" w:type="dxa"/>
            <w:vAlign w:val="bottom"/>
            <w:shd w:val="clear" w:color="auto" w:fill="E2E8F1"/>
          </w:tcPr>
          <w:p>
            <w:pPr>
              <w:spacing w:after="0"/>
              <w:rPr>
                <w:sz w:val="15"/>
                <w:szCs w:val="15"/>
                <w:color w:val="auto"/>
              </w:rPr>
            </w:pPr>
          </w:p>
        </w:tc>
        <w:tc>
          <w:tcPr>
            <w:tcW w:w="1260" w:type="dxa"/>
            <w:vAlign w:val="bottom"/>
            <w:shd w:val="clear" w:color="auto" w:fill="E2E8F1"/>
          </w:tcPr>
          <w:p>
            <w:pPr>
              <w:spacing w:after="0"/>
              <w:rPr>
                <w:sz w:val="15"/>
                <w:szCs w:val="15"/>
                <w:color w:val="auto"/>
              </w:rPr>
            </w:pPr>
          </w:p>
        </w:tc>
        <w:tc>
          <w:tcPr>
            <w:tcW w:w="280" w:type="dxa"/>
            <w:vAlign w:val="bottom"/>
            <w:shd w:val="clear" w:color="auto" w:fill="E2E8F1"/>
          </w:tcPr>
          <w:p>
            <w:pPr>
              <w:spacing w:after="0"/>
              <w:rPr>
                <w:sz w:val="15"/>
                <w:szCs w:val="15"/>
                <w:color w:val="auto"/>
              </w:rPr>
            </w:pPr>
          </w:p>
        </w:tc>
        <w:tc>
          <w:tcPr>
            <w:tcW w:w="1260" w:type="dxa"/>
            <w:vAlign w:val="bottom"/>
            <w:shd w:val="clear" w:color="auto" w:fill="E2E8F1"/>
          </w:tcPr>
          <w:p>
            <w:pPr>
              <w:spacing w:after="0"/>
              <w:rPr>
                <w:sz w:val="15"/>
                <w:szCs w:val="15"/>
                <w:color w:val="auto"/>
              </w:rPr>
            </w:pPr>
          </w:p>
        </w:tc>
      </w:tr>
      <w:tr>
        <w:trPr>
          <w:trHeight w:val="189"/>
        </w:trPr>
        <w:tc>
          <w:tcPr>
            <w:tcW w:w="4060" w:type="dxa"/>
            <w:vAlign w:val="bottom"/>
          </w:tcPr>
          <w:p>
            <w:pPr>
              <w:ind w:left="240"/>
              <w:spacing w:after="0"/>
              <w:rPr>
                <w:sz w:val="20"/>
                <w:szCs w:val="20"/>
                <w:color w:val="auto"/>
              </w:rPr>
            </w:pPr>
            <w:r>
              <w:rPr>
                <w:rFonts w:ascii="Arial" w:cs="Arial" w:eastAsia="Arial" w:hAnsi="Arial"/>
                <w:sz w:val="14"/>
                <w:szCs w:val="14"/>
                <w:color w:val="auto"/>
              </w:rPr>
              <w:t>Granted</w:t>
            </w:r>
          </w:p>
        </w:tc>
        <w:tc>
          <w:tcPr>
            <w:tcW w:w="131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5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center"/>
              <w:ind w:right="350"/>
              <w:spacing w:after="0"/>
              <w:rPr>
                <w:sz w:val="20"/>
                <w:szCs w:val="20"/>
                <w:color w:val="auto"/>
              </w:rPr>
            </w:pPr>
            <w:r>
              <w:rPr>
                <w:rFonts w:ascii="Arial" w:cs="Arial" w:eastAsia="Arial" w:hAnsi="Arial"/>
                <w:sz w:val="14"/>
                <w:szCs w:val="14"/>
                <w:color w:val="auto"/>
                <w:w w:val="94"/>
              </w:rPr>
              <w:t>N/A</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4060" w:type="dxa"/>
            <w:vAlign w:val="bottom"/>
            <w:shd w:val="clear" w:color="auto" w:fill="E2E8F1"/>
          </w:tcPr>
          <w:p>
            <w:pPr>
              <w:ind w:left="240"/>
              <w:spacing w:after="0"/>
              <w:rPr>
                <w:sz w:val="20"/>
                <w:szCs w:val="20"/>
                <w:color w:val="auto"/>
              </w:rPr>
            </w:pPr>
            <w:r>
              <w:rPr>
                <w:rFonts w:ascii="Arial" w:cs="Arial" w:eastAsia="Arial" w:hAnsi="Arial"/>
                <w:sz w:val="14"/>
                <w:szCs w:val="14"/>
                <w:color w:val="auto"/>
              </w:rPr>
              <w:t>Exercised</w:t>
            </w:r>
          </w:p>
        </w:tc>
        <w:tc>
          <w:tcPr>
            <w:tcW w:w="1310" w:type="dxa"/>
            <w:vAlign w:val="bottom"/>
            <w:shd w:val="clear" w:color="auto" w:fill="E2E8F1"/>
          </w:tcPr>
          <w:p>
            <w:pPr>
              <w:spacing w:after="0"/>
              <w:rPr>
                <w:sz w:val="16"/>
                <w:szCs w:val="16"/>
                <w:color w:val="auto"/>
              </w:rPr>
            </w:pPr>
          </w:p>
        </w:tc>
        <w:tc>
          <w:tcPr>
            <w:tcW w:w="330" w:type="dxa"/>
            <w:vAlign w:val="bottom"/>
            <w:shd w:val="clear" w:color="auto" w:fill="E2E8F1"/>
          </w:tcPr>
          <w:p>
            <w:pPr>
              <w:spacing w:after="0"/>
              <w:rPr>
                <w:sz w:val="16"/>
                <w:szCs w:val="16"/>
                <w:color w:val="auto"/>
              </w:rPr>
            </w:pPr>
          </w:p>
        </w:tc>
        <w:tc>
          <w:tcPr>
            <w:tcW w:w="520" w:type="dxa"/>
            <w:vAlign w:val="bottom"/>
            <w:shd w:val="clear" w:color="auto" w:fill="E2E8F1"/>
          </w:tcPr>
          <w:p>
            <w:pPr>
              <w:jc w:val="right"/>
              <w:ind w:right="111"/>
              <w:spacing w:after="0"/>
              <w:rPr>
                <w:sz w:val="20"/>
                <w:szCs w:val="20"/>
                <w:color w:val="auto"/>
              </w:rPr>
            </w:pPr>
            <w:r>
              <w:rPr>
                <w:rFonts w:ascii="Arial" w:cs="Arial" w:eastAsia="Arial" w:hAnsi="Arial"/>
                <w:sz w:val="14"/>
                <w:szCs w:val="14"/>
                <w:color w:val="auto"/>
              </w:rPr>
              <w:t>(23 )</w:t>
            </w:r>
          </w:p>
        </w:tc>
        <w:tc>
          <w:tcPr>
            <w:tcW w:w="580" w:type="dxa"/>
            <w:vAlign w:val="bottom"/>
            <w:shd w:val="clear" w:color="auto" w:fill="E2E8F1"/>
          </w:tcPr>
          <w:p>
            <w:pPr>
              <w:spacing w:after="0"/>
              <w:rPr>
                <w:sz w:val="16"/>
                <w:szCs w:val="16"/>
                <w:color w:val="auto"/>
              </w:rPr>
            </w:pPr>
          </w:p>
        </w:tc>
        <w:tc>
          <w:tcPr>
            <w:tcW w:w="600" w:type="dxa"/>
            <w:vAlign w:val="bottom"/>
            <w:shd w:val="clear" w:color="auto" w:fill="E2E8F1"/>
          </w:tcPr>
          <w:p>
            <w:pPr>
              <w:spacing w:after="0"/>
              <w:rPr>
                <w:sz w:val="16"/>
                <w:szCs w:val="16"/>
                <w:color w:val="auto"/>
              </w:rPr>
            </w:pPr>
          </w:p>
        </w:tc>
        <w:tc>
          <w:tcPr>
            <w:tcW w:w="960" w:type="dxa"/>
            <w:vAlign w:val="bottom"/>
            <w:shd w:val="clear" w:color="auto" w:fill="E2E8F1"/>
          </w:tcPr>
          <w:p>
            <w:pPr>
              <w:jc w:val="right"/>
              <w:ind w:right="510"/>
              <w:spacing w:after="0"/>
              <w:rPr>
                <w:sz w:val="20"/>
                <w:szCs w:val="20"/>
                <w:color w:val="auto"/>
              </w:rPr>
            </w:pPr>
            <w:r>
              <w:rPr>
                <w:rFonts w:ascii="Arial" w:cs="Arial" w:eastAsia="Arial" w:hAnsi="Arial"/>
                <w:sz w:val="14"/>
                <w:szCs w:val="14"/>
                <w:color w:val="auto"/>
              </w:rPr>
              <w:t>76</w:t>
            </w:r>
          </w:p>
        </w:tc>
        <w:tc>
          <w:tcPr>
            <w:tcW w:w="10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c>
          <w:tcPr>
            <w:tcW w:w="28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r>
      <w:tr>
        <w:trPr>
          <w:trHeight w:val="189"/>
        </w:trPr>
        <w:tc>
          <w:tcPr>
            <w:tcW w:w="40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Expired or cancelled</w:t>
            </w:r>
          </w:p>
        </w:tc>
        <w:tc>
          <w:tcPr>
            <w:tcW w:w="1310" w:type="dxa"/>
            <w:vAlign w:val="bottom"/>
            <w:tcBorders>
              <w:bottom w:val="single" w:sz="8" w:color="auto"/>
            </w:tcBorders>
          </w:tcPr>
          <w:p>
            <w:pPr>
              <w:spacing w:after="0"/>
              <w:rPr>
                <w:sz w:val="16"/>
                <w:szCs w:val="16"/>
                <w:color w:val="auto"/>
              </w:rPr>
            </w:pPr>
          </w:p>
        </w:tc>
        <w:tc>
          <w:tcPr>
            <w:tcW w:w="33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(19 )</w:t>
            </w: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1"/>
        </w:trPr>
        <w:tc>
          <w:tcPr>
            <w:tcW w:w="406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auto"/>
              </w:rPr>
              <w:t>Outstanding, December 31, 2023</w:t>
            </w:r>
          </w:p>
        </w:tc>
        <w:tc>
          <w:tcPr>
            <w:tcW w:w="1310" w:type="dxa"/>
            <w:vAlign w:val="bottom"/>
            <w:tcBorders>
              <w:bottom w:val="single" w:sz="8" w:color="auto"/>
            </w:tcBorders>
            <w:shd w:val="clear" w:color="auto" w:fill="E2E8F1"/>
          </w:tcPr>
          <w:p>
            <w:pPr>
              <w:spacing w:after="0"/>
              <w:rPr>
                <w:sz w:val="15"/>
                <w:szCs w:val="15"/>
                <w:color w:val="auto"/>
              </w:rPr>
            </w:pPr>
          </w:p>
        </w:tc>
        <w:tc>
          <w:tcPr>
            <w:tcW w:w="330" w:type="dxa"/>
            <w:vAlign w:val="bottom"/>
            <w:tcBorders>
              <w:bottom w:val="single" w:sz="8" w:color="auto"/>
            </w:tcBorders>
            <w:shd w:val="clear" w:color="auto" w:fill="E2E8F1"/>
          </w:tcPr>
          <w:p>
            <w:pPr>
              <w:spacing w:after="0"/>
              <w:rPr>
                <w:sz w:val="15"/>
                <w:szCs w:val="15"/>
                <w:color w:val="auto"/>
              </w:rPr>
            </w:pPr>
          </w:p>
        </w:tc>
        <w:tc>
          <w:tcPr>
            <w:tcW w:w="520" w:type="dxa"/>
            <w:vAlign w:val="bottom"/>
            <w:tcBorders>
              <w:bottom w:val="single" w:sz="8" w:color="auto"/>
            </w:tcBorders>
            <w:shd w:val="clear" w:color="auto" w:fill="E2E8F1"/>
          </w:tcPr>
          <w:p>
            <w:pPr>
              <w:jc w:val="right"/>
              <w:ind w:right="191"/>
              <w:spacing w:after="0"/>
              <w:rPr>
                <w:sz w:val="20"/>
                <w:szCs w:val="20"/>
                <w:color w:val="auto"/>
              </w:rPr>
            </w:pPr>
            <w:r>
              <w:rPr>
                <w:rFonts w:ascii="Arial" w:cs="Arial" w:eastAsia="Arial" w:hAnsi="Arial"/>
                <w:sz w:val="14"/>
                <w:szCs w:val="14"/>
                <w:color w:val="auto"/>
              </w:rPr>
              <w:t>810</w:t>
            </w:r>
          </w:p>
        </w:tc>
        <w:tc>
          <w:tcPr>
            <w:tcW w:w="580" w:type="dxa"/>
            <w:vAlign w:val="bottom"/>
            <w:tcBorders>
              <w:bottom w:val="single" w:sz="8" w:color="auto"/>
            </w:tcBorders>
            <w:shd w:val="clear" w:color="auto" w:fill="E2E8F1"/>
          </w:tcPr>
          <w:p>
            <w:pPr>
              <w:jc w:val="right"/>
              <w:ind w:right="25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E2E8F1"/>
          </w:tcPr>
          <w:p>
            <w:pPr>
              <w:spacing w:after="0"/>
              <w:rPr>
                <w:sz w:val="15"/>
                <w:szCs w:val="15"/>
                <w:color w:val="auto"/>
              </w:rPr>
            </w:pPr>
          </w:p>
        </w:tc>
        <w:tc>
          <w:tcPr>
            <w:tcW w:w="960" w:type="dxa"/>
            <w:vAlign w:val="bottom"/>
            <w:tcBorders>
              <w:bottom w:val="single" w:sz="8" w:color="auto"/>
            </w:tcBorders>
            <w:shd w:val="clear" w:color="auto" w:fill="E2E8F1"/>
          </w:tcPr>
          <w:p>
            <w:pPr>
              <w:jc w:val="right"/>
              <w:ind w:right="510"/>
              <w:spacing w:after="0"/>
              <w:rPr>
                <w:sz w:val="20"/>
                <w:szCs w:val="20"/>
                <w:color w:val="auto"/>
              </w:rPr>
            </w:pPr>
            <w:r>
              <w:rPr>
                <w:rFonts w:ascii="Arial" w:cs="Arial" w:eastAsia="Arial" w:hAnsi="Arial"/>
                <w:sz w:val="14"/>
                <w:szCs w:val="14"/>
                <w:color w:val="auto"/>
              </w:rPr>
              <w:t>90</w:t>
            </w:r>
          </w:p>
        </w:tc>
        <w:tc>
          <w:tcPr>
            <w:tcW w:w="1360" w:type="dxa"/>
            <w:vAlign w:val="bottom"/>
            <w:tcBorders>
              <w:bottom w:val="single" w:sz="8" w:color="auto"/>
            </w:tcBorders>
            <w:gridSpan w:val="2"/>
            <w:shd w:val="clear" w:color="auto" w:fill="E2E8F1"/>
          </w:tcPr>
          <w:p>
            <w:pPr>
              <w:jc w:val="right"/>
              <w:ind w:right="197"/>
              <w:spacing w:after="0"/>
              <w:rPr>
                <w:sz w:val="20"/>
                <w:szCs w:val="20"/>
                <w:color w:val="auto"/>
              </w:rPr>
            </w:pPr>
            <w:r>
              <w:rPr>
                <w:rFonts w:ascii="Arial" w:cs="Arial" w:eastAsia="Arial" w:hAnsi="Arial"/>
                <w:sz w:val="14"/>
                <w:szCs w:val="14"/>
                <w:color w:val="auto"/>
              </w:rPr>
              <w:t>4.4</w:t>
            </w:r>
          </w:p>
        </w:tc>
        <w:tc>
          <w:tcPr>
            <w:tcW w:w="280" w:type="dxa"/>
            <w:vAlign w:val="bottom"/>
            <w:tcBorders>
              <w:bottom w:val="single" w:sz="8" w:color="auto"/>
            </w:tcBorders>
            <w:shd w:val="clear" w:color="auto" w:fill="E2E8F1"/>
          </w:tcPr>
          <w:p>
            <w:pPr>
              <w:jc w:val="center"/>
              <w:ind w:right="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2E8F1"/>
          </w:tcPr>
          <w:p>
            <w:pPr>
              <w:jc w:val="right"/>
              <w:ind w:right="72"/>
              <w:spacing w:after="0"/>
              <w:rPr>
                <w:sz w:val="20"/>
                <w:szCs w:val="20"/>
                <w:color w:val="auto"/>
              </w:rPr>
            </w:pPr>
            <w:r>
              <w:rPr>
                <w:rFonts w:ascii="Arial" w:cs="Arial" w:eastAsia="Arial" w:hAnsi="Arial"/>
                <w:sz w:val="14"/>
                <w:szCs w:val="14"/>
                <w:color w:val="auto"/>
              </w:rPr>
              <w:t>1</w:t>
            </w:r>
          </w:p>
        </w:tc>
      </w:tr>
      <w:tr>
        <w:trPr>
          <w:trHeight w:val="181"/>
        </w:trPr>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Exercisable, December 31, 2023</w:t>
            </w:r>
          </w:p>
        </w:tc>
        <w:tc>
          <w:tcPr>
            <w:tcW w:w="1310" w:type="dxa"/>
            <w:vAlign w:val="bottom"/>
            <w:tcBorders>
              <w:bottom w:val="single" w:sz="8" w:color="auto"/>
            </w:tcBorders>
          </w:tcPr>
          <w:p>
            <w:pPr>
              <w:spacing w:after="0"/>
              <w:rPr>
                <w:sz w:val="15"/>
                <w:szCs w:val="15"/>
                <w:color w:val="auto"/>
              </w:rPr>
            </w:pPr>
          </w:p>
        </w:tc>
        <w:tc>
          <w:tcPr>
            <w:tcW w:w="33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706</w:t>
            </w: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rPr>
              <w:t>90</w:t>
            </w:r>
          </w:p>
        </w:tc>
        <w:tc>
          <w:tcPr>
            <w:tcW w:w="1360" w:type="dxa"/>
            <w:vAlign w:val="bottom"/>
            <w:tcBorders>
              <w:bottom w:val="single" w:sz="8" w:color="auto"/>
            </w:tcBorders>
            <w:gridSpan w:val="2"/>
          </w:tcPr>
          <w:p>
            <w:pPr>
              <w:jc w:val="right"/>
              <w:ind w:right="197"/>
              <w:spacing w:after="0"/>
              <w:rPr>
                <w:sz w:val="20"/>
                <w:szCs w:val="20"/>
                <w:color w:val="auto"/>
              </w:rPr>
            </w:pPr>
            <w:r>
              <w:rPr>
                <w:rFonts w:ascii="Arial" w:cs="Arial" w:eastAsia="Arial" w:hAnsi="Arial"/>
                <w:sz w:val="14"/>
                <w:szCs w:val="14"/>
                <w:color w:val="auto"/>
              </w:rPr>
              <w:t>4.1</w:t>
            </w:r>
          </w:p>
        </w:tc>
        <w:tc>
          <w:tcPr>
            <w:tcW w:w="2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w:t>
            </w:r>
          </w:p>
        </w:tc>
      </w:tr>
      <w:tr>
        <w:trPr>
          <w:trHeight w:val="181"/>
        </w:trPr>
        <w:tc>
          <w:tcPr>
            <w:tcW w:w="4060" w:type="dxa"/>
            <w:vAlign w:val="bottom"/>
            <w:shd w:val="clear" w:color="auto" w:fill="E2E8F1"/>
          </w:tcPr>
          <w:p>
            <w:pPr>
              <w:ind w:left="80"/>
              <w:spacing w:after="0"/>
              <w:rPr>
                <w:sz w:val="20"/>
                <w:szCs w:val="20"/>
                <w:color w:val="auto"/>
              </w:rPr>
            </w:pPr>
            <w:r>
              <w:rPr>
                <w:rFonts w:ascii="Arial" w:cs="Arial" w:eastAsia="Arial" w:hAnsi="Arial"/>
                <w:sz w:val="14"/>
                <w:szCs w:val="14"/>
                <w:color w:val="auto"/>
              </w:rPr>
              <w:t>Outstanding, January 1, 2024</w:t>
            </w:r>
          </w:p>
        </w:tc>
        <w:tc>
          <w:tcPr>
            <w:tcW w:w="1310" w:type="dxa"/>
            <w:vAlign w:val="bottom"/>
            <w:shd w:val="clear" w:color="auto" w:fill="E2E8F1"/>
          </w:tcPr>
          <w:p>
            <w:pPr>
              <w:spacing w:after="0"/>
              <w:rPr>
                <w:sz w:val="15"/>
                <w:szCs w:val="15"/>
                <w:color w:val="auto"/>
              </w:rPr>
            </w:pPr>
          </w:p>
        </w:tc>
        <w:tc>
          <w:tcPr>
            <w:tcW w:w="330" w:type="dxa"/>
            <w:vAlign w:val="bottom"/>
            <w:shd w:val="clear" w:color="auto" w:fill="E2E8F1"/>
          </w:tcPr>
          <w:p>
            <w:pPr>
              <w:spacing w:after="0"/>
              <w:rPr>
                <w:sz w:val="15"/>
                <w:szCs w:val="15"/>
                <w:color w:val="auto"/>
              </w:rPr>
            </w:pPr>
          </w:p>
        </w:tc>
        <w:tc>
          <w:tcPr>
            <w:tcW w:w="520" w:type="dxa"/>
            <w:vAlign w:val="bottom"/>
            <w:shd w:val="clear" w:color="auto" w:fill="E2E8F1"/>
          </w:tcPr>
          <w:p>
            <w:pPr>
              <w:jc w:val="right"/>
              <w:ind w:right="191"/>
              <w:spacing w:after="0"/>
              <w:rPr>
                <w:sz w:val="20"/>
                <w:szCs w:val="20"/>
                <w:color w:val="auto"/>
              </w:rPr>
            </w:pPr>
            <w:r>
              <w:rPr>
                <w:rFonts w:ascii="Arial" w:cs="Arial" w:eastAsia="Arial" w:hAnsi="Arial"/>
                <w:sz w:val="14"/>
                <w:szCs w:val="14"/>
                <w:color w:val="auto"/>
              </w:rPr>
              <w:t>810</w:t>
            </w:r>
          </w:p>
        </w:tc>
        <w:tc>
          <w:tcPr>
            <w:tcW w:w="580" w:type="dxa"/>
            <w:vAlign w:val="bottom"/>
            <w:shd w:val="clear" w:color="auto" w:fill="E2E8F1"/>
          </w:tcPr>
          <w:p>
            <w:pPr>
              <w:jc w:val="right"/>
              <w:ind w:right="250"/>
              <w:spacing w:after="0"/>
              <w:rPr>
                <w:sz w:val="20"/>
                <w:szCs w:val="20"/>
                <w:color w:val="auto"/>
              </w:rPr>
            </w:pPr>
            <w:r>
              <w:rPr>
                <w:rFonts w:ascii="Arial" w:cs="Arial" w:eastAsia="Arial" w:hAnsi="Arial"/>
                <w:sz w:val="14"/>
                <w:szCs w:val="14"/>
                <w:color w:val="auto"/>
              </w:rPr>
              <w:t>$</w:t>
            </w:r>
          </w:p>
        </w:tc>
        <w:tc>
          <w:tcPr>
            <w:tcW w:w="600" w:type="dxa"/>
            <w:vAlign w:val="bottom"/>
            <w:shd w:val="clear" w:color="auto" w:fill="E2E8F1"/>
          </w:tcPr>
          <w:p>
            <w:pPr>
              <w:spacing w:after="0"/>
              <w:rPr>
                <w:sz w:val="15"/>
                <w:szCs w:val="15"/>
                <w:color w:val="auto"/>
              </w:rPr>
            </w:pPr>
          </w:p>
        </w:tc>
        <w:tc>
          <w:tcPr>
            <w:tcW w:w="960" w:type="dxa"/>
            <w:vAlign w:val="bottom"/>
            <w:shd w:val="clear" w:color="auto" w:fill="E2E8F1"/>
          </w:tcPr>
          <w:p>
            <w:pPr>
              <w:jc w:val="right"/>
              <w:ind w:right="510"/>
              <w:spacing w:after="0"/>
              <w:rPr>
                <w:sz w:val="20"/>
                <w:szCs w:val="20"/>
                <w:color w:val="auto"/>
              </w:rPr>
            </w:pPr>
            <w:r>
              <w:rPr>
                <w:rFonts w:ascii="Arial" w:cs="Arial" w:eastAsia="Arial" w:hAnsi="Arial"/>
                <w:sz w:val="14"/>
                <w:szCs w:val="14"/>
                <w:color w:val="auto"/>
              </w:rPr>
              <w:t>90</w:t>
            </w:r>
          </w:p>
        </w:tc>
        <w:tc>
          <w:tcPr>
            <w:tcW w:w="100" w:type="dxa"/>
            <w:vAlign w:val="bottom"/>
            <w:shd w:val="clear" w:color="auto" w:fill="E2E8F1"/>
          </w:tcPr>
          <w:p>
            <w:pPr>
              <w:spacing w:after="0"/>
              <w:rPr>
                <w:sz w:val="15"/>
                <w:szCs w:val="15"/>
                <w:color w:val="auto"/>
              </w:rPr>
            </w:pPr>
          </w:p>
        </w:tc>
        <w:tc>
          <w:tcPr>
            <w:tcW w:w="1260" w:type="dxa"/>
            <w:vAlign w:val="bottom"/>
            <w:shd w:val="clear" w:color="auto" w:fill="E2E8F1"/>
          </w:tcPr>
          <w:p>
            <w:pPr>
              <w:spacing w:after="0"/>
              <w:rPr>
                <w:sz w:val="15"/>
                <w:szCs w:val="15"/>
                <w:color w:val="auto"/>
              </w:rPr>
            </w:pPr>
          </w:p>
        </w:tc>
        <w:tc>
          <w:tcPr>
            <w:tcW w:w="280" w:type="dxa"/>
            <w:vAlign w:val="bottom"/>
            <w:shd w:val="clear" w:color="auto" w:fill="E2E8F1"/>
          </w:tcPr>
          <w:p>
            <w:pPr>
              <w:spacing w:after="0"/>
              <w:rPr>
                <w:sz w:val="15"/>
                <w:szCs w:val="15"/>
                <w:color w:val="auto"/>
              </w:rPr>
            </w:pPr>
          </w:p>
        </w:tc>
        <w:tc>
          <w:tcPr>
            <w:tcW w:w="1260" w:type="dxa"/>
            <w:vAlign w:val="bottom"/>
            <w:shd w:val="clear" w:color="auto" w:fill="E2E8F1"/>
          </w:tcPr>
          <w:p>
            <w:pPr>
              <w:spacing w:after="0"/>
              <w:rPr>
                <w:sz w:val="15"/>
                <w:szCs w:val="15"/>
                <w:color w:val="auto"/>
              </w:rPr>
            </w:pPr>
          </w:p>
        </w:tc>
      </w:tr>
      <w:tr>
        <w:trPr>
          <w:trHeight w:val="189"/>
        </w:trPr>
        <w:tc>
          <w:tcPr>
            <w:tcW w:w="4060" w:type="dxa"/>
            <w:vAlign w:val="bottom"/>
          </w:tcPr>
          <w:p>
            <w:pPr>
              <w:ind w:left="240"/>
              <w:spacing w:after="0"/>
              <w:rPr>
                <w:sz w:val="20"/>
                <w:szCs w:val="20"/>
                <w:color w:val="auto"/>
              </w:rPr>
            </w:pPr>
            <w:r>
              <w:rPr>
                <w:rFonts w:ascii="Arial" w:cs="Arial" w:eastAsia="Arial" w:hAnsi="Arial"/>
                <w:sz w:val="14"/>
                <w:szCs w:val="14"/>
                <w:color w:val="auto"/>
              </w:rPr>
              <w:t>Granted</w:t>
            </w:r>
          </w:p>
        </w:tc>
        <w:tc>
          <w:tcPr>
            <w:tcW w:w="131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5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center"/>
              <w:ind w:right="350"/>
              <w:spacing w:after="0"/>
              <w:rPr>
                <w:sz w:val="20"/>
                <w:szCs w:val="20"/>
                <w:color w:val="auto"/>
              </w:rPr>
            </w:pPr>
            <w:r>
              <w:rPr>
                <w:rFonts w:ascii="Arial" w:cs="Arial" w:eastAsia="Arial" w:hAnsi="Arial"/>
                <w:sz w:val="14"/>
                <w:szCs w:val="14"/>
                <w:color w:val="auto"/>
                <w:w w:val="94"/>
              </w:rPr>
              <w:t>N/A</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4060" w:type="dxa"/>
            <w:vAlign w:val="bottom"/>
            <w:shd w:val="clear" w:color="auto" w:fill="E2E8F1"/>
          </w:tcPr>
          <w:p>
            <w:pPr>
              <w:ind w:left="240"/>
              <w:spacing w:after="0"/>
              <w:rPr>
                <w:sz w:val="20"/>
                <w:szCs w:val="20"/>
                <w:color w:val="auto"/>
              </w:rPr>
            </w:pPr>
            <w:r>
              <w:rPr>
                <w:rFonts w:ascii="Arial" w:cs="Arial" w:eastAsia="Arial" w:hAnsi="Arial"/>
                <w:sz w:val="14"/>
                <w:szCs w:val="14"/>
                <w:color w:val="auto"/>
              </w:rPr>
              <w:t>Exercised</w:t>
            </w:r>
          </w:p>
        </w:tc>
        <w:tc>
          <w:tcPr>
            <w:tcW w:w="1310" w:type="dxa"/>
            <w:vAlign w:val="bottom"/>
            <w:shd w:val="clear" w:color="auto" w:fill="E2E8F1"/>
          </w:tcPr>
          <w:p>
            <w:pPr>
              <w:spacing w:after="0"/>
              <w:rPr>
                <w:sz w:val="16"/>
                <w:szCs w:val="16"/>
                <w:color w:val="auto"/>
              </w:rPr>
            </w:pPr>
          </w:p>
        </w:tc>
        <w:tc>
          <w:tcPr>
            <w:tcW w:w="330" w:type="dxa"/>
            <w:vAlign w:val="bottom"/>
            <w:shd w:val="clear" w:color="auto" w:fill="E2E8F1"/>
          </w:tcPr>
          <w:p>
            <w:pPr>
              <w:spacing w:after="0"/>
              <w:rPr>
                <w:sz w:val="16"/>
                <w:szCs w:val="16"/>
                <w:color w:val="auto"/>
              </w:rPr>
            </w:pPr>
          </w:p>
        </w:tc>
        <w:tc>
          <w:tcPr>
            <w:tcW w:w="520" w:type="dxa"/>
            <w:vAlign w:val="bottom"/>
            <w:shd w:val="clear" w:color="auto" w:fill="E2E8F1"/>
          </w:tcPr>
          <w:p>
            <w:pPr>
              <w:jc w:val="right"/>
              <w:ind w:right="191"/>
              <w:spacing w:after="0"/>
              <w:rPr>
                <w:sz w:val="20"/>
                <w:szCs w:val="20"/>
                <w:color w:val="auto"/>
              </w:rPr>
            </w:pPr>
            <w:r>
              <w:rPr>
                <w:rFonts w:ascii="Arial" w:cs="Arial" w:eastAsia="Arial" w:hAnsi="Arial"/>
                <w:sz w:val="14"/>
                <w:szCs w:val="14"/>
                <w:color w:val="auto"/>
              </w:rPr>
              <w:t>—</w:t>
            </w:r>
          </w:p>
        </w:tc>
        <w:tc>
          <w:tcPr>
            <w:tcW w:w="580" w:type="dxa"/>
            <w:vAlign w:val="bottom"/>
            <w:shd w:val="clear" w:color="auto" w:fill="E2E8F1"/>
          </w:tcPr>
          <w:p>
            <w:pPr>
              <w:spacing w:after="0"/>
              <w:rPr>
                <w:sz w:val="16"/>
                <w:szCs w:val="16"/>
                <w:color w:val="auto"/>
              </w:rPr>
            </w:pPr>
          </w:p>
        </w:tc>
        <w:tc>
          <w:tcPr>
            <w:tcW w:w="600" w:type="dxa"/>
            <w:vAlign w:val="bottom"/>
            <w:shd w:val="clear" w:color="auto" w:fill="E2E8F1"/>
          </w:tcPr>
          <w:p>
            <w:pPr>
              <w:spacing w:after="0"/>
              <w:rPr>
                <w:sz w:val="16"/>
                <w:szCs w:val="16"/>
                <w:color w:val="auto"/>
              </w:rPr>
            </w:pPr>
          </w:p>
        </w:tc>
        <w:tc>
          <w:tcPr>
            <w:tcW w:w="960" w:type="dxa"/>
            <w:vAlign w:val="bottom"/>
            <w:shd w:val="clear" w:color="auto" w:fill="E2E8F1"/>
          </w:tcPr>
          <w:p>
            <w:pPr>
              <w:jc w:val="center"/>
              <w:ind w:right="350"/>
              <w:spacing w:after="0"/>
              <w:rPr>
                <w:sz w:val="20"/>
                <w:szCs w:val="20"/>
                <w:color w:val="auto"/>
              </w:rPr>
            </w:pPr>
            <w:r>
              <w:rPr>
                <w:rFonts w:ascii="Arial" w:cs="Arial" w:eastAsia="Arial" w:hAnsi="Arial"/>
                <w:sz w:val="14"/>
                <w:szCs w:val="14"/>
                <w:color w:val="auto"/>
                <w:w w:val="94"/>
              </w:rPr>
              <w:t>N/A</w:t>
            </w:r>
          </w:p>
        </w:tc>
        <w:tc>
          <w:tcPr>
            <w:tcW w:w="10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c>
          <w:tcPr>
            <w:tcW w:w="28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r>
      <w:tr>
        <w:trPr>
          <w:trHeight w:val="189"/>
        </w:trPr>
        <w:tc>
          <w:tcPr>
            <w:tcW w:w="40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Expired or cancelled</w:t>
            </w:r>
          </w:p>
        </w:tc>
        <w:tc>
          <w:tcPr>
            <w:tcW w:w="1310" w:type="dxa"/>
            <w:vAlign w:val="bottom"/>
            <w:tcBorders>
              <w:bottom w:val="single" w:sz="8" w:color="auto"/>
            </w:tcBorders>
          </w:tcPr>
          <w:p>
            <w:pPr>
              <w:spacing w:after="0"/>
              <w:rPr>
                <w:sz w:val="16"/>
                <w:szCs w:val="16"/>
                <w:color w:val="auto"/>
              </w:rPr>
            </w:pPr>
          </w:p>
        </w:tc>
        <w:tc>
          <w:tcPr>
            <w:tcW w:w="33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(48 )</w:t>
            </w: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1"/>
        </w:trPr>
        <w:tc>
          <w:tcPr>
            <w:tcW w:w="406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auto"/>
              </w:rPr>
              <w:t>Outstanding, December 31, 2024</w:t>
            </w:r>
          </w:p>
        </w:tc>
        <w:tc>
          <w:tcPr>
            <w:tcW w:w="1310" w:type="dxa"/>
            <w:vAlign w:val="bottom"/>
            <w:tcBorders>
              <w:bottom w:val="single" w:sz="8" w:color="auto"/>
            </w:tcBorders>
            <w:shd w:val="clear" w:color="auto" w:fill="E2E8F1"/>
          </w:tcPr>
          <w:p>
            <w:pPr>
              <w:spacing w:after="0"/>
              <w:rPr>
                <w:sz w:val="15"/>
                <w:szCs w:val="15"/>
                <w:color w:val="auto"/>
              </w:rPr>
            </w:pPr>
          </w:p>
        </w:tc>
        <w:tc>
          <w:tcPr>
            <w:tcW w:w="330" w:type="dxa"/>
            <w:vAlign w:val="bottom"/>
            <w:tcBorders>
              <w:bottom w:val="single" w:sz="8" w:color="auto"/>
            </w:tcBorders>
            <w:shd w:val="clear" w:color="auto" w:fill="E2E8F1"/>
          </w:tcPr>
          <w:p>
            <w:pPr>
              <w:spacing w:after="0"/>
              <w:rPr>
                <w:sz w:val="15"/>
                <w:szCs w:val="15"/>
                <w:color w:val="auto"/>
              </w:rPr>
            </w:pPr>
          </w:p>
        </w:tc>
        <w:tc>
          <w:tcPr>
            <w:tcW w:w="520" w:type="dxa"/>
            <w:vAlign w:val="bottom"/>
            <w:tcBorders>
              <w:bottom w:val="single" w:sz="8" w:color="auto"/>
            </w:tcBorders>
            <w:shd w:val="clear" w:color="auto" w:fill="E2E8F1"/>
          </w:tcPr>
          <w:p>
            <w:pPr>
              <w:jc w:val="right"/>
              <w:ind w:right="191"/>
              <w:spacing w:after="0"/>
              <w:rPr>
                <w:sz w:val="20"/>
                <w:szCs w:val="20"/>
                <w:color w:val="auto"/>
              </w:rPr>
            </w:pPr>
            <w:r>
              <w:rPr>
                <w:rFonts w:ascii="Arial" w:cs="Arial" w:eastAsia="Arial" w:hAnsi="Arial"/>
                <w:sz w:val="14"/>
                <w:szCs w:val="14"/>
                <w:color w:val="auto"/>
              </w:rPr>
              <w:t>762</w:t>
            </w:r>
          </w:p>
        </w:tc>
        <w:tc>
          <w:tcPr>
            <w:tcW w:w="580" w:type="dxa"/>
            <w:vAlign w:val="bottom"/>
            <w:tcBorders>
              <w:bottom w:val="single" w:sz="8" w:color="auto"/>
            </w:tcBorders>
            <w:shd w:val="clear" w:color="auto" w:fill="E2E8F1"/>
          </w:tcPr>
          <w:p>
            <w:pPr>
              <w:jc w:val="right"/>
              <w:ind w:right="25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E2E8F1"/>
          </w:tcPr>
          <w:p>
            <w:pPr>
              <w:spacing w:after="0"/>
              <w:rPr>
                <w:sz w:val="15"/>
                <w:szCs w:val="15"/>
                <w:color w:val="auto"/>
              </w:rPr>
            </w:pPr>
          </w:p>
        </w:tc>
        <w:tc>
          <w:tcPr>
            <w:tcW w:w="960" w:type="dxa"/>
            <w:vAlign w:val="bottom"/>
            <w:tcBorders>
              <w:bottom w:val="single" w:sz="8" w:color="auto"/>
            </w:tcBorders>
            <w:shd w:val="clear" w:color="auto" w:fill="E2E8F1"/>
          </w:tcPr>
          <w:p>
            <w:pPr>
              <w:jc w:val="right"/>
              <w:ind w:right="510"/>
              <w:spacing w:after="0"/>
              <w:rPr>
                <w:sz w:val="20"/>
                <w:szCs w:val="20"/>
                <w:color w:val="auto"/>
              </w:rPr>
            </w:pPr>
            <w:r>
              <w:rPr>
                <w:rFonts w:ascii="Arial" w:cs="Arial" w:eastAsia="Arial" w:hAnsi="Arial"/>
                <w:sz w:val="14"/>
                <w:szCs w:val="14"/>
                <w:color w:val="auto"/>
              </w:rPr>
              <w:t>91</w:t>
            </w:r>
          </w:p>
        </w:tc>
        <w:tc>
          <w:tcPr>
            <w:tcW w:w="1360" w:type="dxa"/>
            <w:vAlign w:val="bottom"/>
            <w:tcBorders>
              <w:bottom w:val="single" w:sz="8" w:color="auto"/>
            </w:tcBorders>
            <w:gridSpan w:val="2"/>
            <w:shd w:val="clear" w:color="auto" w:fill="E2E8F1"/>
          </w:tcPr>
          <w:p>
            <w:pPr>
              <w:jc w:val="right"/>
              <w:ind w:right="197"/>
              <w:spacing w:after="0"/>
              <w:rPr>
                <w:sz w:val="20"/>
                <w:szCs w:val="20"/>
                <w:color w:val="auto"/>
              </w:rPr>
            </w:pPr>
            <w:r>
              <w:rPr>
                <w:rFonts w:ascii="Arial" w:cs="Arial" w:eastAsia="Arial" w:hAnsi="Arial"/>
                <w:sz w:val="14"/>
                <w:szCs w:val="14"/>
                <w:color w:val="auto"/>
              </w:rPr>
              <w:t>3.7</w:t>
            </w:r>
          </w:p>
        </w:tc>
        <w:tc>
          <w:tcPr>
            <w:tcW w:w="280" w:type="dxa"/>
            <w:vAlign w:val="bottom"/>
            <w:tcBorders>
              <w:bottom w:val="single" w:sz="8" w:color="auto"/>
            </w:tcBorders>
            <w:shd w:val="clear" w:color="auto" w:fill="E2E8F1"/>
          </w:tcPr>
          <w:p>
            <w:pPr>
              <w:jc w:val="center"/>
              <w:ind w:right="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2E8F1"/>
          </w:tcPr>
          <w:p>
            <w:pPr>
              <w:jc w:val="right"/>
              <w:ind w:right="72"/>
              <w:spacing w:after="0"/>
              <w:rPr>
                <w:sz w:val="20"/>
                <w:szCs w:val="20"/>
                <w:color w:val="auto"/>
              </w:rPr>
            </w:pPr>
            <w:r>
              <w:rPr>
                <w:rFonts w:ascii="Arial" w:cs="Arial" w:eastAsia="Arial" w:hAnsi="Arial"/>
                <w:sz w:val="14"/>
                <w:szCs w:val="14"/>
                <w:color w:val="auto"/>
              </w:rPr>
              <w:t>—</w:t>
            </w:r>
          </w:p>
        </w:tc>
      </w:tr>
      <w:tr>
        <w:trPr>
          <w:trHeight w:val="181"/>
        </w:trPr>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Exercisable, December 31, 2024</w:t>
            </w:r>
          </w:p>
        </w:tc>
        <w:tc>
          <w:tcPr>
            <w:tcW w:w="1310" w:type="dxa"/>
            <w:vAlign w:val="bottom"/>
            <w:tcBorders>
              <w:bottom w:val="single" w:sz="8" w:color="auto"/>
            </w:tcBorders>
          </w:tcPr>
          <w:p>
            <w:pPr>
              <w:spacing w:after="0"/>
              <w:rPr>
                <w:sz w:val="15"/>
                <w:szCs w:val="15"/>
                <w:color w:val="auto"/>
              </w:rPr>
            </w:pPr>
          </w:p>
        </w:tc>
        <w:tc>
          <w:tcPr>
            <w:tcW w:w="33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730</w:t>
            </w: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rPr>
              <w:t>91</w:t>
            </w:r>
          </w:p>
        </w:tc>
        <w:tc>
          <w:tcPr>
            <w:tcW w:w="1360" w:type="dxa"/>
            <w:vAlign w:val="bottom"/>
            <w:tcBorders>
              <w:bottom w:val="single" w:sz="8" w:color="auto"/>
            </w:tcBorders>
            <w:gridSpan w:val="2"/>
          </w:tcPr>
          <w:p>
            <w:pPr>
              <w:jc w:val="right"/>
              <w:ind w:right="197"/>
              <w:spacing w:after="0"/>
              <w:rPr>
                <w:sz w:val="20"/>
                <w:szCs w:val="20"/>
                <w:color w:val="auto"/>
              </w:rPr>
            </w:pPr>
            <w:r>
              <w:rPr>
                <w:rFonts w:ascii="Arial" w:cs="Arial" w:eastAsia="Arial" w:hAnsi="Arial"/>
                <w:sz w:val="14"/>
                <w:szCs w:val="14"/>
                <w:color w:val="auto"/>
              </w:rPr>
              <w:t>3.5</w:t>
            </w:r>
          </w:p>
        </w:tc>
        <w:tc>
          <w:tcPr>
            <w:tcW w:w="2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r>
      <w:tr>
        <w:trPr>
          <w:trHeight w:val="290"/>
        </w:trPr>
        <w:tc>
          <w:tcPr>
            <w:tcW w:w="5700" w:type="dxa"/>
            <w:vAlign w:val="bottom"/>
            <w:gridSpan w:val="3"/>
          </w:tcPr>
          <w:p>
            <w:pPr>
              <w:spacing w:after="0"/>
              <w:rPr>
                <w:sz w:val="20"/>
                <w:szCs w:val="20"/>
                <w:color w:val="auto"/>
              </w:rPr>
            </w:pPr>
            <w:r>
              <w:rPr>
                <w:rFonts w:ascii="Arial" w:cs="Arial" w:eastAsia="Arial" w:hAnsi="Arial"/>
                <w:sz w:val="16"/>
                <w:szCs w:val="16"/>
                <w:color w:val="231F20"/>
              </w:rPr>
              <w:t>Options outstanding and exercisable as of December 31, 2024 were as follows:</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92"/>
        </w:trPr>
        <w:tc>
          <w:tcPr>
            <w:tcW w:w="4060" w:type="dxa"/>
            <w:vAlign w:val="bottom"/>
            <w:tcBorders>
              <w:bottom w:val="single" w:sz="8" w:color="231F20"/>
            </w:tcBorders>
          </w:tcPr>
          <w:p>
            <w:pPr>
              <w:spacing w:after="0"/>
              <w:rPr>
                <w:sz w:val="7"/>
                <w:szCs w:val="7"/>
                <w:color w:val="auto"/>
              </w:rPr>
            </w:pPr>
          </w:p>
        </w:tc>
        <w:tc>
          <w:tcPr>
            <w:tcW w:w="1310" w:type="dxa"/>
            <w:vAlign w:val="bottom"/>
            <w:tcBorders>
              <w:bottom w:val="single" w:sz="8" w:color="231F20"/>
            </w:tcBorders>
          </w:tcPr>
          <w:p>
            <w:pPr>
              <w:spacing w:after="0"/>
              <w:rPr>
                <w:sz w:val="7"/>
                <w:szCs w:val="7"/>
                <w:color w:val="auto"/>
              </w:rPr>
            </w:pPr>
          </w:p>
        </w:tc>
        <w:tc>
          <w:tcPr>
            <w:tcW w:w="1430" w:type="dxa"/>
            <w:vAlign w:val="bottom"/>
            <w:tcBorders>
              <w:bottom w:val="single" w:sz="8" w:color="231F20"/>
            </w:tcBorders>
            <w:gridSpan w:val="3"/>
          </w:tcPr>
          <w:p>
            <w:pPr>
              <w:spacing w:after="0"/>
              <w:rPr>
                <w:sz w:val="7"/>
                <w:szCs w:val="7"/>
                <w:color w:val="auto"/>
              </w:rPr>
            </w:pPr>
          </w:p>
        </w:tc>
        <w:tc>
          <w:tcPr>
            <w:tcW w:w="600" w:type="dxa"/>
            <w:vAlign w:val="bottom"/>
            <w:tcBorders>
              <w:bottom w:val="single" w:sz="8" w:color="231F20"/>
            </w:tcBorders>
          </w:tcPr>
          <w:p>
            <w:pPr>
              <w:spacing w:after="0"/>
              <w:rPr>
                <w:sz w:val="7"/>
                <w:szCs w:val="7"/>
                <w:color w:val="auto"/>
              </w:rPr>
            </w:pPr>
          </w:p>
        </w:tc>
        <w:tc>
          <w:tcPr>
            <w:tcW w:w="960" w:type="dxa"/>
            <w:vAlign w:val="bottom"/>
            <w:tcBorders>
              <w:bottom w:val="single" w:sz="8" w:color="231F20"/>
            </w:tcBorders>
          </w:tcPr>
          <w:p>
            <w:pPr>
              <w:spacing w:after="0"/>
              <w:rPr>
                <w:sz w:val="7"/>
                <w:szCs w:val="7"/>
                <w:color w:val="auto"/>
              </w:rPr>
            </w:pPr>
          </w:p>
        </w:tc>
        <w:tc>
          <w:tcPr>
            <w:tcW w:w="100" w:type="dxa"/>
            <w:vAlign w:val="bottom"/>
            <w:tcBorders>
              <w:bottom w:val="single" w:sz="8" w:color="231F20"/>
            </w:tcBorders>
          </w:tcPr>
          <w:p>
            <w:pPr>
              <w:spacing w:after="0"/>
              <w:rPr>
                <w:sz w:val="7"/>
                <w:szCs w:val="7"/>
                <w:color w:val="auto"/>
              </w:rPr>
            </w:pPr>
          </w:p>
        </w:tc>
        <w:tc>
          <w:tcPr>
            <w:tcW w:w="2800" w:type="dxa"/>
            <w:vAlign w:val="bottom"/>
            <w:tcBorders>
              <w:bottom w:val="single" w:sz="8" w:color="231F20"/>
            </w:tcBorders>
            <w:gridSpan w:val="3"/>
          </w:tcPr>
          <w:p>
            <w:pPr>
              <w:spacing w:after="0"/>
              <w:rPr>
                <w:sz w:val="7"/>
                <w:szCs w:val="7"/>
                <w:color w:val="auto"/>
              </w:rPr>
            </w:pPr>
          </w:p>
        </w:tc>
      </w:tr>
      <w:tr>
        <w:trPr>
          <w:trHeight w:val="211"/>
        </w:trPr>
        <w:tc>
          <w:tcPr>
            <w:tcW w:w="4060" w:type="dxa"/>
            <w:vAlign w:val="bottom"/>
            <w:tcBorders>
              <w:bottom w:val="single" w:sz="8" w:color="98B0CF"/>
            </w:tcBorders>
            <w:shd w:val="clear" w:color="auto" w:fill="98B0CF"/>
          </w:tcPr>
          <w:p>
            <w:pPr>
              <w:spacing w:after="0"/>
              <w:rPr>
                <w:sz w:val="18"/>
                <w:szCs w:val="18"/>
                <w:color w:val="auto"/>
              </w:rPr>
            </w:pPr>
          </w:p>
        </w:tc>
        <w:tc>
          <w:tcPr>
            <w:tcW w:w="1310" w:type="dxa"/>
            <w:vAlign w:val="bottom"/>
            <w:tcBorders>
              <w:bottom w:val="single" w:sz="8" w:color="auto"/>
            </w:tcBorders>
            <w:shd w:val="clear" w:color="auto" w:fill="98B0CF"/>
          </w:tcPr>
          <w:p>
            <w:pPr>
              <w:spacing w:after="0"/>
              <w:rPr>
                <w:sz w:val="18"/>
                <w:szCs w:val="18"/>
                <w:color w:val="auto"/>
              </w:rPr>
            </w:pPr>
          </w:p>
        </w:tc>
        <w:tc>
          <w:tcPr>
            <w:tcW w:w="1430" w:type="dxa"/>
            <w:vAlign w:val="bottom"/>
            <w:tcBorders>
              <w:bottom w:val="single" w:sz="8" w:color="auto"/>
            </w:tcBorders>
            <w:gridSpan w:val="3"/>
            <w:shd w:val="clear" w:color="auto" w:fill="98B0CF"/>
          </w:tcPr>
          <w:p>
            <w:pPr>
              <w:jc w:val="right"/>
              <w:spacing w:after="0"/>
              <w:rPr>
                <w:sz w:val="20"/>
                <w:szCs w:val="20"/>
                <w:color w:val="auto"/>
              </w:rPr>
            </w:pPr>
            <w:r>
              <w:rPr>
                <w:rFonts w:ascii="Arial" w:cs="Arial" w:eastAsia="Arial" w:hAnsi="Arial"/>
                <w:sz w:val="13"/>
                <w:szCs w:val="13"/>
                <w:b w:val="1"/>
                <w:bCs w:val="1"/>
                <w:color w:val="auto"/>
              </w:rPr>
              <w:t>Options Outstanding</w:t>
            </w:r>
          </w:p>
        </w:tc>
        <w:tc>
          <w:tcPr>
            <w:tcW w:w="600" w:type="dxa"/>
            <w:vAlign w:val="bottom"/>
            <w:tcBorders>
              <w:bottom w:val="single" w:sz="8" w:color="auto"/>
            </w:tcBorders>
            <w:shd w:val="clear" w:color="auto" w:fill="98B0CF"/>
          </w:tcPr>
          <w:p>
            <w:pPr>
              <w:spacing w:after="0"/>
              <w:rPr>
                <w:sz w:val="18"/>
                <w:szCs w:val="18"/>
                <w:color w:val="auto"/>
              </w:rPr>
            </w:pPr>
          </w:p>
        </w:tc>
        <w:tc>
          <w:tcPr>
            <w:tcW w:w="960" w:type="dxa"/>
            <w:vAlign w:val="bottom"/>
            <w:tcBorders>
              <w:bottom w:val="single" w:sz="8" w:color="auto"/>
            </w:tcBorders>
            <w:shd w:val="clear" w:color="auto" w:fill="98B0CF"/>
          </w:tcPr>
          <w:p>
            <w:pPr>
              <w:spacing w:after="0"/>
              <w:rPr>
                <w:sz w:val="18"/>
                <w:szCs w:val="18"/>
                <w:color w:val="auto"/>
              </w:rPr>
            </w:pPr>
          </w:p>
        </w:tc>
        <w:tc>
          <w:tcPr>
            <w:tcW w:w="100" w:type="dxa"/>
            <w:vAlign w:val="bottom"/>
            <w:tcBorders>
              <w:bottom w:val="single" w:sz="8" w:color="98B0CF"/>
            </w:tcBorders>
            <w:shd w:val="clear" w:color="auto" w:fill="98B0CF"/>
          </w:tcPr>
          <w:p>
            <w:pPr>
              <w:spacing w:after="0"/>
              <w:rPr>
                <w:sz w:val="18"/>
                <w:szCs w:val="18"/>
                <w:color w:val="auto"/>
              </w:rPr>
            </w:pPr>
          </w:p>
        </w:tc>
        <w:tc>
          <w:tcPr>
            <w:tcW w:w="2800" w:type="dxa"/>
            <w:vAlign w:val="bottom"/>
            <w:tcBorders>
              <w:bottom w:val="single" w:sz="8" w:color="auto"/>
            </w:tcBorders>
            <w:gridSpan w:val="3"/>
            <w:shd w:val="clear" w:color="auto" w:fill="98B0CF"/>
          </w:tcPr>
          <w:p>
            <w:pPr>
              <w:jc w:val="center"/>
              <w:ind w:right="52"/>
              <w:spacing w:after="0"/>
              <w:rPr>
                <w:sz w:val="20"/>
                <w:szCs w:val="20"/>
                <w:color w:val="auto"/>
              </w:rPr>
            </w:pPr>
            <w:r>
              <w:rPr>
                <w:rFonts w:ascii="Arial" w:cs="Arial" w:eastAsia="Arial" w:hAnsi="Arial"/>
                <w:sz w:val="13"/>
                <w:szCs w:val="13"/>
                <w:b w:val="1"/>
                <w:bCs w:val="1"/>
                <w:color w:val="auto"/>
                <w:w w:val="95"/>
              </w:rPr>
              <w:t>Options Exercisable</w:t>
            </w:r>
          </w:p>
        </w:tc>
      </w:tr>
      <w:tr>
        <w:trPr>
          <w:trHeight w:val="144"/>
        </w:trPr>
        <w:tc>
          <w:tcPr>
            <w:tcW w:w="4060" w:type="dxa"/>
            <w:vAlign w:val="bottom"/>
            <w:shd w:val="clear" w:color="auto" w:fill="98B0CF"/>
          </w:tcPr>
          <w:p>
            <w:pPr>
              <w:spacing w:after="0"/>
              <w:rPr>
                <w:sz w:val="12"/>
                <w:szCs w:val="12"/>
                <w:color w:val="auto"/>
              </w:rPr>
            </w:pPr>
          </w:p>
        </w:tc>
        <w:tc>
          <w:tcPr>
            <w:tcW w:w="1310" w:type="dxa"/>
            <w:vAlign w:val="bottom"/>
            <w:shd w:val="clear" w:color="auto" w:fill="98B0CF"/>
          </w:tcPr>
          <w:p>
            <w:pPr>
              <w:spacing w:after="0"/>
              <w:rPr>
                <w:sz w:val="12"/>
                <w:szCs w:val="12"/>
                <w:color w:val="auto"/>
              </w:rPr>
            </w:pPr>
          </w:p>
        </w:tc>
        <w:tc>
          <w:tcPr>
            <w:tcW w:w="330" w:type="dxa"/>
            <w:vAlign w:val="bottom"/>
            <w:shd w:val="clear" w:color="auto" w:fill="98B0CF"/>
          </w:tcPr>
          <w:p>
            <w:pPr>
              <w:spacing w:after="0"/>
              <w:rPr>
                <w:sz w:val="12"/>
                <w:szCs w:val="12"/>
                <w:color w:val="auto"/>
              </w:rPr>
            </w:pPr>
          </w:p>
        </w:tc>
        <w:tc>
          <w:tcPr>
            <w:tcW w:w="1100" w:type="dxa"/>
            <w:vAlign w:val="bottom"/>
            <w:gridSpan w:val="2"/>
            <w:shd w:val="clear" w:color="auto" w:fill="98B0CF"/>
          </w:tcPr>
          <w:p>
            <w:pPr>
              <w:jc w:val="center"/>
              <w:ind w:right="50"/>
              <w:spacing w:after="0" w:line="144" w:lineRule="exact"/>
              <w:rPr>
                <w:sz w:val="20"/>
                <w:szCs w:val="20"/>
                <w:color w:val="auto"/>
              </w:rPr>
            </w:pPr>
            <w:r>
              <w:rPr>
                <w:rFonts w:ascii="Arial" w:cs="Arial" w:eastAsia="Arial" w:hAnsi="Arial"/>
                <w:sz w:val="13"/>
                <w:szCs w:val="13"/>
                <w:b w:val="1"/>
                <w:bCs w:val="1"/>
                <w:color w:val="auto"/>
                <w:w w:val="98"/>
              </w:rPr>
              <w:t>Weighted-</w:t>
            </w:r>
          </w:p>
        </w:tc>
        <w:tc>
          <w:tcPr>
            <w:tcW w:w="600" w:type="dxa"/>
            <w:vAlign w:val="bottom"/>
            <w:shd w:val="clear" w:color="auto" w:fill="98B0CF"/>
          </w:tcPr>
          <w:p>
            <w:pPr>
              <w:spacing w:after="0"/>
              <w:rPr>
                <w:sz w:val="12"/>
                <w:szCs w:val="12"/>
                <w:color w:val="auto"/>
              </w:rPr>
            </w:pPr>
          </w:p>
        </w:tc>
        <w:tc>
          <w:tcPr>
            <w:tcW w:w="96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260" w:type="dxa"/>
            <w:vAlign w:val="bottom"/>
            <w:shd w:val="clear" w:color="auto" w:fill="98B0CF"/>
          </w:tcPr>
          <w:p>
            <w:pPr>
              <w:spacing w:after="0"/>
              <w:rPr>
                <w:sz w:val="12"/>
                <w:szCs w:val="12"/>
                <w:color w:val="auto"/>
              </w:rPr>
            </w:pPr>
          </w:p>
        </w:tc>
        <w:tc>
          <w:tcPr>
            <w:tcW w:w="280" w:type="dxa"/>
            <w:vAlign w:val="bottom"/>
            <w:shd w:val="clear" w:color="auto" w:fill="98B0CF"/>
          </w:tcPr>
          <w:p>
            <w:pPr>
              <w:spacing w:after="0"/>
              <w:rPr>
                <w:sz w:val="12"/>
                <w:szCs w:val="12"/>
                <w:color w:val="auto"/>
              </w:rPr>
            </w:pPr>
          </w:p>
        </w:tc>
        <w:tc>
          <w:tcPr>
            <w:tcW w:w="1260" w:type="dxa"/>
            <w:vAlign w:val="bottom"/>
            <w:shd w:val="clear" w:color="auto" w:fill="98B0CF"/>
          </w:tcPr>
          <w:p>
            <w:pPr>
              <w:spacing w:after="0"/>
              <w:rPr>
                <w:sz w:val="12"/>
                <w:szCs w:val="12"/>
                <w:color w:val="auto"/>
              </w:rPr>
            </w:pPr>
          </w:p>
        </w:tc>
      </w:tr>
      <w:tr>
        <w:trPr>
          <w:trHeight w:val="142"/>
        </w:trPr>
        <w:tc>
          <w:tcPr>
            <w:tcW w:w="4060" w:type="dxa"/>
            <w:vAlign w:val="bottom"/>
            <w:shd w:val="clear" w:color="auto" w:fill="98B0CF"/>
          </w:tcPr>
          <w:p>
            <w:pPr>
              <w:spacing w:after="0"/>
              <w:rPr>
                <w:sz w:val="12"/>
                <w:szCs w:val="12"/>
                <w:color w:val="auto"/>
              </w:rPr>
            </w:pPr>
          </w:p>
        </w:tc>
        <w:tc>
          <w:tcPr>
            <w:tcW w:w="1310" w:type="dxa"/>
            <w:vAlign w:val="bottom"/>
            <w:shd w:val="clear" w:color="auto" w:fill="98B0CF"/>
          </w:tcPr>
          <w:p>
            <w:pPr>
              <w:spacing w:after="0"/>
              <w:rPr>
                <w:sz w:val="12"/>
                <w:szCs w:val="12"/>
                <w:color w:val="auto"/>
              </w:rPr>
            </w:pPr>
          </w:p>
        </w:tc>
        <w:tc>
          <w:tcPr>
            <w:tcW w:w="330" w:type="dxa"/>
            <w:vAlign w:val="bottom"/>
            <w:shd w:val="clear" w:color="auto" w:fill="98B0CF"/>
          </w:tcPr>
          <w:p>
            <w:pPr>
              <w:spacing w:after="0"/>
              <w:rPr>
                <w:sz w:val="12"/>
                <w:szCs w:val="12"/>
                <w:color w:val="auto"/>
              </w:rPr>
            </w:pPr>
          </w:p>
        </w:tc>
        <w:tc>
          <w:tcPr>
            <w:tcW w:w="1100" w:type="dxa"/>
            <w:vAlign w:val="bottom"/>
            <w:gridSpan w:val="2"/>
            <w:shd w:val="clear" w:color="auto" w:fill="98B0CF"/>
          </w:tcPr>
          <w:p>
            <w:pPr>
              <w:jc w:val="center"/>
              <w:ind w:right="50"/>
              <w:spacing w:after="0" w:line="142" w:lineRule="exact"/>
              <w:rPr>
                <w:sz w:val="20"/>
                <w:szCs w:val="20"/>
                <w:color w:val="auto"/>
              </w:rPr>
            </w:pPr>
            <w:r>
              <w:rPr>
                <w:rFonts w:ascii="Arial" w:cs="Arial" w:eastAsia="Arial" w:hAnsi="Arial"/>
                <w:sz w:val="13"/>
                <w:szCs w:val="13"/>
                <w:b w:val="1"/>
                <w:bCs w:val="1"/>
                <w:color w:val="auto"/>
                <w:w w:val="97"/>
              </w:rPr>
              <w:t>Average</w:t>
            </w:r>
          </w:p>
        </w:tc>
        <w:tc>
          <w:tcPr>
            <w:tcW w:w="1560" w:type="dxa"/>
            <w:vAlign w:val="bottom"/>
            <w:gridSpan w:val="2"/>
            <w:shd w:val="clear" w:color="auto" w:fill="98B0CF"/>
          </w:tcPr>
          <w:p>
            <w:pPr>
              <w:jc w:val="center"/>
              <w:ind w:left="73"/>
              <w:spacing w:after="0" w:line="142" w:lineRule="exact"/>
              <w:rPr>
                <w:sz w:val="20"/>
                <w:szCs w:val="20"/>
                <w:color w:val="auto"/>
              </w:rPr>
            </w:pPr>
            <w:r>
              <w:rPr>
                <w:rFonts w:ascii="Arial" w:cs="Arial" w:eastAsia="Arial" w:hAnsi="Arial"/>
                <w:sz w:val="13"/>
                <w:szCs w:val="13"/>
                <w:b w:val="1"/>
                <w:bCs w:val="1"/>
                <w:color w:val="auto"/>
                <w:w w:val="98"/>
              </w:rPr>
              <w:t>Weighted-</w:t>
            </w:r>
          </w:p>
        </w:tc>
        <w:tc>
          <w:tcPr>
            <w:tcW w:w="100" w:type="dxa"/>
            <w:vAlign w:val="bottom"/>
            <w:shd w:val="clear" w:color="auto" w:fill="98B0CF"/>
          </w:tcPr>
          <w:p>
            <w:pPr>
              <w:spacing w:after="0"/>
              <w:rPr>
                <w:sz w:val="12"/>
                <w:szCs w:val="12"/>
                <w:color w:val="auto"/>
              </w:rPr>
            </w:pPr>
          </w:p>
        </w:tc>
        <w:tc>
          <w:tcPr>
            <w:tcW w:w="1260" w:type="dxa"/>
            <w:vAlign w:val="bottom"/>
            <w:shd w:val="clear" w:color="auto" w:fill="98B0CF"/>
          </w:tcPr>
          <w:p>
            <w:pPr>
              <w:spacing w:after="0"/>
              <w:rPr>
                <w:sz w:val="12"/>
                <w:szCs w:val="12"/>
                <w:color w:val="auto"/>
              </w:rPr>
            </w:pPr>
          </w:p>
        </w:tc>
        <w:tc>
          <w:tcPr>
            <w:tcW w:w="280" w:type="dxa"/>
            <w:vAlign w:val="bottom"/>
            <w:shd w:val="clear" w:color="auto" w:fill="98B0CF"/>
          </w:tcPr>
          <w:p>
            <w:pPr>
              <w:spacing w:after="0"/>
              <w:rPr>
                <w:sz w:val="12"/>
                <w:szCs w:val="12"/>
                <w:color w:val="auto"/>
              </w:rPr>
            </w:pPr>
          </w:p>
        </w:tc>
        <w:tc>
          <w:tcPr>
            <w:tcW w:w="1260" w:type="dxa"/>
            <w:vAlign w:val="bottom"/>
            <w:shd w:val="clear" w:color="auto" w:fill="98B0CF"/>
          </w:tcPr>
          <w:p>
            <w:pPr>
              <w:jc w:val="center"/>
              <w:ind w:right="132"/>
              <w:spacing w:after="0" w:line="142" w:lineRule="exact"/>
              <w:rPr>
                <w:sz w:val="20"/>
                <w:szCs w:val="20"/>
                <w:color w:val="auto"/>
              </w:rPr>
            </w:pPr>
            <w:r>
              <w:rPr>
                <w:rFonts w:ascii="Arial" w:cs="Arial" w:eastAsia="Arial" w:hAnsi="Arial"/>
                <w:sz w:val="13"/>
                <w:szCs w:val="13"/>
                <w:b w:val="1"/>
                <w:bCs w:val="1"/>
                <w:color w:val="auto"/>
                <w:w w:val="98"/>
              </w:rPr>
              <w:t>Weighted-</w:t>
            </w:r>
          </w:p>
        </w:tc>
      </w:tr>
      <w:tr>
        <w:trPr>
          <w:trHeight w:val="142"/>
        </w:trPr>
        <w:tc>
          <w:tcPr>
            <w:tcW w:w="4060" w:type="dxa"/>
            <w:vAlign w:val="bottom"/>
            <w:shd w:val="clear" w:color="auto" w:fill="98B0CF"/>
          </w:tcPr>
          <w:p>
            <w:pPr>
              <w:spacing w:after="0"/>
              <w:rPr>
                <w:sz w:val="12"/>
                <w:szCs w:val="12"/>
                <w:color w:val="auto"/>
              </w:rPr>
            </w:pPr>
          </w:p>
        </w:tc>
        <w:tc>
          <w:tcPr>
            <w:tcW w:w="1310" w:type="dxa"/>
            <w:vAlign w:val="bottom"/>
            <w:shd w:val="clear" w:color="auto" w:fill="98B0CF"/>
          </w:tcPr>
          <w:p>
            <w:pPr>
              <w:spacing w:after="0"/>
              <w:rPr>
                <w:sz w:val="12"/>
                <w:szCs w:val="12"/>
                <w:color w:val="auto"/>
              </w:rPr>
            </w:pPr>
          </w:p>
        </w:tc>
        <w:tc>
          <w:tcPr>
            <w:tcW w:w="330" w:type="dxa"/>
            <w:vAlign w:val="bottom"/>
            <w:shd w:val="clear" w:color="auto" w:fill="98B0CF"/>
          </w:tcPr>
          <w:p>
            <w:pPr>
              <w:spacing w:after="0"/>
              <w:rPr>
                <w:sz w:val="12"/>
                <w:szCs w:val="12"/>
                <w:color w:val="auto"/>
              </w:rPr>
            </w:pPr>
          </w:p>
        </w:tc>
        <w:tc>
          <w:tcPr>
            <w:tcW w:w="1100" w:type="dxa"/>
            <w:vAlign w:val="bottom"/>
            <w:gridSpan w:val="2"/>
            <w:shd w:val="clear" w:color="auto" w:fill="98B0CF"/>
          </w:tcPr>
          <w:p>
            <w:pPr>
              <w:jc w:val="center"/>
              <w:ind w:right="10"/>
              <w:spacing w:after="0" w:line="142" w:lineRule="exact"/>
              <w:rPr>
                <w:sz w:val="20"/>
                <w:szCs w:val="20"/>
                <w:color w:val="auto"/>
              </w:rPr>
            </w:pPr>
            <w:r>
              <w:rPr>
                <w:rFonts w:ascii="Arial" w:cs="Arial" w:eastAsia="Arial" w:hAnsi="Arial"/>
                <w:sz w:val="13"/>
                <w:szCs w:val="13"/>
                <w:b w:val="1"/>
                <w:bCs w:val="1"/>
                <w:color w:val="auto"/>
                <w:w w:val="99"/>
              </w:rPr>
              <w:t>Remaining</w:t>
            </w:r>
          </w:p>
        </w:tc>
        <w:tc>
          <w:tcPr>
            <w:tcW w:w="600" w:type="dxa"/>
            <w:vAlign w:val="bottom"/>
            <w:shd w:val="clear" w:color="auto" w:fill="98B0CF"/>
          </w:tcPr>
          <w:p>
            <w:pPr>
              <w:spacing w:after="0"/>
              <w:rPr>
                <w:sz w:val="12"/>
                <w:szCs w:val="12"/>
                <w:color w:val="auto"/>
              </w:rPr>
            </w:pPr>
          </w:p>
        </w:tc>
        <w:tc>
          <w:tcPr>
            <w:tcW w:w="960" w:type="dxa"/>
            <w:vAlign w:val="bottom"/>
            <w:shd w:val="clear" w:color="auto" w:fill="98B0CF"/>
          </w:tcPr>
          <w:p>
            <w:pPr>
              <w:jc w:val="center"/>
              <w:ind w:right="390"/>
              <w:spacing w:after="0" w:line="142" w:lineRule="exact"/>
              <w:rPr>
                <w:sz w:val="20"/>
                <w:szCs w:val="20"/>
                <w:color w:val="auto"/>
              </w:rPr>
            </w:pPr>
            <w:r>
              <w:rPr>
                <w:rFonts w:ascii="Arial" w:cs="Arial" w:eastAsia="Arial" w:hAnsi="Arial"/>
                <w:sz w:val="13"/>
                <w:szCs w:val="13"/>
                <w:b w:val="1"/>
                <w:bCs w:val="1"/>
                <w:color w:val="auto"/>
                <w:w w:val="97"/>
              </w:rPr>
              <w:t>Average</w:t>
            </w:r>
          </w:p>
        </w:tc>
        <w:tc>
          <w:tcPr>
            <w:tcW w:w="100" w:type="dxa"/>
            <w:vAlign w:val="bottom"/>
            <w:shd w:val="clear" w:color="auto" w:fill="98B0CF"/>
          </w:tcPr>
          <w:p>
            <w:pPr>
              <w:spacing w:after="0"/>
              <w:rPr>
                <w:sz w:val="12"/>
                <w:szCs w:val="12"/>
                <w:color w:val="auto"/>
              </w:rPr>
            </w:pPr>
          </w:p>
        </w:tc>
        <w:tc>
          <w:tcPr>
            <w:tcW w:w="1260" w:type="dxa"/>
            <w:vAlign w:val="bottom"/>
            <w:shd w:val="clear" w:color="auto" w:fill="98B0CF"/>
          </w:tcPr>
          <w:p>
            <w:pPr>
              <w:spacing w:after="0"/>
              <w:rPr>
                <w:sz w:val="12"/>
                <w:szCs w:val="12"/>
                <w:color w:val="auto"/>
              </w:rPr>
            </w:pPr>
          </w:p>
        </w:tc>
        <w:tc>
          <w:tcPr>
            <w:tcW w:w="280" w:type="dxa"/>
            <w:vAlign w:val="bottom"/>
            <w:shd w:val="clear" w:color="auto" w:fill="98B0CF"/>
          </w:tcPr>
          <w:p>
            <w:pPr>
              <w:spacing w:after="0"/>
              <w:rPr>
                <w:sz w:val="12"/>
                <w:szCs w:val="12"/>
                <w:color w:val="auto"/>
              </w:rPr>
            </w:pPr>
          </w:p>
        </w:tc>
        <w:tc>
          <w:tcPr>
            <w:tcW w:w="1260" w:type="dxa"/>
            <w:vAlign w:val="bottom"/>
            <w:shd w:val="clear" w:color="auto" w:fill="98B0CF"/>
          </w:tcPr>
          <w:p>
            <w:pPr>
              <w:jc w:val="center"/>
              <w:ind w:right="132"/>
              <w:spacing w:after="0" w:line="142" w:lineRule="exact"/>
              <w:rPr>
                <w:sz w:val="20"/>
                <w:szCs w:val="20"/>
                <w:color w:val="auto"/>
              </w:rPr>
            </w:pPr>
            <w:r>
              <w:rPr>
                <w:rFonts w:ascii="Arial" w:cs="Arial" w:eastAsia="Arial" w:hAnsi="Arial"/>
                <w:sz w:val="13"/>
                <w:szCs w:val="13"/>
                <w:b w:val="1"/>
                <w:bCs w:val="1"/>
                <w:color w:val="auto"/>
                <w:w w:val="97"/>
              </w:rPr>
              <w:t>Average</w:t>
            </w:r>
          </w:p>
        </w:tc>
      </w:tr>
      <w:tr>
        <w:trPr>
          <w:trHeight w:val="142"/>
        </w:trPr>
        <w:tc>
          <w:tcPr>
            <w:tcW w:w="4060" w:type="dxa"/>
            <w:vAlign w:val="bottom"/>
            <w:shd w:val="clear" w:color="auto" w:fill="98B0CF"/>
          </w:tcPr>
          <w:p>
            <w:pPr>
              <w:spacing w:after="0"/>
              <w:rPr>
                <w:sz w:val="12"/>
                <w:szCs w:val="12"/>
                <w:color w:val="auto"/>
              </w:rPr>
            </w:pPr>
          </w:p>
        </w:tc>
        <w:tc>
          <w:tcPr>
            <w:tcW w:w="1310" w:type="dxa"/>
            <w:vAlign w:val="bottom"/>
            <w:shd w:val="clear" w:color="auto" w:fill="98B0CF"/>
          </w:tcPr>
          <w:p>
            <w:pPr>
              <w:spacing w:after="0"/>
              <w:rPr>
                <w:sz w:val="12"/>
                <w:szCs w:val="12"/>
                <w:color w:val="auto"/>
              </w:rPr>
            </w:pPr>
          </w:p>
        </w:tc>
        <w:tc>
          <w:tcPr>
            <w:tcW w:w="330" w:type="dxa"/>
            <w:vAlign w:val="bottom"/>
            <w:shd w:val="clear" w:color="auto" w:fill="98B0CF"/>
          </w:tcPr>
          <w:p>
            <w:pPr>
              <w:spacing w:after="0"/>
              <w:rPr>
                <w:sz w:val="12"/>
                <w:szCs w:val="12"/>
                <w:color w:val="auto"/>
              </w:rPr>
            </w:pPr>
          </w:p>
        </w:tc>
        <w:tc>
          <w:tcPr>
            <w:tcW w:w="1100" w:type="dxa"/>
            <w:vAlign w:val="bottom"/>
            <w:gridSpan w:val="2"/>
            <w:shd w:val="clear" w:color="auto" w:fill="98B0CF"/>
          </w:tcPr>
          <w:p>
            <w:pPr>
              <w:jc w:val="center"/>
              <w:ind w:right="10"/>
              <w:spacing w:after="0" w:line="142" w:lineRule="exact"/>
              <w:rPr>
                <w:sz w:val="20"/>
                <w:szCs w:val="20"/>
                <w:color w:val="auto"/>
              </w:rPr>
            </w:pPr>
            <w:r>
              <w:rPr>
                <w:rFonts w:ascii="Arial" w:cs="Arial" w:eastAsia="Arial" w:hAnsi="Arial"/>
                <w:sz w:val="13"/>
                <w:szCs w:val="13"/>
                <w:b w:val="1"/>
                <w:bCs w:val="1"/>
                <w:color w:val="auto"/>
                <w:w w:val="96"/>
              </w:rPr>
              <w:t>Contractual</w:t>
            </w:r>
          </w:p>
        </w:tc>
        <w:tc>
          <w:tcPr>
            <w:tcW w:w="600" w:type="dxa"/>
            <w:vAlign w:val="bottom"/>
            <w:shd w:val="clear" w:color="auto" w:fill="98B0CF"/>
          </w:tcPr>
          <w:p>
            <w:pPr>
              <w:spacing w:after="0"/>
              <w:rPr>
                <w:sz w:val="12"/>
                <w:szCs w:val="12"/>
                <w:color w:val="auto"/>
              </w:rPr>
            </w:pPr>
          </w:p>
        </w:tc>
        <w:tc>
          <w:tcPr>
            <w:tcW w:w="960" w:type="dxa"/>
            <w:vAlign w:val="bottom"/>
            <w:shd w:val="clear" w:color="auto" w:fill="98B0CF"/>
          </w:tcPr>
          <w:p>
            <w:pPr>
              <w:jc w:val="center"/>
              <w:ind w:right="370"/>
              <w:spacing w:after="0" w:line="142" w:lineRule="exact"/>
              <w:rPr>
                <w:sz w:val="20"/>
                <w:szCs w:val="20"/>
                <w:color w:val="auto"/>
              </w:rPr>
            </w:pPr>
            <w:r>
              <w:rPr>
                <w:rFonts w:ascii="Arial" w:cs="Arial" w:eastAsia="Arial" w:hAnsi="Arial"/>
                <w:sz w:val="13"/>
                <w:szCs w:val="13"/>
                <w:b w:val="1"/>
                <w:bCs w:val="1"/>
                <w:color w:val="auto"/>
                <w:w w:val="97"/>
              </w:rPr>
              <w:t>Exercise</w:t>
            </w:r>
          </w:p>
        </w:tc>
        <w:tc>
          <w:tcPr>
            <w:tcW w:w="100" w:type="dxa"/>
            <w:vAlign w:val="bottom"/>
            <w:shd w:val="clear" w:color="auto" w:fill="98B0CF"/>
          </w:tcPr>
          <w:p>
            <w:pPr>
              <w:spacing w:after="0"/>
              <w:rPr>
                <w:sz w:val="12"/>
                <w:szCs w:val="12"/>
                <w:color w:val="auto"/>
              </w:rPr>
            </w:pPr>
          </w:p>
        </w:tc>
        <w:tc>
          <w:tcPr>
            <w:tcW w:w="1260" w:type="dxa"/>
            <w:vAlign w:val="bottom"/>
            <w:shd w:val="clear" w:color="auto" w:fill="98B0CF"/>
          </w:tcPr>
          <w:p>
            <w:pPr>
              <w:spacing w:after="0"/>
              <w:rPr>
                <w:sz w:val="12"/>
                <w:szCs w:val="12"/>
                <w:color w:val="auto"/>
              </w:rPr>
            </w:pPr>
          </w:p>
        </w:tc>
        <w:tc>
          <w:tcPr>
            <w:tcW w:w="280" w:type="dxa"/>
            <w:vAlign w:val="bottom"/>
            <w:shd w:val="clear" w:color="auto" w:fill="98B0CF"/>
          </w:tcPr>
          <w:p>
            <w:pPr>
              <w:spacing w:after="0"/>
              <w:rPr>
                <w:sz w:val="12"/>
                <w:szCs w:val="12"/>
                <w:color w:val="auto"/>
              </w:rPr>
            </w:pPr>
          </w:p>
        </w:tc>
        <w:tc>
          <w:tcPr>
            <w:tcW w:w="1260" w:type="dxa"/>
            <w:vAlign w:val="bottom"/>
            <w:shd w:val="clear" w:color="auto" w:fill="98B0CF"/>
          </w:tcPr>
          <w:p>
            <w:pPr>
              <w:jc w:val="center"/>
              <w:ind w:right="152"/>
              <w:spacing w:after="0" w:line="142" w:lineRule="exact"/>
              <w:rPr>
                <w:sz w:val="20"/>
                <w:szCs w:val="20"/>
                <w:color w:val="auto"/>
              </w:rPr>
            </w:pPr>
            <w:r>
              <w:rPr>
                <w:rFonts w:ascii="Arial" w:cs="Arial" w:eastAsia="Arial" w:hAnsi="Arial"/>
                <w:sz w:val="13"/>
                <w:szCs w:val="13"/>
                <w:b w:val="1"/>
                <w:bCs w:val="1"/>
                <w:color w:val="auto"/>
                <w:w w:val="97"/>
              </w:rPr>
              <w:t>Exercise</w:t>
            </w:r>
          </w:p>
        </w:tc>
      </w:tr>
      <w:tr>
        <w:trPr>
          <w:trHeight w:val="156"/>
        </w:trPr>
        <w:tc>
          <w:tcPr>
            <w:tcW w:w="4060" w:type="dxa"/>
            <w:vAlign w:val="bottom"/>
            <w:tcBorders>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Exercise Price</w:t>
            </w:r>
          </w:p>
        </w:tc>
        <w:tc>
          <w:tcPr>
            <w:tcW w:w="1310" w:type="dxa"/>
            <w:vAlign w:val="bottom"/>
            <w:tcBorders>
              <w:bottom w:val="single" w:sz="8" w:color="auto"/>
            </w:tcBorders>
            <w:shd w:val="clear" w:color="auto" w:fill="98B0CF"/>
          </w:tcPr>
          <w:p>
            <w:pPr>
              <w:jc w:val="right"/>
              <w:ind w:right="241"/>
              <w:spacing w:after="0"/>
              <w:rPr>
                <w:sz w:val="20"/>
                <w:szCs w:val="20"/>
                <w:color w:val="auto"/>
              </w:rPr>
            </w:pPr>
            <w:r>
              <w:rPr>
                <w:rFonts w:ascii="Arial" w:cs="Arial" w:eastAsia="Arial" w:hAnsi="Arial"/>
                <w:sz w:val="13"/>
                <w:szCs w:val="13"/>
                <w:b w:val="1"/>
                <w:bCs w:val="1"/>
                <w:color w:val="auto"/>
              </w:rPr>
              <w:t>Shares (000)</w:t>
            </w:r>
          </w:p>
        </w:tc>
        <w:tc>
          <w:tcPr>
            <w:tcW w:w="330" w:type="dxa"/>
            <w:vAlign w:val="bottom"/>
            <w:tcBorders>
              <w:bottom w:val="single" w:sz="8" w:color="auto"/>
            </w:tcBorders>
            <w:shd w:val="clear" w:color="auto" w:fill="98B0CF"/>
          </w:tcPr>
          <w:p>
            <w:pPr>
              <w:spacing w:after="0"/>
              <w:rPr>
                <w:sz w:val="13"/>
                <w:szCs w:val="13"/>
                <w:color w:val="auto"/>
              </w:rPr>
            </w:pPr>
          </w:p>
        </w:tc>
        <w:tc>
          <w:tcPr>
            <w:tcW w:w="1100" w:type="dxa"/>
            <w:vAlign w:val="bottom"/>
            <w:tcBorders>
              <w:bottom w:val="single" w:sz="8" w:color="auto"/>
            </w:tcBorders>
            <w:gridSpan w:val="2"/>
            <w:shd w:val="clear" w:color="auto" w:fill="98B0CF"/>
          </w:tcPr>
          <w:p>
            <w:pPr>
              <w:jc w:val="center"/>
              <w:ind w:right="50"/>
              <w:spacing w:after="0"/>
              <w:rPr>
                <w:sz w:val="20"/>
                <w:szCs w:val="20"/>
                <w:color w:val="auto"/>
              </w:rPr>
            </w:pPr>
            <w:r>
              <w:rPr>
                <w:rFonts w:ascii="Arial" w:cs="Arial" w:eastAsia="Arial" w:hAnsi="Arial"/>
                <w:sz w:val="13"/>
                <w:szCs w:val="13"/>
                <w:b w:val="1"/>
                <w:bCs w:val="1"/>
                <w:color w:val="auto"/>
                <w:w w:val="95"/>
              </w:rPr>
              <w:t>Life (years)</w:t>
            </w:r>
          </w:p>
        </w:tc>
        <w:tc>
          <w:tcPr>
            <w:tcW w:w="600" w:type="dxa"/>
            <w:vAlign w:val="bottom"/>
            <w:tcBorders>
              <w:bottom w:val="single" w:sz="8" w:color="auto"/>
            </w:tcBorders>
            <w:shd w:val="clear" w:color="auto" w:fill="98B0CF"/>
          </w:tcPr>
          <w:p>
            <w:pPr>
              <w:spacing w:after="0"/>
              <w:rPr>
                <w:sz w:val="13"/>
                <w:szCs w:val="13"/>
                <w:color w:val="auto"/>
              </w:rPr>
            </w:pPr>
          </w:p>
        </w:tc>
        <w:tc>
          <w:tcPr>
            <w:tcW w:w="960" w:type="dxa"/>
            <w:vAlign w:val="bottom"/>
            <w:tcBorders>
              <w:bottom w:val="single" w:sz="8" w:color="auto"/>
            </w:tcBorders>
            <w:shd w:val="clear" w:color="auto" w:fill="98B0CF"/>
          </w:tcPr>
          <w:p>
            <w:pPr>
              <w:jc w:val="center"/>
              <w:ind w:right="390"/>
              <w:spacing w:after="0"/>
              <w:rPr>
                <w:sz w:val="20"/>
                <w:szCs w:val="20"/>
                <w:color w:val="auto"/>
              </w:rPr>
            </w:pPr>
            <w:r>
              <w:rPr>
                <w:rFonts w:ascii="Arial" w:cs="Arial" w:eastAsia="Arial" w:hAnsi="Arial"/>
                <w:sz w:val="13"/>
                <w:szCs w:val="13"/>
                <w:b w:val="1"/>
                <w:bCs w:val="1"/>
                <w:color w:val="auto"/>
                <w:w w:val="94"/>
              </w:rPr>
              <w:t>Price</w:t>
            </w:r>
          </w:p>
        </w:tc>
        <w:tc>
          <w:tcPr>
            <w:tcW w:w="100" w:type="dxa"/>
            <w:vAlign w:val="bottom"/>
            <w:tcBorders>
              <w:bottom w:val="single" w:sz="8" w:color="auto"/>
            </w:tcBorders>
            <w:shd w:val="clear" w:color="auto" w:fill="98B0CF"/>
          </w:tcPr>
          <w:p>
            <w:pPr>
              <w:spacing w:after="0"/>
              <w:rPr>
                <w:sz w:val="13"/>
                <w:szCs w:val="13"/>
                <w:color w:val="auto"/>
              </w:rPr>
            </w:pPr>
          </w:p>
        </w:tc>
        <w:tc>
          <w:tcPr>
            <w:tcW w:w="1260" w:type="dxa"/>
            <w:vAlign w:val="bottom"/>
            <w:tcBorders>
              <w:bottom w:val="single" w:sz="8" w:color="auto"/>
            </w:tcBorders>
            <w:shd w:val="clear" w:color="auto" w:fill="98B0CF"/>
          </w:tcPr>
          <w:p>
            <w:pPr>
              <w:jc w:val="right"/>
              <w:ind w:right="197"/>
              <w:spacing w:after="0"/>
              <w:rPr>
                <w:sz w:val="20"/>
                <w:szCs w:val="20"/>
                <w:color w:val="auto"/>
              </w:rPr>
            </w:pPr>
            <w:r>
              <w:rPr>
                <w:rFonts w:ascii="Arial" w:cs="Arial" w:eastAsia="Arial" w:hAnsi="Arial"/>
                <w:sz w:val="13"/>
                <w:szCs w:val="13"/>
                <w:b w:val="1"/>
                <w:bCs w:val="1"/>
                <w:color w:val="auto"/>
              </w:rPr>
              <w:t>Shares (000)</w:t>
            </w:r>
          </w:p>
        </w:tc>
        <w:tc>
          <w:tcPr>
            <w:tcW w:w="280" w:type="dxa"/>
            <w:vAlign w:val="bottom"/>
            <w:tcBorders>
              <w:bottom w:val="single" w:sz="8" w:color="auto"/>
            </w:tcBorders>
            <w:shd w:val="clear" w:color="auto" w:fill="98B0CF"/>
          </w:tcPr>
          <w:p>
            <w:pPr>
              <w:spacing w:after="0"/>
              <w:rPr>
                <w:sz w:val="13"/>
                <w:szCs w:val="13"/>
                <w:color w:val="auto"/>
              </w:rPr>
            </w:pPr>
          </w:p>
        </w:tc>
        <w:tc>
          <w:tcPr>
            <w:tcW w:w="1260" w:type="dxa"/>
            <w:vAlign w:val="bottom"/>
            <w:tcBorders>
              <w:bottom w:val="single" w:sz="8" w:color="auto"/>
            </w:tcBorders>
            <w:shd w:val="clear" w:color="auto" w:fill="98B0CF"/>
          </w:tcPr>
          <w:p>
            <w:pPr>
              <w:jc w:val="center"/>
              <w:ind w:right="132"/>
              <w:spacing w:after="0"/>
              <w:rPr>
                <w:sz w:val="20"/>
                <w:szCs w:val="20"/>
                <w:color w:val="auto"/>
              </w:rPr>
            </w:pPr>
            <w:r>
              <w:rPr>
                <w:rFonts w:ascii="Arial" w:cs="Arial" w:eastAsia="Arial" w:hAnsi="Arial"/>
                <w:sz w:val="13"/>
                <w:szCs w:val="13"/>
                <w:b w:val="1"/>
                <w:bCs w:val="1"/>
                <w:color w:val="auto"/>
                <w:w w:val="94"/>
              </w:rPr>
              <w:t>Price</w:t>
            </w:r>
          </w:p>
        </w:tc>
      </w:tr>
      <w:tr>
        <w:trPr>
          <w:trHeight w:val="187"/>
        </w:trPr>
        <w:tc>
          <w:tcPr>
            <w:tcW w:w="4060" w:type="dxa"/>
            <w:vAlign w:val="bottom"/>
            <w:shd w:val="clear" w:color="auto" w:fill="E2E8F1"/>
          </w:tcPr>
          <w:p>
            <w:pPr>
              <w:ind w:left="80"/>
              <w:spacing w:after="0"/>
              <w:rPr>
                <w:sz w:val="20"/>
                <w:szCs w:val="20"/>
                <w:color w:val="auto"/>
              </w:rPr>
            </w:pPr>
            <w:r>
              <w:rPr>
                <w:rFonts w:ascii="Arial" w:cs="Arial" w:eastAsia="Arial" w:hAnsi="Arial"/>
                <w:sz w:val="14"/>
                <w:szCs w:val="14"/>
                <w:color w:val="auto"/>
              </w:rPr>
              <w:t>$75-$80</w:t>
            </w:r>
          </w:p>
        </w:tc>
        <w:tc>
          <w:tcPr>
            <w:tcW w:w="1310" w:type="dxa"/>
            <w:vAlign w:val="bottom"/>
            <w:shd w:val="clear" w:color="auto" w:fill="E2E8F1"/>
          </w:tcPr>
          <w:p>
            <w:pPr>
              <w:jc w:val="right"/>
              <w:ind w:right="1"/>
              <w:spacing w:after="0"/>
              <w:rPr>
                <w:sz w:val="20"/>
                <w:szCs w:val="20"/>
                <w:color w:val="auto"/>
              </w:rPr>
            </w:pPr>
            <w:r>
              <w:rPr>
                <w:rFonts w:ascii="Arial" w:cs="Arial" w:eastAsia="Arial" w:hAnsi="Arial"/>
                <w:sz w:val="14"/>
                <w:szCs w:val="14"/>
                <w:color w:val="auto"/>
              </w:rPr>
              <w:t>155</w:t>
            </w:r>
          </w:p>
        </w:tc>
        <w:tc>
          <w:tcPr>
            <w:tcW w:w="330" w:type="dxa"/>
            <w:vAlign w:val="bottom"/>
            <w:shd w:val="clear" w:color="auto" w:fill="E2E8F1"/>
          </w:tcPr>
          <w:p>
            <w:pPr>
              <w:spacing w:after="0"/>
              <w:rPr>
                <w:sz w:val="16"/>
                <w:szCs w:val="16"/>
                <w:color w:val="auto"/>
              </w:rPr>
            </w:pPr>
          </w:p>
        </w:tc>
        <w:tc>
          <w:tcPr>
            <w:tcW w:w="520" w:type="dxa"/>
            <w:vAlign w:val="bottom"/>
            <w:shd w:val="clear" w:color="auto" w:fill="E2E8F1"/>
          </w:tcPr>
          <w:p>
            <w:pPr>
              <w:spacing w:after="0"/>
              <w:rPr>
                <w:sz w:val="16"/>
                <w:szCs w:val="16"/>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0.8</w:t>
            </w:r>
          </w:p>
        </w:tc>
        <w:tc>
          <w:tcPr>
            <w:tcW w:w="600" w:type="dxa"/>
            <w:vAlign w:val="bottom"/>
            <w:shd w:val="clear" w:color="auto" w:fill="E2E8F1"/>
          </w:tcPr>
          <w:p>
            <w:pPr>
              <w:jc w:val="right"/>
              <w:ind w:right="173"/>
              <w:spacing w:after="0"/>
              <w:rPr>
                <w:sz w:val="20"/>
                <w:szCs w:val="20"/>
                <w:color w:val="auto"/>
              </w:rPr>
            </w:pPr>
            <w:r>
              <w:rPr>
                <w:rFonts w:ascii="Arial" w:cs="Arial" w:eastAsia="Arial" w:hAnsi="Arial"/>
                <w:sz w:val="14"/>
                <w:szCs w:val="14"/>
                <w:color w:val="auto"/>
              </w:rPr>
              <w:t>$</w:t>
            </w:r>
          </w:p>
        </w:tc>
        <w:tc>
          <w:tcPr>
            <w:tcW w:w="9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76</w:t>
            </w:r>
          </w:p>
        </w:tc>
        <w:tc>
          <w:tcPr>
            <w:tcW w:w="136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155</w:t>
            </w:r>
          </w:p>
        </w:tc>
        <w:tc>
          <w:tcPr>
            <w:tcW w:w="2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auto"/>
              </w:rPr>
              <w:t>76</w:t>
            </w:r>
          </w:p>
        </w:tc>
      </w:tr>
      <w:tr>
        <w:trPr>
          <w:trHeight w:val="189"/>
        </w:trPr>
        <w:tc>
          <w:tcPr>
            <w:tcW w:w="4060" w:type="dxa"/>
            <w:vAlign w:val="bottom"/>
          </w:tcPr>
          <w:p>
            <w:pPr>
              <w:ind w:left="80"/>
              <w:spacing w:after="0"/>
              <w:rPr>
                <w:sz w:val="20"/>
                <w:szCs w:val="20"/>
                <w:color w:val="auto"/>
              </w:rPr>
            </w:pPr>
            <w:r>
              <w:rPr>
                <w:rFonts w:ascii="Arial" w:cs="Arial" w:eastAsia="Arial" w:hAnsi="Arial"/>
                <w:sz w:val="14"/>
                <w:szCs w:val="14"/>
                <w:color w:val="auto"/>
              </w:rPr>
              <w:t>$81-$89</w:t>
            </w:r>
          </w:p>
        </w:tc>
        <w:tc>
          <w:tcPr>
            <w:tcW w:w="1310" w:type="dxa"/>
            <w:vAlign w:val="bottom"/>
          </w:tcPr>
          <w:p>
            <w:pPr>
              <w:jc w:val="right"/>
              <w:ind w:right="1"/>
              <w:spacing w:after="0"/>
              <w:rPr>
                <w:sz w:val="20"/>
                <w:szCs w:val="20"/>
                <w:color w:val="auto"/>
              </w:rPr>
            </w:pPr>
            <w:r>
              <w:rPr>
                <w:rFonts w:ascii="Arial" w:cs="Arial" w:eastAsia="Arial" w:hAnsi="Arial"/>
                <w:sz w:val="14"/>
                <w:szCs w:val="14"/>
                <w:color w:val="auto"/>
              </w:rPr>
              <w:t>153</w:t>
            </w:r>
          </w:p>
        </w:tc>
        <w:tc>
          <w:tcPr>
            <w:tcW w:w="33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w:t>
            </w:r>
          </w:p>
        </w:tc>
        <w:tc>
          <w:tcPr>
            <w:tcW w:w="600" w:type="dxa"/>
            <w:vAlign w:val="bottom"/>
          </w:tcPr>
          <w:p>
            <w:pPr>
              <w:spacing w:after="0"/>
              <w:rPr>
                <w:sz w:val="16"/>
                <w:szCs w:val="16"/>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84</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153</w:t>
            </w:r>
          </w:p>
        </w:tc>
        <w:tc>
          <w:tcPr>
            <w:tcW w:w="280" w:type="dxa"/>
            <w:vAlign w:val="bottom"/>
          </w:tcPr>
          <w:p>
            <w:pPr>
              <w:spacing w:after="0"/>
              <w:rPr>
                <w:sz w:val="16"/>
                <w:szCs w:val="16"/>
                <w:color w:val="auto"/>
              </w:rPr>
            </w:pPr>
          </w:p>
        </w:tc>
        <w:tc>
          <w:tcPr>
            <w:tcW w:w="1260" w:type="dxa"/>
            <w:vAlign w:val="bottom"/>
          </w:tcPr>
          <w:p>
            <w:pPr>
              <w:jc w:val="right"/>
              <w:ind w:right="72"/>
              <w:spacing w:after="0"/>
              <w:rPr>
                <w:sz w:val="20"/>
                <w:szCs w:val="20"/>
                <w:color w:val="auto"/>
              </w:rPr>
            </w:pPr>
            <w:r>
              <w:rPr>
                <w:rFonts w:ascii="Arial" w:cs="Arial" w:eastAsia="Arial" w:hAnsi="Arial"/>
                <w:sz w:val="14"/>
                <w:szCs w:val="14"/>
                <w:color w:val="auto"/>
              </w:rPr>
              <w:t>84</w:t>
            </w:r>
          </w:p>
        </w:tc>
      </w:tr>
      <w:tr>
        <w:trPr>
          <w:trHeight w:val="189"/>
        </w:trPr>
        <w:tc>
          <w:tcPr>
            <w:tcW w:w="4060" w:type="dxa"/>
            <w:vAlign w:val="bottom"/>
            <w:shd w:val="clear" w:color="auto" w:fill="E2E8F1"/>
          </w:tcPr>
          <w:p>
            <w:pPr>
              <w:ind w:left="80"/>
              <w:spacing w:after="0"/>
              <w:rPr>
                <w:sz w:val="20"/>
                <w:szCs w:val="20"/>
                <w:color w:val="auto"/>
              </w:rPr>
            </w:pPr>
            <w:r>
              <w:rPr>
                <w:rFonts w:ascii="Arial" w:cs="Arial" w:eastAsia="Arial" w:hAnsi="Arial"/>
                <w:sz w:val="14"/>
                <w:szCs w:val="14"/>
                <w:color w:val="auto"/>
              </w:rPr>
              <w:t>$90-$95</w:t>
            </w:r>
          </w:p>
        </w:tc>
        <w:tc>
          <w:tcPr>
            <w:tcW w:w="1310" w:type="dxa"/>
            <w:vAlign w:val="bottom"/>
            <w:shd w:val="clear" w:color="auto" w:fill="E2E8F1"/>
          </w:tcPr>
          <w:p>
            <w:pPr>
              <w:jc w:val="right"/>
              <w:ind w:right="1"/>
              <w:spacing w:after="0"/>
              <w:rPr>
                <w:sz w:val="20"/>
                <w:szCs w:val="20"/>
                <w:color w:val="auto"/>
              </w:rPr>
            </w:pPr>
            <w:r>
              <w:rPr>
                <w:rFonts w:ascii="Arial" w:cs="Arial" w:eastAsia="Arial" w:hAnsi="Arial"/>
                <w:sz w:val="14"/>
                <w:szCs w:val="14"/>
                <w:color w:val="auto"/>
              </w:rPr>
              <w:t>286</w:t>
            </w:r>
          </w:p>
        </w:tc>
        <w:tc>
          <w:tcPr>
            <w:tcW w:w="330" w:type="dxa"/>
            <w:vAlign w:val="bottom"/>
            <w:shd w:val="clear" w:color="auto" w:fill="E2E8F1"/>
          </w:tcPr>
          <w:p>
            <w:pPr>
              <w:spacing w:after="0"/>
              <w:rPr>
                <w:sz w:val="16"/>
                <w:szCs w:val="16"/>
                <w:color w:val="auto"/>
              </w:rPr>
            </w:pPr>
          </w:p>
        </w:tc>
        <w:tc>
          <w:tcPr>
            <w:tcW w:w="520" w:type="dxa"/>
            <w:vAlign w:val="bottom"/>
            <w:shd w:val="clear" w:color="auto" w:fill="E2E8F1"/>
          </w:tcPr>
          <w:p>
            <w:pPr>
              <w:spacing w:after="0"/>
              <w:rPr>
                <w:sz w:val="16"/>
                <w:szCs w:val="16"/>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5.6</w:t>
            </w:r>
          </w:p>
        </w:tc>
        <w:tc>
          <w:tcPr>
            <w:tcW w:w="600" w:type="dxa"/>
            <w:vAlign w:val="bottom"/>
            <w:shd w:val="clear" w:color="auto" w:fill="E2E8F1"/>
          </w:tcPr>
          <w:p>
            <w:pPr>
              <w:spacing w:after="0"/>
              <w:rPr>
                <w:sz w:val="16"/>
                <w:szCs w:val="16"/>
                <w:color w:val="auto"/>
              </w:rPr>
            </w:pPr>
          </w:p>
        </w:tc>
        <w:tc>
          <w:tcPr>
            <w:tcW w:w="9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93</w:t>
            </w:r>
          </w:p>
        </w:tc>
        <w:tc>
          <w:tcPr>
            <w:tcW w:w="136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254</w:t>
            </w:r>
          </w:p>
        </w:tc>
        <w:tc>
          <w:tcPr>
            <w:tcW w:w="280" w:type="dxa"/>
            <w:vAlign w:val="bottom"/>
            <w:shd w:val="clear" w:color="auto" w:fill="E2E8F1"/>
          </w:tcPr>
          <w:p>
            <w:pPr>
              <w:spacing w:after="0"/>
              <w:rPr>
                <w:sz w:val="16"/>
                <w:szCs w:val="16"/>
                <w:color w:val="auto"/>
              </w:rPr>
            </w:pPr>
          </w:p>
        </w:tc>
        <w:tc>
          <w:tcPr>
            <w:tcW w:w="126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auto"/>
              </w:rPr>
              <w:t>93</w:t>
            </w:r>
          </w:p>
        </w:tc>
      </w:tr>
      <w:tr>
        <w:trPr>
          <w:trHeight w:val="189"/>
        </w:trPr>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$96-$123</w:t>
            </w:r>
          </w:p>
        </w:tc>
        <w:tc>
          <w:tcPr>
            <w:tcW w:w="131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168</w:t>
            </w:r>
          </w:p>
        </w:tc>
        <w:tc>
          <w:tcPr>
            <w:tcW w:w="33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109</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168</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109</w:t>
            </w:r>
          </w:p>
        </w:tc>
      </w:tr>
      <w:tr>
        <w:trPr>
          <w:trHeight w:val="190"/>
        </w:trPr>
        <w:tc>
          <w:tcPr>
            <w:tcW w:w="4060" w:type="dxa"/>
            <w:vAlign w:val="bottom"/>
          </w:tcPr>
          <w:p>
            <w:pPr>
              <w:spacing w:after="0"/>
              <w:rPr>
                <w:sz w:val="16"/>
                <w:szCs w:val="16"/>
                <w:color w:val="auto"/>
              </w:rPr>
            </w:pPr>
          </w:p>
        </w:tc>
        <w:tc>
          <w:tcPr>
            <w:tcW w:w="1310" w:type="dxa"/>
            <w:vAlign w:val="bottom"/>
          </w:tcPr>
          <w:p>
            <w:pPr>
              <w:jc w:val="right"/>
              <w:ind w:right="1"/>
              <w:spacing w:after="0"/>
              <w:rPr>
                <w:sz w:val="20"/>
                <w:szCs w:val="20"/>
                <w:color w:val="auto"/>
              </w:rPr>
            </w:pPr>
            <w:r>
              <w:rPr>
                <w:rFonts w:ascii="Arial" w:cs="Arial" w:eastAsia="Arial" w:hAnsi="Arial"/>
                <w:sz w:val="14"/>
                <w:szCs w:val="14"/>
                <w:color w:val="auto"/>
              </w:rPr>
              <w:t>762</w:t>
            </w:r>
          </w:p>
        </w:tc>
        <w:tc>
          <w:tcPr>
            <w:tcW w:w="33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w:t>
            </w:r>
          </w:p>
        </w:tc>
        <w:tc>
          <w:tcPr>
            <w:tcW w:w="6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91</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730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72"/>
              <w:spacing w:after="0"/>
              <w:rPr>
                <w:sz w:val="20"/>
                <w:szCs w:val="20"/>
                <w:color w:val="auto"/>
              </w:rPr>
            </w:pPr>
            <w:r>
              <w:rPr>
                <w:rFonts w:ascii="Arial" w:cs="Arial" w:eastAsia="Arial" w:hAnsi="Arial"/>
                <w:sz w:val="14"/>
                <w:szCs w:val="14"/>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-1093470</wp:posOffset>
            </wp:positionV>
            <wp:extent cx="6731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-125095</wp:posOffset>
            </wp:positionV>
            <wp:extent cx="7149465" cy="1276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jc w:val="both"/>
        <w:ind w:left="5" w:right="20"/>
        <w:spacing w:after="0" w:line="278" w:lineRule="auto"/>
        <w:rPr>
          <w:sz w:val="20"/>
          <w:szCs w:val="20"/>
          <w:color w:val="auto"/>
        </w:rPr>
      </w:pPr>
      <w:r>
        <w:rPr>
          <w:rFonts w:ascii="Arial" w:cs="Arial" w:eastAsia="Arial" w:hAnsi="Arial"/>
          <w:sz w:val="15"/>
          <w:szCs w:val="15"/>
          <w:color w:val="231F20"/>
        </w:rPr>
        <w:t>We recognized expense of $0.2, $0.5 and $0.8 related to stock options for the years ended December 31, 2024, 2023 and 2022, respectively. The total fair value of options vested during the same periods was $1.5, $2.2 and $2.8, respectively. As of December 31, 2024, there was no unrecognized compensation cost.</w:t>
      </w:r>
    </w:p>
    <w:p>
      <w:pPr>
        <w:spacing w:after="0" w:line="13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65" w:name="page66"/>
    <w:bookmarkEnd w:id="65"/>
    <w:p>
      <w:pPr>
        <w:ind w:left="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5B89B4"/>
        </w:rPr>
        <w:t>Deferred Stock</w:t>
      </w:r>
    </w:p>
    <w:p>
      <w:pPr>
        <w:spacing w:after="0" w:line="88"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2011 Plan; the deferred stock is settled in shares of common stock according to these terms and conditions. During December 31, 2024, 2023 and 2022, there were 4,716, 4,463 and 4,775, respectively, shares of deferred stock awarded under this arrangement, all of which are vested.</w:t>
      </w:r>
    </w:p>
    <w:p>
      <w:pPr>
        <w:spacing w:after="0" w:line="65"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231F20"/>
        </w:rPr>
        <w:t>Non-employee directors also receive an annual grant of deferred stock (or restricted stock, if they so elect) as additional compensation for board service. The award vests in equal quarterly installments over one year and the vested portion of the deferred stock is settled in shares of common stock either three years after the date of grant (which may in most cases be extended at the directors’ election) or upon a director’s termination of service in accordance with the terms and conditions under the 2011 Plan. During 2024, 2023 and 2022, there were 14,362, 14,721 and 12,698, respectively, shares of deferred stock awarded under this arrangement, all of which are vested. We recognized expense of $1.7, $1.9 and $1.8 related to deferred stock in 2024, 2023 and 2022,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i w:val="1"/>
          <w:iCs w:val="1"/>
          <w:color w:val="5B89B4"/>
        </w:rPr>
        <w:t>Restricted Stock and Restricted Stock Units</w:t>
      </w:r>
    </w:p>
    <w:p>
      <w:pPr>
        <w:spacing w:after="0" w:line="88"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We grant restricted stock and restricted stock unit awards to certain employees and to non-employee directors who may elect to receive restricted stock rather than deferred stock as described above. Restrictions lapse over periods ranging up to five years, and in some cases upon retirement. We value restricted stock awards at the closing market value of our common stock on the date of grant.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231F20"/>
        </w:rPr>
        <w:t>A summary of restricted stock and restricted stock unit activity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20" w:type="dxa"/>
            <w:vAlign w:val="bottom"/>
            <w:tcBorders>
              <w:top w:val="single" w:sz="8" w:color="231F20"/>
            </w:tcBorders>
            <w:shd w:val="clear" w:color="auto" w:fill="98B0CF"/>
          </w:tcPr>
          <w:p>
            <w:pPr>
              <w:spacing w:after="0"/>
              <w:rPr>
                <w:sz w:val="14"/>
                <w:szCs w:val="14"/>
                <w:color w:val="auto"/>
              </w:rPr>
            </w:pPr>
          </w:p>
        </w:tc>
        <w:tc>
          <w:tcPr>
            <w:tcW w:w="1700" w:type="dxa"/>
            <w:vAlign w:val="bottom"/>
            <w:tcBorders>
              <w:top w:val="single" w:sz="8" w:color="231F20"/>
            </w:tcBorders>
            <w:shd w:val="clear" w:color="auto" w:fill="98B0CF"/>
          </w:tcPr>
          <w:p>
            <w:pPr>
              <w:spacing w:after="0"/>
              <w:rPr>
                <w:sz w:val="14"/>
                <w:szCs w:val="14"/>
                <w:color w:val="auto"/>
              </w:rPr>
            </w:pPr>
          </w:p>
        </w:tc>
        <w:tc>
          <w:tcPr>
            <w:tcW w:w="1260" w:type="dxa"/>
            <w:vAlign w:val="bottom"/>
            <w:tcBorders>
              <w:top w:val="single" w:sz="8" w:color="231F20"/>
            </w:tcBorders>
            <w:shd w:val="clear" w:color="auto" w:fill="98B0CF"/>
          </w:tcPr>
          <w:p>
            <w:pPr>
              <w:spacing w:after="0"/>
              <w:rPr>
                <w:sz w:val="14"/>
                <w:szCs w:val="14"/>
                <w:color w:val="auto"/>
              </w:rPr>
            </w:pPr>
          </w:p>
        </w:tc>
        <w:tc>
          <w:tcPr>
            <w:tcW w:w="1740" w:type="dxa"/>
            <w:vAlign w:val="bottom"/>
            <w:tcBorders>
              <w:top w:val="single" w:sz="8" w:color="231F20"/>
            </w:tcBorders>
            <w:shd w:val="clear" w:color="auto" w:fill="98B0CF"/>
          </w:tcPr>
          <w:p>
            <w:pPr>
              <w:jc w:val="center"/>
              <w:ind w:left="729"/>
              <w:spacing w:after="0"/>
              <w:rPr>
                <w:sz w:val="20"/>
                <w:szCs w:val="20"/>
                <w:color w:val="auto"/>
              </w:rPr>
            </w:pPr>
            <w:r>
              <w:rPr>
                <w:rFonts w:ascii="Arial" w:cs="Arial" w:eastAsia="Arial" w:hAnsi="Arial"/>
                <w:sz w:val="14"/>
                <w:szCs w:val="14"/>
                <w:b w:val="1"/>
                <w:bCs w:val="1"/>
                <w:color w:val="auto"/>
              </w:rPr>
              <w:t>Wtd. Avg.</w:t>
            </w:r>
          </w:p>
        </w:tc>
        <w:tc>
          <w:tcPr>
            <w:tcW w:w="400" w:type="dxa"/>
            <w:vAlign w:val="bottom"/>
            <w:tcBorders>
              <w:top w:val="single" w:sz="8" w:color="231F20"/>
            </w:tcBorders>
            <w:shd w:val="clear" w:color="auto" w:fill="98B0CF"/>
          </w:tcPr>
          <w:p>
            <w:pPr>
              <w:spacing w:after="0"/>
              <w:rPr>
                <w:sz w:val="14"/>
                <w:szCs w:val="14"/>
                <w:color w:val="auto"/>
              </w:rPr>
            </w:pPr>
          </w:p>
        </w:tc>
        <w:tc>
          <w:tcPr>
            <w:tcW w:w="320" w:type="dxa"/>
            <w:vAlign w:val="bottom"/>
            <w:tcBorders>
              <w:top w:val="single" w:sz="8" w:color="231F20"/>
            </w:tcBorders>
            <w:shd w:val="clear" w:color="auto" w:fill="98B0CF"/>
          </w:tcPr>
          <w:p>
            <w:pPr>
              <w:spacing w:after="0"/>
              <w:rPr>
                <w:sz w:val="14"/>
                <w:szCs w:val="14"/>
                <w:color w:val="auto"/>
              </w:rPr>
            </w:pPr>
          </w:p>
        </w:tc>
        <w:tc>
          <w:tcPr>
            <w:tcW w:w="1320" w:type="dxa"/>
            <w:vAlign w:val="bottom"/>
            <w:tcBorders>
              <w:top w:val="single" w:sz="8" w:color="231F20"/>
            </w:tcBorders>
            <w:shd w:val="clear" w:color="auto" w:fill="98B0CF"/>
          </w:tcPr>
          <w:p>
            <w:pPr>
              <w:jc w:val="center"/>
              <w:ind w:right="269"/>
              <w:spacing w:after="0"/>
              <w:rPr>
                <w:sz w:val="20"/>
                <w:szCs w:val="20"/>
                <w:color w:val="auto"/>
              </w:rPr>
            </w:pPr>
            <w:r>
              <w:rPr>
                <w:rFonts w:ascii="Arial" w:cs="Arial" w:eastAsia="Arial" w:hAnsi="Arial"/>
                <w:sz w:val="14"/>
                <w:szCs w:val="14"/>
                <w:b w:val="1"/>
                <w:bCs w:val="1"/>
                <w:color w:val="auto"/>
              </w:rPr>
              <w:t>Aggregate</w:t>
            </w:r>
          </w:p>
        </w:tc>
      </w:tr>
      <w:tr>
        <w:trPr>
          <w:trHeight w:val="166"/>
        </w:trPr>
        <w:tc>
          <w:tcPr>
            <w:tcW w:w="4520" w:type="dxa"/>
            <w:vAlign w:val="bottom"/>
            <w:shd w:val="clear" w:color="auto" w:fill="98B0CF"/>
          </w:tcPr>
          <w:p>
            <w:pPr>
              <w:spacing w:after="0"/>
              <w:rPr>
                <w:sz w:val="14"/>
                <w:szCs w:val="14"/>
                <w:color w:val="auto"/>
              </w:rPr>
            </w:pPr>
          </w:p>
        </w:tc>
        <w:tc>
          <w:tcPr>
            <w:tcW w:w="1700" w:type="dxa"/>
            <w:vAlign w:val="bottom"/>
            <w:shd w:val="clear" w:color="auto" w:fill="98B0CF"/>
          </w:tcPr>
          <w:p>
            <w:pPr>
              <w:spacing w:after="0"/>
              <w:rPr>
                <w:sz w:val="14"/>
                <w:szCs w:val="14"/>
                <w:color w:val="auto"/>
              </w:rPr>
            </w:pPr>
          </w:p>
        </w:tc>
        <w:tc>
          <w:tcPr>
            <w:tcW w:w="1260" w:type="dxa"/>
            <w:vAlign w:val="bottom"/>
            <w:shd w:val="clear" w:color="auto" w:fill="98B0CF"/>
          </w:tcPr>
          <w:p>
            <w:pPr>
              <w:jc w:val="center"/>
              <w:ind w:left="429"/>
              <w:spacing w:after="0"/>
              <w:rPr>
                <w:sz w:val="20"/>
                <w:szCs w:val="20"/>
                <w:color w:val="auto"/>
              </w:rPr>
            </w:pPr>
            <w:r>
              <w:rPr>
                <w:rFonts w:ascii="Arial" w:cs="Arial" w:eastAsia="Arial" w:hAnsi="Arial"/>
                <w:sz w:val="14"/>
                <w:szCs w:val="14"/>
                <w:b w:val="1"/>
                <w:bCs w:val="1"/>
                <w:color w:val="auto"/>
                <w:w w:val="99"/>
              </w:rPr>
              <w:t>Wtd. Avg.</w:t>
            </w:r>
          </w:p>
        </w:tc>
        <w:tc>
          <w:tcPr>
            <w:tcW w:w="1740" w:type="dxa"/>
            <w:vAlign w:val="bottom"/>
            <w:shd w:val="clear" w:color="auto" w:fill="98B0CF"/>
          </w:tcPr>
          <w:p>
            <w:pPr>
              <w:jc w:val="center"/>
              <w:ind w:left="749"/>
              <w:spacing w:after="0"/>
              <w:rPr>
                <w:sz w:val="20"/>
                <w:szCs w:val="20"/>
                <w:color w:val="auto"/>
              </w:rPr>
            </w:pPr>
            <w:r>
              <w:rPr>
                <w:rFonts w:ascii="Arial" w:cs="Arial" w:eastAsia="Arial" w:hAnsi="Arial"/>
                <w:sz w:val="14"/>
                <w:szCs w:val="14"/>
                <w:b w:val="1"/>
                <w:bCs w:val="1"/>
                <w:color w:val="auto"/>
              </w:rPr>
              <w:t>Remaining</w:t>
            </w:r>
          </w:p>
        </w:tc>
        <w:tc>
          <w:tcPr>
            <w:tcW w:w="400" w:type="dxa"/>
            <w:vAlign w:val="bottom"/>
            <w:shd w:val="clear" w:color="auto" w:fill="98B0CF"/>
          </w:tcPr>
          <w:p>
            <w:pPr>
              <w:spacing w:after="0"/>
              <w:rPr>
                <w:sz w:val="14"/>
                <w:szCs w:val="14"/>
                <w:color w:val="auto"/>
              </w:rPr>
            </w:pPr>
          </w:p>
        </w:tc>
        <w:tc>
          <w:tcPr>
            <w:tcW w:w="320" w:type="dxa"/>
            <w:vAlign w:val="bottom"/>
            <w:shd w:val="clear" w:color="auto" w:fill="98B0CF"/>
          </w:tcPr>
          <w:p>
            <w:pPr>
              <w:spacing w:after="0"/>
              <w:rPr>
                <w:sz w:val="14"/>
                <w:szCs w:val="14"/>
                <w:color w:val="auto"/>
              </w:rPr>
            </w:pPr>
          </w:p>
        </w:tc>
        <w:tc>
          <w:tcPr>
            <w:tcW w:w="1320" w:type="dxa"/>
            <w:vAlign w:val="bottom"/>
            <w:shd w:val="clear" w:color="auto" w:fill="98B0CF"/>
          </w:tcPr>
          <w:p>
            <w:pPr>
              <w:jc w:val="center"/>
              <w:ind w:right="249"/>
              <w:spacing w:after="0"/>
              <w:rPr>
                <w:sz w:val="20"/>
                <w:szCs w:val="20"/>
                <w:color w:val="auto"/>
              </w:rPr>
            </w:pPr>
            <w:r>
              <w:rPr>
                <w:rFonts w:ascii="Arial" w:cs="Arial" w:eastAsia="Arial" w:hAnsi="Arial"/>
                <w:sz w:val="14"/>
                <w:szCs w:val="14"/>
                <w:b w:val="1"/>
                <w:bCs w:val="1"/>
                <w:color w:val="auto"/>
              </w:rPr>
              <w:t>Intrinsic</w:t>
            </w:r>
          </w:p>
        </w:tc>
      </w:tr>
      <w:tr>
        <w:trPr>
          <w:trHeight w:val="166"/>
        </w:trPr>
        <w:tc>
          <w:tcPr>
            <w:tcW w:w="4520" w:type="dxa"/>
            <w:vAlign w:val="bottom"/>
            <w:shd w:val="clear" w:color="auto" w:fill="98B0CF"/>
          </w:tcPr>
          <w:p>
            <w:pPr>
              <w:spacing w:after="0"/>
              <w:rPr>
                <w:sz w:val="14"/>
                <w:szCs w:val="14"/>
                <w:color w:val="auto"/>
              </w:rPr>
            </w:pPr>
          </w:p>
        </w:tc>
        <w:tc>
          <w:tcPr>
            <w:tcW w:w="1700" w:type="dxa"/>
            <w:vAlign w:val="bottom"/>
            <w:shd w:val="clear" w:color="auto" w:fill="98B0CF"/>
          </w:tcPr>
          <w:p>
            <w:pPr>
              <w:spacing w:after="0"/>
              <w:rPr>
                <w:sz w:val="14"/>
                <w:szCs w:val="14"/>
                <w:color w:val="auto"/>
              </w:rPr>
            </w:pPr>
          </w:p>
        </w:tc>
        <w:tc>
          <w:tcPr>
            <w:tcW w:w="1260" w:type="dxa"/>
            <w:vAlign w:val="bottom"/>
            <w:shd w:val="clear" w:color="auto" w:fill="98B0CF"/>
          </w:tcPr>
          <w:p>
            <w:pPr>
              <w:jc w:val="center"/>
              <w:ind w:left="409"/>
              <w:spacing w:after="0"/>
              <w:rPr>
                <w:sz w:val="20"/>
                <w:szCs w:val="20"/>
                <w:color w:val="auto"/>
              </w:rPr>
            </w:pPr>
            <w:r>
              <w:rPr>
                <w:rFonts w:ascii="Arial" w:cs="Arial" w:eastAsia="Arial" w:hAnsi="Arial"/>
                <w:sz w:val="14"/>
                <w:szCs w:val="14"/>
                <w:b w:val="1"/>
                <w:bCs w:val="1"/>
                <w:color w:val="auto"/>
              </w:rPr>
              <w:t>Price Per</w:t>
            </w:r>
          </w:p>
        </w:tc>
        <w:tc>
          <w:tcPr>
            <w:tcW w:w="1740" w:type="dxa"/>
            <w:vAlign w:val="bottom"/>
            <w:shd w:val="clear" w:color="auto" w:fill="98B0CF"/>
          </w:tcPr>
          <w:p>
            <w:pPr>
              <w:jc w:val="center"/>
              <w:ind w:left="729"/>
              <w:spacing w:after="0"/>
              <w:rPr>
                <w:sz w:val="20"/>
                <w:szCs w:val="20"/>
                <w:color w:val="auto"/>
              </w:rPr>
            </w:pPr>
            <w:r>
              <w:rPr>
                <w:rFonts w:ascii="Arial" w:cs="Arial" w:eastAsia="Arial" w:hAnsi="Arial"/>
                <w:sz w:val="14"/>
                <w:szCs w:val="14"/>
                <w:b w:val="1"/>
                <w:bCs w:val="1"/>
                <w:color w:val="auto"/>
              </w:rPr>
              <w:t>Contractual</w:t>
            </w:r>
          </w:p>
        </w:tc>
        <w:tc>
          <w:tcPr>
            <w:tcW w:w="400" w:type="dxa"/>
            <w:vAlign w:val="bottom"/>
            <w:shd w:val="clear" w:color="auto" w:fill="98B0CF"/>
          </w:tcPr>
          <w:p>
            <w:pPr>
              <w:spacing w:after="0"/>
              <w:rPr>
                <w:sz w:val="14"/>
                <w:szCs w:val="14"/>
                <w:color w:val="auto"/>
              </w:rPr>
            </w:pPr>
          </w:p>
        </w:tc>
        <w:tc>
          <w:tcPr>
            <w:tcW w:w="320" w:type="dxa"/>
            <w:vAlign w:val="bottom"/>
            <w:shd w:val="clear" w:color="auto" w:fill="98B0CF"/>
          </w:tcPr>
          <w:p>
            <w:pPr>
              <w:spacing w:after="0"/>
              <w:rPr>
                <w:sz w:val="14"/>
                <w:szCs w:val="14"/>
                <w:color w:val="auto"/>
              </w:rPr>
            </w:pPr>
          </w:p>
        </w:tc>
        <w:tc>
          <w:tcPr>
            <w:tcW w:w="1320" w:type="dxa"/>
            <w:vAlign w:val="bottom"/>
            <w:shd w:val="clear" w:color="auto" w:fill="98B0CF"/>
          </w:tcPr>
          <w:p>
            <w:pPr>
              <w:jc w:val="center"/>
              <w:ind w:right="269"/>
              <w:spacing w:after="0"/>
              <w:rPr>
                <w:sz w:val="20"/>
                <w:szCs w:val="20"/>
                <w:color w:val="auto"/>
              </w:rPr>
            </w:pPr>
            <w:r>
              <w:rPr>
                <w:rFonts w:ascii="Arial" w:cs="Arial" w:eastAsia="Arial" w:hAnsi="Arial"/>
                <w:sz w:val="14"/>
                <w:szCs w:val="14"/>
                <w:b w:val="1"/>
                <w:bCs w:val="1"/>
                <w:color w:val="auto"/>
              </w:rPr>
              <w:t>Value</w:t>
            </w:r>
          </w:p>
        </w:tc>
      </w:tr>
      <w:tr>
        <w:trPr>
          <w:trHeight w:val="184"/>
        </w:trPr>
        <w:tc>
          <w:tcPr>
            <w:tcW w:w="4520" w:type="dxa"/>
            <w:vAlign w:val="bottom"/>
            <w:tcBorders>
              <w:bottom w:val="single" w:sz="8" w:color="auto"/>
            </w:tcBorders>
            <w:shd w:val="clear" w:color="auto" w:fill="98B0CF"/>
          </w:tcPr>
          <w:p>
            <w:pPr>
              <w:spacing w:after="0"/>
              <w:rPr>
                <w:sz w:val="15"/>
                <w:szCs w:val="15"/>
                <w:color w:val="auto"/>
              </w:rPr>
            </w:pPr>
          </w:p>
        </w:tc>
        <w:tc>
          <w:tcPr>
            <w:tcW w:w="1700" w:type="dxa"/>
            <w:vAlign w:val="bottom"/>
            <w:tcBorders>
              <w:bottom w:val="single" w:sz="8" w:color="auto"/>
            </w:tcBorders>
            <w:shd w:val="clear" w:color="auto" w:fill="98B0CF"/>
          </w:tcPr>
          <w:p>
            <w:pPr>
              <w:jc w:val="right"/>
              <w:ind w:right="429"/>
              <w:spacing w:after="0"/>
              <w:rPr>
                <w:sz w:val="20"/>
                <w:szCs w:val="20"/>
                <w:color w:val="auto"/>
              </w:rPr>
            </w:pPr>
            <w:r>
              <w:rPr>
                <w:rFonts w:ascii="Arial" w:cs="Arial" w:eastAsia="Arial" w:hAnsi="Arial"/>
                <w:sz w:val="14"/>
                <w:szCs w:val="14"/>
                <w:b w:val="1"/>
                <w:bCs w:val="1"/>
                <w:color w:val="auto"/>
              </w:rPr>
              <w:t>Shares (000)</w:t>
            </w:r>
          </w:p>
        </w:tc>
        <w:tc>
          <w:tcPr>
            <w:tcW w:w="1260" w:type="dxa"/>
            <w:vAlign w:val="bottom"/>
            <w:tcBorders>
              <w:bottom w:val="single" w:sz="8" w:color="auto"/>
            </w:tcBorders>
            <w:shd w:val="clear" w:color="auto" w:fill="98B0CF"/>
          </w:tcPr>
          <w:p>
            <w:pPr>
              <w:jc w:val="center"/>
              <w:ind w:left="429"/>
              <w:spacing w:after="0"/>
              <w:rPr>
                <w:sz w:val="20"/>
                <w:szCs w:val="20"/>
                <w:color w:val="auto"/>
              </w:rPr>
            </w:pPr>
            <w:r>
              <w:rPr>
                <w:rFonts w:ascii="Arial" w:cs="Arial" w:eastAsia="Arial" w:hAnsi="Arial"/>
                <w:sz w:val="14"/>
                <w:szCs w:val="14"/>
                <w:b w:val="1"/>
                <w:bCs w:val="1"/>
                <w:color w:val="auto"/>
              </w:rPr>
              <w:t>Share</w:t>
            </w:r>
          </w:p>
        </w:tc>
        <w:tc>
          <w:tcPr>
            <w:tcW w:w="1740" w:type="dxa"/>
            <w:vAlign w:val="bottom"/>
            <w:tcBorders>
              <w:bottom w:val="single" w:sz="8" w:color="auto"/>
            </w:tcBorders>
            <w:shd w:val="clear" w:color="auto" w:fill="98B0CF"/>
          </w:tcPr>
          <w:p>
            <w:pPr>
              <w:jc w:val="center"/>
              <w:ind w:left="729"/>
              <w:spacing w:after="0"/>
              <w:rPr>
                <w:sz w:val="20"/>
                <w:szCs w:val="20"/>
                <w:color w:val="auto"/>
              </w:rPr>
            </w:pPr>
            <w:r>
              <w:rPr>
                <w:rFonts w:ascii="Arial" w:cs="Arial" w:eastAsia="Arial" w:hAnsi="Arial"/>
                <w:sz w:val="14"/>
                <w:szCs w:val="14"/>
                <w:b w:val="1"/>
                <w:bCs w:val="1"/>
                <w:color w:val="auto"/>
              </w:rPr>
              <w:t>Term (years)</w:t>
            </w:r>
          </w:p>
        </w:tc>
        <w:tc>
          <w:tcPr>
            <w:tcW w:w="400" w:type="dxa"/>
            <w:vAlign w:val="bottom"/>
            <w:tcBorders>
              <w:bottom w:val="single" w:sz="8" w:color="auto"/>
            </w:tcBorders>
            <w:shd w:val="clear" w:color="auto" w:fill="98B0CF"/>
          </w:tcPr>
          <w:p>
            <w:pPr>
              <w:spacing w:after="0"/>
              <w:rPr>
                <w:sz w:val="15"/>
                <w:szCs w:val="15"/>
                <w:color w:val="auto"/>
              </w:rPr>
            </w:pPr>
          </w:p>
        </w:tc>
        <w:tc>
          <w:tcPr>
            <w:tcW w:w="320" w:type="dxa"/>
            <w:vAlign w:val="bottom"/>
            <w:tcBorders>
              <w:bottom w:val="single" w:sz="8" w:color="auto"/>
            </w:tcBorders>
            <w:shd w:val="clear" w:color="auto" w:fill="98B0CF"/>
          </w:tcPr>
          <w:p>
            <w:pPr>
              <w:spacing w:after="0"/>
              <w:rPr>
                <w:sz w:val="15"/>
                <w:szCs w:val="15"/>
                <w:color w:val="auto"/>
              </w:rPr>
            </w:pPr>
          </w:p>
        </w:tc>
        <w:tc>
          <w:tcPr>
            <w:tcW w:w="1320" w:type="dxa"/>
            <w:vAlign w:val="bottom"/>
            <w:tcBorders>
              <w:bottom w:val="single" w:sz="8" w:color="auto"/>
            </w:tcBorders>
            <w:shd w:val="clear" w:color="auto" w:fill="98B0CF"/>
          </w:tcPr>
          <w:p>
            <w:pPr>
              <w:jc w:val="center"/>
              <w:ind w:right="249"/>
              <w:spacing w:after="0"/>
              <w:rPr>
                <w:sz w:val="20"/>
                <w:szCs w:val="20"/>
                <w:color w:val="auto"/>
              </w:rPr>
            </w:pPr>
            <w:r>
              <w:rPr>
                <w:rFonts w:ascii="Arial" w:cs="Arial" w:eastAsia="Arial" w:hAnsi="Arial"/>
                <w:sz w:val="14"/>
                <w:szCs w:val="14"/>
                <w:b w:val="1"/>
                <w:bCs w:val="1"/>
                <w:color w:val="auto"/>
              </w:rPr>
              <w:t>(in millions)</w:t>
            </w:r>
          </w:p>
        </w:tc>
      </w:tr>
      <w:tr>
        <w:trPr>
          <w:trHeight w:val="187"/>
        </w:trPr>
        <w:tc>
          <w:tcPr>
            <w:tcW w:w="4520" w:type="dxa"/>
            <w:vAlign w:val="bottom"/>
            <w:shd w:val="clear" w:color="auto" w:fill="E2E8F1"/>
          </w:tcPr>
          <w:p>
            <w:pPr>
              <w:ind w:left="80"/>
              <w:spacing w:after="0"/>
              <w:rPr>
                <w:sz w:val="20"/>
                <w:szCs w:val="20"/>
                <w:color w:val="auto"/>
              </w:rPr>
            </w:pPr>
            <w:r>
              <w:rPr>
                <w:rFonts w:ascii="Arial" w:cs="Arial" w:eastAsia="Arial" w:hAnsi="Arial"/>
                <w:sz w:val="14"/>
                <w:szCs w:val="14"/>
                <w:color w:val="auto"/>
              </w:rPr>
              <w:t>Unvested, January 1, 2022</w:t>
            </w:r>
          </w:p>
        </w:tc>
        <w:tc>
          <w:tcPr>
            <w:tcW w:w="1700" w:type="dxa"/>
            <w:vAlign w:val="bottom"/>
            <w:shd w:val="clear" w:color="auto" w:fill="E2E8F1"/>
          </w:tcPr>
          <w:p>
            <w:pPr>
              <w:jc w:val="right"/>
              <w:ind w:right="189"/>
              <w:spacing w:after="0"/>
              <w:rPr>
                <w:sz w:val="20"/>
                <w:szCs w:val="20"/>
                <w:color w:val="auto"/>
              </w:rPr>
            </w:pPr>
            <w:r>
              <w:rPr>
                <w:rFonts w:ascii="Arial" w:cs="Arial" w:eastAsia="Arial" w:hAnsi="Arial"/>
                <w:sz w:val="14"/>
                <w:szCs w:val="14"/>
                <w:color w:val="auto"/>
              </w:rPr>
              <w:t>545</w:t>
            </w:r>
          </w:p>
        </w:tc>
        <w:tc>
          <w:tcPr>
            <w:tcW w:w="1260" w:type="dxa"/>
            <w:vAlign w:val="bottom"/>
            <w:shd w:val="clear" w:color="auto" w:fill="E2E8F1"/>
          </w:tcPr>
          <w:p>
            <w:pPr>
              <w:jc w:val="right"/>
              <w:ind w:right="929"/>
              <w:spacing w:after="0"/>
              <w:rPr>
                <w:sz w:val="20"/>
                <w:szCs w:val="20"/>
                <w:color w:val="auto"/>
              </w:rPr>
            </w:pPr>
            <w:r>
              <w:rPr>
                <w:rFonts w:ascii="Arial" w:cs="Arial" w:eastAsia="Arial" w:hAnsi="Arial"/>
                <w:sz w:val="14"/>
                <w:szCs w:val="14"/>
                <w:color w:val="auto"/>
              </w:rPr>
              <w:t>$</w:t>
            </w:r>
          </w:p>
        </w:tc>
        <w:tc>
          <w:tcPr>
            <w:tcW w:w="1740" w:type="dxa"/>
            <w:vAlign w:val="bottom"/>
            <w:shd w:val="clear" w:color="auto" w:fill="E2E8F1"/>
          </w:tcPr>
          <w:p>
            <w:pPr>
              <w:jc w:val="right"/>
              <w:ind w:right="1369"/>
              <w:spacing w:after="0"/>
              <w:rPr>
                <w:sz w:val="20"/>
                <w:szCs w:val="20"/>
                <w:color w:val="auto"/>
              </w:rPr>
            </w:pPr>
            <w:r>
              <w:rPr>
                <w:rFonts w:ascii="Arial" w:cs="Arial" w:eastAsia="Arial" w:hAnsi="Arial"/>
                <w:sz w:val="14"/>
                <w:szCs w:val="14"/>
                <w:color w:val="auto"/>
              </w:rPr>
              <w:t>85</w:t>
            </w:r>
          </w:p>
        </w:tc>
        <w:tc>
          <w:tcPr>
            <w:tcW w:w="40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auto"/>
              </w:rPr>
              <w:t>1.3</w:t>
            </w:r>
          </w:p>
        </w:tc>
        <w:tc>
          <w:tcPr>
            <w:tcW w:w="320" w:type="dxa"/>
            <w:vAlign w:val="bottom"/>
            <w:shd w:val="clear" w:color="auto" w:fill="E2E8F1"/>
          </w:tcPr>
          <w:p>
            <w:pPr>
              <w:spacing w:after="0"/>
              <w:rPr>
                <w:sz w:val="16"/>
                <w:szCs w:val="16"/>
                <w:color w:val="auto"/>
              </w:rPr>
            </w:pPr>
          </w:p>
        </w:tc>
        <w:tc>
          <w:tcPr>
            <w:tcW w:w="1320" w:type="dxa"/>
            <w:vAlign w:val="bottom"/>
            <w:shd w:val="clear" w:color="auto" w:fill="E2E8F1"/>
          </w:tcPr>
          <w:p>
            <w:pPr>
              <w:spacing w:after="0"/>
              <w:rPr>
                <w:sz w:val="16"/>
                <w:szCs w:val="16"/>
                <w:color w:val="auto"/>
              </w:rPr>
            </w:pPr>
          </w:p>
        </w:tc>
      </w:tr>
      <w:tr>
        <w:trPr>
          <w:trHeight w:val="189"/>
        </w:trPr>
        <w:tc>
          <w:tcPr>
            <w:tcW w:w="4520" w:type="dxa"/>
            <w:vAlign w:val="bottom"/>
          </w:tcPr>
          <w:p>
            <w:pPr>
              <w:ind w:left="240"/>
              <w:spacing w:after="0"/>
              <w:rPr>
                <w:sz w:val="20"/>
                <w:szCs w:val="20"/>
                <w:color w:val="auto"/>
              </w:rPr>
            </w:pPr>
            <w:r>
              <w:rPr>
                <w:rFonts w:ascii="Arial" w:cs="Arial" w:eastAsia="Arial" w:hAnsi="Arial"/>
                <w:sz w:val="14"/>
                <w:szCs w:val="14"/>
                <w:color w:val="auto"/>
              </w:rPr>
              <w:t>Granted</w:t>
            </w:r>
          </w:p>
        </w:tc>
        <w:tc>
          <w:tcPr>
            <w:tcW w:w="1700" w:type="dxa"/>
            <w:vAlign w:val="bottom"/>
          </w:tcPr>
          <w:p>
            <w:pPr>
              <w:jc w:val="right"/>
              <w:ind w:right="189"/>
              <w:spacing w:after="0"/>
              <w:rPr>
                <w:sz w:val="20"/>
                <w:szCs w:val="20"/>
                <w:color w:val="auto"/>
              </w:rPr>
            </w:pPr>
            <w:r>
              <w:rPr>
                <w:rFonts w:ascii="Arial" w:cs="Arial" w:eastAsia="Arial" w:hAnsi="Arial"/>
                <w:sz w:val="14"/>
                <w:szCs w:val="14"/>
                <w:color w:val="auto"/>
              </w:rPr>
              <w:t>245</w:t>
            </w:r>
          </w:p>
        </w:tc>
        <w:tc>
          <w:tcPr>
            <w:tcW w:w="1260" w:type="dxa"/>
            <w:vAlign w:val="bottom"/>
          </w:tcPr>
          <w:p>
            <w:pPr>
              <w:spacing w:after="0"/>
              <w:rPr>
                <w:sz w:val="16"/>
                <w:szCs w:val="16"/>
                <w:color w:val="auto"/>
              </w:rPr>
            </w:pPr>
          </w:p>
        </w:tc>
        <w:tc>
          <w:tcPr>
            <w:tcW w:w="1740" w:type="dxa"/>
            <w:vAlign w:val="bottom"/>
          </w:tcPr>
          <w:p>
            <w:pPr>
              <w:jc w:val="right"/>
              <w:ind w:right="1369"/>
              <w:spacing w:after="0"/>
              <w:rPr>
                <w:sz w:val="20"/>
                <w:szCs w:val="20"/>
                <w:color w:val="auto"/>
              </w:rPr>
            </w:pPr>
            <w:r>
              <w:rPr>
                <w:rFonts w:ascii="Arial" w:cs="Arial" w:eastAsia="Arial" w:hAnsi="Arial"/>
                <w:sz w:val="14"/>
                <w:szCs w:val="14"/>
                <w:color w:val="auto"/>
              </w:rPr>
              <w:t>104</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520" w:type="dxa"/>
            <w:vAlign w:val="bottom"/>
            <w:shd w:val="clear" w:color="auto" w:fill="E2E8F1"/>
          </w:tcPr>
          <w:p>
            <w:pPr>
              <w:ind w:left="240"/>
              <w:spacing w:after="0"/>
              <w:rPr>
                <w:sz w:val="20"/>
                <w:szCs w:val="20"/>
                <w:color w:val="auto"/>
              </w:rPr>
            </w:pPr>
            <w:r>
              <w:rPr>
                <w:rFonts w:ascii="Arial" w:cs="Arial" w:eastAsia="Arial" w:hAnsi="Arial"/>
                <w:sz w:val="14"/>
                <w:szCs w:val="14"/>
                <w:color w:val="auto"/>
              </w:rPr>
              <w:t>Vested</w:t>
            </w:r>
          </w:p>
        </w:tc>
        <w:tc>
          <w:tcPr>
            <w:tcW w:w="170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auto"/>
              </w:rPr>
              <w:t>(177 )</w:t>
            </w:r>
          </w:p>
        </w:tc>
        <w:tc>
          <w:tcPr>
            <w:tcW w:w="1260" w:type="dxa"/>
            <w:vAlign w:val="bottom"/>
            <w:shd w:val="clear" w:color="auto" w:fill="E2E8F1"/>
          </w:tcPr>
          <w:p>
            <w:pPr>
              <w:spacing w:after="0"/>
              <w:rPr>
                <w:sz w:val="16"/>
                <w:szCs w:val="16"/>
                <w:color w:val="auto"/>
              </w:rPr>
            </w:pPr>
          </w:p>
        </w:tc>
        <w:tc>
          <w:tcPr>
            <w:tcW w:w="1740" w:type="dxa"/>
            <w:vAlign w:val="bottom"/>
            <w:shd w:val="clear" w:color="auto" w:fill="E2E8F1"/>
          </w:tcPr>
          <w:p>
            <w:pPr>
              <w:jc w:val="right"/>
              <w:ind w:right="1369"/>
              <w:spacing w:after="0"/>
              <w:rPr>
                <w:sz w:val="20"/>
                <w:szCs w:val="20"/>
                <w:color w:val="auto"/>
              </w:rPr>
            </w:pPr>
            <w:r>
              <w:rPr>
                <w:rFonts w:ascii="Arial" w:cs="Arial" w:eastAsia="Arial" w:hAnsi="Arial"/>
                <w:sz w:val="14"/>
                <w:szCs w:val="14"/>
                <w:color w:val="auto"/>
              </w:rPr>
              <w:t>80</w:t>
            </w:r>
          </w:p>
        </w:tc>
        <w:tc>
          <w:tcPr>
            <w:tcW w:w="4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1320" w:type="dxa"/>
            <w:vAlign w:val="bottom"/>
            <w:shd w:val="clear" w:color="auto" w:fill="E2E8F1"/>
          </w:tcPr>
          <w:p>
            <w:pPr>
              <w:spacing w:after="0"/>
              <w:rPr>
                <w:sz w:val="16"/>
                <w:szCs w:val="16"/>
                <w:color w:val="auto"/>
              </w:rPr>
            </w:pPr>
          </w:p>
        </w:tc>
      </w:tr>
      <w:tr>
        <w:trPr>
          <w:trHeight w:val="189"/>
        </w:trPr>
        <w:tc>
          <w:tcPr>
            <w:tcW w:w="45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Forfeited</w:t>
            </w:r>
          </w:p>
        </w:tc>
        <w:tc>
          <w:tcPr>
            <w:tcW w:w="17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(25 )</w:t>
            </w: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369"/>
              <w:spacing w:after="0"/>
              <w:rPr>
                <w:sz w:val="20"/>
                <w:szCs w:val="20"/>
                <w:color w:val="auto"/>
              </w:rPr>
            </w:pPr>
            <w:r>
              <w:rPr>
                <w:rFonts w:ascii="Arial" w:cs="Arial" w:eastAsia="Arial" w:hAnsi="Arial"/>
                <w:sz w:val="14"/>
                <w:szCs w:val="14"/>
                <w:color w:val="auto"/>
              </w:rPr>
              <w:t>88</w:t>
            </w: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1"/>
        </w:trPr>
        <w:tc>
          <w:tcPr>
            <w:tcW w:w="452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auto"/>
              </w:rPr>
              <w:t>Unvested, December 31, 2022</w:t>
            </w:r>
          </w:p>
        </w:tc>
        <w:tc>
          <w:tcPr>
            <w:tcW w:w="1700" w:type="dxa"/>
            <w:vAlign w:val="bottom"/>
            <w:tcBorders>
              <w:bottom w:val="single" w:sz="8" w:color="auto"/>
            </w:tcBorders>
            <w:shd w:val="clear" w:color="auto" w:fill="E2E8F1"/>
          </w:tcPr>
          <w:p>
            <w:pPr>
              <w:jc w:val="right"/>
              <w:ind w:right="189"/>
              <w:spacing w:after="0"/>
              <w:rPr>
                <w:sz w:val="20"/>
                <w:szCs w:val="20"/>
                <w:color w:val="auto"/>
              </w:rPr>
            </w:pPr>
            <w:r>
              <w:rPr>
                <w:rFonts w:ascii="Arial" w:cs="Arial" w:eastAsia="Arial" w:hAnsi="Arial"/>
                <w:sz w:val="14"/>
                <w:szCs w:val="14"/>
                <w:color w:val="auto"/>
              </w:rPr>
              <w:t>588</w:t>
            </w:r>
          </w:p>
        </w:tc>
        <w:tc>
          <w:tcPr>
            <w:tcW w:w="1260" w:type="dxa"/>
            <w:vAlign w:val="bottom"/>
            <w:tcBorders>
              <w:bottom w:val="single" w:sz="8" w:color="auto"/>
            </w:tcBorders>
            <w:shd w:val="clear" w:color="auto" w:fill="E2E8F1"/>
          </w:tcPr>
          <w:p>
            <w:pPr>
              <w:jc w:val="right"/>
              <w:ind w:right="92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E2E8F1"/>
          </w:tcPr>
          <w:p>
            <w:pPr>
              <w:jc w:val="right"/>
              <w:ind w:right="1369"/>
              <w:spacing w:after="0"/>
              <w:rPr>
                <w:sz w:val="20"/>
                <w:szCs w:val="20"/>
                <w:color w:val="auto"/>
              </w:rPr>
            </w:pPr>
            <w:r>
              <w:rPr>
                <w:rFonts w:ascii="Arial" w:cs="Arial" w:eastAsia="Arial" w:hAnsi="Arial"/>
                <w:sz w:val="14"/>
                <w:szCs w:val="14"/>
                <w:color w:val="auto"/>
              </w:rPr>
              <w:t>94</w:t>
            </w:r>
          </w:p>
        </w:tc>
        <w:tc>
          <w:tcPr>
            <w:tcW w:w="400" w:type="dxa"/>
            <w:vAlign w:val="bottom"/>
            <w:tcBorders>
              <w:bottom w:val="single" w:sz="8" w:color="auto"/>
            </w:tcBorders>
            <w:shd w:val="clear" w:color="auto" w:fill="E2E8F1"/>
          </w:tcPr>
          <w:p>
            <w:pPr>
              <w:jc w:val="right"/>
              <w:ind w:right="89"/>
              <w:spacing w:after="0"/>
              <w:rPr>
                <w:sz w:val="20"/>
                <w:szCs w:val="20"/>
                <w:color w:val="auto"/>
              </w:rPr>
            </w:pPr>
            <w:r>
              <w:rPr>
                <w:rFonts w:ascii="Arial" w:cs="Arial" w:eastAsia="Arial" w:hAnsi="Arial"/>
                <w:sz w:val="14"/>
                <w:szCs w:val="14"/>
                <w:color w:val="auto"/>
              </w:rPr>
              <w:t>1.4</w:t>
            </w:r>
          </w:p>
        </w:tc>
        <w:tc>
          <w:tcPr>
            <w:tcW w:w="320" w:type="dxa"/>
            <w:vAlign w:val="bottom"/>
            <w:tcBorders>
              <w:bottom w:val="single" w:sz="8" w:color="auto"/>
            </w:tcBorders>
            <w:shd w:val="clear" w:color="auto" w:fill="E2E8F1"/>
          </w:tcPr>
          <w:p>
            <w:pPr>
              <w:spacing w:after="0"/>
              <w:rPr>
                <w:sz w:val="15"/>
                <w:szCs w:val="15"/>
                <w:color w:val="auto"/>
              </w:rPr>
            </w:pPr>
          </w:p>
        </w:tc>
        <w:tc>
          <w:tcPr>
            <w:tcW w:w="1320" w:type="dxa"/>
            <w:vAlign w:val="bottom"/>
            <w:tcBorders>
              <w:bottom w:val="single" w:sz="8" w:color="auto"/>
            </w:tcBorders>
            <w:shd w:val="clear" w:color="auto" w:fill="E2E8F1"/>
          </w:tcPr>
          <w:p>
            <w:pPr>
              <w:spacing w:after="0"/>
              <w:rPr>
                <w:sz w:val="15"/>
                <w:szCs w:val="15"/>
                <w:color w:val="auto"/>
              </w:rPr>
            </w:pPr>
          </w:p>
        </w:tc>
      </w:tr>
      <w:tr>
        <w:trPr>
          <w:trHeight w:val="181"/>
        </w:trPr>
        <w:tc>
          <w:tcPr>
            <w:tcW w:w="4520" w:type="dxa"/>
            <w:vAlign w:val="bottom"/>
          </w:tcPr>
          <w:p>
            <w:pPr>
              <w:ind w:left="240"/>
              <w:spacing w:after="0"/>
              <w:rPr>
                <w:sz w:val="20"/>
                <w:szCs w:val="20"/>
                <w:color w:val="auto"/>
              </w:rPr>
            </w:pPr>
            <w:r>
              <w:rPr>
                <w:rFonts w:ascii="Arial" w:cs="Arial" w:eastAsia="Arial" w:hAnsi="Arial"/>
                <w:sz w:val="14"/>
                <w:szCs w:val="14"/>
                <w:color w:val="auto"/>
              </w:rPr>
              <w:t>Granted</w:t>
            </w:r>
          </w:p>
        </w:tc>
        <w:tc>
          <w:tcPr>
            <w:tcW w:w="1700" w:type="dxa"/>
            <w:vAlign w:val="bottom"/>
          </w:tcPr>
          <w:p>
            <w:pPr>
              <w:jc w:val="right"/>
              <w:ind w:right="189"/>
              <w:spacing w:after="0"/>
              <w:rPr>
                <w:sz w:val="20"/>
                <w:szCs w:val="20"/>
                <w:color w:val="auto"/>
              </w:rPr>
            </w:pPr>
            <w:r>
              <w:rPr>
                <w:rFonts w:ascii="Arial" w:cs="Arial" w:eastAsia="Arial" w:hAnsi="Arial"/>
                <w:sz w:val="14"/>
                <w:szCs w:val="14"/>
                <w:color w:val="auto"/>
              </w:rPr>
              <w:t>261</w:t>
            </w:r>
          </w:p>
        </w:tc>
        <w:tc>
          <w:tcPr>
            <w:tcW w:w="1260" w:type="dxa"/>
            <w:vAlign w:val="bottom"/>
          </w:tcPr>
          <w:p>
            <w:pPr>
              <w:spacing w:after="0"/>
              <w:rPr>
                <w:sz w:val="15"/>
                <w:szCs w:val="15"/>
                <w:color w:val="auto"/>
              </w:rPr>
            </w:pPr>
          </w:p>
        </w:tc>
        <w:tc>
          <w:tcPr>
            <w:tcW w:w="1740" w:type="dxa"/>
            <w:vAlign w:val="bottom"/>
          </w:tcPr>
          <w:p>
            <w:pPr>
              <w:jc w:val="right"/>
              <w:ind w:right="1369"/>
              <w:spacing w:after="0"/>
              <w:rPr>
                <w:sz w:val="20"/>
                <w:szCs w:val="20"/>
                <w:color w:val="auto"/>
              </w:rPr>
            </w:pPr>
            <w:r>
              <w:rPr>
                <w:rFonts w:ascii="Arial" w:cs="Arial" w:eastAsia="Arial" w:hAnsi="Arial"/>
                <w:sz w:val="14"/>
                <w:szCs w:val="14"/>
                <w:color w:val="auto"/>
              </w:rPr>
              <w:t>82</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9"/>
        </w:trPr>
        <w:tc>
          <w:tcPr>
            <w:tcW w:w="4520" w:type="dxa"/>
            <w:vAlign w:val="bottom"/>
            <w:shd w:val="clear" w:color="auto" w:fill="E2E8F1"/>
          </w:tcPr>
          <w:p>
            <w:pPr>
              <w:ind w:left="240"/>
              <w:spacing w:after="0"/>
              <w:rPr>
                <w:sz w:val="20"/>
                <w:szCs w:val="20"/>
                <w:color w:val="auto"/>
              </w:rPr>
            </w:pPr>
            <w:r>
              <w:rPr>
                <w:rFonts w:ascii="Arial" w:cs="Arial" w:eastAsia="Arial" w:hAnsi="Arial"/>
                <w:sz w:val="14"/>
                <w:szCs w:val="14"/>
                <w:color w:val="auto"/>
              </w:rPr>
              <w:t>Vested</w:t>
            </w:r>
          </w:p>
        </w:tc>
        <w:tc>
          <w:tcPr>
            <w:tcW w:w="170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auto"/>
              </w:rPr>
              <w:t>(177 )</w:t>
            </w:r>
          </w:p>
        </w:tc>
        <w:tc>
          <w:tcPr>
            <w:tcW w:w="1260" w:type="dxa"/>
            <w:vAlign w:val="bottom"/>
            <w:shd w:val="clear" w:color="auto" w:fill="E2E8F1"/>
          </w:tcPr>
          <w:p>
            <w:pPr>
              <w:spacing w:after="0"/>
              <w:rPr>
                <w:sz w:val="16"/>
                <w:szCs w:val="16"/>
                <w:color w:val="auto"/>
              </w:rPr>
            </w:pPr>
          </w:p>
        </w:tc>
        <w:tc>
          <w:tcPr>
            <w:tcW w:w="1740" w:type="dxa"/>
            <w:vAlign w:val="bottom"/>
            <w:shd w:val="clear" w:color="auto" w:fill="E2E8F1"/>
          </w:tcPr>
          <w:p>
            <w:pPr>
              <w:jc w:val="right"/>
              <w:ind w:right="1369"/>
              <w:spacing w:after="0"/>
              <w:rPr>
                <w:sz w:val="20"/>
                <w:szCs w:val="20"/>
                <w:color w:val="auto"/>
              </w:rPr>
            </w:pPr>
            <w:r>
              <w:rPr>
                <w:rFonts w:ascii="Arial" w:cs="Arial" w:eastAsia="Arial" w:hAnsi="Arial"/>
                <w:sz w:val="14"/>
                <w:szCs w:val="14"/>
                <w:color w:val="auto"/>
              </w:rPr>
              <w:t>87</w:t>
            </w:r>
          </w:p>
        </w:tc>
        <w:tc>
          <w:tcPr>
            <w:tcW w:w="4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1320" w:type="dxa"/>
            <w:vAlign w:val="bottom"/>
            <w:shd w:val="clear" w:color="auto" w:fill="E2E8F1"/>
          </w:tcPr>
          <w:p>
            <w:pPr>
              <w:spacing w:after="0"/>
              <w:rPr>
                <w:sz w:val="16"/>
                <w:szCs w:val="16"/>
                <w:color w:val="auto"/>
              </w:rPr>
            </w:pPr>
          </w:p>
        </w:tc>
      </w:tr>
      <w:tr>
        <w:trPr>
          <w:trHeight w:val="189"/>
        </w:trPr>
        <w:tc>
          <w:tcPr>
            <w:tcW w:w="45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Forfeited</w:t>
            </w:r>
          </w:p>
        </w:tc>
        <w:tc>
          <w:tcPr>
            <w:tcW w:w="17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(44 )</w:t>
            </w: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369"/>
              <w:spacing w:after="0"/>
              <w:rPr>
                <w:sz w:val="20"/>
                <w:szCs w:val="20"/>
                <w:color w:val="auto"/>
              </w:rPr>
            </w:pPr>
            <w:r>
              <w:rPr>
                <w:rFonts w:ascii="Arial" w:cs="Arial" w:eastAsia="Arial" w:hAnsi="Arial"/>
                <w:sz w:val="14"/>
                <w:szCs w:val="14"/>
                <w:color w:val="auto"/>
              </w:rPr>
              <w:t>90</w:t>
            </w: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1"/>
        </w:trPr>
        <w:tc>
          <w:tcPr>
            <w:tcW w:w="452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auto"/>
              </w:rPr>
              <w:t>Unvested, December 31, 2023</w:t>
            </w:r>
          </w:p>
        </w:tc>
        <w:tc>
          <w:tcPr>
            <w:tcW w:w="1700" w:type="dxa"/>
            <w:vAlign w:val="bottom"/>
            <w:tcBorders>
              <w:bottom w:val="single" w:sz="8" w:color="auto"/>
            </w:tcBorders>
            <w:shd w:val="clear" w:color="auto" w:fill="E2E8F1"/>
          </w:tcPr>
          <w:p>
            <w:pPr>
              <w:jc w:val="right"/>
              <w:ind w:right="189"/>
              <w:spacing w:after="0"/>
              <w:rPr>
                <w:sz w:val="20"/>
                <w:szCs w:val="20"/>
                <w:color w:val="auto"/>
              </w:rPr>
            </w:pPr>
            <w:r>
              <w:rPr>
                <w:rFonts w:ascii="Arial" w:cs="Arial" w:eastAsia="Arial" w:hAnsi="Arial"/>
                <w:sz w:val="14"/>
                <w:szCs w:val="14"/>
                <w:color w:val="auto"/>
              </w:rPr>
              <w:t>628</w:t>
            </w:r>
          </w:p>
        </w:tc>
        <w:tc>
          <w:tcPr>
            <w:tcW w:w="1260" w:type="dxa"/>
            <w:vAlign w:val="bottom"/>
            <w:tcBorders>
              <w:bottom w:val="single" w:sz="8" w:color="auto"/>
            </w:tcBorders>
            <w:shd w:val="clear" w:color="auto" w:fill="E2E8F1"/>
          </w:tcPr>
          <w:p>
            <w:pPr>
              <w:jc w:val="right"/>
              <w:ind w:right="92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E2E8F1"/>
          </w:tcPr>
          <w:p>
            <w:pPr>
              <w:jc w:val="right"/>
              <w:ind w:right="1369"/>
              <w:spacing w:after="0"/>
              <w:rPr>
                <w:sz w:val="20"/>
                <w:szCs w:val="20"/>
                <w:color w:val="auto"/>
              </w:rPr>
            </w:pPr>
            <w:r>
              <w:rPr>
                <w:rFonts w:ascii="Arial" w:cs="Arial" w:eastAsia="Arial" w:hAnsi="Arial"/>
                <w:sz w:val="14"/>
                <w:szCs w:val="14"/>
                <w:color w:val="auto"/>
              </w:rPr>
              <w:t>91</w:t>
            </w:r>
          </w:p>
        </w:tc>
        <w:tc>
          <w:tcPr>
            <w:tcW w:w="400" w:type="dxa"/>
            <w:vAlign w:val="bottom"/>
            <w:tcBorders>
              <w:bottom w:val="single" w:sz="8" w:color="auto"/>
            </w:tcBorders>
            <w:shd w:val="clear" w:color="auto" w:fill="E2E8F1"/>
          </w:tcPr>
          <w:p>
            <w:pPr>
              <w:jc w:val="right"/>
              <w:ind w:right="89"/>
              <w:spacing w:after="0"/>
              <w:rPr>
                <w:sz w:val="20"/>
                <w:szCs w:val="20"/>
                <w:color w:val="auto"/>
              </w:rPr>
            </w:pPr>
            <w:r>
              <w:rPr>
                <w:rFonts w:ascii="Arial" w:cs="Arial" w:eastAsia="Arial" w:hAnsi="Arial"/>
                <w:sz w:val="14"/>
                <w:szCs w:val="14"/>
                <w:color w:val="auto"/>
              </w:rPr>
              <w:t>1.4</w:t>
            </w:r>
          </w:p>
        </w:tc>
        <w:tc>
          <w:tcPr>
            <w:tcW w:w="320" w:type="dxa"/>
            <w:vAlign w:val="bottom"/>
            <w:tcBorders>
              <w:bottom w:val="single" w:sz="8" w:color="auto"/>
            </w:tcBorders>
            <w:shd w:val="clear" w:color="auto" w:fill="E2E8F1"/>
          </w:tcPr>
          <w:p>
            <w:pPr>
              <w:spacing w:after="0"/>
              <w:rPr>
                <w:sz w:val="15"/>
                <w:szCs w:val="15"/>
                <w:color w:val="auto"/>
              </w:rPr>
            </w:pPr>
          </w:p>
        </w:tc>
        <w:tc>
          <w:tcPr>
            <w:tcW w:w="1320" w:type="dxa"/>
            <w:vAlign w:val="bottom"/>
            <w:tcBorders>
              <w:bottom w:val="single" w:sz="8" w:color="auto"/>
            </w:tcBorders>
            <w:shd w:val="clear" w:color="auto" w:fill="E2E8F1"/>
          </w:tcPr>
          <w:p>
            <w:pPr>
              <w:spacing w:after="0"/>
              <w:rPr>
                <w:sz w:val="15"/>
                <w:szCs w:val="15"/>
                <w:color w:val="auto"/>
              </w:rPr>
            </w:pPr>
          </w:p>
        </w:tc>
      </w:tr>
      <w:tr>
        <w:trPr>
          <w:trHeight w:val="181"/>
        </w:trPr>
        <w:tc>
          <w:tcPr>
            <w:tcW w:w="4520" w:type="dxa"/>
            <w:vAlign w:val="bottom"/>
          </w:tcPr>
          <w:p>
            <w:pPr>
              <w:ind w:left="240"/>
              <w:spacing w:after="0"/>
              <w:rPr>
                <w:sz w:val="20"/>
                <w:szCs w:val="20"/>
                <w:color w:val="auto"/>
              </w:rPr>
            </w:pPr>
            <w:r>
              <w:rPr>
                <w:rFonts w:ascii="Arial" w:cs="Arial" w:eastAsia="Arial" w:hAnsi="Arial"/>
                <w:sz w:val="14"/>
                <w:szCs w:val="14"/>
                <w:color w:val="auto"/>
              </w:rPr>
              <w:t>Granted</w:t>
            </w:r>
          </w:p>
        </w:tc>
        <w:tc>
          <w:tcPr>
            <w:tcW w:w="1700" w:type="dxa"/>
            <w:vAlign w:val="bottom"/>
          </w:tcPr>
          <w:p>
            <w:pPr>
              <w:jc w:val="right"/>
              <w:ind w:right="189"/>
              <w:spacing w:after="0"/>
              <w:rPr>
                <w:sz w:val="20"/>
                <w:szCs w:val="20"/>
                <w:color w:val="auto"/>
              </w:rPr>
            </w:pPr>
            <w:r>
              <w:rPr>
                <w:rFonts w:ascii="Arial" w:cs="Arial" w:eastAsia="Arial" w:hAnsi="Arial"/>
                <w:sz w:val="14"/>
                <w:szCs w:val="14"/>
                <w:color w:val="auto"/>
              </w:rPr>
              <w:t>343</w:t>
            </w:r>
          </w:p>
        </w:tc>
        <w:tc>
          <w:tcPr>
            <w:tcW w:w="1260" w:type="dxa"/>
            <w:vAlign w:val="bottom"/>
          </w:tcPr>
          <w:p>
            <w:pPr>
              <w:spacing w:after="0"/>
              <w:rPr>
                <w:sz w:val="15"/>
                <w:szCs w:val="15"/>
                <w:color w:val="auto"/>
              </w:rPr>
            </w:pPr>
          </w:p>
        </w:tc>
        <w:tc>
          <w:tcPr>
            <w:tcW w:w="1740" w:type="dxa"/>
            <w:vAlign w:val="bottom"/>
          </w:tcPr>
          <w:p>
            <w:pPr>
              <w:jc w:val="right"/>
              <w:ind w:right="1369"/>
              <w:spacing w:after="0"/>
              <w:rPr>
                <w:sz w:val="20"/>
                <w:szCs w:val="20"/>
                <w:color w:val="auto"/>
              </w:rPr>
            </w:pPr>
            <w:r>
              <w:rPr>
                <w:rFonts w:ascii="Arial" w:cs="Arial" w:eastAsia="Arial" w:hAnsi="Arial"/>
                <w:sz w:val="14"/>
                <w:szCs w:val="14"/>
                <w:color w:val="auto"/>
              </w:rPr>
              <w:t>64</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9"/>
        </w:trPr>
        <w:tc>
          <w:tcPr>
            <w:tcW w:w="4520" w:type="dxa"/>
            <w:vAlign w:val="bottom"/>
            <w:shd w:val="clear" w:color="auto" w:fill="E2E8F1"/>
          </w:tcPr>
          <w:p>
            <w:pPr>
              <w:ind w:left="240"/>
              <w:spacing w:after="0"/>
              <w:rPr>
                <w:sz w:val="20"/>
                <w:szCs w:val="20"/>
                <w:color w:val="auto"/>
              </w:rPr>
            </w:pPr>
            <w:r>
              <w:rPr>
                <w:rFonts w:ascii="Arial" w:cs="Arial" w:eastAsia="Arial" w:hAnsi="Arial"/>
                <w:sz w:val="14"/>
                <w:szCs w:val="14"/>
                <w:color w:val="auto"/>
              </w:rPr>
              <w:t>Vested</w:t>
            </w:r>
          </w:p>
        </w:tc>
        <w:tc>
          <w:tcPr>
            <w:tcW w:w="170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auto"/>
              </w:rPr>
              <w:t>(180 )</w:t>
            </w:r>
          </w:p>
        </w:tc>
        <w:tc>
          <w:tcPr>
            <w:tcW w:w="1260" w:type="dxa"/>
            <w:vAlign w:val="bottom"/>
            <w:shd w:val="clear" w:color="auto" w:fill="E2E8F1"/>
          </w:tcPr>
          <w:p>
            <w:pPr>
              <w:spacing w:after="0"/>
              <w:rPr>
                <w:sz w:val="16"/>
                <w:szCs w:val="16"/>
                <w:color w:val="auto"/>
              </w:rPr>
            </w:pPr>
          </w:p>
        </w:tc>
        <w:tc>
          <w:tcPr>
            <w:tcW w:w="1740" w:type="dxa"/>
            <w:vAlign w:val="bottom"/>
            <w:shd w:val="clear" w:color="auto" w:fill="E2E8F1"/>
          </w:tcPr>
          <w:p>
            <w:pPr>
              <w:jc w:val="right"/>
              <w:ind w:right="1369"/>
              <w:spacing w:after="0"/>
              <w:rPr>
                <w:sz w:val="20"/>
                <w:szCs w:val="20"/>
                <w:color w:val="auto"/>
              </w:rPr>
            </w:pPr>
            <w:r>
              <w:rPr>
                <w:rFonts w:ascii="Arial" w:cs="Arial" w:eastAsia="Arial" w:hAnsi="Arial"/>
                <w:sz w:val="14"/>
                <w:szCs w:val="14"/>
                <w:color w:val="auto"/>
              </w:rPr>
              <w:t>86</w:t>
            </w:r>
          </w:p>
        </w:tc>
        <w:tc>
          <w:tcPr>
            <w:tcW w:w="4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1320" w:type="dxa"/>
            <w:vAlign w:val="bottom"/>
            <w:shd w:val="clear" w:color="auto" w:fill="E2E8F1"/>
          </w:tcPr>
          <w:p>
            <w:pPr>
              <w:spacing w:after="0"/>
              <w:rPr>
                <w:sz w:val="16"/>
                <w:szCs w:val="16"/>
                <w:color w:val="auto"/>
              </w:rPr>
            </w:pPr>
          </w:p>
        </w:tc>
      </w:tr>
      <w:tr>
        <w:trPr>
          <w:trHeight w:val="189"/>
        </w:trPr>
        <w:tc>
          <w:tcPr>
            <w:tcW w:w="45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Forfeited</w:t>
            </w:r>
          </w:p>
        </w:tc>
        <w:tc>
          <w:tcPr>
            <w:tcW w:w="17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(38 )</w:t>
            </w: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369"/>
              <w:spacing w:after="0"/>
              <w:rPr>
                <w:sz w:val="20"/>
                <w:szCs w:val="20"/>
                <w:color w:val="auto"/>
              </w:rPr>
            </w:pPr>
            <w:r>
              <w:rPr>
                <w:rFonts w:ascii="Arial" w:cs="Arial" w:eastAsia="Arial" w:hAnsi="Arial"/>
                <w:sz w:val="14"/>
                <w:szCs w:val="14"/>
                <w:color w:val="auto"/>
              </w:rPr>
              <w:t>83</w:t>
            </w: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90"/>
        </w:trPr>
        <w:tc>
          <w:tcPr>
            <w:tcW w:w="4520" w:type="dxa"/>
            <w:vAlign w:val="bottom"/>
          </w:tcPr>
          <w:p>
            <w:pPr>
              <w:ind w:left="80"/>
              <w:spacing w:after="0"/>
              <w:rPr>
                <w:sz w:val="20"/>
                <w:szCs w:val="20"/>
                <w:color w:val="auto"/>
              </w:rPr>
            </w:pPr>
            <w:r>
              <w:rPr>
                <w:rFonts w:ascii="Arial" w:cs="Arial" w:eastAsia="Arial" w:hAnsi="Arial"/>
                <w:sz w:val="14"/>
                <w:szCs w:val="14"/>
                <w:color w:val="auto"/>
              </w:rPr>
              <w:t>Unvested, December 31, 2024</w:t>
            </w:r>
          </w:p>
        </w:tc>
        <w:tc>
          <w:tcPr>
            <w:tcW w:w="1700" w:type="dxa"/>
            <w:vAlign w:val="bottom"/>
          </w:tcPr>
          <w:p>
            <w:pPr>
              <w:jc w:val="right"/>
              <w:ind w:right="189"/>
              <w:spacing w:after="0"/>
              <w:rPr>
                <w:sz w:val="20"/>
                <w:szCs w:val="20"/>
                <w:color w:val="auto"/>
              </w:rPr>
            </w:pPr>
            <w:r>
              <w:rPr>
                <w:rFonts w:ascii="Arial" w:cs="Arial" w:eastAsia="Arial" w:hAnsi="Arial"/>
                <w:sz w:val="14"/>
                <w:szCs w:val="14"/>
                <w:color w:val="auto"/>
              </w:rPr>
              <w:t>753</w:t>
            </w:r>
          </w:p>
        </w:tc>
        <w:tc>
          <w:tcPr>
            <w:tcW w:w="1260" w:type="dxa"/>
            <w:vAlign w:val="bottom"/>
          </w:tcPr>
          <w:p>
            <w:pPr>
              <w:jc w:val="right"/>
              <w:ind w:right="929"/>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1369"/>
              <w:spacing w:after="0"/>
              <w:rPr>
                <w:sz w:val="20"/>
                <w:szCs w:val="20"/>
                <w:color w:val="auto"/>
              </w:rPr>
            </w:pPr>
            <w:r>
              <w:rPr>
                <w:rFonts w:ascii="Arial" w:cs="Arial" w:eastAsia="Arial" w:hAnsi="Arial"/>
                <w:sz w:val="14"/>
                <w:szCs w:val="14"/>
                <w:color w:val="auto"/>
              </w:rPr>
              <w:t>80</w:t>
            </w:r>
          </w:p>
        </w:tc>
        <w:tc>
          <w:tcPr>
            <w:tcW w:w="400" w:type="dxa"/>
            <w:vAlign w:val="bottom"/>
          </w:tcPr>
          <w:p>
            <w:pPr>
              <w:jc w:val="right"/>
              <w:ind w:right="89"/>
              <w:spacing w:after="0"/>
              <w:rPr>
                <w:sz w:val="20"/>
                <w:szCs w:val="20"/>
                <w:color w:val="auto"/>
              </w:rPr>
            </w:pPr>
            <w:r>
              <w:rPr>
                <w:rFonts w:ascii="Arial" w:cs="Arial" w:eastAsia="Arial" w:hAnsi="Arial"/>
                <w:sz w:val="14"/>
                <w:szCs w:val="14"/>
                <w:color w:val="auto"/>
              </w:rPr>
              <w:t>1.4</w:t>
            </w:r>
          </w:p>
        </w:tc>
        <w:tc>
          <w:tcPr>
            <w:tcW w:w="3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9"/>
              <w:spacing w:after="0"/>
              <w:rPr>
                <w:sz w:val="20"/>
                <w:szCs w:val="20"/>
                <w:color w:val="auto"/>
              </w:rPr>
            </w:pPr>
            <w:r>
              <w:rPr>
                <w:rFonts w:ascii="Arial" w:cs="Arial" w:eastAsia="Arial" w:hAnsi="Arial"/>
                <w:sz w:val="14"/>
                <w:szCs w:val="14"/>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7149465" cy="1276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jc w:val="both"/>
        <w:ind w:right="20"/>
        <w:spacing w:after="0" w:line="237" w:lineRule="auto"/>
        <w:rPr>
          <w:sz w:val="20"/>
          <w:szCs w:val="20"/>
          <w:color w:val="auto"/>
        </w:rPr>
      </w:pPr>
      <w:r>
        <w:rPr>
          <w:rFonts w:ascii="Arial" w:cs="Arial" w:eastAsia="Arial" w:hAnsi="Arial"/>
          <w:sz w:val="16"/>
          <w:szCs w:val="16"/>
          <w:color w:val="231F20"/>
        </w:rPr>
        <w:t>During 2024, 2023 and 2022, there were 9,060, 8,412 and 7,192, respectively, shares of restricted stock granted to our non-employee directors, all of which are vested. During 2024, 2023 and 2022, we recognized $18.9, $18.9 and $19.1, respectively, of expense related to restricted stock awards. As of December 31, 2024, there was $14.5 of total unrecognized compensation cost related to unvested restricted stock, which we expect to recognize over a weighted-average period of approximately 2.0 years.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color w:val="5B89B4"/>
        </w:rPr>
        <w:t>Performance Share Units</w:t>
      </w:r>
    </w:p>
    <w:p>
      <w:pPr>
        <w:spacing w:after="0" w:line="8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Our 2011 Plan allows us to grant performance share units. We grant performance share units with a performance period ranging from one to three years. Vesting of units occurs at the end of the performance period or after a subsequent holding period, except in the case of termination of employment where the units are forfeited immediately. Upon retirement, a prorated number of units vest depending on the period worked from the grant date to retirement date or in certain cases all of the units vest. In the case of death or disability, the units immediately vest at the Target Award level if the death or disability date is during the performance period, or at the level determined by the performance criteria met during the performance period if the death or disability occurs during the subsequent holding period. The units are settled in shares of our common stock. A payout multiple may be applied to the units awarded based on the performance criteria determined by the People, Culture and Compensation Committee of the Board of Directors ("the Committee") at the time of grant. Final determination of the payout is at the discretion of the Committee.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66" w:name="page67"/>
    <w:bookmarkEnd w:id="66"/>
    <w:p>
      <w:pPr>
        <w:ind w:left="107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ind w:left="5" w:right="20"/>
        <w:spacing w:after="0" w:line="246" w:lineRule="auto"/>
        <w:rPr>
          <w:sz w:val="20"/>
          <w:szCs w:val="20"/>
          <w:color w:val="auto"/>
        </w:rPr>
      </w:pPr>
      <w:r>
        <w:rPr>
          <w:rFonts w:ascii="Arial" w:cs="Arial" w:eastAsia="Arial" w:hAnsi="Arial"/>
          <w:sz w:val="16"/>
          <w:szCs w:val="16"/>
          <w:color w:val="231F20"/>
        </w:rPr>
        <w:t>In the event the performance criteria exceed the Target Award level, an additional number of shares, up to the Outstanding Award level, may be granted. In the event the performance criteria fall below the Target Award level, a reduced number of shares, as low as the Threshold Award level, may be granted. If the performance criteria fall below the Threshold Award level, no shares will be granted.</w:t>
      </w:r>
    </w:p>
    <w:p>
      <w:pPr>
        <w:spacing w:after="0" w:line="61" w:lineRule="exact"/>
        <w:rPr>
          <w:sz w:val="20"/>
          <w:szCs w:val="20"/>
          <w:color w:val="auto"/>
        </w:rPr>
      </w:pPr>
    </w:p>
    <w:p>
      <w:pPr>
        <w:ind w:left="5"/>
        <w:spacing w:after="0"/>
        <w:rPr>
          <w:sz w:val="20"/>
          <w:szCs w:val="20"/>
          <w:color w:val="auto"/>
        </w:rPr>
      </w:pPr>
      <w:r>
        <w:rPr>
          <w:rFonts w:ascii="Arial" w:cs="Arial" w:eastAsia="Arial" w:hAnsi="Arial"/>
          <w:sz w:val="16"/>
          <w:szCs w:val="16"/>
          <w:color w:val="231F20"/>
        </w:rPr>
        <w:t>A summary of the performance share units detail by grant year is as follows:</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146"/>
        </w:trPr>
        <w:tc>
          <w:tcPr>
            <w:tcW w:w="3480" w:type="dxa"/>
            <w:vAlign w:val="bottom"/>
            <w:tcBorders>
              <w:top w:val="single" w:sz="8" w:color="231F20"/>
            </w:tcBorders>
            <w:shd w:val="clear" w:color="auto" w:fill="98B0CF"/>
          </w:tcPr>
          <w:p>
            <w:pPr>
              <w:spacing w:after="0"/>
              <w:rPr>
                <w:sz w:val="12"/>
                <w:szCs w:val="12"/>
                <w:color w:val="auto"/>
              </w:rPr>
            </w:pPr>
          </w:p>
        </w:tc>
        <w:tc>
          <w:tcPr>
            <w:tcW w:w="1340" w:type="dxa"/>
            <w:vAlign w:val="bottom"/>
            <w:tcBorders>
              <w:top w:val="single" w:sz="8" w:color="231F20"/>
            </w:tcBorders>
            <w:shd w:val="clear" w:color="auto" w:fill="98B0CF"/>
          </w:tcPr>
          <w:p>
            <w:pPr>
              <w:jc w:val="right"/>
              <w:ind w:right="510"/>
              <w:spacing w:after="0" w:line="146" w:lineRule="exact"/>
              <w:rPr>
                <w:sz w:val="20"/>
                <w:szCs w:val="20"/>
                <w:color w:val="auto"/>
              </w:rPr>
            </w:pPr>
            <w:r>
              <w:rPr>
                <w:rFonts w:ascii="Arial" w:cs="Arial" w:eastAsia="Arial" w:hAnsi="Arial"/>
                <w:sz w:val="13"/>
                <w:szCs w:val="13"/>
                <w:b w:val="1"/>
                <w:bCs w:val="1"/>
                <w:color w:val="auto"/>
              </w:rPr>
              <w:t>2021</w:t>
            </w:r>
          </w:p>
        </w:tc>
        <w:tc>
          <w:tcPr>
            <w:tcW w:w="1360" w:type="dxa"/>
            <w:vAlign w:val="bottom"/>
            <w:tcBorders>
              <w:top w:val="single" w:sz="8" w:color="231F20"/>
            </w:tcBorders>
            <w:shd w:val="clear" w:color="auto" w:fill="98B0CF"/>
          </w:tcPr>
          <w:p>
            <w:pPr>
              <w:jc w:val="right"/>
              <w:ind w:right="510"/>
              <w:spacing w:after="0" w:line="146" w:lineRule="exact"/>
              <w:rPr>
                <w:sz w:val="20"/>
                <w:szCs w:val="20"/>
                <w:color w:val="auto"/>
              </w:rPr>
            </w:pPr>
            <w:r>
              <w:rPr>
                <w:rFonts w:ascii="Arial" w:cs="Arial" w:eastAsia="Arial" w:hAnsi="Arial"/>
                <w:sz w:val="13"/>
                <w:szCs w:val="13"/>
                <w:b w:val="1"/>
                <w:bCs w:val="1"/>
                <w:color w:val="auto"/>
              </w:rPr>
              <w:t>2021</w:t>
            </w:r>
          </w:p>
        </w:tc>
        <w:tc>
          <w:tcPr>
            <w:tcW w:w="1280" w:type="dxa"/>
            <w:vAlign w:val="bottom"/>
            <w:tcBorders>
              <w:top w:val="single" w:sz="8" w:color="231F20"/>
            </w:tcBorders>
            <w:shd w:val="clear" w:color="auto" w:fill="98B0CF"/>
          </w:tcPr>
          <w:p>
            <w:pPr>
              <w:jc w:val="right"/>
              <w:ind w:right="470"/>
              <w:spacing w:after="0" w:line="146" w:lineRule="exact"/>
              <w:rPr>
                <w:sz w:val="20"/>
                <w:szCs w:val="20"/>
                <w:color w:val="auto"/>
              </w:rPr>
            </w:pPr>
            <w:r>
              <w:rPr>
                <w:rFonts w:ascii="Arial" w:cs="Arial" w:eastAsia="Arial" w:hAnsi="Arial"/>
                <w:sz w:val="13"/>
                <w:szCs w:val="13"/>
                <w:b w:val="1"/>
                <w:bCs w:val="1"/>
                <w:color w:val="auto"/>
              </w:rPr>
              <w:t>2022</w:t>
            </w:r>
          </w:p>
        </w:tc>
        <w:tc>
          <w:tcPr>
            <w:tcW w:w="1260" w:type="dxa"/>
            <w:vAlign w:val="bottom"/>
            <w:tcBorders>
              <w:top w:val="single" w:sz="8" w:color="231F20"/>
            </w:tcBorders>
            <w:shd w:val="clear" w:color="auto" w:fill="98B0CF"/>
          </w:tcPr>
          <w:p>
            <w:pPr>
              <w:jc w:val="right"/>
              <w:ind w:right="450"/>
              <w:spacing w:after="0" w:line="146" w:lineRule="exact"/>
              <w:rPr>
                <w:sz w:val="20"/>
                <w:szCs w:val="20"/>
                <w:color w:val="auto"/>
              </w:rPr>
            </w:pPr>
            <w:r>
              <w:rPr>
                <w:rFonts w:ascii="Arial" w:cs="Arial" w:eastAsia="Arial" w:hAnsi="Arial"/>
                <w:sz w:val="13"/>
                <w:szCs w:val="13"/>
                <w:b w:val="1"/>
                <w:bCs w:val="1"/>
                <w:color w:val="auto"/>
              </w:rPr>
              <w:t>2022</w:t>
            </w:r>
          </w:p>
        </w:tc>
        <w:tc>
          <w:tcPr>
            <w:tcW w:w="1280" w:type="dxa"/>
            <w:vAlign w:val="bottom"/>
            <w:tcBorders>
              <w:top w:val="single" w:sz="8" w:color="231F20"/>
            </w:tcBorders>
            <w:shd w:val="clear" w:color="auto" w:fill="98B0CF"/>
          </w:tcPr>
          <w:p>
            <w:pPr>
              <w:spacing w:after="0"/>
              <w:rPr>
                <w:sz w:val="12"/>
                <w:szCs w:val="12"/>
                <w:color w:val="auto"/>
              </w:rPr>
            </w:pPr>
          </w:p>
        </w:tc>
        <w:tc>
          <w:tcPr>
            <w:tcW w:w="1260" w:type="dxa"/>
            <w:vAlign w:val="bottom"/>
            <w:tcBorders>
              <w:top w:val="single" w:sz="8" w:color="231F20"/>
            </w:tcBorders>
            <w:shd w:val="clear" w:color="auto" w:fill="98B0CF"/>
          </w:tcPr>
          <w:p>
            <w:pPr>
              <w:spacing w:after="0"/>
              <w:rPr>
                <w:sz w:val="12"/>
                <w:szCs w:val="12"/>
                <w:color w:val="auto"/>
              </w:rPr>
            </w:pPr>
          </w:p>
        </w:tc>
      </w:tr>
      <w:tr>
        <w:trPr>
          <w:trHeight w:val="156"/>
        </w:trPr>
        <w:tc>
          <w:tcPr>
            <w:tcW w:w="3480" w:type="dxa"/>
            <w:vAlign w:val="bottom"/>
            <w:tcBorders>
              <w:bottom w:val="single" w:sz="8" w:color="auto"/>
            </w:tcBorders>
            <w:shd w:val="clear" w:color="auto" w:fill="98B0CF"/>
          </w:tcPr>
          <w:p>
            <w:pPr>
              <w:spacing w:after="0"/>
              <w:rPr>
                <w:sz w:val="13"/>
                <w:szCs w:val="13"/>
                <w:color w:val="auto"/>
              </w:rPr>
            </w:pPr>
          </w:p>
        </w:tc>
        <w:tc>
          <w:tcPr>
            <w:tcW w:w="1340" w:type="dxa"/>
            <w:vAlign w:val="bottom"/>
            <w:tcBorders>
              <w:bottom w:val="single" w:sz="8" w:color="auto"/>
            </w:tcBorders>
            <w:shd w:val="clear" w:color="auto" w:fill="98B0CF"/>
          </w:tcPr>
          <w:p>
            <w:pPr>
              <w:jc w:val="right"/>
              <w:ind w:right="370"/>
              <w:spacing w:after="0"/>
              <w:rPr>
                <w:sz w:val="20"/>
                <w:szCs w:val="20"/>
                <w:color w:val="auto"/>
              </w:rPr>
            </w:pPr>
            <w:r>
              <w:rPr>
                <w:rFonts w:ascii="Arial" w:cs="Arial" w:eastAsia="Arial" w:hAnsi="Arial"/>
                <w:sz w:val="13"/>
                <w:szCs w:val="13"/>
                <w:b w:val="1"/>
                <w:bCs w:val="1"/>
                <w:color w:val="auto"/>
              </w:rPr>
              <w:t>(Regular)</w:t>
            </w:r>
          </w:p>
        </w:tc>
        <w:tc>
          <w:tcPr>
            <w:tcW w:w="1360" w:type="dxa"/>
            <w:vAlign w:val="bottom"/>
            <w:tcBorders>
              <w:bottom w:val="single" w:sz="8" w:color="auto"/>
            </w:tcBorders>
            <w:shd w:val="clear" w:color="auto" w:fill="98B0CF"/>
          </w:tcPr>
          <w:p>
            <w:pPr>
              <w:jc w:val="right"/>
              <w:ind w:right="310"/>
              <w:spacing w:after="0"/>
              <w:rPr>
                <w:sz w:val="20"/>
                <w:szCs w:val="20"/>
                <w:color w:val="auto"/>
              </w:rPr>
            </w:pPr>
            <w:r>
              <w:rPr>
                <w:rFonts w:ascii="Arial" w:cs="Arial" w:eastAsia="Arial" w:hAnsi="Arial"/>
                <w:sz w:val="13"/>
                <w:szCs w:val="13"/>
                <w:b w:val="1"/>
                <w:bCs w:val="1"/>
                <w:color w:val="auto"/>
              </w:rPr>
              <w:t>(Additional)</w:t>
            </w:r>
          </w:p>
        </w:tc>
        <w:tc>
          <w:tcPr>
            <w:tcW w:w="1280" w:type="dxa"/>
            <w:vAlign w:val="bottom"/>
            <w:tcBorders>
              <w:bottom w:val="single" w:sz="8" w:color="auto"/>
            </w:tcBorders>
            <w:shd w:val="clear" w:color="auto" w:fill="98B0CF"/>
          </w:tcPr>
          <w:p>
            <w:pPr>
              <w:jc w:val="right"/>
              <w:ind w:right="330"/>
              <w:spacing w:after="0"/>
              <w:rPr>
                <w:sz w:val="20"/>
                <w:szCs w:val="20"/>
                <w:color w:val="auto"/>
              </w:rPr>
            </w:pPr>
            <w:r>
              <w:rPr>
                <w:rFonts w:ascii="Arial" w:cs="Arial" w:eastAsia="Arial" w:hAnsi="Arial"/>
                <w:sz w:val="13"/>
                <w:szCs w:val="13"/>
                <w:b w:val="1"/>
                <w:bCs w:val="1"/>
                <w:color w:val="auto"/>
              </w:rPr>
              <w:t>(Regular)</w:t>
            </w:r>
          </w:p>
        </w:tc>
        <w:tc>
          <w:tcPr>
            <w:tcW w:w="1260" w:type="dxa"/>
            <w:vAlign w:val="bottom"/>
            <w:tcBorders>
              <w:bottom w:val="single" w:sz="8" w:color="auto"/>
            </w:tcBorders>
            <w:shd w:val="clear" w:color="auto" w:fill="98B0CF"/>
          </w:tcPr>
          <w:p>
            <w:pPr>
              <w:jc w:val="right"/>
              <w:ind w:right="330"/>
              <w:spacing w:after="0"/>
              <w:rPr>
                <w:sz w:val="20"/>
                <w:szCs w:val="20"/>
                <w:color w:val="auto"/>
              </w:rPr>
            </w:pPr>
            <w:r>
              <w:rPr>
                <w:rFonts w:ascii="Arial" w:cs="Arial" w:eastAsia="Arial" w:hAnsi="Arial"/>
                <w:sz w:val="13"/>
                <w:szCs w:val="13"/>
                <w:b w:val="1"/>
                <w:bCs w:val="1"/>
                <w:color w:val="auto"/>
              </w:rPr>
              <w:t>(Experis)</w:t>
            </w:r>
          </w:p>
        </w:tc>
        <w:tc>
          <w:tcPr>
            <w:tcW w:w="1280" w:type="dxa"/>
            <w:vAlign w:val="bottom"/>
            <w:tcBorders>
              <w:bottom w:val="single" w:sz="8" w:color="auto"/>
            </w:tcBorders>
            <w:shd w:val="clear" w:color="auto" w:fill="98B0CF"/>
          </w:tcPr>
          <w:p>
            <w:pPr>
              <w:jc w:val="right"/>
              <w:ind w:right="490"/>
              <w:spacing w:after="0"/>
              <w:rPr>
                <w:sz w:val="20"/>
                <w:szCs w:val="20"/>
                <w:color w:val="auto"/>
              </w:rPr>
            </w:pPr>
            <w:r>
              <w:rPr>
                <w:rFonts w:ascii="Arial" w:cs="Arial" w:eastAsia="Arial" w:hAnsi="Arial"/>
                <w:sz w:val="13"/>
                <w:szCs w:val="13"/>
                <w:b w:val="1"/>
                <w:bCs w:val="1"/>
                <w:color w:val="auto"/>
              </w:rPr>
              <w:t>2023</w:t>
            </w:r>
          </w:p>
        </w:tc>
        <w:tc>
          <w:tcPr>
            <w:tcW w:w="1260" w:type="dxa"/>
            <w:vAlign w:val="bottom"/>
            <w:tcBorders>
              <w:bottom w:val="single" w:sz="8" w:color="auto"/>
            </w:tcBorders>
            <w:shd w:val="clear" w:color="auto" w:fill="98B0CF"/>
          </w:tcPr>
          <w:p>
            <w:pPr>
              <w:jc w:val="right"/>
              <w:ind w:right="470"/>
              <w:spacing w:after="0"/>
              <w:rPr>
                <w:sz w:val="20"/>
                <w:szCs w:val="20"/>
                <w:color w:val="auto"/>
              </w:rPr>
            </w:pPr>
            <w:r>
              <w:rPr>
                <w:rFonts w:ascii="Arial" w:cs="Arial" w:eastAsia="Arial" w:hAnsi="Arial"/>
                <w:sz w:val="13"/>
                <w:szCs w:val="13"/>
                <w:b w:val="1"/>
                <w:bCs w:val="1"/>
                <w:color w:val="auto"/>
              </w:rPr>
              <w:t>2024</w:t>
            </w:r>
          </w:p>
        </w:tc>
      </w:tr>
      <w:tr>
        <w:trPr>
          <w:trHeight w:val="151"/>
        </w:trPr>
        <w:tc>
          <w:tcPr>
            <w:tcW w:w="3480" w:type="dxa"/>
            <w:vAlign w:val="bottom"/>
            <w:shd w:val="clear" w:color="auto" w:fill="E2E8F1"/>
          </w:tcPr>
          <w:p>
            <w:pPr>
              <w:spacing w:after="0"/>
              <w:rPr>
                <w:sz w:val="13"/>
                <w:szCs w:val="13"/>
                <w:color w:val="auto"/>
              </w:rPr>
            </w:pPr>
          </w:p>
        </w:tc>
        <w:tc>
          <w:tcPr>
            <w:tcW w:w="1340" w:type="dxa"/>
            <w:vAlign w:val="bottom"/>
            <w:shd w:val="clear" w:color="auto" w:fill="E2E8F1"/>
          </w:tcPr>
          <w:p>
            <w:pPr>
              <w:jc w:val="right"/>
              <w:ind w:right="150"/>
              <w:spacing w:after="0" w:line="151" w:lineRule="exact"/>
              <w:rPr>
                <w:sz w:val="20"/>
                <w:szCs w:val="20"/>
                <w:color w:val="auto"/>
              </w:rPr>
            </w:pPr>
            <w:r>
              <w:rPr>
                <w:rFonts w:ascii="Arial" w:cs="Arial" w:eastAsia="Arial" w:hAnsi="Arial"/>
                <w:sz w:val="14"/>
                <w:szCs w:val="14"/>
                <w:color w:val="auto"/>
              </w:rPr>
              <w:t>February 12,</w:t>
            </w:r>
          </w:p>
        </w:tc>
        <w:tc>
          <w:tcPr>
            <w:tcW w:w="1360" w:type="dxa"/>
            <w:vAlign w:val="bottom"/>
            <w:shd w:val="clear" w:color="auto" w:fill="E2E8F1"/>
          </w:tcPr>
          <w:p>
            <w:pPr>
              <w:jc w:val="right"/>
              <w:ind w:right="130"/>
              <w:spacing w:after="0" w:line="151" w:lineRule="exact"/>
              <w:rPr>
                <w:sz w:val="20"/>
                <w:szCs w:val="20"/>
                <w:color w:val="auto"/>
              </w:rPr>
            </w:pPr>
            <w:r>
              <w:rPr>
                <w:rFonts w:ascii="Arial" w:cs="Arial" w:eastAsia="Arial" w:hAnsi="Arial"/>
                <w:sz w:val="14"/>
                <w:szCs w:val="14"/>
                <w:color w:val="auto"/>
              </w:rPr>
              <w:t>February 12,</w:t>
            </w:r>
          </w:p>
        </w:tc>
        <w:tc>
          <w:tcPr>
            <w:tcW w:w="1280" w:type="dxa"/>
            <w:vAlign w:val="bottom"/>
            <w:shd w:val="clear" w:color="auto" w:fill="E2E8F1"/>
          </w:tcPr>
          <w:p>
            <w:pPr>
              <w:jc w:val="right"/>
              <w:ind w:right="90"/>
              <w:spacing w:after="0" w:line="151" w:lineRule="exact"/>
              <w:rPr>
                <w:sz w:val="20"/>
                <w:szCs w:val="20"/>
                <w:color w:val="auto"/>
              </w:rPr>
            </w:pPr>
            <w:r>
              <w:rPr>
                <w:rFonts w:ascii="Arial" w:cs="Arial" w:eastAsia="Arial" w:hAnsi="Arial"/>
                <w:sz w:val="14"/>
                <w:szCs w:val="14"/>
                <w:color w:val="auto"/>
              </w:rPr>
              <w:t>February 11,</w:t>
            </w:r>
          </w:p>
        </w:tc>
        <w:tc>
          <w:tcPr>
            <w:tcW w:w="1260" w:type="dxa"/>
            <w:vAlign w:val="bottom"/>
            <w:shd w:val="clear" w:color="auto" w:fill="E2E8F1"/>
          </w:tcPr>
          <w:p>
            <w:pPr>
              <w:jc w:val="right"/>
              <w:ind w:right="110"/>
              <w:spacing w:after="0" w:line="151" w:lineRule="exact"/>
              <w:rPr>
                <w:sz w:val="20"/>
                <w:szCs w:val="20"/>
                <w:color w:val="auto"/>
              </w:rPr>
            </w:pPr>
            <w:r>
              <w:rPr>
                <w:rFonts w:ascii="Arial" w:cs="Arial" w:eastAsia="Arial" w:hAnsi="Arial"/>
                <w:sz w:val="14"/>
                <w:szCs w:val="14"/>
                <w:color w:val="auto"/>
              </w:rPr>
              <w:t>February 11,</w:t>
            </w:r>
          </w:p>
        </w:tc>
        <w:tc>
          <w:tcPr>
            <w:tcW w:w="1280" w:type="dxa"/>
            <w:vAlign w:val="bottom"/>
            <w:shd w:val="clear" w:color="auto" w:fill="E2E8F1"/>
          </w:tcPr>
          <w:p>
            <w:pPr>
              <w:jc w:val="right"/>
              <w:ind w:right="130"/>
              <w:spacing w:after="0" w:line="151" w:lineRule="exact"/>
              <w:rPr>
                <w:sz w:val="20"/>
                <w:szCs w:val="20"/>
                <w:color w:val="auto"/>
              </w:rPr>
            </w:pPr>
            <w:r>
              <w:rPr>
                <w:rFonts w:ascii="Arial" w:cs="Arial" w:eastAsia="Arial" w:hAnsi="Arial"/>
                <w:sz w:val="14"/>
                <w:szCs w:val="14"/>
                <w:color w:val="auto"/>
              </w:rPr>
              <w:t>February 17,</w:t>
            </w:r>
          </w:p>
        </w:tc>
        <w:tc>
          <w:tcPr>
            <w:tcW w:w="1260" w:type="dxa"/>
            <w:vAlign w:val="bottom"/>
            <w:shd w:val="clear" w:color="auto" w:fill="E2E8F1"/>
          </w:tcPr>
          <w:p>
            <w:pPr>
              <w:jc w:val="right"/>
              <w:ind w:right="70"/>
              <w:spacing w:after="0" w:line="151" w:lineRule="exact"/>
              <w:rPr>
                <w:sz w:val="20"/>
                <w:szCs w:val="20"/>
                <w:color w:val="auto"/>
              </w:rPr>
            </w:pPr>
            <w:r>
              <w:rPr>
                <w:rFonts w:ascii="Arial" w:cs="Arial" w:eastAsia="Arial" w:hAnsi="Arial"/>
                <w:sz w:val="14"/>
                <w:szCs w:val="14"/>
                <w:color w:val="auto"/>
              </w:rPr>
              <w:t>February 16,</w:t>
            </w:r>
          </w:p>
        </w:tc>
      </w:tr>
      <w:tr>
        <w:trPr>
          <w:trHeight w:val="178"/>
        </w:trPr>
        <w:tc>
          <w:tcPr>
            <w:tcW w:w="3480" w:type="dxa"/>
            <w:vAlign w:val="bottom"/>
            <w:shd w:val="clear" w:color="auto" w:fill="E2E8F1"/>
          </w:tcPr>
          <w:p>
            <w:pPr>
              <w:ind w:left="80"/>
              <w:spacing w:after="0"/>
              <w:rPr>
                <w:sz w:val="20"/>
                <w:szCs w:val="20"/>
                <w:color w:val="auto"/>
              </w:rPr>
            </w:pPr>
            <w:r>
              <w:rPr>
                <w:rFonts w:ascii="Arial" w:cs="Arial" w:eastAsia="Arial" w:hAnsi="Arial"/>
                <w:sz w:val="14"/>
                <w:szCs w:val="14"/>
                <w:color w:val="auto"/>
              </w:rPr>
              <w:t>Grant Date(s)</w:t>
            </w:r>
          </w:p>
        </w:tc>
        <w:tc>
          <w:tcPr>
            <w:tcW w:w="134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auto"/>
              </w:rPr>
              <w:t>2021</w:t>
            </w:r>
          </w:p>
        </w:tc>
        <w:tc>
          <w:tcPr>
            <w:tcW w:w="136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2021</w:t>
            </w:r>
          </w:p>
        </w:tc>
        <w:tc>
          <w:tcPr>
            <w:tcW w:w="128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2022</w:t>
            </w:r>
          </w:p>
        </w:tc>
        <w:tc>
          <w:tcPr>
            <w:tcW w:w="1260" w:type="dxa"/>
            <w:vAlign w:val="bottom"/>
            <w:shd w:val="clear" w:color="auto" w:fill="E2E8F1"/>
          </w:tcPr>
          <w:p>
            <w:pPr>
              <w:jc w:val="right"/>
              <w:ind w:right="110"/>
              <w:spacing w:after="0"/>
              <w:rPr>
                <w:sz w:val="20"/>
                <w:szCs w:val="20"/>
                <w:color w:val="auto"/>
              </w:rPr>
            </w:pPr>
            <w:r>
              <w:rPr>
                <w:rFonts w:ascii="Arial" w:cs="Arial" w:eastAsia="Arial" w:hAnsi="Arial"/>
                <w:sz w:val="14"/>
                <w:szCs w:val="14"/>
                <w:color w:val="auto"/>
              </w:rPr>
              <w:t>2022</w:t>
            </w:r>
          </w:p>
        </w:tc>
        <w:tc>
          <w:tcPr>
            <w:tcW w:w="128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2023</w:t>
            </w:r>
          </w:p>
        </w:tc>
        <w:tc>
          <w:tcPr>
            <w:tcW w:w="12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2024</w:t>
            </w:r>
          </w:p>
        </w:tc>
      </w:tr>
      <w:tr>
        <w:trPr>
          <w:trHeight w:val="189"/>
        </w:trPr>
        <w:tc>
          <w:tcPr>
            <w:tcW w:w="3480" w:type="dxa"/>
            <w:vAlign w:val="bottom"/>
          </w:tcPr>
          <w:p>
            <w:pPr>
              <w:ind w:left="80"/>
              <w:spacing w:after="0"/>
              <w:rPr>
                <w:sz w:val="20"/>
                <w:szCs w:val="20"/>
                <w:color w:val="auto"/>
              </w:rPr>
            </w:pPr>
            <w:r>
              <w:rPr>
                <w:rFonts w:ascii="Arial" w:cs="Arial" w:eastAsia="Arial" w:hAnsi="Arial"/>
                <w:sz w:val="14"/>
                <w:szCs w:val="14"/>
                <w:color w:val="auto"/>
              </w:rPr>
              <w:t>Performance Period (years)</w:t>
            </w:r>
          </w:p>
        </w:tc>
        <w:tc>
          <w:tcPr>
            <w:tcW w:w="1340" w:type="dxa"/>
            <w:vAlign w:val="bottom"/>
          </w:tcPr>
          <w:p>
            <w:pPr>
              <w:jc w:val="right"/>
              <w:ind w:right="150"/>
              <w:spacing w:after="0"/>
              <w:rPr>
                <w:sz w:val="20"/>
                <w:szCs w:val="20"/>
                <w:color w:val="auto"/>
              </w:rPr>
            </w:pPr>
            <w:r>
              <w:rPr>
                <w:rFonts w:ascii="Arial" w:cs="Arial" w:eastAsia="Arial" w:hAnsi="Arial"/>
                <w:sz w:val="14"/>
                <w:szCs w:val="14"/>
                <w:color w:val="auto"/>
              </w:rPr>
              <w:t>2021</w:t>
            </w:r>
          </w:p>
        </w:tc>
        <w:tc>
          <w:tcPr>
            <w:tcW w:w="1360" w:type="dxa"/>
            <w:vAlign w:val="bottom"/>
          </w:tcPr>
          <w:p>
            <w:pPr>
              <w:jc w:val="right"/>
              <w:ind w:right="130"/>
              <w:spacing w:after="0"/>
              <w:rPr>
                <w:sz w:val="20"/>
                <w:szCs w:val="20"/>
                <w:color w:val="auto"/>
              </w:rPr>
            </w:pPr>
            <w:r>
              <w:rPr>
                <w:rFonts w:ascii="Arial" w:cs="Arial" w:eastAsia="Arial" w:hAnsi="Arial"/>
                <w:sz w:val="14"/>
                <w:szCs w:val="14"/>
                <w:color w:val="auto"/>
              </w:rPr>
              <w:t>2021-2022</w:t>
            </w:r>
          </w:p>
        </w:tc>
        <w:tc>
          <w:tcPr>
            <w:tcW w:w="1280" w:type="dxa"/>
            <w:vAlign w:val="bottom"/>
          </w:tcPr>
          <w:p>
            <w:pPr>
              <w:jc w:val="right"/>
              <w:ind w:right="90"/>
              <w:spacing w:after="0"/>
              <w:rPr>
                <w:sz w:val="20"/>
                <w:szCs w:val="20"/>
                <w:color w:val="auto"/>
              </w:rPr>
            </w:pPr>
            <w:r>
              <w:rPr>
                <w:rFonts w:ascii="Arial" w:cs="Arial" w:eastAsia="Arial" w:hAnsi="Arial"/>
                <w:sz w:val="14"/>
                <w:szCs w:val="14"/>
                <w:color w:val="auto"/>
              </w:rPr>
              <w:t>2022-2024</w:t>
            </w:r>
          </w:p>
        </w:tc>
        <w:tc>
          <w:tcPr>
            <w:tcW w:w="1260" w:type="dxa"/>
            <w:vAlign w:val="bottom"/>
          </w:tcPr>
          <w:p>
            <w:pPr>
              <w:jc w:val="right"/>
              <w:ind w:right="110"/>
              <w:spacing w:after="0"/>
              <w:rPr>
                <w:sz w:val="20"/>
                <w:szCs w:val="20"/>
                <w:color w:val="auto"/>
              </w:rPr>
            </w:pPr>
            <w:r>
              <w:rPr>
                <w:rFonts w:ascii="Arial" w:cs="Arial" w:eastAsia="Arial" w:hAnsi="Arial"/>
                <w:sz w:val="14"/>
                <w:szCs w:val="14"/>
                <w:color w:val="auto"/>
              </w:rPr>
              <w:t>2022-2024</w:t>
            </w:r>
          </w:p>
        </w:tc>
        <w:tc>
          <w:tcPr>
            <w:tcW w:w="1280" w:type="dxa"/>
            <w:vAlign w:val="bottom"/>
          </w:tcPr>
          <w:p>
            <w:pPr>
              <w:jc w:val="right"/>
              <w:ind w:right="130"/>
              <w:spacing w:after="0"/>
              <w:rPr>
                <w:sz w:val="20"/>
                <w:szCs w:val="20"/>
                <w:color w:val="auto"/>
              </w:rPr>
            </w:pPr>
            <w:r>
              <w:rPr>
                <w:rFonts w:ascii="Arial" w:cs="Arial" w:eastAsia="Arial" w:hAnsi="Arial"/>
                <w:sz w:val="14"/>
                <w:szCs w:val="14"/>
                <w:color w:val="auto"/>
              </w:rPr>
              <w:t>2023-2025</w:t>
            </w:r>
          </w:p>
        </w:tc>
        <w:tc>
          <w:tcPr>
            <w:tcW w:w="1260" w:type="dxa"/>
            <w:vAlign w:val="bottom"/>
          </w:tcPr>
          <w:p>
            <w:pPr>
              <w:jc w:val="right"/>
              <w:ind w:right="70"/>
              <w:spacing w:after="0"/>
              <w:rPr>
                <w:sz w:val="20"/>
                <w:szCs w:val="20"/>
                <w:color w:val="auto"/>
              </w:rPr>
            </w:pPr>
            <w:r>
              <w:rPr>
                <w:rFonts w:ascii="Arial" w:cs="Arial" w:eastAsia="Arial" w:hAnsi="Arial"/>
                <w:sz w:val="14"/>
                <w:szCs w:val="14"/>
                <w:color w:val="auto"/>
              </w:rPr>
              <w:t>2024-2026</w:t>
            </w:r>
          </w:p>
        </w:tc>
      </w:tr>
      <w:tr>
        <w:trPr>
          <w:trHeight w:val="189"/>
        </w:trPr>
        <w:tc>
          <w:tcPr>
            <w:tcW w:w="3480" w:type="dxa"/>
            <w:vAlign w:val="bottom"/>
            <w:shd w:val="clear" w:color="auto" w:fill="E2E8F1"/>
          </w:tcPr>
          <w:p>
            <w:pPr>
              <w:ind w:left="80"/>
              <w:spacing w:after="0" w:line="189" w:lineRule="exact"/>
              <w:rPr>
                <w:sz w:val="20"/>
                <w:szCs w:val="20"/>
                <w:color w:val="auto"/>
              </w:rPr>
            </w:pPr>
            <w:r>
              <w:rPr>
                <w:rFonts w:ascii="Arial" w:cs="Arial" w:eastAsia="Arial" w:hAnsi="Arial"/>
                <w:sz w:val="14"/>
                <w:szCs w:val="14"/>
                <w:color w:val="auto"/>
              </w:rPr>
              <w:t>Vesting Date</w:t>
            </w:r>
            <w:r>
              <w:rPr>
                <w:rFonts w:ascii="Arial" w:cs="Arial" w:eastAsia="Arial" w:hAnsi="Arial"/>
                <w:sz w:val="19"/>
                <w:szCs w:val="19"/>
                <w:color w:val="auto"/>
                <w:vertAlign w:val="superscript"/>
              </w:rPr>
              <w:t>(1)</w:t>
            </w:r>
          </w:p>
        </w:tc>
        <w:tc>
          <w:tcPr>
            <w:tcW w:w="134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auto"/>
              </w:rPr>
              <w:t>February 2024</w:t>
            </w:r>
          </w:p>
        </w:tc>
        <w:tc>
          <w:tcPr>
            <w:tcW w:w="136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February 2023</w:t>
            </w:r>
          </w:p>
        </w:tc>
        <w:tc>
          <w:tcPr>
            <w:tcW w:w="128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February 2025</w:t>
            </w:r>
          </w:p>
        </w:tc>
        <w:tc>
          <w:tcPr>
            <w:tcW w:w="1260" w:type="dxa"/>
            <w:vAlign w:val="bottom"/>
            <w:shd w:val="clear" w:color="auto" w:fill="E2E8F1"/>
          </w:tcPr>
          <w:p>
            <w:pPr>
              <w:jc w:val="right"/>
              <w:ind w:right="110"/>
              <w:spacing w:after="0"/>
              <w:rPr>
                <w:sz w:val="20"/>
                <w:szCs w:val="20"/>
                <w:color w:val="auto"/>
              </w:rPr>
            </w:pPr>
            <w:r>
              <w:rPr>
                <w:rFonts w:ascii="Arial" w:cs="Arial" w:eastAsia="Arial" w:hAnsi="Arial"/>
                <w:sz w:val="14"/>
                <w:szCs w:val="14"/>
                <w:color w:val="auto"/>
              </w:rPr>
              <w:t>February 2025</w:t>
            </w:r>
          </w:p>
        </w:tc>
        <w:tc>
          <w:tcPr>
            <w:tcW w:w="128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February 2026</w:t>
            </w:r>
          </w:p>
        </w:tc>
        <w:tc>
          <w:tcPr>
            <w:tcW w:w="12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February 2027</w:t>
            </w:r>
          </w:p>
        </w:tc>
      </w:tr>
      <w:tr>
        <w:trPr>
          <w:trHeight w:val="189"/>
        </w:trPr>
        <w:tc>
          <w:tcPr>
            <w:tcW w:w="3480" w:type="dxa"/>
            <w:vAlign w:val="bottom"/>
          </w:tcPr>
          <w:p>
            <w:pPr>
              <w:ind w:left="80"/>
              <w:spacing w:after="0"/>
              <w:rPr>
                <w:sz w:val="20"/>
                <w:szCs w:val="20"/>
                <w:color w:val="auto"/>
              </w:rPr>
            </w:pPr>
            <w:r>
              <w:rPr>
                <w:rFonts w:ascii="Arial" w:cs="Arial" w:eastAsia="Arial" w:hAnsi="Arial"/>
                <w:sz w:val="14"/>
                <w:szCs w:val="14"/>
                <w:color w:val="auto"/>
              </w:rPr>
              <w:t>Payout Levels (in units):</w:t>
            </w: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3480" w:type="dxa"/>
            <w:vAlign w:val="bottom"/>
            <w:shd w:val="clear" w:color="auto" w:fill="E2E8F1"/>
          </w:tcPr>
          <w:p>
            <w:pPr>
              <w:ind w:left="240"/>
              <w:spacing w:after="0"/>
              <w:rPr>
                <w:sz w:val="20"/>
                <w:szCs w:val="20"/>
                <w:color w:val="auto"/>
              </w:rPr>
            </w:pPr>
            <w:r>
              <w:rPr>
                <w:rFonts w:ascii="Arial" w:cs="Arial" w:eastAsia="Arial" w:hAnsi="Arial"/>
                <w:sz w:val="14"/>
                <w:szCs w:val="14"/>
                <w:color w:val="auto"/>
              </w:rPr>
              <w:t>Threshold Award</w:t>
            </w:r>
          </w:p>
        </w:tc>
        <w:tc>
          <w:tcPr>
            <w:tcW w:w="134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auto"/>
              </w:rPr>
              <w:t>61,076</w:t>
            </w:r>
          </w:p>
        </w:tc>
        <w:tc>
          <w:tcPr>
            <w:tcW w:w="136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39,882</w:t>
            </w:r>
          </w:p>
        </w:tc>
        <w:tc>
          <w:tcPr>
            <w:tcW w:w="128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w:t>
            </w:r>
          </w:p>
        </w:tc>
        <w:tc>
          <w:tcPr>
            <w:tcW w:w="1260" w:type="dxa"/>
            <w:vAlign w:val="bottom"/>
            <w:shd w:val="clear" w:color="auto" w:fill="E2E8F1"/>
          </w:tcPr>
          <w:p>
            <w:pPr>
              <w:jc w:val="right"/>
              <w:ind w:right="11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w:t>
            </w:r>
          </w:p>
        </w:tc>
        <w:tc>
          <w:tcPr>
            <w:tcW w:w="12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w:t>
            </w:r>
          </w:p>
        </w:tc>
      </w:tr>
      <w:tr>
        <w:trPr>
          <w:trHeight w:val="189"/>
        </w:trPr>
        <w:tc>
          <w:tcPr>
            <w:tcW w:w="3480" w:type="dxa"/>
            <w:vAlign w:val="bottom"/>
          </w:tcPr>
          <w:p>
            <w:pPr>
              <w:ind w:left="240"/>
              <w:spacing w:after="0"/>
              <w:rPr>
                <w:sz w:val="20"/>
                <w:szCs w:val="20"/>
                <w:color w:val="auto"/>
              </w:rPr>
            </w:pPr>
            <w:r>
              <w:rPr>
                <w:rFonts w:ascii="Arial" w:cs="Arial" w:eastAsia="Arial" w:hAnsi="Arial"/>
                <w:sz w:val="14"/>
                <w:szCs w:val="14"/>
                <w:color w:val="auto"/>
              </w:rPr>
              <w:t>Target Award</w:t>
            </w:r>
          </w:p>
        </w:tc>
        <w:tc>
          <w:tcPr>
            <w:tcW w:w="1340" w:type="dxa"/>
            <w:vAlign w:val="bottom"/>
          </w:tcPr>
          <w:p>
            <w:pPr>
              <w:jc w:val="right"/>
              <w:ind w:right="150"/>
              <w:spacing w:after="0"/>
              <w:rPr>
                <w:sz w:val="20"/>
                <w:szCs w:val="20"/>
                <w:color w:val="auto"/>
              </w:rPr>
            </w:pPr>
            <w:r>
              <w:rPr>
                <w:rFonts w:ascii="Arial" w:cs="Arial" w:eastAsia="Arial" w:hAnsi="Arial"/>
                <w:sz w:val="14"/>
                <w:szCs w:val="14"/>
                <w:color w:val="auto"/>
              </w:rPr>
              <w:t>122,152</w:t>
            </w:r>
          </w:p>
        </w:tc>
        <w:tc>
          <w:tcPr>
            <w:tcW w:w="1360" w:type="dxa"/>
            <w:vAlign w:val="bottom"/>
          </w:tcPr>
          <w:p>
            <w:pPr>
              <w:jc w:val="right"/>
              <w:ind w:right="130"/>
              <w:spacing w:after="0"/>
              <w:rPr>
                <w:sz w:val="20"/>
                <w:szCs w:val="20"/>
                <w:color w:val="auto"/>
              </w:rPr>
            </w:pPr>
            <w:r>
              <w:rPr>
                <w:rFonts w:ascii="Arial" w:cs="Arial" w:eastAsia="Arial" w:hAnsi="Arial"/>
                <w:sz w:val="14"/>
                <w:szCs w:val="14"/>
                <w:color w:val="auto"/>
              </w:rPr>
              <w:t>79,763</w:t>
            </w:r>
          </w:p>
        </w:tc>
        <w:tc>
          <w:tcPr>
            <w:tcW w:w="1280" w:type="dxa"/>
            <w:vAlign w:val="bottom"/>
          </w:tcPr>
          <w:p>
            <w:pPr>
              <w:jc w:val="right"/>
              <w:ind w:right="90"/>
              <w:spacing w:after="0"/>
              <w:rPr>
                <w:sz w:val="20"/>
                <w:szCs w:val="20"/>
                <w:color w:val="auto"/>
              </w:rPr>
            </w:pPr>
            <w:r>
              <w:rPr>
                <w:rFonts w:ascii="Arial" w:cs="Arial" w:eastAsia="Arial" w:hAnsi="Arial"/>
                <w:sz w:val="14"/>
                <w:szCs w:val="14"/>
                <w:color w:val="auto"/>
              </w:rPr>
              <w:t>106,116</w:t>
            </w:r>
          </w:p>
        </w:tc>
        <w:tc>
          <w:tcPr>
            <w:tcW w:w="1260" w:type="dxa"/>
            <w:vAlign w:val="bottom"/>
          </w:tcPr>
          <w:p>
            <w:pPr>
              <w:jc w:val="right"/>
              <w:ind w:right="110"/>
              <w:spacing w:after="0"/>
              <w:rPr>
                <w:sz w:val="20"/>
                <w:szCs w:val="20"/>
                <w:color w:val="auto"/>
              </w:rPr>
            </w:pPr>
            <w:r>
              <w:rPr>
                <w:rFonts w:ascii="Arial" w:cs="Arial" w:eastAsia="Arial" w:hAnsi="Arial"/>
                <w:sz w:val="14"/>
                <w:szCs w:val="14"/>
                <w:color w:val="auto"/>
              </w:rPr>
              <w:t>28,275</w:t>
            </w:r>
          </w:p>
        </w:tc>
        <w:tc>
          <w:tcPr>
            <w:tcW w:w="1280" w:type="dxa"/>
            <w:vAlign w:val="bottom"/>
          </w:tcPr>
          <w:p>
            <w:pPr>
              <w:jc w:val="right"/>
              <w:ind w:right="130"/>
              <w:spacing w:after="0"/>
              <w:rPr>
                <w:sz w:val="20"/>
                <w:szCs w:val="20"/>
                <w:color w:val="auto"/>
              </w:rPr>
            </w:pPr>
            <w:r>
              <w:rPr>
                <w:rFonts w:ascii="Arial" w:cs="Arial" w:eastAsia="Arial" w:hAnsi="Arial"/>
                <w:sz w:val="14"/>
                <w:szCs w:val="14"/>
                <w:color w:val="auto"/>
              </w:rPr>
              <w:t>132,537</w:t>
            </w:r>
          </w:p>
        </w:tc>
        <w:tc>
          <w:tcPr>
            <w:tcW w:w="1260" w:type="dxa"/>
            <w:vAlign w:val="bottom"/>
          </w:tcPr>
          <w:p>
            <w:pPr>
              <w:jc w:val="right"/>
              <w:ind w:right="70"/>
              <w:spacing w:after="0"/>
              <w:rPr>
                <w:sz w:val="20"/>
                <w:szCs w:val="20"/>
                <w:color w:val="auto"/>
              </w:rPr>
            </w:pPr>
            <w:r>
              <w:rPr>
                <w:rFonts w:ascii="Arial" w:cs="Arial" w:eastAsia="Arial" w:hAnsi="Arial"/>
                <w:sz w:val="14"/>
                <w:szCs w:val="14"/>
                <w:color w:val="auto"/>
              </w:rPr>
              <w:t>179,099</w:t>
            </w:r>
          </w:p>
        </w:tc>
      </w:tr>
      <w:tr>
        <w:trPr>
          <w:trHeight w:val="189"/>
        </w:trPr>
        <w:tc>
          <w:tcPr>
            <w:tcW w:w="3480" w:type="dxa"/>
            <w:vAlign w:val="bottom"/>
            <w:tcBorders>
              <w:bottom w:val="single" w:sz="8" w:color="auto"/>
            </w:tcBorders>
            <w:shd w:val="clear" w:color="auto" w:fill="E2E8F1"/>
          </w:tcPr>
          <w:p>
            <w:pPr>
              <w:ind w:left="240"/>
              <w:spacing w:after="0"/>
              <w:rPr>
                <w:sz w:val="20"/>
                <w:szCs w:val="20"/>
                <w:color w:val="auto"/>
              </w:rPr>
            </w:pPr>
            <w:r>
              <w:rPr>
                <w:rFonts w:ascii="Arial" w:cs="Arial" w:eastAsia="Arial" w:hAnsi="Arial"/>
                <w:sz w:val="14"/>
                <w:szCs w:val="14"/>
                <w:color w:val="auto"/>
              </w:rPr>
              <w:t>Outstanding Award</w:t>
            </w:r>
          </w:p>
        </w:tc>
        <w:tc>
          <w:tcPr>
            <w:tcW w:w="1340" w:type="dxa"/>
            <w:vAlign w:val="bottom"/>
            <w:tcBorders>
              <w:bottom w:val="single" w:sz="8" w:color="auto"/>
            </w:tcBorders>
            <w:shd w:val="clear" w:color="auto" w:fill="E2E8F1"/>
          </w:tcPr>
          <w:p>
            <w:pPr>
              <w:jc w:val="right"/>
              <w:ind w:right="150"/>
              <w:spacing w:after="0"/>
              <w:rPr>
                <w:sz w:val="20"/>
                <w:szCs w:val="20"/>
                <w:color w:val="auto"/>
              </w:rPr>
            </w:pPr>
            <w:r>
              <w:rPr>
                <w:rFonts w:ascii="Arial" w:cs="Arial" w:eastAsia="Arial" w:hAnsi="Arial"/>
                <w:sz w:val="14"/>
                <w:szCs w:val="14"/>
                <w:color w:val="auto"/>
              </w:rPr>
              <w:t>244,304</w:t>
            </w:r>
          </w:p>
        </w:tc>
        <w:tc>
          <w:tcPr>
            <w:tcW w:w="1360" w:type="dxa"/>
            <w:vAlign w:val="bottom"/>
            <w:tcBorders>
              <w:bottom w:val="single" w:sz="8" w:color="auto"/>
            </w:tcBorders>
            <w:shd w:val="clear" w:color="auto" w:fill="E2E8F1"/>
          </w:tcPr>
          <w:p>
            <w:pPr>
              <w:jc w:val="right"/>
              <w:ind w:right="130"/>
              <w:spacing w:after="0"/>
              <w:rPr>
                <w:sz w:val="20"/>
                <w:szCs w:val="20"/>
                <w:color w:val="auto"/>
              </w:rPr>
            </w:pPr>
            <w:r>
              <w:rPr>
                <w:rFonts w:ascii="Arial" w:cs="Arial" w:eastAsia="Arial" w:hAnsi="Arial"/>
                <w:sz w:val="14"/>
                <w:szCs w:val="14"/>
                <w:color w:val="auto"/>
              </w:rPr>
              <w:t>159,526</w:t>
            </w:r>
          </w:p>
        </w:tc>
        <w:tc>
          <w:tcPr>
            <w:tcW w:w="1280" w:type="dxa"/>
            <w:vAlign w:val="bottom"/>
            <w:tcBorders>
              <w:bottom w:val="single" w:sz="8" w:color="auto"/>
            </w:tcBorders>
            <w:shd w:val="clear" w:color="auto" w:fill="E2E8F1"/>
          </w:tcPr>
          <w:p>
            <w:pPr>
              <w:jc w:val="right"/>
              <w:ind w:right="90"/>
              <w:spacing w:after="0"/>
              <w:rPr>
                <w:sz w:val="20"/>
                <w:szCs w:val="20"/>
                <w:color w:val="auto"/>
              </w:rPr>
            </w:pPr>
            <w:r>
              <w:rPr>
                <w:rFonts w:ascii="Arial" w:cs="Arial" w:eastAsia="Arial" w:hAnsi="Arial"/>
                <w:sz w:val="14"/>
                <w:szCs w:val="14"/>
                <w:color w:val="auto"/>
              </w:rPr>
              <w:t>212,232</w:t>
            </w:r>
          </w:p>
        </w:tc>
        <w:tc>
          <w:tcPr>
            <w:tcW w:w="1260" w:type="dxa"/>
            <w:vAlign w:val="bottom"/>
            <w:tcBorders>
              <w:bottom w:val="single" w:sz="8" w:color="auto"/>
            </w:tcBorders>
            <w:shd w:val="clear" w:color="auto" w:fill="E2E8F1"/>
          </w:tcPr>
          <w:p>
            <w:pPr>
              <w:jc w:val="right"/>
              <w:ind w:right="110"/>
              <w:spacing w:after="0"/>
              <w:rPr>
                <w:sz w:val="20"/>
                <w:szCs w:val="20"/>
                <w:color w:val="auto"/>
              </w:rPr>
            </w:pPr>
            <w:r>
              <w:rPr>
                <w:rFonts w:ascii="Arial" w:cs="Arial" w:eastAsia="Arial" w:hAnsi="Arial"/>
                <w:sz w:val="14"/>
                <w:szCs w:val="14"/>
                <w:color w:val="auto"/>
              </w:rPr>
              <w:t>84,826</w:t>
            </w:r>
          </w:p>
        </w:tc>
        <w:tc>
          <w:tcPr>
            <w:tcW w:w="1280" w:type="dxa"/>
            <w:vAlign w:val="bottom"/>
            <w:tcBorders>
              <w:bottom w:val="single" w:sz="8" w:color="auto"/>
            </w:tcBorders>
            <w:shd w:val="clear" w:color="auto" w:fill="E2E8F1"/>
          </w:tcPr>
          <w:p>
            <w:pPr>
              <w:jc w:val="right"/>
              <w:ind w:right="130"/>
              <w:spacing w:after="0"/>
              <w:rPr>
                <w:sz w:val="20"/>
                <w:szCs w:val="20"/>
                <w:color w:val="auto"/>
              </w:rPr>
            </w:pPr>
            <w:r>
              <w:rPr>
                <w:rFonts w:ascii="Arial" w:cs="Arial" w:eastAsia="Arial" w:hAnsi="Arial"/>
                <w:sz w:val="14"/>
                <w:szCs w:val="14"/>
                <w:color w:val="auto"/>
              </w:rPr>
              <w:t>265,074</w:t>
            </w:r>
          </w:p>
        </w:tc>
        <w:tc>
          <w:tcPr>
            <w:tcW w:w="126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358,198</w:t>
            </w:r>
          </w:p>
        </w:tc>
      </w:tr>
      <w:tr>
        <w:trPr>
          <w:trHeight w:val="181"/>
        </w:trPr>
        <w:tc>
          <w:tcPr>
            <w:tcW w:w="3480" w:type="dxa"/>
            <w:vAlign w:val="bottom"/>
          </w:tcPr>
          <w:p>
            <w:pPr>
              <w:ind w:left="80"/>
              <w:spacing w:after="0"/>
              <w:rPr>
                <w:sz w:val="20"/>
                <w:szCs w:val="20"/>
                <w:color w:val="auto"/>
              </w:rPr>
            </w:pPr>
            <w:r>
              <w:rPr>
                <w:rFonts w:ascii="Arial" w:cs="Arial" w:eastAsia="Arial" w:hAnsi="Arial"/>
                <w:sz w:val="14"/>
                <w:szCs w:val="14"/>
                <w:color w:val="auto"/>
              </w:rPr>
              <w:t>Shares Issued in 2024</w:t>
            </w:r>
          </w:p>
        </w:tc>
        <w:tc>
          <w:tcPr>
            <w:tcW w:w="1340" w:type="dxa"/>
            <w:vAlign w:val="bottom"/>
          </w:tcPr>
          <w:p>
            <w:pPr>
              <w:jc w:val="right"/>
              <w:ind w:right="150"/>
              <w:spacing w:after="0"/>
              <w:rPr>
                <w:sz w:val="20"/>
                <w:szCs w:val="20"/>
                <w:color w:val="auto"/>
              </w:rPr>
            </w:pPr>
            <w:r>
              <w:rPr>
                <w:rFonts w:ascii="Arial" w:cs="Arial" w:eastAsia="Arial" w:hAnsi="Arial"/>
                <w:sz w:val="14"/>
                <w:szCs w:val="14"/>
                <w:color w:val="auto"/>
              </w:rPr>
              <w:t>238,726</w:t>
            </w:r>
          </w:p>
        </w:tc>
        <w:tc>
          <w:tcPr>
            <w:tcW w:w="1360" w:type="dxa"/>
            <w:vAlign w:val="bottom"/>
          </w:tcPr>
          <w:p>
            <w:pPr>
              <w:jc w:val="right"/>
              <w:ind w:right="130"/>
              <w:spacing w:after="0"/>
              <w:rPr>
                <w:sz w:val="20"/>
                <w:szCs w:val="20"/>
                <w:color w:val="auto"/>
              </w:rPr>
            </w:pPr>
            <w:r>
              <w:rPr>
                <w:rFonts w:ascii="Arial" w:cs="Arial" w:eastAsia="Arial" w:hAnsi="Arial"/>
                <w:sz w:val="14"/>
                <w:szCs w:val="14"/>
                <w:color w:val="auto"/>
              </w:rPr>
              <w:t>N/A</w:t>
            </w:r>
          </w:p>
        </w:tc>
        <w:tc>
          <w:tcPr>
            <w:tcW w:w="1280" w:type="dxa"/>
            <w:vAlign w:val="bottom"/>
          </w:tcPr>
          <w:p>
            <w:pPr>
              <w:jc w:val="right"/>
              <w:ind w:right="90"/>
              <w:spacing w:after="0"/>
              <w:rPr>
                <w:sz w:val="20"/>
                <w:szCs w:val="20"/>
                <w:color w:val="auto"/>
              </w:rPr>
            </w:pPr>
            <w:r>
              <w:rPr>
                <w:rFonts w:ascii="Arial" w:cs="Arial" w:eastAsia="Arial" w:hAnsi="Arial"/>
                <w:sz w:val="14"/>
                <w:szCs w:val="14"/>
                <w:color w:val="auto"/>
              </w:rPr>
              <w:t>N/A</w:t>
            </w:r>
          </w:p>
        </w:tc>
        <w:tc>
          <w:tcPr>
            <w:tcW w:w="1260" w:type="dxa"/>
            <w:vAlign w:val="bottom"/>
          </w:tcPr>
          <w:p>
            <w:pPr>
              <w:jc w:val="right"/>
              <w:ind w:right="110"/>
              <w:spacing w:after="0"/>
              <w:rPr>
                <w:sz w:val="20"/>
                <w:szCs w:val="20"/>
                <w:color w:val="auto"/>
              </w:rPr>
            </w:pPr>
            <w:r>
              <w:rPr>
                <w:rFonts w:ascii="Arial" w:cs="Arial" w:eastAsia="Arial" w:hAnsi="Arial"/>
                <w:sz w:val="14"/>
                <w:szCs w:val="14"/>
                <w:color w:val="auto"/>
              </w:rPr>
              <w:t>N/A</w:t>
            </w:r>
          </w:p>
        </w:tc>
        <w:tc>
          <w:tcPr>
            <w:tcW w:w="1280" w:type="dxa"/>
            <w:vAlign w:val="bottom"/>
          </w:tcPr>
          <w:p>
            <w:pPr>
              <w:jc w:val="right"/>
              <w:ind w:right="130"/>
              <w:spacing w:after="0"/>
              <w:rPr>
                <w:sz w:val="20"/>
                <w:szCs w:val="20"/>
                <w:color w:val="auto"/>
              </w:rPr>
            </w:pPr>
            <w:r>
              <w:rPr>
                <w:rFonts w:ascii="Arial" w:cs="Arial" w:eastAsia="Arial" w:hAnsi="Arial"/>
                <w:sz w:val="14"/>
                <w:szCs w:val="14"/>
                <w:color w:val="auto"/>
              </w:rPr>
              <w:t>N/A</w:t>
            </w:r>
          </w:p>
        </w:tc>
        <w:tc>
          <w:tcPr>
            <w:tcW w:w="1260" w:type="dxa"/>
            <w:vAlign w:val="bottom"/>
          </w:tcPr>
          <w:p>
            <w:pPr>
              <w:jc w:val="right"/>
              <w:ind w:right="70"/>
              <w:spacing w:after="0"/>
              <w:rPr>
                <w:sz w:val="20"/>
                <w:szCs w:val="20"/>
                <w:color w:val="auto"/>
              </w:rPr>
            </w:pPr>
            <w:r>
              <w:rPr>
                <w:rFonts w:ascii="Arial" w:cs="Arial" w:eastAsia="Arial" w:hAnsi="Arial"/>
                <w:sz w:val="14"/>
                <w:szCs w:val="14"/>
                <w:color w:val="auto"/>
              </w:rPr>
              <w:t>N/A</w:t>
            </w:r>
          </w:p>
        </w:tc>
      </w:tr>
      <w:tr>
        <w:trPr>
          <w:trHeight w:val="189"/>
        </w:trPr>
        <w:tc>
          <w:tcPr>
            <w:tcW w:w="3480" w:type="dxa"/>
            <w:vAlign w:val="bottom"/>
            <w:shd w:val="clear" w:color="auto" w:fill="E2E8F1"/>
          </w:tcPr>
          <w:p>
            <w:pPr>
              <w:ind w:left="80"/>
              <w:spacing w:after="0"/>
              <w:rPr>
                <w:sz w:val="20"/>
                <w:szCs w:val="20"/>
                <w:color w:val="auto"/>
              </w:rPr>
            </w:pPr>
            <w:r>
              <w:rPr>
                <w:rFonts w:ascii="Arial" w:cs="Arial" w:eastAsia="Arial" w:hAnsi="Arial"/>
                <w:sz w:val="14"/>
                <w:szCs w:val="14"/>
                <w:color w:val="auto"/>
              </w:rPr>
              <w:t>Shares Issued in 2023</w:t>
            </w:r>
          </w:p>
        </w:tc>
        <w:tc>
          <w:tcPr>
            <w:tcW w:w="134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auto"/>
              </w:rPr>
              <w:t>N/A</w:t>
            </w:r>
          </w:p>
        </w:tc>
        <w:tc>
          <w:tcPr>
            <w:tcW w:w="136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159,526</w:t>
            </w:r>
          </w:p>
        </w:tc>
        <w:tc>
          <w:tcPr>
            <w:tcW w:w="128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N/A</w:t>
            </w:r>
          </w:p>
        </w:tc>
        <w:tc>
          <w:tcPr>
            <w:tcW w:w="1260" w:type="dxa"/>
            <w:vAlign w:val="bottom"/>
            <w:shd w:val="clear" w:color="auto" w:fill="E2E8F1"/>
          </w:tcPr>
          <w:p>
            <w:pPr>
              <w:jc w:val="right"/>
              <w:ind w:right="110"/>
              <w:spacing w:after="0"/>
              <w:rPr>
                <w:sz w:val="20"/>
                <w:szCs w:val="20"/>
                <w:color w:val="auto"/>
              </w:rPr>
            </w:pPr>
            <w:r>
              <w:rPr>
                <w:rFonts w:ascii="Arial" w:cs="Arial" w:eastAsia="Arial" w:hAnsi="Arial"/>
                <w:sz w:val="14"/>
                <w:szCs w:val="14"/>
                <w:color w:val="auto"/>
              </w:rPr>
              <w:t>N/A</w:t>
            </w:r>
          </w:p>
        </w:tc>
        <w:tc>
          <w:tcPr>
            <w:tcW w:w="128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N/A</w:t>
            </w:r>
          </w:p>
        </w:tc>
        <w:tc>
          <w:tcPr>
            <w:tcW w:w="12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N/A</w:t>
            </w:r>
          </w:p>
        </w:tc>
      </w:tr>
      <w:tr>
        <w:trPr>
          <w:trHeight w:val="153"/>
        </w:trPr>
        <w:tc>
          <w:tcPr>
            <w:tcW w:w="3480" w:type="dxa"/>
            <w:vAlign w:val="bottom"/>
          </w:tcPr>
          <w:p>
            <w:pPr>
              <w:ind w:left="80"/>
              <w:spacing w:after="0" w:line="153" w:lineRule="exact"/>
              <w:rPr>
                <w:sz w:val="20"/>
                <w:szCs w:val="20"/>
                <w:color w:val="auto"/>
              </w:rPr>
            </w:pPr>
            <w:r>
              <w:rPr>
                <w:rFonts w:ascii="Arial" w:cs="Arial" w:eastAsia="Arial" w:hAnsi="Arial"/>
                <w:sz w:val="14"/>
                <w:szCs w:val="14"/>
                <w:color w:val="auto"/>
              </w:rPr>
              <w:t>Payout Achieved Over Performance</w:t>
            </w: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8"/>
        </w:trPr>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Period</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238,726</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159,526</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67,422</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N/A</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N/A</w:t>
            </w:r>
          </w:p>
        </w:tc>
      </w:tr>
    </w:tbl>
    <w:p>
      <w:pPr>
        <w:spacing w:after="0" w:line="69" w:lineRule="exact"/>
        <w:rPr>
          <w:sz w:val="20"/>
          <w:szCs w:val="20"/>
          <w:color w:val="auto"/>
        </w:rPr>
      </w:pPr>
    </w:p>
    <w:p>
      <w:pPr>
        <w:ind w:left="325" w:hanging="325"/>
        <w:spacing w:after="0"/>
        <w:tabs>
          <w:tab w:leader="none" w:pos="325" w:val="left"/>
        </w:tabs>
        <w:numPr>
          <w:ilvl w:val="0"/>
          <w:numId w:val="41"/>
        </w:numPr>
        <w:rPr>
          <w:rFonts w:ascii="Arial" w:cs="Arial" w:eastAsia="Arial" w:hAnsi="Arial"/>
          <w:sz w:val="17"/>
          <w:szCs w:val="17"/>
          <w:color w:val="231F20"/>
          <w:vertAlign w:val="superscript"/>
        </w:rPr>
      </w:pPr>
      <w:r>
        <w:rPr>
          <w:rFonts w:ascii="Arial" w:cs="Arial" w:eastAsia="Arial" w:hAnsi="Arial"/>
          <w:sz w:val="13"/>
          <w:szCs w:val="13"/>
          <w:color w:val="231F20"/>
        </w:rPr>
        <w:t>Awards are scheduled to vest after the Committee determines the achievement of the performance criteria.</w:t>
      </w:r>
    </w:p>
    <w:p>
      <w:pPr>
        <w:spacing w:after="0" w:line="64"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231F20"/>
        </w:rPr>
        <w:t>We recognize and adjust compensation expense based on the likelihood of the performance criteria specified in the award being achieved. The compensation expense is recognized over the performance and holding periods and is recorded in selling and administrative expenses. We recognized total compensation expense of $6.1, $7.2 and $15.6 in 2024, 2023 and 2022, respectively, related to the performance share units. The lower expense in 2024 and 2023 compared to 2022 resulted from lower estimated payout levels for all the grants.</w:t>
      </w:r>
    </w:p>
    <w:p>
      <w:pPr>
        <w:spacing w:after="0" w:line="101"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5B89B4"/>
        </w:rPr>
        <w:t>Savings Related Share Option Scheme</w:t>
      </w:r>
    </w:p>
    <w:p>
      <w:pPr>
        <w:spacing w:after="0" w:line="183" w:lineRule="exact"/>
        <w:rPr>
          <w:sz w:val="20"/>
          <w:szCs w:val="20"/>
          <w:color w:val="auto"/>
        </w:rPr>
      </w:pPr>
    </w:p>
    <w:p>
      <w:pPr>
        <w:ind w:left="5" w:right="60"/>
        <w:spacing w:after="0" w:line="241" w:lineRule="auto"/>
        <w:rPr>
          <w:sz w:val="20"/>
          <w:szCs w:val="20"/>
          <w:color w:val="auto"/>
        </w:rPr>
      </w:pPr>
      <w:r>
        <w:rPr>
          <w:rFonts w:ascii="Arial" w:cs="Arial" w:eastAsia="Arial" w:hAnsi="Arial"/>
          <w:sz w:val="16"/>
          <w:szCs w:val="16"/>
          <w:color w:val="auto"/>
        </w:rPr>
        <w:t>We also maintain the Savings Related Share Option Scheme for United Kingdom employees with at least two years of service. The employees are offered the opportunity to obtain an option for a specified number of shares of common stock at 85% of its market value on the day prior to the offer to participate in the plan. Options vest after three years, but may lapse earlier. Funds used to purchase the shares are accumulated through specified payroll deductions over a 36-month period. We recognized expense of $0.4, $0.2 and $0.3 in 2024, 2023 and 2022, respectively, for shares purchased under the plan.</w:t>
      </w:r>
    </w:p>
    <w:p>
      <w:pPr>
        <w:spacing w:after="0" w:line="83" w:lineRule="exact"/>
        <w:rPr>
          <w:sz w:val="20"/>
          <w:szCs w:val="20"/>
          <w:color w:val="auto"/>
        </w:rPr>
      </w:pPr>
    </w:p>
    <w:p>
      <w:pPr>
        <w:ind w:left="325" w:hanging="325"/>
        <w:spacing w:after="0"/>
        <w:tabs>
          <w:tab w:leader="none" w:pos="325" w:val="left"/>
        </w:tabs>
        <w:numPr>
          <w:ilvl w:val="0"/>
          <w:numId w:val="42"/>
        </w:numPr>
        <w:rPr>
          <w:rFonts w:ascii="Arial" w:cs="Arial" w:eastAsia="Arial" w:hAnsi="Arial"/>
          <w:sz w:val="22"/>
          <w:szCs w:val="22"/>
          <w:b w:val="1"/>
          <w:bCs w:val="1"/>
          <w:color w:val="5B89B4"/>
        </w:rPr>
      </w:pPr>
      <w:r>
        <w:rPr>
          <w:rFonts w:ascii="Arial" w:cs="Arial" w:eastAsia="Arial" w:hAnsi="Arial"/>
          <w:sz w:val="22"/>
          <w:szCs w:val="22"/>
          <w:b w:val="1"/>
          <w:bCs w:val="1"/>
          <w:u w:val="single" w:color="auto"/>
          <w:color w:val="5B89B4"/>
        </w:rPr>
        <w:t>Acquisitions and Dispositions</w:t>
      </w:r>
    </w:p>
    <w:p>
      <w:pPr>
        <w:spacing w:after="0" w:line="143"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Acquisitions</w:t>
      </w:r>
    </w:p>
    <w:p>
      <w:pPr>
        <w:spacing w:after="0" w:line="88" w:lineRule="exact"/>
        <w:rPr>
          <w:sz w:val="20"/>
          <w:szCs w:val="20"/>
          <w:color w:val="auto"/>
        </w:rPr>
      </w:pPr>
    </w:p>
    <w:p>
      <w:pPr>
        <w:jc w:val="both"/>
        <w:ind w:left="5"/>
        <w:spacing w:after="0" w:line="237" w:lineRule="auto"/>
        <w:rPr>
          <w:sz w:val="20"/>
          <w:szCs w:val="20"/>
          <w:color w:val="auto"/>
        </w:rPr>
      </w:pPr>
      <w:r>
        <w:rPr>
          <w:rFonts w:ascii="Arial" w:cs="Arial" w:eastAsia="Arial" w:hAnsi="Arial"/>
          <w:sz w:val="16"/>
          <w:szCs w:val="16"/>
          <w:color w:val="231F20"/>
        </w:rPr>
        <w:t xml:space="preserve">From time to time, we acquire and invest in companies throughout the world, including franchises. The total cash consideration paid for acquisitions, net of cash acquired, for the years ended December 31, 2024, 2023, and 2022 was $7.7, $0.0 and $20.2, respectively. The 2024 payments </w:t>
      </w:r>
      <w:r>
        <w:rPr>
          <w:rFonts w:ascii="Arial" w:cs="Arial" w:eastAsia="Arial" w:hAnsi="Arial"/>
          <w:sz w:val="16"/>
          <w:szCs w:val="16"/>
          <w:color w:val="000000"/>
        </w:rPr>
        <w:t>represent a consideration</w:t>
      </w:r>
      <w:r>
        <w:rPr>
          <w:rFonts w:ascii="Arial" w:cs="Arial" w:eastAsia="Arial" w:hAnsi="Arial"/>
          <w:sz w:val="16"/>
          <w:szCs w:val="16"/>
          <w:color w:val="231F20"/>
        </w:rPr>
        <w:t xml:space="preserve"> </w:t>
      </w:r>
      <w:r>
        <w:rPr>
          <w:rFonts w:ascii="Arial" w:cs="Arial" w:eastAsia="Arial" w:hAnsi="Arial"/>
          <w:sz w:val="16"/>
          <w:szCs w:val="16"/>
          <w:color w:val="000000"/>
        </w:rPr>
        <w:t xml:space="preserve">payment for a franchise in the United States and contingent consideration payments related to a previous acquisition. </w:t>
      </w:r>
      <w:r>
        <w:rPr>
          <w:rFonts w:ascii="Arial" w:cs="Arial" w:eastAsia="Arial" w:hAnsi="Arial"/>
          <w:sz w:val="16"/>
          <w:szCs w:val="16"/>
          <w:color w:val="231F20"/>
        </w:rPr>
        <w:t>The 2022 payments primarily represent a</w:t>
      </w:r>
      <w:r>
        <w:rPr>
          <w:rFonts w:ascii="Arial" w:cs="Arial" w:eastAsia="Arial" w:hAnsi="Arial"/>
          <w:sz w:val="16"/>
          <w:szCs w:val="16"/>
          <w:color w:val="000000"/>
        </w:rPr>
        <w:t xml:space="preserve"> </w:t>
      </w:r>
      <w:r>
        <w:rPr>
          <w:rFonts w:ascii="Arial" w:cs="Arial" w:eastAsia="Arial" w:hAnsi="Arial"/>
          <w:sz w:val="16"/>
          <w:szCs w:val="16"/>
          <w:color w:val="231F20"/>
        </w:rPr>
        <w:t>consideration payment for the acquisition of Tingari, a talent solutions company in France. Also included in the 2022 payments are consideration payments for franchises in the United States and contingent consideration payments related to previous acquisitions, of which $3.8 had been recognized as a liability at the acquisition date.</w:t>
      </w:r>
    </w:p>
    <w:p>
      <w:pPr>
        <w:spacing w:after="0" w:line="69"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231F20"/>
        </w:rPr>
        <w:t>As of December 31, 2024, goodwill and other intangible assets resulting from the 2024 acquisitions were $1.4 and $3.1, respectively. We did not make any acquisitions in 2023.</w:t>
      </w:r>
    </w:p>
    <w:p>
      <w:pPr>
        <w:spacing w:after="0" w:line="14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67" w:name="page68"/>
    <w:bookmarkEnd w:id="67"/>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Dispositions</w:t>
      </w:r>
    </w:p>
    <w:p>
      <w:pPr>
        <w:spacing w:after="0" w:line="88" w:lineRule="exact"/>
        <w:rPr>
          <w:sz w:val="20"/>
          <w:szCs w:val="20"/>
          <w:color w:val="auto"/>
        </w:rPr>
      </w:pPr>
    </w:p>
    <w:p>
      <w:pPr>
        <w:jc w:val="both"/>
        <w:ind w:left="5" w:right="20"/>
        <w:spacing w:after="0" w:line="239" w:lineRule="auto"/>
        <w:rPr>
          <w:sz w:val="20"/>
          <w:szCs w:val="20"/>
          <w:color w:val="auto"/>
        </w:rPr>
      </w:pPr>
      <w:r>
        <w:rPr>
          <w:rFonts w:ascii="Arial" w:cs="Arial" w:eastAsia="Arial" w:hAnsi="Arial"/>
          <w:sz w:val="16"/>
          <w:szCs w:val="16"/>
          <w:color w:val="231F20"/>
        </w:rPr>
        <w:t>Occasionally, we dispose of parts of our operations based on risk considerations and to optimize our global strategic and geographic footprint as well as improve our overall efficiency. On October 15, 2024, we disposed of our Austria business in our Southern Europe segment for cash proceeds of $0.1 and simultaneously entered into a franchising agreement. In connection with the disposition, we recognized a one-time net loss on disposition of $7.7, of which $4.9 was included in selling and administrative expenses and $2.8 was included in interest and other expenses in the Consolidated Statements of Operations in the year ended December 31, 2024.</w:t>
      </w:r>
    </w:p>
    <w:p>
      <w:pPr>
        <w:spacing w:after="0" w:line="66" w:lineRule="exact"/>
        <w:rPr>
          <w:sz w:val="20"/>
          <w:szCs w:val="20"/>
          <w:color w:val="auto"/>
        </w:rPr>
      </w:pPr>
    </w:p>
    <w:p>
      <w:pPr>
        <w:jc w:val="both"/>
        <w:ind w:left="5" w:right="20"/>
        <w:spacing w:after="0" w:line="239" w:lineRule="auto"/>
        <w:rPr>
          <w:sz w:val="20"/>
          <w:szCs w:val="20"/>
          <w:color w:val="auto"/>
        </w:rPr>
      </w:pPr>
      <w:r>
        <w:rPr>
          <w:rFonts w:ascii="Arial" w:cs="Arial" w:eastAsia="Arial" w:hAnsi="Arial"/>
          <w:sz w:val="16"/>
          <w:szCs w:val="16"/>
          <w:color w:val="231F20"/>
        </w:rPr>
        <w:t>On November 1, 2024, we disposed of our South Korea business in our APME segment for cash proceeds of $20.6 and simultaneously entered into a franchising agreement under which the new ownership will operate Manpower Korea under the Manpower brand. In connection with the disposition, we recognized a one-time net loss on disposition of $0.4, consisting of a $3.3 gain in selling and administrative expenses and a $3.7 loss in interest and other expenses in the Consolidated Statements of Operations in the year ended December 31, 2024. The franchise arrangement represents a significant component of the transaction. Our South Korea business contributed $349.9 and $324.2 of revenues for the year ended December 31, 2023 and 2022, respectively.</w:t>
      </w:r>
    </w:p>
    <w:p>
      <w:pPr>
        <w:spacing w:after="0" w:line="65" w:lineRule="exact"/>
        <w:rPr>
          <w:sz w:val="20"/>
          <w:szCs w:val="20"/>
          <w:color w:val="auto"/>
        </w:rPr>
      </w:pPr>
    </w:p>
    <w:p>
      <w:pPr>
        <w:jc w:val="both"/>
        <w:ind w:left="5" w:right="20"/>
        <w:spacing w:after="0" w:line="246" w:lineRule="auto"/>
        <w:rPr>
          <w:sz w:val="20"/>
          <w:szCs w:val="20"/>
          <w:color w:val="auto"/>
        </w:rPr>
      </w:pPr>
      <w:r>
        <w:rPr>
          <w:rFonts w:ascii="Arial" w:cs="Arial" w:eastAsia="Arial" w:hAnsi="Arial"/>
          <w:sz w:val="16"/>
          <w:szCs w:val="16"/>
          <w:color w:val="231F20"/>
        </w:rPr>
        <w:t>On September 29, 2023, we disposed of our Philippines business in our APME segment for total consideration of $6.5. In connection with the disposition, we recognized a one-time net loss on disposition of $1.3, which was included in interest and other expenses in the Consolidated Statements of Operations in the year ended December 31, 2023.</w:t>
      </w:r>
    </w:p>
    <w:p>
      <w:pPr>
        <w:spacing w:after="0" w:line="61" w:lineRule="exact"/>
        <w:rPr>
          <w:sz w:val="20"/>
          <w:szCs w:val="20"/>
          <w:color w:val="auto"/>
        </w:rPr>
      </w:pPr>
    </w:p>
    <w:p>
      <w:pPr>
        <w:jc w:val="both"/>
        <w:ind w:left="5" w:right="20"/>
        <w:spacing w:after="0" w:line="236" w:lineRule="auto"/>
        <w:rPr>
          <w:sz w:val="20"/>
          <w:szCs w:val="20"/>
          <w:color w:val="auto"/>
        </w:rPr>
      </w:pPr>
      <w:r>
        <w:rPr>
          <w:rFonts w:ascii="Arial" w:cs="Arial" w:eastAsia="Arial" w:hAnsi="Arial"/>
          <w:sz w:val="16"/>
          <w:szCs w:val="16"/>
          <w:color w:val="231F20"/>
        </w:rPr>
        <w:t>On January 17, 2022, we disposed of our Russia business in our Northern Europe segment for cash proceeds of $3.2. In connection with the disposition, we recognized a one-time net loss on disposition of $8.0, of which $9.7 was included in selling and administrative expenses and a gain of $1.7 was included in interest and other expenses in the Consolidated Statements of Operations in the year ended December 31, 2022. On September 30, 2022, our Belgium business disposed of its Service Voucher Division and recognized a one-time gain of $4.1, which was included in selling and administrative expenses in the Consolidated Statements of Operations in the year ended December 31, 2022. On December 15, 2022, we disposed of our Hungary business in our Southern Europe segment and recognized a one-time loss of $2.1, of which $0.9 was included in selling and administrative expenses and $1.2 was included in interest and other expenses in the Consolidated Statements of Operations in the year ended December 31, 2022.</w:t>
      </w:r>
    </w:p>
    <w:p>
      <w:pPr>
        <w:spacing w:after="0" w:line="372" w:lineRule="exact"/>
        <w:rPr>
          <w:sz w:val="20"/>
          <w:szCs w:val="20"/>
          <w:color w:val="auto"/>
        </w:rPr>
      </w:pPr>
    </w:p>
    <w:p>
      <w:pPr>
        <w:ind w:left="325" w:hanging="325"/>
        <w:spacing w:after="0"/>
        <w:tabs>
          <w:tab w:leader="none" w:pos="325" w:val="left"/>
        </w:tabs>
        <w:numPr>
          <w:ilvl w:val="0"/>
          <w:numId w:val="43"/>
        </w:numPr>
        <w:rPr>
          <w:rFonts w:ascii="Arial" w:cs="Arial" w:eastAsia="Arial" w:hAnsi="Arial"/>
          <w:sz w:val="22"/>
          <w:szCs w:val="22"/>
          <w:b w:val="1"/>
          <w:bCs w:val="1"/>
          <w:color w:val="5B89B4"/>
        </w:rPr>
      </w:pPr>
      <w:r>
        <w:rPr>
          <w:rFonts w:ascii="Arial" w:cs="Arial" w:eastAsia="Arial" w:hAnsi="Arial"/>
          <w:sz w:val="22"/>
          <w:szCs w:val="22"/>
          <w:b w:val="1"/>
          <w:bCs w:val="1"/>
          <w:u w:val="single" w:color="auto"/>
          <w:color w:val="5B89B4"/>
        </w:rPr>
        <w:t>Income Taxes</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The provision for income taxes was as follows:</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231"/>
        </w:trPr>
        <w:tc>
          <w:tcPr>
            <w:tcW w:w="7660" w:type="dxa"/>
            <w:vAlign w:val="bottom"/>
            <w:tcBorders>
              <w:top w:val="single" w:sz="8" w:color="auto"/>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Year Ended December 31</w:t>
            </w:r>
          </w:p>
        </w:tc>
        <w:tc>
          <w:tcPr>
            <w:tcW w:w="400" w:type="dxa"/>
            <w:vAlign w:val="bottom"/>
            <w:tcBorders>
              <w:top w:val="single" w:sz="8" w:color="auto"/>
              <w:bottom w:val="single" w:sz="8" w:color="auto"/>
            </w:tcBorders>
            <w:shd w:val="clear" w:color="auto" w:fill="98B0CF"/>
          </w:tcPr>
          <w:p>
            <w:pPr>
              <w:spacing w:after="0"/>
              <w:rPr>
                <w:sz w:val="20"/>
                <w:szCs w:val="20"/>
                <w:color w:val="auto"/>
              </w:rPr>
            </w:pPr>
          </w:p>
        </w:tc>
        <w:tc>
          <w:tcPr>
            <w:tcW w:w="900" w:type="dxa"/>
            <w:vAlign w:val="bottom"/>
            <w:tcBorders>
              <w:top w:val="single" w:sz="8" w:color="auto"/>
              <w:bottom w:val="single" w:sz="8" w:color="auto"/>
            </w:tcBorders>
            <w:shd w:val="clear" w:color="auto" w:fill="98B0CF"/>
          </w:tcPr>
          <w:p>
            <w:pPr>
              <w:jc w:val="right"/>
              <w:ind w:right="450"/>
              <w:spacing w:after="0"/>
              <w:rPr>
                <w:sz w:val="20"/>
                <w:szCs w:val="20"/>
                <w:color w:val="auto"/>
              </w:rPr>
            </w:pPr>
            <w:r>
              <w:rPr>
                <w:rFonts w:ascii="Arial" w:cs="Arial" w:eastAsia="Arial" w:hAnsi="Arial"/>
                <w:sz w:val="13"/>
                <w:szCs w:val="13"/>
                <w:b w:val="1"/>
                <w:bCs w:val="1"/>
                <w:color w:val="231F20"/>
              </w:rPr>
              <w:t>2024</w:t>
            </w:r>
          </w:p>
        </w:tc>
        <w:tc>
          <w:tcPr>
            <w:tcW w:w="320" w:type="dxa"/>
            <w:vAlign w:val="bottom"/>
            <w:tcBorders>
              <w:top w:val="single" w:sz="8" w:color="auto"/>
              <w:bottom w:val="single" w:sz="8" w:color="auto"/>
            </w:tcBorders>
            <w:shd w:val="clear" w:color="auto" w:fill="98B0CF"/>
          </w:tcPr>
          <w:p>
            <w:pPr>
              <w:spacing w:after="0"/>
              <w:rPr>
                <w:sz w:val="20"/>
                <w:szCs w:val="20"/>
                <w:color w:val="auto"/>
              </w:rPr>
            </w:pPr>
          </w:p>
        </w:tc>
        <w:tc>
          <w:tcPr>
            <w:tcW w:w="880" w:type="dxa"/>
            <w:vAlign w:val="bottom"/>
            <w:tcBorders>
              <w:top w:val="single" w:sz="8" w:color="auto"/>
              <w:bottom w:val="single" w:sz="8" w:color="auto"/>
            </w:tcBorders>
            <w:shd w:val="clear" w:color="auto" w:fill="98B0CF"/>
          </w:tcPr>
          <w:p>
            <w:pPr>
              <w:jc w:val="right"/>
              <w:ind w:right="430"/>
              <w:spacing w:after="0"/>
              <w:rPr>
                <w:sz w:val="20"/>
                <w:szCs w:val="20"/>
                <w:color w:val="auto"/>
              </w:rPr>
            </w:pPr>
            <w:r>
              <w:rPr>
                <w:rFonts w:ascii="Arial" w:cs="Arial" w:eastAsia="Arial" w:hAnsi="Arial"/>
                <w:sz w:val="13"/>
                <w:szCs w:val="13"/>
                <w:b w:val="1"/>
                <w:bCs w:val="1"/>
                <w:color w:val="231F20"/>
              </w:rPr>
              <w:t>2023</w:t>
            </w:r>
          </w:p>
        </w:tc>
        <w:tc>
          <w:tcPr>
            <w:tcW w:w="300" w:type="dxa"/>
            <w:vAlign w:val="bottom"/>
            <w:tcBorders>
              <w:top w:val="single" w:sz="8" w:color="auto"/>
              <w:bottom w:val="single" w:sz="8" w:color="auto"/>
            </w:tcBorders>
            <w:shd w:val="clear" w:color="auto" w:fill="98B0CF"/>
          </w:tcPr>
          <w:p>
            <w:pPr>
              <w:spacing w:after="0"/>
              <w:rPr>
                <w:sz w:val="20"/>
                <w:szCs w:val="20"/>
                <w:color w:val="auto"/>
              </w:rPr>
            </w:pPr>
          </w:p>
        </w:tc>
        <w:tc>
          <w:tcPr>
            <w:tcW w:w="800" w:type="dxa"/>
            <w:vAlign w:val="bottom"/>
            <w:tcBorders>
              <w:top w:val="single" w:sz="8" w:color="auto"/>
              <w:bottom w:val="single" w:sz="8" w:color="auto"/>
            </w:tcBorders>
            <w:shd w:val="clear" w:color="auto" w:fill="98B0CF"/>
          </w:tcPr>
          <w:p>
            <w:pPr>
              <w:jc w:val="right"/>
              <w:ind w:right="350"/>
              <w:spacing w:after="0"/>
              <w:rPr>
                <w:sz w:val="20"/>
                <w:szCs w:val="20"/>
                <w:color w:val="auto"/>
              </w:rPr>
            </w:pPr>
            <w:r>
              <w:rPr>
                <w:rFonts w:ascii="Arial" w:cs="Arial" w:eastAsia="Arial" w:hAnsi="Arial"/>
                <w:sz w:val="13"/>
                <w:szCs w:val="13"/>
                <w:b w:val="1"/>
                <w:bCs w:val="1"/>
                <w:color w:val="231F20"/>
              </w:rPr>
              <w:t>2022</w:t>
            </w:r>
          </w:p>
        </w:tc>
      </w:tr>
      <w:tr>
        <w:trPr>
          <w:trHeight w:val="187"/>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231F20"/>
              </w:rPr>
              <w:t>Current</w:t>
            </w:r>
          </w:p>
        </w:tc>
        <w:tc>
          <w:tcPr>
            <w:tcW w:w="400" w:type="dxa"/>
            <w:vAlign w:val="bottom"/>
            <w:shd w:val="clear" w:color="auto" w:fill="E2E8F1"/>
          </w:tcPr>
          <w:p>
            <w:pPr>
              <w:spacing w:after="0"/>
              <w:rPr>
                <w:sz w:val="16"/>
                <w:szCs w:val="16"/>
                <w:color w:val="auto"/>
              </w:rPr>
            </w:pPr>
          </w:p>
        </w:tc>
        <w:tc>
          <w:tcPr>
            <w:tcW w:w="9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800" w:type="dxa"/>
            <w:vAlign w:val="bottom"/>
            <w:shd w:val="clear" w:color="auto" w:fill="E2E8F1"/>
          </w:tcPr>
          <w:p>
            <w:pPr>
              <w:spacing w:after="0"/>
              <w:rPr>
                <w:sz w:val="16"/>
                <w:szCs w:val="16"/>
                <w:color w:val="auto"/>
              </w:rPr>
            </w:pPr>
          </w:p>
        </w:tc>
      </w:tr>
      <w:tr>
        <w:trPr>
          <w:trHeight w:val="189"/>
        </w:trPr>
        <w:tc>
          <w:tcPr>
            <w:tcW w:w="7660" w:type="dxa"/>
            <w:vAlign w:val="bottom"/>
          </w:tcPr>
          <w:p>
            <w:pPr>
              <w:ind w:left="80"/>
              <w:spacing w:after="0"/>
              <w:rPr>
                <w:sz w:val="20"/>
                <w:szCs w:val="20"/>
                <w:color w:val="auto"/>
              </w:rPr>
            </w:pPr>
            <w:r>
              <w:rPr>
                <w:rFonts w:ascii="Arial" w:cs="Arial" w:eastAsia="Arial" w:hAnsi="Arial"/>
                <w:sz w:val="14"/>
                <w:szCs w:val="14"/>
                <w:color w:val="231F20"/>
              </w:rPr>
              <w:t>United States</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66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Federal</w:t>
            </w:r>
          </w:p>
        </w:tc>
        <w:tc>
          <w:tcPr>
            <w:tcW w:w="40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w:t>
            </w:r>
          </w:p>
        </w:tc>
        <w:tc>
          <w:tcPr>
            <w:tcW w:w="90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231F20"/>
              </w:rPr>
              <w:t>2.4</w:t>
            </w:r>
          </w:p>
        </w:tc>
        <w:tc>
          <w:tcPr>
            <w:tcW w:w="320" w:type="dxa"/>
            <w:vAlign w:val="bottom"/>
            <w:shd w:val="clear" w:color="auto" w:fill="E2E8F1"/>
          </w:tcPr>
          <w:p>
            <w:pPr>
              <w:jc w:val="right"/>
              <w:ind w:right="49"/>
              <w:spacing w:after="0"/>
              <w:rPr>
                <w:sz w:val="20"/>
                <w:szCs w:val="20"/>
                <w:color w:val="auto"/>
              </w:rPr>
            </w:pPr>
            <w:r>
              <w:rPr>
                <w:rFonts w:ascii="Arial" w:cs="Arial" w:eastAsia="Arial" w:hAnsi="Arial"/>
                <w:sz w:val="14"/>
                <w:szCs w:val="14"/>
                <w:color w:val="231F20"/>
              </w:rPr>
              <w:t>$</w:t>
            </w:r>
          </w:p>
        </w:tc>
        <w:tc>
          <w:tcPr>
            <w:tcW w:w="88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231F20"/>
              </w:rPr>
              <w:t>(2.9 )</w:t>
            </w:r>
          </w:p>
        </w:tc>
        <w:tc>
          <w:tcPr>
            <w:tcW w:w="30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w:t>
            </w:r>
          </w:p>
        </w:tc>
        <w:tc>
          <w:tcPr>
            <w:tcW w:w="8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17.6</w:t>
            </w:r>
          </w:p>
        </w:tc>
      </w:tr>
      <w:tr>
        <w:trPr>
          <w:trHeight w:val="189"/>
        </w:trPr>
        <w:tc>
          <w:tcPr>
            <w:tcW w:w="7660" w:type="dxa"/>
            <w:vAlign w:val="bottom"/>
          </w:tcPr>
          <w:p>
            <w:pPr>
              <w:ind w:left="240"/>
              <w:spacing w:after="0"/>
              <w:rPr>
                <w:sz w:val="20"/>
                <w:szCs w:val="20"/>
                <w:color w:val="auto"/>
              </w:rPr>
            </w:pPr>
            <w:r>
              <w:rPr>
                <w:rFonts w:ascii="Arial" w:cs="Arial" w:eastAsia="Arial" w:hAnsi="Arial"/>
                <w:sz w:val="14"/>
                <w:szCs w:val="14"/>
                <w:color w:val="231F20"/>
              </w:rPr>
              <w:t>State</w:t>
            </w:r>
          </w:p>
        </w:tc>
        <w:tc>
          <w:tcPr>
            <w:tcW w:w="400" w:type="dxa"/>
            <w:vAlign w:val="bottom"/>
          </w:tcPr>
          <w:p>
            <w:pPr>
              <w:spacing w:after="0"/>
              <w:rPr>
                <w:sz w:val="16"/>
                <w:szCs w:val="16"/>
                <w:color w:val="auto"/>
              </w:rPr>
            </w:pPr>
          </w:p>
        </w:tc>
        <w:tc>
          <w:tcPr>
            <w:tcW w:w="900" w:type="dxa"/>
            <w:vAlign w:val="bottom"/>
          </w:tcPr>
          <w:p>
            <w:pPr>
              <w:jc w:val="right"/>
              <w:ind w:right="150"/>
              <w:spacing w:after="0"/>
              <w:rPr>
                <w:sz w:val="20"/>
                <w:szCs w:val="20"/>
                <w:color w:val="auto"/>
              </w:rPr>
            </w:pPr>
            <w:r>
              <w:rPr>
                <w:rFonts w:ascii="Arial" w:cs="Arial" w:eastAsia="Arial" w:hAnsi="Arial"/>
                <w:sz w:val="14"/>
                <w:szCs w:val="14"/>
                <w:color w:val="231F20"/>
              </w:rPr>
              <w:t>0.8</w:t>
            </w:r>
          </w:p>
        </w:tc>
        <w:tc>
          <w:tcPr>
            <w:tcW w:w="320" w:type="dxa"/>
            <w:vAlign w:val="bottom"/>
          </w:tcPr>
          <w:p>
            <w:pPr>
              <w:spacing w:after="0"/>
              <w:rPr>
                <w:sz w:val="16"/>
                <w:szCs w:val="16"/>
                <w:color w:val="auto"/>
              </w:rPr>
            </w:pPr>
          </w:p>
        </w:tc>
        <w:tc>
          <w:tcPr>
            <w:tcW w:w="880" w:type="dxa"/>
            <w:vAlign w:val="bottom"/>
          </w:tcPr>
          <w:p>
            <w:pPr>
              <w:jc w:val="right"/>
              <w:ind w:right="130"/>
              <w:spacing w:after="0"/>
              <w:rPr>
                <w:sz w:val="20"/>
                <w:szCs w:val="20"/>
                <w:color w:val="auto"/>
              </w:rPr>
            </w:pPr>
            <w:r>
              <w:rPr>
                <w:rFonts w:ascii="Arial" w:cs="Arial" w:eastAsia="Arial" w:hAnsi="Arial"/>
                <w:sz w:val="14"/>
                <w:szCs w:val="14"/>
                <w:color w:val="231F20"/>
              </w:rPr>
              <w:t>7.3</w:t>
            </w:r>
          </w:p>
        </w:tc>
        <w:tc>
          <w:tcPr>
            <w:tcW w:w="30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231F20"/>
              </w:rPr>
              <w:t>6.8</w:t>
            </w:r>
          </w:p>
        </w:tc>
      </w:tr>
      <w:tr>
        <w:trPr>
          <w:trHeight w:val="189"/>
        </w:trPr>
        <w:tc>
          <w:tcPr>
            <w:tcW w:w="766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231F20"/>
              </w:rPr>
              <w:t>Non-United States</w:t>
            </w:r>
          </w:p>
        </w:tc>
        <w:tc>
          <w:tcPr>
            <w:tcW w:w="400" w:type="dxa"/>
            <w:vAlign w:val="bottom"/>
            <w:tcBorders>
              <w:bottom w:val="single" w:sz="8" w:color="auto"/>
            </w:tcBorders>
            <w:shd w:val="clear" w:color="auto" w:fill="E2E8F1"/>
          </w:tcPr>
          <w:p>
            <w:pPr>
              <w:spacing w:after="0"/>
              <w:rPr>
                <w:sz w:val="16"/>
                <w:szCs w:val="16"/>
                <w:color w:val="auto"/>
              </w:rPr>
            </w:pPr>
          </w:p>
        </w:tc>
        <w:tc>
          <w:tcPr>
            <w:tcW w:w="900" w:type="dxa"/>
            <w:vAlign w:val="bottom"/>
            <w:tcBorders>
              <w:bottom w:val="single" w:sz="8" w:color="auto"/>
            </w:tcBorders>
            <w:shd w:val="clear" w:color="auto" w:fill="E2E8F1"/>
          </w:tcPr>
          <w:p>
            <w:pPr>
              <w:jc w:val="right"/>
              <w:ind w:right="150"/>
              <w:spacing w:after="0"/>
              <w:rPr>
                <w:sz w:val="20"/>
                <w:szCs w:val="20"/>
                <w:color w:val="auto"/>
              </w:rPr>
            </w:pPr>
            <w:r>
              <w:rPr>
                <w:rFonts w:ascii="Arial" w:cs="Arial" w:eastAsia="Arial" w:hAnsi="Arial"/>
                <w:sz w:val="14"/>
                <w:szCs w:val="14"/>
                <w:color w:val="231F20"/>
              </w:rPr>
              <w:t>140.9</w:t>
            </w:r>
          </w:p>
        </w:tc>
        <w:tc>
          <w:tcPr>
            <w:tcW w:w="32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jc w:val="right"/>
              <w:ind w:right="130"/>
              <w:spacing w:after="0"/>
              <w:rPr>
                <w:sz w:val="20"/>
                <w:szCs w:val="20"/>
                <w:color w:val="auto"/>
              </w:rPr>
            </w:pPr>
            <w:r>
              <w:rPr>
                <w:rFonts w:ascii="Arial" w:cs="Arial" w:eastAsia="Arial" w:hAnsi="Arial"/>
                <w:sz w:val="14"/>
                <w:szCs w:val="14"/>
                <w:color w:val="231F20"/>
              </w:rPr>
              <w:t>133.3</w:t>
            </w:r>
          </w:p>
        </w:tc>
        <w:tc>
          <w:tcPr>
            <w:tcW w:w="300" w:type="dxa"/>
            <w:vAlign w:val="bottom"/>
            <w:tcBorders>
              <w:bottom w:val="single" w:sz="8" w:color="auto"/>
            </w:tcBorders>
            <w:shd w:val="clear" w:color="auto" w:fill="E2E8F1"/>
          </w:tcPr>
          <w:p>
            <w:pPr>
              <w:spacing w:after="0"/>
              <w:rPr>
                <w:sz w:val="16"/>
                <w:szCs w:val="16"/>
                <w:color w:val="auto"/>
              </w:rPr>
            </w:pPr>
          </w:p>
        </w:tc>
        <w:tc>
          <w:tcPr>
            <w:tcW w:w="80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231F20"/>
              </w:rPr>
              <w:t>154.1</w:t>
            </w:r>
          </w:p>
        </w:tc>
      </w:tr>
      <w:tr>
        <w:trPr>
          <w:trHeight w:val="181"/>
        </w:trPr>
        <w:tc>
          <w:tcPr>
            <w:tcW w:w="76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231F20"/>
              </w:rPr>
              <w:t>Total current</w:t>
            </w: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231F20"/>
              </w:rPr>
              <w:t>144.1</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231F20"/>
              </w:rPr>
              <w:t>137.7</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231F20"/>
              </w:rPr>
              <w:t>178.5</w:t>
            </w:r>
          </w:p>
        </w:tc>
      </w:tr>
      <w:tr>
        <w:trPr>
          <w:trHeight w:val="181"/>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231F20"/>
              </w:rPr>
              <w:t>Deferred</w:t>
            </w:r>
          </w:p>
        </w:tc>
        <w:tc>
          <w:tcPr>
            <w:tcW w:w="400" w:type="dxa"/>
            <w:vAlign w:val="bottom"/>
            <w:shd w:val="clear" w:color="auto" w:fill="E2E8F1"/>
          </w:tcPr>
          <w:p>
            <w:pPr>
              <w:spacing w:after="0"/>
              <w:rPr>
                <w:sz w:val="15"/>
                <w:szCs w:val="15"/>
                <w:color w:val="auto"/>
              </w:rPr>
            </w:pPr>
          </w:p>
        </w:tc>
        <w:tc>
          <w:tcPr>
            <w:tcW w:w="9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800" w:type="dxa"/>
            <w:vAlign w:val="bottom"/>
            <w:shd w:val="clear" w:color="auto" w:fill="E2E8F1"/>
          </w:tcPr>
          <w:p>
            <w:pPr>
              <w:spacing w:after="0"/>
              <w:rPr>
                <w:sz w:val="15"/>
                <w:szCs w:val="15"/>
                <w:color w:val="auto"/>
              </w:rPr>
            </w:pPr>
          </w:p>
        </w:tc>
      </w:tr>
      <w:tr>
        <w:trPr>
          <w:trHeight w:val="189"/>
        </w:trPr>
        <w:tc>
          <w:tcPr>
            <w:tcW w:w="7660" w:type="dxa"/>
            <w:vAlign w:val="bottom"/>
          </w:tcPr>
          <w:p>
            <w:pPr>
              <w:ind w:left="80"/>
              <w:spacing w:after="0"/>
              <w:rPr>
                <w:sz w:val="20"/>
                <w:szCs w:val="20"/>
                <w:color w:val="auto"/>
              </w:rPr>
            </w:pPr>
            <w:r>
              <w:rPr>
                <w:rFonts w:ascii="Arial" w:cs="Arial" w:eastAsia="Arial" w:hAnsi="Arial"/>
                <w:sz w:val="14"/>
                <w:szCs w:val="14"/>
                <w:color w:val="231F20"/>
              </w:rPr>
              <w:t>United States</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66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Federal</w:t>
            </w:r>
          </w:p>
        </w:tc>
        <w:tc>
          <w:tcPr>
            <w:tcW w:w="40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(22.6 )</w:t>
            </w:r>
          </w:p>
        </w:tc>
        <w:tc>
          <w:tcPr>
            <w:tcW w:w="32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231F20"/>
              </w:rPr>
              <w:t>(8.6 )</w:t>
            </w:r>
          </w:p>
        </w:tc>
        <w:tc>
          <w:tcPr>
            <w:tcW w:w="300" w:type="dxa"/>
            <w:vAlign w:val="bottom"/>
            <w:shd w:val="clear" w:color="auto" w:fill="E2E8F1"/>
          </w:tcPr>
          <w:p>
            <w:pPr>
              <w:spacing w:after="0"/>
              <w:rPr>
                <w:sz w:val="16"/>
                <w:szCs w:val="16"/>
                <w:color w:val="auto"/>
              </w:rPr>
            </w:pPr>
          </w:p>
        </w:tc>
        <w:tc>
          <w:tcPr>
            <w:tcW w:w="8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11.2</w:t>
            </w:r>
          </w:p>
        </w:tc>
      </w:tr>
      <w:tr>
        <w:trPr>
          <w:trHeight w:val="189"/>
        </w:trPr>
        <w:tc>
          <w:tcPr>
            <w:tcW w:w="7660" w:type="dxa"/>
            <w:vAlign w:val="bottom"/>
          </w:tcPr>
          <w:p>
            <w:pPr>
              <w:ind w:left="240"/>
              <w:spacing w:after="0"/>
              <w:rPr>
                <w:sz w:val="20"/>
                <w:szCs w:val="20"/>
                <w:color w:val="auto"/>
              </w:rPr>
            </w:pPr>
            <w:r>
              <w:rPr>
                <w:rFonts w:ascii="Arial" w:cs="Arial" w:eastAsia="Arial" w:hAnsi="Arial"/>
                <w:sz w:val="14"/>
                <w:szCs w:val="14"/>
                <w:color w:val="231F20"/>
              </w:rPr>
              <w:t>State</w:t>
            </w:r>
          </w:p>
        </w:tc>
        <w:tc>
          <w:tcPr>
            <w:tcW w:w="400" w:type="dxa"/>
            <w:vAlign w:val="bottom"/>
          </w:tcPr>
          <w:p>
            <w:pPr>
              <w:spacing w:after="0"/>
              <w:rPr>
                <w:sz w:val="16"/>
                <w:szCs w:val="16"/>
                <w:color w:val="auto"/>
              </w:rPr>
            </w:pPr>
          </w:p>
        </w:tc>
        <w:tc>
          <w:tcPr>
            <w:tcW w:w="900" w:type="dxa"/>
            <w:vAlign w:val="bottom"/>
          </w:tcPr>
          <w:p>
            <w:pPr>
              <w:jc w:val="right"/>
              <w:ind w:right="150"/>
              <w:spacing w:after="0"/>
              <w:rPr>
                <w:sz w:val="20"/>
                <w:szCs w:val="20"/>
                <w:color w:val="auto"/>
              </w:rPr>
            </w:pPr>
            <w:r>
              <w:rPr>
                <w:rFonts w:ascii="Arial" w:cs="Arial" w:eastAsia="Arial" w:hAnsi="Arial"/>
                <w:sz w:val="14"/>
                <w:szCs w:val="14"/>
                <w:color w:val="231F20"/>
              </w:rPr>
              <w:t>2.9</w:t>
            </w:r>
          </w:p>
        </w:tc>
        <w:tc>
          <w:tcPr>
            <w:tcW w:w="320" w:type="dxa"/>
            <w:vAlign w:val="bottom"/>
          </w:tcPr>
          <w:p>
            <w:pPr>
              <w:spacing w:after="0"/>
              <w:rPr>
                <w:sz w:val="16"/>
                <w:szCs w:val="16"/>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231F20"/>
              </w:rPr>
              <w:t>(4.0 )</w:t>
            </w:r>
          </w:p>
        </w:tc>
        <w:tc>
          <w:tcPr>
            <w:tcW w:w="30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231F20"/>
              </w:rPr>
              <w:t>0.9</w:t>
            </w:r>
          </w:p>
        </w:tc>
      </w:tr>
      <w:tr>
        <w:trPr>
          <w:trHeight w:val="189"/>
        </w:trPr>
        <w:tc>
          <w:tcPr>
            <w:tcW w:w="766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231F20"/>
              </w:rPr>
              <w:t>Non-United States</w:t>
            </w:r>
          </w:p>
        </w:tc>
        <w:tc>
          <w:tcPr>
            <w:tcW w:w="400" w:type="dxa"/>
            <w:vAlign w:val="bottom"/>
            <w:tcBorders>
              <w:bottom w:val="single" w:sz="8" w:color="auto"/>
            </w:tcBorders>
            <w:shd w:val="clear" w:color="auto" w:fill="E2E8F1"/>
          </w:tcPr>
          <w:p>
            <w:pPr>
              <w:spacing w:after="0"/>
              <w:rPr>
                <w:sz w:val="16"/>
                <w:szCs w:val="16"/>
                <w:color w:val="auto"/>
              </w:rPr>
            </w:pPr>
          </w:p>
        </w:tc>
        <w:tc>
          <w:tcPr>
            <w:tcW w:w="90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231F20"/>
              </w:rPr>
              <w:t>(12.7 )</w:t>
            </w:r>
          </w:p>
        </w:tc>
        <w:tc>
          <w:tcPr>
            <w:tcW w:w="32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jc w:val="right"/>
              <w:ind w:right="50"/>
              <w:spacing w:after="0"/>
              <w:rPr>
                <w:sz w:val="20"/>
                <w:szCs w:val="20"/>
                <w:color w:val="auto"/>
              </w:rPr>
            </w:pPr>
            <w:r>
              <w:rPr>
                <w:rFonts w:ascii="Arial" w:cs="Arial" w:eastAsia="Arial" w:hAnsi="Arial"/>
                <w:sz w:val="14"/>
                <w:szCs w:val="14"/>
                <w:color w:val="231F20"/>
              </w:rPr>
              <w:t>(8.0 )</w:t>
            </w:r>
          </w:p>
        </w:tc>
        <w:tc>
          <w:tcPr>
            <w:tcW w:w="300" w:type="dxa"/>
            <w:vAlign w:val="bottom"/>
            <w:tcBorders>
              <w:bottom w:val="single" w:sz="8" w:color="auto"/>
            </w:tcBorders>
            <w:shd w:val="clear" w:color="auto" w:fill="E2E8F1"/>
          </w:tcPr>
          <w:p>
            <w:pPr>
              <w:spacing w:after="0"/>
              <w:rPr>
                <w:sz w:val="16"/>
                <w:szCs w:val="16"/>
                <w:color w:val="auto"/>
              </w:rPr>
            </w:pPr>
          </w:p>
        </w:tc>
        <w:tc>
          <w:tcPr>
            <w:tcW w:w="8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231F20"/>
              </w:rPr>
              <w:t>(7.3 )</w:t>
            </w:r>
          </w:p>
        </w:tc>
      </w:tr>
      <w:tr>
        <w:trPr>
          <w:trHeight w:val="181"/>
        </w:trPr>
        <w:tc>
          <w:tcPr>
            <w:tcW w:w="76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231F20"/>
              </w:rPr>
              <w:t>Total deferred</w:t>
            </w: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231F20"/>
              </w:rPr>
              <w:t>(32.4 )</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231F20"/>
              </w:rPr>
              <w:t>(20.6 )</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231F20"/>
              </w:rPr>
              <w:t>4.8</w:t>
            </w:r>
          </w:p>
        </w:tc>
      </w:tr>
      <w:tr>
        <w:trPr>
          <w:trHeight w:val="181"/>
        </w:trPr>
        <w:tc>
          <w:tcPr>
            <w:tcW w:w="766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231F20"/>
              </w:rPr>
              <w:t>Total provision</w:t>
            </w:r>
          </w:p>
        </w:tc>
        <w:tc>
          <w:tcPr>
            <w:tcW w:w="400" w:type="dxa"/>
            <w:vAlign w:val="bottom"/>
            <w:tcBorders>
              <w:bottom w:val="single" w:sz="8" w:color="auto"/>
            </w:tcBorders>
            <w:shd w:val="clear" w:color="auto" w:fill="E2E8F1"/>
          </w:tcPr>
          <w:p>
            <w:pPr>
              <w:jc w:val="right"/>
              <w:ind w:right="29"/>
              <w:spacing w:after="0"/>
              <w:rPr>
                <w:sz w:val="20"/>
                <w:szCs w:val="20"/>
                <w:color w:val="auto"/>
              </w:rPr>
            </w:pPr>
            <w:r>
              <w:rPr>
                <w:rFonts w:ascii="Arial" w:cs="Arial" w:eastAsia="Arial" w:hAnsi="Arial"/>
                <w:sz w:val="14"/>
                <w:szCs w:val="14"/>
                <w:color w:val="231F20"/>
              </w:rPr>
              <w:t>$</w:t>
            </w:r>
          </w:p>
        </w:tc>
        <w:tc>
          <w:tcPr>
            <w:tcW w:w="900" w:type="dxa"/>
            <w:vAlign w:val="bottom"/>
            <w:tcBorders>
              <w:bottom w:val="single" w:sz="8" w:color="auto"/>
            </w:tcBorders>
            <w:shd w:val="clear" w:color="auto" w:fill="E2E8F1"/>
          </w:tcPr>
          <w:p>
            <w:pPr>
              <w:jc w:val="right"/>
              <w:ind w:right="150"/>
              <w:spacing w:after="0"/>
              <w:rPr>
                <w:sz w:val="20"/>
                <w:szCs w:val="20"/>
                <w:color w:val="auto"/>
              </w:rPr>
            </w:pPr>
            <w:r>
              <w:rPr>
                <w:rFonts w:ascii="Arial" w:cs="Arial" w:eastAsia="Arial" w:hAnsi="Arial"/>
                <w:sz w:val="14"/>
                <w:szCs w:val="14"/>
                <w:color w:val="231F20"/>
              </w:rPr>
              <w:t>111.7</w:t>
            </w:r>
          </w:p>
        </w:tc>
        <w:tc>
          <w:tcPr>
            <w:tcW w:w="320" w:type="dxa"/>
            <w:vAlign w:val="bottom"/>
            <w:tcBorders>
              <w:bottom w:val="single" w:sz="8" w:color="auto"/>
            </w:tcBorders>
            <w:shd w:val="clear" w:color="auto" w:fill="E2E8F1"/>
          </w:tcPr>
          <w:p>
            <w:pPr>
              <w:jc w:val="right"/>
              <w:ind w:right="49"/>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auto"/>
            </w:tcBorders>
            <w:shd w:val="clear" w:color="auto" w:fill="E2E8F1"/>
          </w:tcPr>
          <w:p>
            <w:pPr>
              <w:jc w:val="right"/>
              <w:ind w:right="130"/>
              <w:spacing w:after="0"/>
              <w:rPr>
                <w:sz w:val="20"/>
                <w:szCs w:val="20"/>
                <w:color w:val="auto"/>
              </w:rPr>
            </w:pPr>
            <w:r>
              <w:rPr>
                <w:rFonts w:ascii="Arial" w:cs="Arial" w:eastAsia="Arial" w:hAnsi="Arial"/>
                <w:sz w:val="14"/>
                <w:szCs w:val="14"/>
                <w:color w:val="231F20"/>
              </w:rPr>
              <w:t>117.1</w:t>
            </w:r>
          </w:p>
        </w:tc>
        <w:tc>
          <w:tcPr>
            <w:tcW w:w="300" w:type="dxa"/>
            <w:vAlign w:val="bottom"/>
            <w:tcBorders>
              <w:bottom w:val="single" w:sz="8" w:color="auto"/>
            </w:tcBorders>
            <w:shd w:val="clear" w:color="auto" w:fill="E2E8F1"/>
          </w:tcPr>
          <w:p>
            <w:pPr>
              <w:jc w:val="right"/>
              <w:ind w:right="29"/>
              <w:spacing w:after="0"/>
              <w:rPr>
                <w:sz w:val="20"/>
                <w:szCs w:val="20"/>
                <w:color w:val="auto"/>
              </w:rPr>
            </w:pPr>
            <w:r>
              <w:rPr>
                <w:rFonts w:ascii="Arial" w:cs="Arial" w:eastAsia="Arial" w:hAnsi="Arial"/>
                <w:sz w:val="14"/>
                <w:szCs w:val="14"/>
                <w:color w:val="231F20"/>
              </w:rPr>
              <w:t>$</w:t>
            </w:r>
          </w:p>
        </w:tc>
        <w:tc>
          <w:tcPr>
            <w:tcW w:w="80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231F20"/>
              </w:rPr>
              <w:t>183.3</w:t>
            </w:r>
          </w:p>
        </w:tc>
      </w:tr>
    </w:tbl>
    <w:p>
      <w:pPr>
        <w:spacing w:after="0" w:line="36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68" w:name="page69"/>
    <w:bookmarkEnd w:id="68"/>
    <w:p>
      <w:pPr>
        <w:ind w:left="107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81" w:lineRule="exact"/>
        <w:rPr>
          <w:sz w:val="20"/>
          <w:szCs w:val="20"/>
          <w:color w:val="auto"/>
        </w:rPr>
      </w:pPr>
    </w:p>
    <w:p>
      <w:pPr>
        <w:ind w:left="5"/>
        <w:spacing w:after="0"/>
        <w:rPr>
          <w:sz w:val="20"/>
          <w:szCs w:val="20"/>
          <w:color w:val="auto"/>
        </w:rPr>
      </w:pPr>
      <w:r>
        <w:rPr>
          <w:rFonts w:ascii="Arial" w:cs="Arial" w:eastAsia="Arial" w:hAnsi="Arial"/>
          <w:sz w:val="16"/>
          <w:szCs w:val="16"/>
          <w:color w:val="231F20"/>
        </w:rPr>
        <w:t>A tax reconciliation between taxes computed at the United States federal statutory rate of 21% and the consolidated effective tax rate is as follows:</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231"/>
        </w:trPr>
        <w:tc>
          <w:tcPr>
            <w:tcW w:w="7660" w:type="dxa"/>
            <w:vAlign w:val="bottom"/>
            <w:tcBorders>
              <w:top w:val="single" w:sz="8" w:color="auto"/>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Year Ended December 31</w:t>
            </w:r>
          </w:p>
        </w:tc>
        <w:tc>
          <w:tcPr>
            <w:tcW w:w="400" w:type="dxa"/>
            <w:vAlign w:val="bottom"/>
            <w:tcBorders>
              <w:top w:val="single" w:sz="8" w:color="auto"/>
              <w:bottom w:val="single" w:sz="8" w:color="auto"/>
            </w:tcBorders>
            <w:shd w:val="clear" w:color="auto" w:fill="98B0CF"/>
          </w:tcPr>
          <w:p>
            <w:pPr>
              <w:spacing w:after="0"/>
              <w:rPr>
                <w:sz w:val="20"/>
                <w:szCs w:val="20"/>
                <w:color w:val="auto"/>
              </w:rPr>
            </w:pPr>
          </w:p>
        </w:tc>
        <w:tc>
          <w:tcPr>
            <w:tcW w:w="900" w:type="dxa"/>
            <w:vAlign w:val="bottom"/>
            <w:tcBorders>
              <w:top w:val="single" w:sz="8" w:color="auto"/>
              <w:bottom w:val="single" w:sz="8" w:color="auto"/>
            </w:tcBorders>
            <w:shd w:val="clear" w:color="auto" w:fill="98B0CF"/>
          </w:tcPr>
          <w:p>
            <w:pPr>
              <w:jc w:val="right"/>
              <w:ind w:right="450"/>
              <w:spacing w:after="0"/>
              <w:rPr>
                <w:sz w:val="20"/>
                <w:szCs w:val="20"/>
                <w:color w:val="auto"/>
              </w:rPr>
            </w:pPr>
            <w:r>
              <w:rPr>
                <w:rFonts w:ascii="Arial" w:cs="Arial" w:eastAsia="Arial" w:hAnsi="Arial"/>
                <w:sz w:val="13"/>
                <w:szCs w:val="13"/>
                <w:b w:val="1"/>
                <w:bCs w:val="1"/>
                <w:color w:val="231F20"/>
              </w:rPr>
              <w:t>2024</w:t>
            </w:r>
          </w:p>
        </w:tc>
        <w:tc>
          <w:tcPr>
            <w:tcW w:w="320" w:type="dxa"/>
            <w:vAlign w:val="bottom"/>
            <w:tcBorders>
              <w:top w:val="single" w:sz="8" w:color="auto"/>
              <w:bottom w:val="single" w:sz="8" w:color="auto"/>
            </w:tcBorders>
            <w:shd w:val="clear" w:color="auto" w:fill="98B0CF"/>
          </w:tcPr>
          <w:p>
            <w:pPr>
              <w:spacing w:after="0"/>
              <w:rPr>
                <w:sz w:val="20"/>
                <w:szCs w:val="20"/>
                <w:color w:val="auto"/>
              </w:rPr>
            </w:pPr>
          </w:p>
        </w:tc>
        <w:tc>
          <w:tcPr>
            <w:tcW w:w="880" w:type="dxa"/>
            <w:vAlign w:val="bottom"/>
            <w:tcBorders>
              <w:top w:val="single" w:sz="8" w:color="auto"/>
              <w:bottom w:val="single" w:sz="8" w:color="auto"/>
            </w:tcBorders>
            <w:shd w:val="clear" w:color="auto" w:fill="98B0CF"/>
          </w:tcPr>
          <w:p>
            <w:pPr>
              <w:jc w:val="right"/>
              <w:ind w:right="430"/>
              <w:spacing w:after="0"/>
              <w:rPr>
                <w:sz w:val="20"/>
                <w:szCs w:val="20"/>
                <w:color w:val="auto"/>
              </w:rPr>
            </w:pPr>
            <w:r>
              <w:rPr>
                <w:rFonts w:ascii="Arial" w:cs="Arial" w:eastAsia="Arial" w:hAnsi="Arial"/>
                <w:sz w:val="13"/>
                <w:szCs w:val="13"/>
                <w:b w:val="1"/>
                <w:bCs w:val="1"/>
                <w:color w:val="231F20"/>
              </w:rPr>
              <w:t>2023</w:t>
            </w:r>
          </w:p>
        </w:tc>
        <w:tc>
          <w:tcPr>
            <w:tcW w:w="300" w:type="dxa"/>
            <w:vAlign w:val="bottom"/>
            <w:tcBorders>
              <w:top w:val="single" w:sz="8" w:color="auto"/>
              <w:bottom w:val="single" w:sz="8" w:color="auto"/>
            </w:tcBorders>
            <w:shd w:val="clear" w:color="auto" w:fill="98B0CF"/>
          </w:tcPr>
          <w:p>
            <w:pPr>
              <w:spacing w:after="0"/>
              <w:rPr>
                <w:sz w:val="20"/>
                <w:szCs w:val="20"/>
                <w:color w:val="auto"/>
              </w:rPr>
            </w:pPr>
          </w:p>
        </w:tc>
        <w:tc>
          <w:tcPr>
            <w:tcW w:w="800" w:type="dxa"/>
            <w:vAlign w:val="bottom"/>
            <w:tcBorders>
              <w:top w:val="single" w:sz="8" w:color="auto"/>
              <w:bottom w:val="single" w:sz="8" w:color="auto"/>
            </w:tcBorders>
            <w:shd w:val="clear" w:color="auto" w:fill="98B0CF"/>
          </w:tcPr>
          <w:p>
            <w:pPr>
              <w:jc w:val="right"/>
              <w:ind w:right="350"/>
              <w:spacing w:after="0"/>
              <w:rPr>
                <w:sz w:val="20"/>
                <w:szCs w:val="20"/>
                <w:color w:val="auto"/>
              </w:rPr>
            </w:pPr>
            <w:r>
              <w:rPr>
                <w:rFonts w:ascii="Arial" w:cs="Arial" w:eastAsia="Arial" w:hAnsi="Arial"/>
                <w:sz w:val="13"/>
                <w:szCs w:val="13"/>
                <w:b w:val="1"/>
                <w:bCs w:val="1"/>
                <w:color w:val="231F20"/>
              </w:rPr>
              <w:t>2022</w:t>
            </w:r>
          </w:p>
        </w:tc>
      </w:tr>
      <w:tr>
        <w:trPr>
          <w:trHeight w:val="187"/>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Income tax based on statutory rate</w:t>
            </w:r>
          </w:p>
        </w:tc>
        <w:tc>
          <w:tcPr>
            <w:tcW w:w="40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w:t>
            </w:r>
          </w:p>
        </w:tc>
        <w:tc>
          <w:tcPr>
            <w:tcW w:w="90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231F20"/>
              </w:rPr>
              <w:t>53.9</w:t>
            </w:r>
          </w:p>
        </w:tc>
        <w:tc>
          <w:tcPr>
            <w:tcW w:w="320" w:type="dxa"/>
            <w:vAlign w:val="bottom"/>
            <w:shd w:val="clear" w:color="auto" w:fill="E2E8F1"/>
          </w:tcPr>
          <w:p>
            <w:pPr>
              <w:jc w:val="right"/>
              <w:ind w:right="49"/>
              <w:spacing w:after="0"/>
              <w:rPr>
                <w:sz w:val="20"/>
                <w:szCs w:val="20"/>
                <w:color w:val="auto"/>
              </w:rPr>
            </w:pPr>
            <w:r>
              <w:rPr>
                <w:rFonts w:ascii="Arial" w:cs="Arial" w:eastAsia="Arial" w:hAnsi="Arial"/>
                <w:sz w:val="14"/>
                <w:szCs w:val="14"/>
                <w:color w:val="231F20"/>
              </w:rPr>
              <w:t>$</w:t>
            </w:r>
          </w:p>
        </w:tc>
        <w:tc>
          <w:tcPr>
            <w:tcW w:w="88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231F20"/>
              </w:rPr>
              <w:t>43.2</w:t>
            </w:r>
          </w:p>
        </w:tc>
        <w:tc>
          <w:tcPr>
            <w:tcW w:w="30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w:t>
            </w:r>
          </w:p>
        </w:tc>
        <w:tc>
          <w:tcPr>
            <w:tcW w:w="8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117.0</w:t>
            </w:r>
          </w:p>
        </w:tc>
      </w:tr>
      <w:tr>
        <w:trPr>
          <w:trHeight w:val="189"/>
        </w:trPr>
        <w:tc>
          <w:tcPr>
            <w:tcW w:w="7660" w:type="dxa"/>
            <w:vAlign w:val="bottom"/>
          </w:tcPr>
          <w:p>
            <w:pPr>
              <w:ind w:left="80"/>
              <w:spacing w:after="0"/>
              <w:rPr>
                <w:sz w:val="20"/>
                <w:szCs w:val="20"/>
                <w:color w:val="auto"/>
              </w:rPr>
            </w:pPr>
            <w:r>
              <w:rPr>
                <w:rFonts w:ascii="Arial" w:cs="Arial" w:eastAsia="Arial" w:hAnsi="Arial"/>
                <w:sz w:val="14"/>
                <w:szCs w:val="14"/>
                <w:color w:val="231F20"/>
              </w:rPr>
              <w:t>Increase (decrease) resulting from:</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66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Non-United States tax rate difference:</w:t>
            </w:r>
          </w:p>
        </w:tc>
        <w:tc>
          <w:tcPr>
            <w:tcW w:w="400" w:type="dxa"/>
            <w:vAlign w:val="bottom"/>
            <w:shd w:val="clear" w:color="auto" w:fill="E2E8F1"/>
          </w:tcPr>
          <w:p>
            <w:pPr>
              <w:spacing w:after="0"/>
              <w:rPr>
                <w:sz w:val="16"/>
                <w:szCs w:val="16"/>
                <w:color w:val="auto"/>
              </w:rPr>
            </w:pPr>
          </w:p>
        </w:tc>
        <w:tc>
          <w:tcPr>
            <w:tcW w:w="9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800" w:type="dxa"/>
            <w:vAlign w:val="bottom"/>
            <w:shd w:val="clear" w:color="auto" w:fill="E2E8F1"/>
          </w:tcPr>
          <w:p>
            <w:pPr>
              <w:spacing w:after="0"/>
              <w:rPr>
                <w:sz w:val="16"/>
                <w:szCs w:val="16"/>
                <w:color w:val="auto"/>
              </w:rPr>
            </w:pPr>
          </w:p>
        </w:tc>
      </w:tr>
      <w:tr>
        <w:trPr>
          <w:trHeight w:val="189"/>
        </w:trPr>
        <w:tc>
          <w:tcPr>
            <w:tcW w:w="7660" w:type="dxa"/>
            <w:vAlign w:val="bottom"/>
          </w:tcPr>
          <w:p>
            <w:pPr>
              <w:ind w:left="400"/>
              <w:spacing w:after="0" w:line="189" w:lineRule="exact"/>
              <w:rPr>
                <w:sz w:val="20"/>
                <w:szCs w:val="20"/>
                <w:color w:val="auto"/>
              </w:rPr>
            </w:pPr>
            <w:r>
              <w:rPr>
                <w:rFonts w:ascii="Arial" w:cs="Arial" w:eastAsia="Arial" w:hAnsi="Arial"/>
                <w:sz w:val="14"/>
                <w:szCs w:val="14"/>
                <w:color w:val="231F20"/>
              </w:rPr>
              <w:t>French business tax</w:t>
            </w:r>
            <w:r>
              <w:rPr>
                <w:rFonts w:ascii="Arial" w:cs="Arial" w:eastAsia="Arial" w:hAnsi="Arial"/>
                <w:sz w:val="19"/>
                <w:szCs w:val="19"/>
                <w:color w:val="231F20"/>
                <w:vertAlign w:val="superscript"/>
              </w:rPr>
              <w:t>(a)</w:t>
            </w:r>
          </w:p>
        </w:tc>
        <w:tc>
          <w:tcPr>
            <w:tcW w:w="400" w:type="dxa"/>
            <w:vAlign w:val="bottom"/>
          </w:tcPr>
          <w:p>
            <w:pPr>
              <w:spacing w:after="0"/>
              <w:rPr>
                <w:sz w:val="16"/>
                <w:szCs w:val="16"/>
                <w:color w:val="auto"/>
              </w:rPr>
            </w:pPr>
          </w:p>
        </w:tc>
        <w:tc>
          <w:tcPr>
            <w:tcW w:w="900" w:type="dxa"/>
            <w:vAlign w:val="bottom"/>
          </w:tcPr>
          <w:p>
            <w:pPr>
              <w:jc w:val="right"/>
              <w:ind w:right="150"/>
              <w:spacing w:after="0"/>
              <w:rPr>
                <w:sz w:val="20"/>
                <w:szCs w:val="20"/>
                <w:color w:val="auto"/>
              </w:rPr>
            </w:pPr>
            <w:r>
              <w:rPr>
                <w:rFonts w:ascii="Arial" w:cs="Arial" w:eastAsia="Arial" w:hAnsi="Arial"/>
                <w:sz w:val="14"/>
                <w:szCs w:val="14"/>
                <w:color w:val="231F20"/>
              </w:rPr>
              <w:t>9.2</w:t>
            </w:r>
          </w:p>
        </w:tc>
        <w:tc>
          <w:tcPr>
            <w:tcW w:w="320" w:type="dxa"/>
            <w:vAlign w:val="bottom"/>
          </w:tcPr>
          <w:p>
            <w:pPr>
              <w:spacing w:after="0"/>
              <w:rPr>
                <w:sz w:val="16"/>
                <w:szCs w:val="16"/>
                <w:color w:val="auto"/>
              </w:rPr>
            </w:pPr>
          </w:p>
        </w:tc>
        <w:tc>
          <w:tcPr>
            <w:tcW w:w="880" w:type="dxa"/>
            <w:vAlign w:val="bottom"/>
          </w:tcPr>
          <w:p>
            <w:pPr>
              <w:jc w:val="right"/>
              <w:ind w:right="130"/>
              <w:spacing w:after="0"/>
              <w:rPr>
                <w:sz w:val="20"/>
                <w:szCs w:val="20"/>
                <w:color w:val="auto"/>
              </w:rPr>
            </w:pPr>
            <w:r>
              <w:rPr>
                <w:rFonts w:ascii="Arial" w:cs="Arial" w:eastAsia="Arial" w:hAnsi="Arial"/>
                <w:sz w:val="14"/>
                <w:szCs w:val="14"/>
                <w:color w:val="231F20"/>
              </w:rPr>
              <w:t>13.0</w:t>
            </w:r>
          </w:p>
        </w:tc>
        <w:tc>
          <w:tcPr>
            <w:tcW w:w="30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231F20"/>
              </w:rPr>
              <w:t>24.6</w:t>
            </w:r>
          </w:p>
        </w:tc>
      </w:tr>
      <w:tr>
        <w:trPr>
          <w:trHeight w:val="189"/>
        </w:trPr>
        <w:tc>
          <w:tcPr>
            <w:tcW w:w="7660" w:type="dxa"/>
            <w:vAlign w:val="bottom"/>
            <w:shd w:val="clear" w:color="auto" w:fill="E2E8F1"/>
          </w:tcPr>
          <w:p>
            <w:pPr>
              <w:ind w:left="400"/>
              <w:spacing w:after="0" w:line="189" w:lineRule="exact"/>
              <w:rPr>
                <w:sz w:val="20"/>
                <w:szCs w:val="20"/>
                <w:color w:val="auto"/>
              </w:rPr>
            </w:pPr>
            <w:r>
              <w:rPr>
                <w:rFonts w:ascii="Arial" w:cs="Arial" w:eastAsia="Arial" w:hAnsi="Arial"/>
                <w:sz w:val="14"/>
                <w:szCs w:val="14"/>
                <w:color w:val="231F20"/>
              </w:rPr>
              <w:t>Other</w:t>
            </w:r>
            <w:r>
              <w:rPr>
                <w:rFonts w:ascii="Arial" w:cs="Arial" w:eastAsia="Arial" w:hAnsi="Arial"/>
                <w:sz w:val="19"/>
                <w:szCs w:val="19"/>
                <w:color w:val="231F20"/>
                <w:vertAlign w:val="superscript"/>
              </w:rPr>
              <w:t>(b)</w:t>
            </w:r>
          </w:p>
        </w:tc>
        <w:tc>
          <w:tcPr>
            <w:tcW w:w="40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231F20"/>
              </w:rPr>
              <w:t>18.0</w:t>
            </w:r>
          </w:p>
        </w:tc>
        <w:tc>
          <w:tcPr>
            <w:tcW w:w="32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231F20"/>
              </w:rPr>
              <w:t>10.4</w:t>
            </w:r>
          </w:p>
        </w:tc>
        <w:tc>
          <w:tcPr>
            <w:tcW w:w="300" w:type="dxa"/>
            <w:vAlign w:val="bottom"/>
            <w:shd w:val="clear" w:color="auto" w:fill="E2E8F1"/>
          </w:tcPr>
          <w:p>
            <w:pPr>
              <w:spacing w:after="0"/>
              <w:rPr>
                <w:sz w:val="16"/>
                <w:szCs w:val="16"/>
                <w:color w:val="auto"/>
              </w:rPr>
            </w:pPr>
          </w:p>
        </w:tc>
        <w:tc>
          <w:tcPr>
            <w:tcW w:w="8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15.2</w:t>
            </w:r>
          </w:p>
        </w:tc>
      </w:tr>
      <w:tr>
        <w:trPr>
          <w:trHeight w:val="189"/>
        </w:trPr>
        <w:tc>
          <w:tcPr>
            <w:tcW w:w="7660" w:type="dxa"/>
            <w:vAlign w:val="bottom"/>
          </w:tcPr>
          <w:p>
            <w:pPr>
              <w:ind w:left="240"/>
              <w:spacing w:after="0"/>
              <w:rPr>
                <w:sz w:val="20"/>
                <w:szCs w:val="20"/>
                <w:color w:val="auto"/>
              </w:rPr>
            </w:pPr>
            <w:r>
              <w:rPr>
                <w:rFonts w:ascii="Arial" w:cs="Arial" w:eastAsia="Arial" w:hAnsi="Arial"/>
                <w:sz w:val="14"/>
                <w:szCs w:val="14"/>
                <w:color w:val="231F20"/>
              </w:rPr>
              <w:t>Repatriation of non-United States earnings</w:t>
            </w:r>
          </w:p>
        </w:tc>
        <w:tc>
          <w:tcPr>
            <w:tcW w:w="40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231F20"/>
              </w:rPr>
              <w:t>(5.8 )</w:t>
            </w:r>
          </w:p>
        </w:tc>
        <w:tc>
          <w:tcPr>
            <w:tcW w:w="320" w:type="dxa"/>
            <w:vAlign w:val="bottom"/>
          </w:tcPr>
          <w:p>
            <w:pPr>
              <w:spacing w:after="0"/>
              <w:rPr>
                <w:sz w:val="16"/>
                <w:szCs w:val="16"/>
                <w:color w:val="auto"/>
              </w:rPr>
            </w:pPr>
          </w:p>
        </w:tc>
        <w:tc>
          <w:tcPr>
            <w:tcW w:w="880" w:type="dxa"/>
            <w:vAlign w:val="bottom"/>
          </w:tcPr>
          <w:p>
            <w:pPr>
              <w:jc w:val="right"/>
              <w:ind w:right="130"/>
              <w:spacing w:after="0"/>
              <w:rPr>
                <w:sz w:val="20"/>
                <w:szCs w:val="20"/>
                <w:color w:val="auto"/>
              </w:rPr>
            </w:pPr>
            <w:r>
              <w:rPr>
                <w:rFonts w:ascii="Arial" w:cs="Arial" w:eastAsia="Arial" w:hAnsi="Arial"/>
                <w:sz w:val="14"/>
                <w:szCs w:val="14"/>
                <w:color w:val="231F20"/>
              </w:rPr>
              <w:t>4.6</w:t>
            </w:r>
          </w:p>
        </w:tc>
        <w:tc>
          <w:tcPr>
            <w:tcW w:w="30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231F20"/>
              </w:rPr>
              <w:t>10.7</w:t>
            </w:r>
          </w:p>
        </w:tc>
      </w:tr>
      <w:tr>
        <w:trPr>
          <w:trHeight w:val="189"/>
        </w:trPr>
        <w:tc>
          <w:tcPr>
            <w:tcW w:w="766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State income taxes, net of federal benefit</w:t>
            </w:r>
          </w:p>
        </w:tc>
        <w:tc>
          <w:tcPr>
            <w:tcW w:w="40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231F20"/>
              </w:rPr>
              <w:t>3.6</w:t>
            </w:r>
          </w:p>
        </w:tc>
        <w:tc>
          <w:tcPr>
            <w:tcW w:w="32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231F20"/>
              </w:rPr>
              <w:t>2.0</w:t>
            </w:r>
          </w:p>
        </w:tc>
        <w:tc>
          <w:tcPr>
            <w:tcW w:w="300" w:type="dxa"/>
            <w:vAlign w:val="bottom"/>
            <w:shd w:val="clear" w:color="auto" w:fill="E2E8F1"/>
          </w:tcPr>
          <w:p>
            <w:pPr>
              <w:spacing w:after="0"/>
              <w:rPr>
                <w:sz w:val="16"/>
                <w:szCs w:val="16"/>
                <w:color w:val="auto"/>
              </w:rPr>
            </w:pPr>
          </w:p>
        </w:tc>
        <w:tc>
          <w:tcPr>
            <w:tcW w:w="8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5.5</w:t>
            </w:r>
          </w:p>
        </w:tc>
      </w:tr>
      <w:tr>
        <w:trPr>
          <w:trHeight w:val="189"/>
        </w:trPr>
        <w:tc>
          <w:tcPr>
            <w:tcW w:w="7660" w:type="dxa"/>
            <w:vAlign w:val="bottom"/>
          </w:tcPr>
          <w:p>
            <w:pPr>
              <w:ind w:left="240"/>
              <w:spacing w:after="0" w:line="189" w:lineRule="exact"/>
              <w:rPr>
                <w:sz w:val="20"/>
                <w:szCs w:val="20"/>
                <w:color w:val="auto"/>
              </w:rPr>
            </w:pPr>
            <w:r>
              <w:rPr>
                <w:rFonts w:ascii="Arial" w:cs="Arial" w:eastAsia="Arial" w:hAnsi="Arial"/>
                <w:sz w:val="14"/>
                <w:szCs w:val="14"/>
                <w:color w:val="231F20"/>
              </w:rPr>
              <w:t>Change in valuation allowance</w:t>
            </w:r>
            <w:r>
              <w:rPr>
                <w:rFonts w:ascii="Arial" w:cs="Arial" w:eastAsia="Arial" w:hAnsi="Arial"/>
                <w:sz w:val="19"/>
                <w:szCs w:val="19"/>
                <w:color w:val="231F20"/>
                <w:vertAlign w:val="superscript"/>
              </w:rPr>
              <w:t>(c)</w:t>
            </w:r>
          </w:p>
        </w:tc>
        <w:tc>
          <w:tcPr>
            <w:tcW w:w="400" w:type="dxa"/>
            <w:vAlign w:val="bottom"/>
          </w:tcPr>
          <w:p>
            <w:pPr>
              <w:spacing w:after="0"/>
              <w:rPr>
                <w:sz w:val="16"/>
                <w:szCs w:val="16"/>
                <w:color w:val="auto"/>
              </w:rPr>
            </w:pPr>
          </w:p>
        </w:tc>
        <w:tc>
          <w:tcPr>
            <w:tcW w:w="900" w:type="dxa"/>
            <w:vAlign w:val="bottom"/>
          </w:tcPr>
          <w:p>
            <w:pPr>
              <w:jc w:val="right"/>
              <w:ind w:right="150"/>
              <w:spacing w:after="0"/>
              <w:rPr>
                <w:sz w:val="20"/>
                <w:szCs w:val="20"/>
                <w:color w:val="auto"/>
              </w:rPr>
            </w:pPr>
            <w:r>
              <w:rPr>
                <w:rFonts w:ascii="Arial" w:cs="Arial" w:eastAsia="Arial" w:hAnsi="Arial"/>
                <w:sz w:val="14"/>
                <w:szCs w:val="14"/>
                <w:color w:val="231F20"/>
              </w:rPr>
              <w:t>34.1</w:t>
            </w:r>
          </w:p>
        </w:tc>
        <w:tc>
          <w:tcPr>
            <w:tcW w:w="320" w:type="dxa"/>
            <w:vAlign w:val="bottom"/>
          </w:tcPr>
          <w:p>
            <w:pPr>
              <w:spacing w:after="0"/>
              <w:rPr>
                <w:sz w:val="16"/>
                <w:szCs w:val="16"/>
                <w:color w:val="auto"/>
              </w:rPr>
            </w:pPr>
          </w:p>
        </w:tc>
        <w:tc>
          <w:tcPr>
            <w:tcW w:w="880" w:type="dxa"/>
            <w:vAlign w:val="bottom"/>
          </w:tcPr>
          <w:p>
            <w:pPr>
              <w:jc w:val="right"/>
              <w:ind w:right="130"/>
              <w:spacing w:after="0"/>
              <w:rPr>
                <w:sz w:val="20"/>
                <w:szCs w:val="20"/>
                <w:color w:val="auto"/>
              </w:rPr>
            </w:pPr>
            <w:r>
              <w:rPr>
                <w:rFonts w:ascii="Arial" w:cs="Arial" w:eastAsia="Arial" w:hAnsi="Arial"/>
                <w:sz w:val="14"/>
                <w:szCs w:val="14"/>
                <w:color w:val="231F20"/>
              </w:rPr>
              <w:t>53.5</w:t>
            </w:r>
          </w:p>
        </w:tc>
        <w:tc>
          <w:tcPr>
            <w:tcW w:w="30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231F20"/>
              </w:rPr>
              <w:t>13.7</w:t>
            </w:r>
          </w:p>
        </w:tc>
      </w:tr>
      <w:tr>
        <w:trPr>
          <w:trHeight w:val="189"/>
        </w:trPr>
        <w:tc>
          <w:tcPr>
            <w:tcW w:w="7660" w:type="dxa"/>
            <w:vAlign w:val="bottom"/>
            <w:shd w:val="clear" w:color="auto" w:fill="E2E8F1"/>
          </w:tcPr>
          <w:p>
            <w:pPr>
              <w:ind w:left="240"/>
              <w:spacing w:after="0" w:line="189" w:lineRule="exact"/>
              <w:rPr>
                <w:sz w:val="20"/>
                <w:szCs w:val="20"/>
                <w:color w:val="auto"/>
              </w:rPr>
            </w:pPr>
            <w:r>
              <w:rPr>
                <w:rFonts w:ascii="Arial" w:cs="Arial" w:eastAsia="Arial" w:hAnsi="Arial"/>
                <w:sz w:val="14"/>
                <w:szCs w:val="14"/>
                <w:color w:val="231F20"/>
              </w:rPr>
              <w:t>Work Opportunity Tax Credit</w:t>
            </w:r>
            <w:r>
              <w:rPr>
                <w:rFonts w:ascii="Arial" w:cs="Arial" w:eastAsia="Arial" w:hAnsi="Arial"/>
                <w:sz w:val="19"/>
                <w:szCs w:val="19"/>
                <w:color w:val="231F20"/>
                <w:vertAlign w:val="superscript"/>
              </w:rPr>
              <w:t>(d)</w:t>
            </w:r>
          </w:p>
        </w:tc>
        <w:tc>
          <w:tcPr>
            <w:tcW w:w="40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(4.6 )</w:t>
            </w:r>
          </w:p>
        </w:tc>
        <w:tc>
          <w:tcPr>
            <w:tcW w:w="32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231F20"/>
              </w:rPr>
              <w:t>(5.6 )</w:t>
            </w:r>
          </w:p>
        </w:tc>
        <w:tc>
          <w:tcPr>
            <w:tcW w:w="300" w:type="dxa"/>
            <w:vAlign w:val="bottom"/>
            <w:shd w:val="clear" w:color="auto" w:fill="E2E8F1"/>
          </w:tcPr>
          <w:p>
            <w:pPr>
              <w:spacing w:after="0"/>
              <w:rPr>
                <w:sz w:val="16"/>
                <w:szCs w:val="16"/>
                <w:color w:val="auto"/>
              </w:rPr>
            </w:pPr>
          </w:p>
        </w:tc>
        <w:tc>
          <w:tcPr>
            <w:tcW w:w="80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(14.4 )</w:t>
            </w:r>
          </w:p>
        </w:tc>
      </w:tr>
      <w:tr>
        <w:trPr>
          <w:trHeight w:val="189"/>
        </w:trPr>
        <w:tc>
          <w:tcPr>
            <w:tcW w:w="7660" w:type="dxa"/>
            <w:vAlign w:val="bottom"/>
          </w:tcPr>
          <w:p>
            <w:pPr>
              <w:ind w:left="240"/>
              <w:spacing w:after="0"/>
              <w:rPr>
                <w:sz w:val="20"/>
                <w:szCs w:val="20"/>
                <w:color w:val="auto"/>
              </w:rPr>
            </w:pPr>
            <w:r>
              <w:rPr>
                <w:rFonts w:ascii="Arial" w:cs="Arial" w:eastAsia="Arial" w:hAnsi="Arial"/>
                <w:sz w:val="14"/>
                <w:szCs w:val="14"/>
                <w:color w:val="231F20"/>
              </w:rPr>
              <w:t>Foreign-Derived Intangible Income deduction</w:t>
            </w:r>
          </w:p>
        </w:tc>
        <w:tc>
          <w:tcPr>
            <w:tcW w:w="40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231F20"/>
              </w:rPr>
              <w:t>(3.6 )</w:t>
            </w:r>
          </w:p>
        </w:tc>
        <w:tc>
          <w:tcPr>
            <w:tcW w:w="320" w:type="dxa"/>
            <w:vAlign w:val="bottom"/>
          </w:tcPr>
          <w:p>
            <w:pPr>
              <w:spacing w:after="0"/>
              <w:rPr>
                <w:sz w:val="16"/>
                <w:szCs w:val="16"/>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231F20"/>
              </w:rPr>
              <w:t>(7.2 )</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231F20"/>
              </w:rPr>
              <w:t>(9.6 )</w:t>
            </w:r>
          </w:p>
        </w:tc>
      </w:tr>
      <w:tr>
        <w:trPr>
          <w:trHeight w:val="189"/>
        </w:trPr>
        <w:tc>
          <w:tcPr>
            <w:tcW w:w="7660" w:type="dxa"/>
            <w:vAlign w:val="bottom"/>
            <w:shd w:val="clear" w:color="auto" w:fill="E2E8F1"/>
          </w:tcPr>
          <w:p>
            <w:pPr>
              <w:ind w:left="240"/>
              <w:spacing w:after="0" w:line="189" w:lineRule="exact"/>
              <w:rPr>
                <w:sz w:val="20"/>
                <w:szCs w:val="20"/>
                <w:color w:val="auto"/>
              </w:rPr>
            </w:pPr>
            <w:r>
              <w:rPr>
                <w:rFonts w:ascii="Arial" w:cs="Arial" w:eastAsia="Arial" w:hAnsi="Arial"/>
                <w:sz w:val="14"/>
                <w:szCs w:val="14"/>
                <w:color w:val="231F20"/>
              </w:rPr>
              <w:t>Goodwill impairment</w:t>
            </w:r>
            <w:r>
              <w:rPr>
                <w:rFonts w:ascii="Arial" w:cs="Arial" w:eastAsia="Arial" w:hAnsi="Arial"/>
                <w:sz w:val="19"/>
                <w:szCs w:val="19"/>
                <w:color w:val="231F20"/>
                <w:vertAlign w:val="superscript"/>
              </w:rPr>
              <w:t>(e)</w:t>
            </w:r>
          </w:p>
        </w:tc>
        <w:tc>
          <w:tcPr>
            <w:tcW w:w="40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231F20"/>
              </w:rPr>
              <w:t>—</w:t>
            </w:r>
          </w:p>
        </w:tc>
        <w:tc>
          <w:tcPr>
            <w:tcW w:w="32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231F20"/>
              </w:rPr>
              <w:t>10.9</w:t>
            </w:r>
          </w:p>
        </w:tc>
        <w:tc>
          <w:tcPr>
            <w:tcW w:w="300" w:type="dxa"/>
            <w:vAlign w:val="bottom"/>
            <w:shd w:val="clear" w:color="auto" w:fill="E2E8F1"/>
          </w:tcPr>
          <w:p>
            <w:pPr>
              <w:spacing w:after="0"/>
              <w:rPr>
                <w:sz w:val="16"/>
                <w:szCs w:val="16"/>
                <w:color w:val="auto"/>
              </w:rPr>
            </w:pPr>
          </w:p>
        </w:tc>
        <w:tc>
          <w:tcPr>
            <w:tcW w:w="8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8.9</w:t>
            </w:r>
          </w:p>
        </w:tc>
      </w:tr>
      <w:tr>
        <w:trPr>
          <w:trHeight w:val="189"/>
        </w:trPr>
        <w:tc>
          <w:tcPr>
            <w:tcW w:w="7660" w:type="dxa"/>
            <w:vAlign w:val="bottom"/>
          </w:tcPr>
          <w:p>
            <w:pPr>
              <w:ind w:left="240"/>
              <w:spacing w:after="0" w:line="189" w:lineRule="exact"/>
              <w:rPr>
                <w:sz w:val="20"/>
                <w:szCs w:val="20"/>
                <w:color w:val="auto"/>
              </w:rPr>
            </w:pPr>
            <w:r>
              <w:rPr>
                <w:rFonts w:ascii="Arial" w:cs="Arial" w:eastAsia="Arial" w:hAnsi="Arial"/>
                <w:sz w:val="14"/>
                <w:szCs w:val="14"/>
                <w:color w:val="231F20"/>
              </w:rPr>
              <w:t>Change in unrecognized tax benefits</w:t>
            </w:r>
            <w:r>
              <w:rPr>
                <w:rFonts w:ascii="Arial" w:cs="Arial" w:eastAsia="Arial" w:hAnsi="Arial"/>
                <w:sz w:val="19"/>
                <w:szCs w:val="19"/>
                <w:color w:val="231F20"/>
                <w:vertAlign w:val="superscript"/>
              </w:rPr>
              <w:t>(f)</w:t>
            </w:r>
          </w:p>
        </w:tc>
        <w:tc>
          <w:tcPr>
            <w:tcW w:w="40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231F20"/>
              </w:rPr>
              <w:t>(0.3 )</w:t>
            </w:r>
          </w:p>
        </w:tc>
        <w:tc>
          <w:tcPr>
            <w:tcW w:w="320" w:type="dxa"/>
            <w:vAlign w:val="bottom"/>
          </w:tcPr>
          <w:p>
            <w:pPr>
              <w:spacing w:after="0"/>
              <w:rPr>
                <w:sz w:val="16"/>
                <w:szCs w:val="16"/>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231F20"/>
              </w:rPr>
              <w:t>(14.4 )</w:t>
            </w:r>
          </w:p>
        </w:tc>
        <w:tc>
          <w:tcPr>
            <w:tcW w:w="30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231F20"/>
              </w:rPr>
              <w:t>4.2</w:t>
            </w:r>
          </w:p>
        </w:tc>
      </w:tr>
      <w:tr>
        <w:trPr>
          <w:trHeight w:val="189"/>
        </w:trPr>
        <w:tc>
          <w:tcPr>
            <w:tcW w:w="7660" w:type="dxa"/>
            <w:vAlign w:val="bottom"/>
            <w:tcBorders>
              <w:bottom w:val="single" w:sz="8" w:color="auto"/>
            </w:tcBorders>
            <w:shd w:val="clear" w:color="auto" w:fill="E2E8F1"/>
          </w:tcPr>
          <w:p>
            <w:pPr>
              <w:ind w:left="240"/>
              <w:spacing w:after="0"/>
              <w:rPr>
                <w:sz w:val="20"/>
                <w:szCs w:val="20"/>
                <w:color w:val="auto"/>
              </w:rPr>
            </w:pPr>
            <w:r>
              <w:rPr>
                <w:rFonts w:ascii="Arial" w:cs="Arial" w:eastAsia="Arial" w:hAnsi="Arial"/>
                <w:sz w:val="14"/>
                <w:szCs w:val="14"/>
                <w:color w:val="231F20"/>
              </w:rPr>
              <w:t>Other, net</w:t>
            </w:r>
          </w:p>
        </w:tc>
        <w:tc>
          <w:tcPr>
            <w:tcW w:w="400" w:type="dxa"/>
            <w:vAlign w:val="bottom"/>
            <w:tcBorders>
              <w:bottom w:val="single" w:sz="8" w:color="auto"/>
            </w:tcBorders>
            <w:shd w:val="clear" w:color="auto" w:fill="E2E8F1"/>
          </w:tcPr>
          <w:p>
            <w:pPr>
              <w:spacing w:after="0"/>
              <w:rPr>
                <w:sz w:val="16"/>
                <w:szCs w:val="16"/>
                <w:color w:val="auto"/>
              </w:rPr>
            </w:pPr>
          </w:p>
        </w:tc>
        <w:tc>
          <w:tcPr>
            <w:tcW w:w="900" w:type="dxa"/>
            <w:vAlign w:val="bottom"/>
            <w:tcBorders>
              <w:bottom w:val="single" w:sz="8" w:color="auto"/>
            </w:tcBorders>
            <w:shd w:val="clear" w:color="auto" w:fill="E2E8F1"/>
          </w:tcPr>
          <w:p>
            <w:pPr>
              <w:jc w:val="right"/>
              <w:ind w:right="150"/>
              <w:spacing w:after="0"/>
              <w:rPr>
                <w:sz w:val="20"/>
                <w:szCs w:val="20"/>
                <w:color w:val="auto"/>
              </w:rPr>
            </w:pPr>
            <w:r>
              <w:rPr>
                <w:rFonts w:ascii="Arial" w:cs="Arial" w:eastAsia="Arial" w:hAnsi="Arial"/>
                <w:sz w:val="14"/>
                <w:szCs w:val="14"/>
                <w:color w:val="231F20"/>
              </w:rPr>
              <w:t>7.2</w:t>
            </w:r>
          </w:p>
        </w:tc>
        <w:tc>
          <w:tcPr>
            <w:tcW w:w="32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jc w:val="right"/>
              <w:ind w:right="130"/>
              <w:spacing w:after="0"/>
              <w:rPr>
                <w:sz w:val="20"/>
                <w:szCs w:val="20"/>
                <w:color w:val="auto"/>
              </w:rPr>
            </w:pPr>
            <w:r>
              <w:rPr>
                <w:rFonts w:ascii="Arial" w:cs="Arial" w:eastAsia="Arial" w:hAnsi="Arial"/>
                <w:sz w:val="14"/>
                <w:szCs w:val="14"/>
                <w:color w:val="231F20"/>
              </w:rPr>
              <w:t>6.7</w:t>
            </w:r>
          </w:p>
        </w:tc>
        <w:tc>
          <w:tcPr>
            <w:tcW w:w="300" w:type="dxa"/>
            <w:vAlign w:val="bottom"/>
            <w:tcBorders>
              <w:bottom w:val="single" w:sz="8" w:color="auto"/>
            </w:tcBorders>
            <w:shd w:val="clear" w:color="auto" w:fill="E2E8F1"/>
          </w:tcPr>
          <w:p>
            <w:pPr>
              <w:spacing w:after="0"/>
              <w:rPr>
                <w:sz w:val="16"/>
                <w:szCs w:val="16"/>
                <w:color w:val="auto"/>
              </w:rPr>
            </w:pPr>
          </w:p>
        </w:tc>
        <w:tc>
          <w:tcPr>
            <w:tcW w:w="80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231F20"/>
              </w:rPr>
              <w:t>7.5</w:t>
            </w:r>
          </w:p>
        </w:tc>
      </w:tr>
      <w:tr>
        <w:trPr>
          <w:trHeight w:val="181"/>
        </w:trPr>
        <w:tc>
          <w:tcPr>
            <w:tcW w:w="76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231F20"/>
              </w:rPr>
              <w:t>Tax provision</w:t>
            </w:r>
          </w:p>
        </w:tc>
        <w:tc>
          <w:tcPr>
            <w:tcW w:w="4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231F20"/>
              </w:rPr>
              <w:t>$</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231F20"/>
              </w:rPr>
              <w:t>111.7</w:t>
            </w:r>
          </w:p>
        </w:tc>
        <w:tc>
          <w:tcPr>
            <w:tcW w:w="3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231F20"/>
              </w:rPr>
              <w:t>117.1</w:t>
            </w:r>
          </w:p>
        </w:tc>
        <w:tc>
          <w:tcPr>
            <w:tcW w:w="3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231F20"/>
              </w:rPr>
              <w:t>$</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231F20"/>
              </w:rPr>
              <w:t>183.3</w:t>
            </w:r>
          </w:p>
        </w:tc>
      </w:tr>
    </w:tbl>
    <w:p>
      <w:pPr>
        <w:spacing w:after="0" w:line="99" w:lineRule="exact"/>
        <w:rPr>
          <w:sz w:val="20"/>
          <w:szCs w:val="20"/>
          <w:color w:val="auto"/>
        </w:rPr>
      </w:pPr>
    </w:p>
    <w:p>
      <w:pPr>
        <w:jc w:val="both"/>
        <w:ind w:left="365" w:hanging="365"/>
        <w:spacing w:after="0" w:line="218" w:lineRule="auto"/>
        <w:tabs>
          <w:tab w:leader="none" w:pos="365" w:val="left"/>
        </w:tabs>
        <w:numPr>
          <w:ilvl w:val="0"/>
          <w:numId w:val="44"/>
        </w:numPr>
        <w:rPr>
          <w:rFonts w:ascii="Arial" w:cs="Arial" w:eastAsia="Arial" w:hAnsi="Arial"/>
          <w:sz w:val="17"/>
          <w:szCs w:val="17"/>
          <w:color w:val="231F20"/>
          <w:vertAlign w:val="superscript"/>
        </w:rPr>
      </w:pPr>
      <w:r>
        <w:rPr>
          <w:rFonts w:ascii="Arial" w:cs="Arial" w:eastAsia="Arial" w:hAnsi="Arial"/>
          <w:sz w:val="13"/>
          <w:szCs w:val="13"/>
          <w:color w:val="231F20"/>
        </w:rPr>
        <w:t>The French business tax is allowed as a deduction for French income tax purposes. The gross amount of the French business tax was $11.7, $16.4 and $31.2 for 2024, 2023, and 2022 respectively. The amounts in the table above of $9.2, $13.0 and $24.6 for 2024, 2023, and 2022, respectively, represent the French business tax expense net of the French tax benefit using the United States federal rate of 21%. In December 2023, the French Parliament approved the Finance Bill for 2024 which reversed the scheduled elimination of the business tax in 2024 and replaced it with a gradual reduction of the tax rate (i.e., 0.28% in 2024, 0.19% in 2025, 0.09% in 2026) before eliminating altogether in 2027. Recent proposals have called for a delay in the gradual reduction of the French business tax, which could defer the scheduled reductions to future years.</w:t>
      </w:r>
    </w:p>
    <w:p>
      <w:pPr>
        <w:jc w:val="both"/>
        <w:ind w:left="365" w:hanging="365"/>
        <w:spacing w:after="0" w:line="212" w:lineRule="auto"/>
        <w:tabs>
          <w:tab w:leader="none" w:pos="365" w:val="left"/>
        </w:tabs>
        <w:numPr>
          <w:ilvl w:val="0"/>
          <w:numId w:val="44"/>
        </w:numPr>
        <w:rPr>
          <w:rFonts w:ascii="Arial" w:cs="Arial" w:eastAsia="Arial" w:hAnsi="Arial"/>
          <w:sz w:val="17"/>
          <w:szCs w:val="17"/>
          <w:color w:val="231F20"/>
          <w:vertAlign w:val="superscript"/>
        </w:rPr>
      </w:pPr>
      <w:r>
        <w:rPr>
          <w:rFonts w:ascii="Arial" w:cs="Arial" w:eastAsia="Arial" w:hAnsi="Arial"/>
          <w:sz w:val="13"/>
          <w:szCs w:val="13"/>
          <w:color w:val="231F20"/>
        </w:rPr>
        <w:t>Included in Other Non-United States tax rate differences is the impact of all Non-United States pre-tax earnings and permanent tax differences at the local statutory tax rate versus the United States federal rate of 21%. This includes benefits of $0.6, $0.8 and $1.5 for 2024, 2023 and 2022, respectively, related to the difference between the United States federal rate and the French tax rate applied to the respective gross amounts of the French business tax deduction previously mentioned.</w:t>
      </w:r>
    </w:p>
    <w:p>
      <w:pPr>
        <w:spacing w:after="0" w:line="1" w:lineRule="exact"/>
        <w:rPr>
          <w:rFonts w:ascii="Arial" w:cs="Arial" w:eastAsia="Arial" w:hAnsi="Arial"/>
          <w:sz w:val="17"/>
          <w:szCs w:val="17"/>
          <w:color w:val="231F20"/>
          <w:vertAlign w:val="superscript"/>
        </w:rPr>
      </w:pPr>
    </w:p>
    <w:p>
      <w:pPr>
        <w:ind w:left="365" w:hanging="365"/>
        <w:spacing w:after="0" w:line="217" w:lineRule="auto"/>
        <w:tabs>
          <w:tab w:leader="none" w:pos="365" w:val="left"/>
        </w:tabs>
        <w:numPr>
          <w:ilvl w:val="0"/>
          <w:numId w:val="44"/>
        </w:numPr>
        <w:rPr>
          <w:rFonts w:ascii="Arial" w:cs="Arial" w:eastAsia="Arial" w:hAnsi="Arial"/>
          <w:sz w:val="17"/>
          <w:szCs w:val="17"/>
          <w:color w:val="231F20"/>
          <w:vertAlign w:val="superscript"/>
        </w:rPr>
      </w:pPr>
      <w:r>
        <w:rPr>
          <w:rFonts w:ascii="Arial" w:cs="Arial" w:eastAsia="Arial" w:hAnsi="Arial"/>
          <w:sz w:val="13"/>
          <w:szCs w:val="13"/>
          <w:color w:val="231F20"/>
        </w:rPr>
        <w:t>Losses incurred in 2024, 2023 and 2022 in Germany resulted in an increase in valuation allowance of $16.1, $46.3 and $13.5, respectively.</w:t>
      </w:r>
    </w:p>
    <w:p>
      <w:pPr>
        <w:spacing w:after="0" w:line="12" w:lineRule="exact"/>
        <w:rPr>
          <w:rFonts w:ascii="Arial" w:cs="Arial" w:eastAsia="Arial" w:hAnsi="Arial"/>
          <w:sz w:val="17"/>
          <w:szCs w:val="17"/>
          <w:color w:val="231F20"/>
          <w:vertAlign w:val="superscript"/>
        </w:rPr>
      </w:pPr>
    </w:p>
    <w:p>
      <w:pPr>
        <w:ind w:left="365" w:hanging="365"/>
        <w:spacing w:after="0" w:line="189" w:lineRule="auto"/>
        <w:tabs>
          <w:tab w:leader="none" w:pos="365" w:val="left"/>
        </w:tabs>
        <w:numPr>
          <w:ilvl w:val="0"/>
          <w:numId w:val="44"/>
        </w:numPr>
        <w:rPr>
          <w:rFonts w:ascii="Arial" w:cs="Arial" w:eastAsia="Arial" w:hAnsi="Arial"/>
          <w:sz w:val="17"/>
          <w:szCs w:val="17"/>
          <w:color w:val="231F20"/>
          <w:vertAlign w:val="superscript"/>
        </w:rPr>
      </w:pPr>
      <w:r>
        <w:rPr>
          <w:rFonts w:ascii="Arial" w:cs="Arial" w:eastAsia="Arial" w:hAnsi="Arial"/>
          <w:sz w:val="13"/>
          <w:szCs w:val="13"/>
          <w:color w:val="231F20"/>
        </w:rPr>
        <w:t>The Work Opportunity Tax Credit is currently authorized until December 31, 2025.</w:t>
      </w:r>
    </w:p>
    <w:p>
      <w:pPr>
        <w:spacing w:after="0" w:line="23" w:lineRule="exact"/>
        <w:rPr>
          <w:rFonts w:ascii="Arial" w:cs="Arial" w:eastAsia="Arial" w:hAnsi="Arial"/>
          <w:sz w:val="17"/>
          <w:szCs w:val="17"/>
          <w:color w:val="231F20"/>
          <w:vertAlign w:val="superscript"/>
        </w:rPr>
      </w:pPr>
    </w:p>
    <w:p>
      <w:pPr>
        <w:ind w:left="365" w:hanging="365"/>
        <w:spacing w:after="0" w:line="189" w:lineRule="auto"/>
        <w:tabs>
          <w:tab w:leader="none" w:pos="365" w:val="left"/>
        </w:tabs>
        <w:numPr>
          <w:ilvl w:val="0"/>
          <w:numId w:val="44"/>
        </w:numPr>
        <w:rPr>
          <w:rFonts w:ascii="Arial" w:cs="Arial" w:eastAsia="Arial" w:hAnsi="Arial"/>
          <w:sz w:val="17"/>
          <w:szCs w:val="17"/>
          <w:color w:val="231F20"/>
          <w:vertAlign w:val="superscript"/>
        </w:rPr>
      </w:pPr>
      <w:r>
        <w:rPr>
          <w:rFonts w:ascii="Arial" w:cs="Arial" w:eastAsia="Arial" w:hAnsi="Arial"/>
          <w:sz w:val="13"/>
          <w:szCs w:val="13"/>
          <w:color w:val="231F20"/>
        </w:rPr>
        <w:t>Non-deductible portion of the goodwill impairment charges recorded in the Netherlands in 2023 and 2022.</w:t>
      </w:r>
    </w:p>
    <w:p>
      <w:pPr>
        <w:spacing w:after="0" w:line="23" w:lineRule="exact"/>
        <w:rPr>
          <w:rFonts w:ascii="Arial" w:cs="Arial" w:eastAsia="Arial" w:hAnsi="Arial"/>
          <w:sz w:val="17"/>
          <w:szCs w:val="17"/>
          <w:color w:val="231F20"/>
          <w:vertAlign w:val="superscript"/>
        </w:rPr>
      </w:pPr>
    </w:p>
    <w:p>
      <w:pPr>
        <w:ind w:left="365" w:hanging="365"/>
        <w:spacing w:after="0" w:line="189" w:lineRule="auto"/>
        <w:tabs>
          <w:tab w:leader="none" w:pos="365" w:val="left"/>
        </w:tabs>
        <w:numPr>
          <w:ilvl w:val="0"/>
          <w:numId w:val="44"/>
        </w:numPr>
        <w:rPr>
          <w:rFonts w:ascii="Arial" w:cs="Arial" w:eastAsia="Arial" w:hAnsi="Arial"/>
          <w:sz w:val="17"/>
          <w:szCs w:val="17"/>
          <w:color w:val="231F20"/>
          <w:vertAlign w:val="superscript"/>
        </w:rPr>
      </w:pPr>
      <w:r>
        <w:rPr>
          <w:rFonts w:ascii="Arial" w:cs="Arial" w:eastAsia="Arial" w:hAnsi="Arial"/>
          <w:sz w:val="13"/>
          <w:szCs w:val="13"/>
          <w:color w:val="231F20"/>
        </w:rPr>
        <w:t>Effective settlement of an audit during the third quarter of 2023 resulted in the recognition of a tax benefit of $10.8.</w:t>
      </w:r>
    </w:p>
    <w:p>
      <w:pPr>
        <w:spacing w:after="0" w:line="64"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231F20"/>
        </w:rPr>
        <w:t>Deferred income taxes are recorded based on temporary differences at the tax rate expected to be in effect when the temporary differences reverse. Temporary differences, which give rise to the deferred taxes, are as follows:</w:t>
      </w:r>
    </w:p>
    <w:p>
      <w:pPr>
        <w:spacing w:after="0" w:line="57" w:lineRule="exact"/>
        <w:rPr>
          <w:sz w:val="20"/>
          <w:szCs w:val="20"/>
          <w:color w:val="auto"/>
        </w:rPr>
      </w:pPr>
    </w:p>
    <w:tbl>
      <w:tblPr>
        <w:tblLayout w:type="fixed"/>
        <w:tblInd w:w="5" w:type="dxa"/>
        <w:tblCellMar>
          <w:top w:w="0" w:type="dxa"/>
          <w:left w:w="0" w:type="dxa"/>
          <w:bottom w:w="0" w:type="dxa"/>
          <w:right w:w="0" w:type="dxa"/>
        </w:tblCellMar>
      </w:tblPr>
      <w:tr>
        <w:trPr>
          <w:trHeight w:val="231"/>
        </w:trPr>
        <w:tc>
          <w:tcPr>
            <w:tcW w:w="8580" w:type="dxa"/>
            <w:vAlign w:val="bottom"/>
            <w:tcBorders>
              <w:top w:val="single" w:sz="8" w:color="auto"/>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December 31</w:t>
            </w:r>
          </w:p>
        </w:tc>
        <w:tc>
          <w:tcPr>
            <w:tcW w:w="440" w:type="dxa"/>
            <w:vAlign w:val="bottom"/>
            <w:tcBorders>
              <w:top w:val="single" w:sz="8" w:color="auto"/>
              <w:bottom w:val="single" w:sz="8" w:color="auto"/>
            </w:tcBorders>
            <w:shd w:val="clear" w:color="auto" w:fill="98B0CF"/>
          </w:tcPr>
          <w:p>
            <w:pPr>
              <w:spacing w:after="0"/>
              <w:rPr>
                <w:sz w:val="20"/>
                <w:szCs w:val="20"/>
                <w:color w:val="auto"/>
              </w:rPr>
            </w:pPr>
          </w:p>
        </w:tc>
        <w:tc>
          <w:tcPr>
            <w:tcW w:w="1000" w:type="dxa"/>
            <w:vAlign w:val="bottom"/>
            <w:tcBorders>
              <w:top w:val="single" w:sz="8" w:color="auto"/>
              <w:bottom w:val="single" w:sz="8" w:color="auto"/>
            </w:tcBorders>
            <w:shd w:val="clear" w:color="auto" w:fill="98B0CF"/>
          </w:tcPr>
          <w:p>
            <w:pPr>
              <w:jc w:val="right"/>
              <w:ind w:right="510"/>
              <w:spacing w:after="0"/>
              <w:rPr>
                <w:sz w:val="20"/>
                <w:szCs w:val="20"/>
                <w:color w:val="auto"/>
              </w:rPr>
            </w:pPr>
            <w:r>
              <w:rPr>
                <w:rFonts w:ascii="Arial" w:cs="Arial" w:eastAsia="Arial" w:hAnsi="Arial"/>
                <w:sz w:val="13"/>
                <w:szCs w:val="13"/>
                <w:b w:val="1"/>
                <w:bCs w:val="1"/>
                <w:color w:val="231F20"/>
              </w:rPr>
              <w:t>2024</w:t>
            </w:r>
          </w:p>
        </w:tc>
        <w:tc>
          <w:tcPr>
            <w:tcW w:w="340" w:type="dxa"/>
            <w:vAlign w:val="bottom"/>
            <w:tcBorders>
              <w:top w:val="single" w:sz="8" w:color="auto"/>
              <w:bottom w:val="single" w:sz="8" w:color="auto"/>
            </w:tcBorders>
            <w:shd w:val="clear" w:color="auto" w:fill="98B0CF"/>
          </w:tcPr>
          <w:p>
            <w:pPr>
              <w:spacing w:after="0"/>
              <w:rPr>
                <w:sz w:val="20"/>
                <w:szCs w:val="20"/>
                <w:color w:val="auto"/>
              </w:rPr>
            </w:pPr>
          </w:p>
        </w:tc>
        <w:tc>
          <w:tcPr>
            <w:tcW w:w="900" w:type="dxa"/>
            <w:vAlign w:val="bottom"/>
            <w:tcBorders>
              <w:top w:val="single" w:sz="8" w:color="auto"/>
              <w:bottom w:val="single" w:sz="8" w:color="auto"/>
            </w:tcBorders>
            <w:shd w:val="clear" w:color="auto" w:fill="98B0CF"/>
          </w:tcPr>
          <w:p>
            <w:pPr>
              <w:jc w:val="right"/>
              <w:ind w:right="410"/>
              <w:spacing w:after="0"/>
              <w:rPr>
                <w:sz w:val="20"/>
                <w:szCs w:val="20"/>
                <w:color w:val="auto"/>
              </w:rPr>
            </w:pPr>
            <w:r>
              <w:rPr>
                <w:rFonts w:ascii="Arial" w:cs="Arial" w:eastAsia="Arial" w:hAnsi="Arial"/>
                <w:sz w:val="13"/>
                <w:szCs w:val="13"/>
                <w:b w:val="1"/>
                <w:bCs w:val="1"/>
                <w:color w:val="231F20"/>
              </w:rPr>
              <w:t>2023</w:t>
            </w:r>
          </w:p>
        </w:tc>
      </w:tr>
      <w:tr>
        <w:trPr>
          <w:trHeight w:val="187"/>
        </w:trPr>
        <w:tc>
          <w:tcPr>
            <w:tcW w:w="858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231F20"/>
              </w:rPr>
              <w:t>Future Income Tax Benefits (Expense)</w:t>
            </w:r>
          </w:p>
        </w:tc>
        <w:tc>
          <w:tcPr>
            <w:tcW w:w="44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900" w:type="dxa"/>
            <w:vAlign w:val="bottom"/>
            <w:shd w:val="clear" w:color="auto" w:fill="E2E8F1"/>
          </w:tcPr>
          <w:p>
            <w:pPr>
              <w:spacing w:after="0"/>
              <w:rPr>
                <w:sz w:val="16"/>
                <w:szCs w:val="16"/>
                <w:color w:val="auto"/>
              </w:rPr>
            </w:pPr>
          </w:p>
        </w:tc>
      </w:tr>
      <w:tr>
        <w:trPr>
          <w:trHeight w:val="189"/>
        </w:trPr>
        <w:tc>
          <w:tcPr>
            <w:tcW w:w="8580" w:type="dxa"/>
            <w:vAlign w:val="bottom"/>
          </w:tcPr>
          <w:p>
            <w:pPr>
              <w:ind w:left="80"/>
              <w:spacing w:after="0"/>
              <w:rPr>
                <w:sz w:val="20"/>
                <w:szCs w:val="20"/>
                <w:color w:val="auto"/>
              </w:rPr>
            </w:pPr>
            <w:r>
              <w:rPr>
                <w:rFonts w:ascii="Arial" w:cs="Arial" w:eastAsia="Arial" w:hAnsi="Arial"/>
                <w:sz w:val="14"/>
                <w:szCs w:val="14"/>
                <w:color w:val="231F20"/>
              </w:rPr>
              <w:t>Accrued payroll taxes and insurance</w:t>
            </w:r>
          </w:p>
        </w:tc>
        <w:tc>
          <w:tcPr>
            <w:tcW w:w="440" w:type="dxa"/>
            <w:vAlign w:val="bottom"/>
          </w:tcPr>
          <w:p>
            <w:pPr>
              <w:jc w:val="right"/>
              <w:ind w:right="69"/>
              <w:spacing w:after="0"/>
              <w:rPr>
                <w:sz w:val="20"/>
                <w:szCs w:val="20"/>
                <w:color w:val="auto"/>
              </w:rPr>
            </w:pPr>
            <w:r>
              <w:rPr>
                <w:rFonts w:ascii="Arial" w:cs="Arial" w:eastAsia="Arial" w:hAnsi="Arial"/>
                <w:sz w:val="14"/>
                <w:szCs w:val="14"/>
                <w:color w:val="231F20"/>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231F20"/>
              </w:rPr>
              <w:t>11.5</w:t>
            </w:r>
          </w:p>
        </w:tc>
        <w:tc>
          <w:tcPr>
            <w:tcW w:w="340" w:type="dxa"/>
            <w:vAlign w:val="bottom"/>
          </w:tcPr>
          <w:p>
            <w:pPr>
              <w:jc w:val="right"/>
              <w:ind w:right="49"/>
              <w:spacing w:after="0"/>
              <w:rPr>
                <w:sz w:val="20"/>
                <w:szCs w:val="20"/>
                <w:color w:val="auto"/>
              </w:rPr>
            </w:pPr>
            <w:r>
              <w:rPr>
                <w:rFonts w:ascii="Arial" w:cs="Arial" w:eastAsia="Arial" w:hAnsi="Arial"/>
                <w:sz w:val="14"/>
                <w:szCs w:val="14"/>
                <w:color w:val="231F20"/>
              </w:rPr>
              <w:t>$</w:t>
            </w:r>
          </w:p>
        </w:tc>
        <w:tc>
          <w:tcPr>
            <w:tcW w:w="900" w:type="dxa"/>
            <w:vAlign w:val="bottom"/>
          </w:tcPr>
          <w:p>
            <w:pPr>
              <w:jc w:val="right"/>
              <w:ind w:right="70"/>
              <w:spacing w:after="0"/>
              <w:rPr>
                <w:sz w:val="20"/>
                <w:szCs w:val="20"/>
                <w:color w:val="auto"/>
              </w:rPr>
            </w:pPr>
            <w:r>
              <w:rPr>
                <w:rFonts w:ascii="Arial" w:cs="Arial" w:eastAsia="Arial" w:hAnsi="Arial"/>
                <w:sz w:val="14"/>
                <w:szCs w:val="14"/>
                <w:color w:val="231F20"/>
              </w:rPr>
              <w:t>11.2</w:t>
            </w:r>
          </w:p>
        </w:tc>
      </w:tr>
      <w:tr>
        <w:trPr>
          <w:trHeight w:val="189"/>
        </w:trPr>
        <w:tc>
          <w:tcPr>
            <w:tcW w:w="858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Employee compensation payable</w:t>
            </w:r>
          </w:p>
        </w:tc>
        <w:tc>
          <w:tcPr>
            <w:tcW w:w="4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231F20"/>
              </w:rPr>
              <w:t>40.9</w:t>
            </w:r>
          </w:p>
        </w:tc>
        <w:tc>
          <w:tcPr>
            <w:tcW w:w="34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40.8</w:t>
            </w:r>
          </w:p>
        </w:tc>
      </w:tr>
      <w:tr>
        <w:trPr>
          <w:trHeight w:val="189"/>
        </w:trPr>
        <w:tc>
          <w:tcPr>
            <w:tcW w:w="8580" w:type="dxa"/>
            <w:vAlign w:val="bottom"/>
          </w:tcPr>
          <w:p>
            <w:pPr>
              <w:ind w:left="80"/>
              <w:spacing w:after="0"/>
              <w:rPr>
                <w:sz w:val="20"/>
                <w:szCs w:val="20"/>
                <w:color w:val="auto"/>
              </w:rPr>
            </w:pPr>
            <w:r>
              <w:rPr>
                <w:rFonts w:ascii="Arial" w:cs="Arial" w:eastAsia="Arial" w:hAnsi="Arial"/>
                <w:sz w:val="14"/>
                <w:szCs w:val="14"/>
                <w:color w:val="231F20"/>
              </w:rPr>
              <w:t>Pension and postretirement benefits</w:t>
            </w:r>
          </w:p>
        </w:tc>
        <w:tc>
          <w:tcPr>
            <w:tcW w:w="440" w:type="dxa"/>
            <w:vAlign w:val="bottom"/>
          </w:tcPr>
          <w:p>
            <w:pPr>
              <w:spacing w:after="0"/>
              <w:rPr>
                <w:sz w:val="16"/>
                <w:szCs w:val="16"/>
                <w:color w:val="auto"/>
              </w:rPr>
            </w:pPr>
          </w:p>
        </w:tc>
        <w:tc>
          <w:tcPr>
            <w:tcW w:w="1000" w:type="dxa"/>
            <w:vAlign w:val="bottom"/>
          </w:tcPr>
          <w:p>
            <w:pPr>
              <w:jc w:val="right"/>
              <w:ind w:right="150"/>
              <w:spacing w:after="0"/>
              <w:rPr>
                <w:sz w:val="20"/>
                <w:szCs w:val="20"/>
                <w:color w:val="auto"/>
              </w:rPr>
            </w:pPr>
            <w:r>
              <w:rPr>
                <w:rFonts w:ascii="Arial" w:cs="Arial" w:eastAsia="Arial" w:hAnsi="Arial"/>
                <w:sz w:val="14"/>
                <w:szCs w:val="14"/>
                <w:color w:val="231F20"/>
              </w:rPr>
              <w:t>66.9</w:t>
            </w:r>
          </w:p>
        </w:tc>
        <w:tc>
          <w:tcPr>
            <w:tcW w:w="34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231F20"/>
              </w:rPr>
              <w:t>71.8</w:t>
            </w:r>
          </w:p>
        </w:tc>
      </w:tr>
      <w:tr>
        <w:trPr>
          <w:trHeight w:val="189"/>
        </w:trPr>
        <w:tc>
          <w:tcPr>
            <w:tcW w:w="858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Intangible assets</w:t>
            </w:r>
          </w:p>
        </w:tc>
        <w:tc>
          <w:tcPr>
            <w:tcW w:w="4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(130.9 )</w:t>
            </w:r>
          </w:p>
        </w:tc>
        <w:tc>
          <w:tcPr>
            <w:tcW w:w="34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(129.3 )</w:t>
            </w:r>
          </w:p>
        </w:tc>
      </w:tr>
      <w:tr>
        <w:trPr>
          <w:trHeight w:val="189"/>
        </w:trPr>
        <w:tc>
          <w:tcPr>
            <w:tcW w:w="8580" w:type="dxa"/>
            <w:vAlign w:val="bottom"/>
          </w:tcPr>
          <w:p>
            <w:pPr>
              <w:ind w:left="80"/>
              <w:spacing w:after="0"/>
              <w:rPr>
                <w:sz w:val="20"/>
                <w:szCs w:val="20"/>
                <w:color w:val="auto"/>
              </w:rPr>
            </w:pPr>
            <w:r>
              <w:rPr>
                <w:rFonts w:ascii="Arial" w:cs="Arial" w:eastAsia="Arial" w:hAnsi="Arial"/>
                <w:sz w:val="14"/>
                <w:szCs w:val="14"/>
                <w:color w:val="231F20"/>
              </w:rPr>
              <w:t>Repatriation of non-United States earnings</w:t>
            </w:r>
          </w:p>
        </w:tc>
        <w:tc>
          <w:tcPr>
            <w:tcW w:w="44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231F20"/>
              </w:rPr>
              <w:t>(24.2 )</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231F20"/>
              </w:rPr>
              <w:t>(20.4 )</w:t>
            </w:r>
          </w:p>
        </w:tc>
      </w:tr>
      <w:tr>
        <w:trPr>
          <w:trHeight w:val="189"/>
        </w:trPr>
        <w:tc>
          <w:tcPr>
            <w:tcW w:w="858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Loans denominated in foreign currencies</w:t>
            </w:r>
          </w:p>
        </w:tc>
        <w:tc>
          <w:tcPr>
            <w:tcW w:w="4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(4.8 )</w:t>
            </w:r>
          </w:p>
        </w:tc>
        <w:tc>
          <w:tcPr>
            <w:tcW w:w="34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16.8</w:t>
            </w:r>
          </w:p>
        </w:tc>
      </w:tr>
      <w:tr>
        <w:trPr>
          <w:trHeight w:val="189"/>
        </w:trPr>
        <w:tc>
          <w:tcPr>
            <w:tcW w:w="8580" w:type="dxa"/>
            <w:vAlign w:val="bottom"/>
          </w:tcPr>
          <w:p>
            <w:pPr>
              <w:ind w:left="80"/>
              <w:spacing w:after="0"/>
              <w:rPr>
                <w:sz w:val="20"/>
                <w:szCs w:val="20"/>
                <w:color w:val="auto"/>
              </w:rPr>
            </w:pPr>
            <w:r>
              <w:rPr>
                <w:rFonts w:ascii="Arial" w:cs="Arial" w:eastAsia="Arial" w:hAnsi="Arial"/>
                <w:sz w:val="14"/>
                <w:szCs w:val="14"/>
                <w:color w:val="231F20"/>
              </w:rPr>
              <w:t>Operating lease ROU assets</w:t>
            </w:r>
          </w:p>
        </w:tc>
        <w:tc>
          <w:tcPr>
            <w:tcW w:w="44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231F20"/>
              </w:rPr>
              <w:t>(95.1 )</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231F20"/>
              </w:rPr>
              <w:t>(104.5 )</w:t>
            </w:r>
          </w:p>
        </w:tc>
      </w:tr>
      <w:tr>
        <w:trPr>
          <w:trHeight w:val="189"/>
        </w:trPr>
        <w:tc>
          <w:tcPr>
            <w:tcW w:w="858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Operating lease liabilities</w:t>
            </w:r>
          </w:p>
        </w:tc>
        <w:tc>
          <w:tcPr>
            <w:tcW w:w="4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231F20"/>
              </w:rPr>
              <w:t>90.8</w:t>
            </w:r>
          </w:p>
        </w:tc>
        <w:tc>
          <w:tcPr>
            <w:tcW w:w="34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107.0</w:t>
            </w:r>
          </w:p>
        </w:tc>
      </w:tr>
      <w:tr>
        <w:trPr>
          <w:trHeight w:val="189"/>
        </w:trPr>
        <w:tc>
          <w:tcPr>
            <w:tcW w:w="8580" w:type="dxa"/>
            <w:vAlign w:val="bottom"/>
          </w:tcPr>
          <w:p>
            <w:pPr>
              <w:ind w:left="80"/>
              <w:spacing w:after="0"/>
              <w:rPr>
                <w:sz w:val="20"/>
                <w:szCs w:val="20"/>
                <w:color w:val="auto"/>
              </w:rPr>
            </w:pPr>
            <w:r>
              <w:rPr>
                <w:rFonts w:ascii="Arial" w:cs="Arial" w:eastAsia="Arial" w:hAnsi="Arial"/>
                <w:sz w:val="14"/>
                <w:szCs w:val="14"/>
                <w:color w:val="231F20"/>
              </w:rPr>
              <w:t>Tax credit and other carryforwards</w:t>
            </w:r>
          </w:p>
        </w:tc>
        <w:tc>
          <w:tcPr>
            <w:tcW w:w="440" w:type="dxa"/>
            <w:vAlign w:val="bottom"/>
          </w:tcPr>
          <w:p>
            <w:pPr>
              <w:spacing w:after="0"/>
              <w:rPr>
                <w:sz w:val="16"/>
                <w:szCs w:val="16"/>
                <w:color w:val="auto"/>
              </w:rPr>
            </w:pPr>
          </w:p>
        </w:tc>
        <w:tc>
          <w:tcPr>
            <w:tcW w:w="1000" w:type="dxa"/>
            <w:vAlign w:val="bottom"/>
          </w:tcPr>
          <w:p>
            <w:pPr>
              <w:jc w:val="right"/>
              <w:ind w:right="150"/>
              <w:spacing w:after="0"/>
              <w:rPr>
                <w:sz w:val="20"/>
                <w:szCs w:val="20"/>
                <w:color w:val="auto"/>
              </w:rPr>
            </w:pPr>
            <w:r>
              <w:rPr>
                <w:rFonts w:ascii="Arial" w:cs="Arial" w:eastAsia="Arial" w:hAnsi="Arial"/>
                <w:sz w:val="14"/>
                <w:szCs w:val="14"/>
                <w:color w:val="231F20"/>
              </w:rPr>
              <w:t>59.2</w:t>
            </w:r>
          </w:p>
        </w:tc>
        <w:tc>
          <w:tcPr>
            <w:tcW w:w="34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231F20"/>
              </w:rPr>
              <w:t>20.6</w:t>
            </w:r>
          </w:p>
        </w:tc>
      </w:tr>
      <w:tr>
        <w:trPr>
          <w:trHeight w:val="189"/>
        </w:trPr>
        <w:tc>
          <w:tcPr>
            <w:tcW w:w="858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Tax loss carryforwards</w:t>
            </w:r>
          </w:p>
        </w:tc>
        <w:tc>
          <w:tcPr>
            <w:tcW w:w="4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231F20"/>
              </w:rPr>
              <w:t>212.1</w:t>
            </w:r>
          </w:p>
        </w:tc>
        <w:tc>
          <w:tcPr>
            <w:tcW w:w="34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212.9</w:t>
            </w:r>
          </w:p>
        </w:tc>
      </w:tr>
      <w:tr>
        <w:trPr>
          <w:trHeight w:val="189"/>
        </w:trPr>
        <w:tc>
          <w:tcPr>
            <w:tcW w:w="8580" w:type="dxa"/>
            <w:vAlign w:val="bottom"/>
          </w:tcPr>
          <w:p>
            <w:pPr>
              <w:ind w:left="80"/>
              <w:spacing w:after="0"/>
              <w:rPr>
                <w:sz w:val="20"/>
                <w:szCs w:val="20"/>
                <w:color w:val="auto"/>
              </w:rPr>
            </w:pPr>
            <w:r>
              <w:rPr>
                <w:rFonts w:ascii="Arial" w:cs="Arial" w:eastAsia="Arial" w:hAnsi="Arial"/>
                <w:sz w:val="14"/>
                <w:szCs w:val="14"/>
                <w:color w:val="231F20"/>
              </w:rPr>
              <w:t>Other</w:t>
            </w:r>
          </w:p>
        </w:tc>
        <w:tc>
          <w:tcPr>
            <w:tcW w:w="440" w:type="dxa"/>
            <w:vAlign w:val="bottom"/>
          </w:tcPr>
          <w:p>
            <w:pPr>
              <w:spacing w:after="0"/>
              <w:rPr>
                <w:sz w:val="16"/>
                <w:szCs w:val="16"/>
                <w:color w:val="auto"/>
              </w:rPr>
            </w:pPr>
          </w:p>
        </w:tc>
        <w:tc>
          <w:tcPr>
            <w:tcW w:w="1000" w:type="dxa"/>
            <w:vAlign w:val="bottom"/>
          </w:tcPr>
          <w:p>
            <w:pPr>
              <w:jc w:val="right"/>
              <w:ind w:right="150"/>
              <w:spacing w:after="0"/>
              <w:rPr>
                <w:sz w:val="20"/>
                <w:szCs w:val="20"/>
                <w:color w:val="auto"/>
              </w:rPr>
            </w:pPr>
            <w:r>
              <w:rPr>
                <w:rFonts w:ascii="Arial" w:cs="Arial" w:eastAsia="Arial" w:hAnsi="Arial"/>
                <w:sz w:val="14"/>
                <w:szCs w:val="14"/>
                <w:color w:val="231F20"/>
              </w:rPr>
              <w:t>115.9</w:t>
            </w:r>
          </w:p>
        </w:tc>
        <w:tc>
          <w:tcPr>
            <w:tcW w:w="34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231F20"/>
              </w:rPr>
              <w:t>120.5</w:t>
            </w:r>
          </w:p>
        </w:tc>
      </w:tr>
      <w:tr>
        <w:trPr>
          <w:trHeight w:val="189"/>
        </w:trPr>
        <w:tc>
          <w:tcPr>
            <w:tcW w:w="858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231F20"/>
              </w:rPr>
              <w:t>Valuation allowance</w:t>
            </w:r>
          </w:p>
        </w:tc>
        <w:tc>
          <w:tcPr>
            <w:tcW w:w="44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231F20"/>
              </w:rPr>
              <w:t>(222.9 )</w:t>
            </w:r>
          </w:p>
        </w:tc>
        <w:tc>
          <w:tcPr>
            <w:tcW w:w="340" w:type="dxa"/>
            <w:vAlign w:val="bottom"/>
            <w:tcBorders>
              <w:bottom w:val="single" w:sz="8" w:color="auto"/>
            </w:tcBorders>
            <w:shd w:val="clear" w:color="auto" w:fill="E2E8F1"/>
          </w:tcPr>
          <w:p>
            <w:pPr>
              <w:spacing w:after="0"/>
              <w:rPr>
                <w:sz w:val="16"/>
                <w:szCs w:val="16"/>
                <w:color w:val="auto"/>
              </w:rPr>
            </w:pPr>
          </w:p>
        </w:tc>
        <w:tc>
          <w:tcPr>
            <w:tcW w:w="9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231F20"/>
              </w:rPr>
              <w:t>(219.8 )</w:t>
            </w:r>
          </w:p>
        </w:tc>
      </w:tr>
      <w:tr>
        <w:trPr>
          <w:trHeight w:val="181"/>
        </w:trPr>
        <w:tc>
          <w:tcPr>
            <w:tcW w:w="85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231F20"/>
              </w:rPr>
              <w:t>Total future tax benefits</w:t>
            </w:r>
          </w:p>
        </w:tc>
        <w:tc>
          <w:tcPr>
            <w:tcW w:w="4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231F20"/>
              </w:rPr>
              <w:t>$</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231F20"/>
              </w:rPr>
              <w:t>119.4</w:t>
            </w:r>
          </w:p>
        </w:tc>
        <w:tc>
          <w:tcPr>
            <w:tcW w:w="3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231F20"/>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231F20"/>
              </w:rPr>
              <w:t>127.6</w:t>
            </w:r>
          </w:p>
        </w:tc>
      </w:tr>
      <w:tr>
        <w:trPr>
          <w:trHeight w:val="181"/>
        </w:trPr>
        <w:tc>
          <w:tcPr>
            <w:tcW w:w="858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Deferred tax asset</w:t>
            </w:r>
          </w:p>
        </w:tc>
        <w:tc>
          <w:tcPr>
            <w:tcW w:w="4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100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231F20"/>
              </w:rPr>
              <w:t>135.0</w:t>
            </w:r>
          </w:p>
        </w:tc>
        <w:tc>
          <w:tcPr>
            <w:tcW w:w="340" w:type="dxa"/>
            <w:vAlign w:val="bottom"/>
            <w:shd w:val="clear" w:color="auto" w:fill="E2E8F1"/>
          </w:tcPr>
          <w:p>
            <w:pPr>
              <w:jc w:val="right"/>
              <w:ind w:right="49"/>
              <w:spacing w:after="0"/>
              <w:rPr>
                <w:sz w:val="20"/>
                <w:szCs w:val="20"/>
                <w:color w:val="auto"/>
              </w:rPr>
            </w:pPr>
            <w:r>
              <w:rPr>
                <w:rFonts w:ascii="Arial" w:cs="Arial" w:eastAsia="Arial" w:hAnsi="Arial"/>
                <w:sz w:val="14"/>
                <w:szCs w:val="14"/>
                <w:color w:val="231F20"/>
              </w:rPr>
              <w:t>$</w:t>
            </w:r>
          </w:p>
        </w:tc>
        <w:tc>
          <w:tcPr>
            <w:tcW w:w="9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138.3</w:t>
            </w:r>
          </w:p>
        </w:tc>
      </w:tr>
      <w:tr>
        <w:trPr>
          <w:trHeight w:val="189"/>
        </w:trPr>
        <w:tc>
          <w:tcPr>
            <w:tcW w:w="85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231F20"/>
              </w:rPr>
              <w:t>Deferred tax liability</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231F20"/>
              </w:rPr>
              <w:t>(15.6 )</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(10.7 )</w:t>
            </w:r>
          </w:p>
        </w:tc>
      </w:tr>
      <w:tr>
        <w:trPr>
          <w:trHeight w:val="181"/>
        </w:trPr>
        <w:tc>
          <w:tcPr>
            <w:tcW w:w="858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231F20"/>
              </w:rPr>
              <w:t>Total future tax benefits</w:t>
            </w:r>
          </w:p>
        </w:tc>
        <w:tc>
          <w:tcPr>
            <w:tcW w:w="440" w:type="dxa"/>
            <w:vAlign w:val="bottom"/>
            <w:tcBorders>
              <w:bottom w:val="single" w:sz="8" w:color="auto"/>
            </w:tcBorders>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1000" w:type="dxa"/>
            <w:vAlign w:val="bottom"/>
            <w:tcBorders>
              <w:bottom w:val="single" w:sz="8" w:color="auto"/>
            </w:tcBorders>
            <w:shd w:val="clear" w:color="auto" w:fill="E2E8F1"/>
          </w:tcPr>
          <w:p>
            <w:pPr>
              <w:jc w:val="right"/>
              <w:ind w:right="150"/>
              <w:spacing w:after="0"/>
              <w:rPr>
                <w:sz w:val="20"/>
                <w:szCs w:val="20"/>
                <w:color w:val="auto"/>
              </w:rPr>
            </w:pPr>
            <w:r>
              <w:rPr>
                <w:rFonts w:ascii="Arial" w:cs="Arial" w:eastAsia="Arial" w:hAnsi="Arial"/>
                <w:sz w:val="14"/>
                <w:szCs w:val="14"/>
                <w:color w:val="231F20"/>
              </w:rPr>
              <w:t>119.4</w:t>
            </w:r>
          </w:p>
        </w:tc>
        <w:tc>
          <w:tcPr>
            <w:tcW w:w="340" w:type="dxa"/>
            <w:vAlign w:val="bottom"/>
            <w:tcBorders>
              <w:bottom w:val="single" w:sz="8" w:color="auto"/>
            </w:tcBorders>
            <w:shd w:val="clear" w:color="auto" w:fill="E2E8F1"/>
          </w:tcPr>
          <w:p>
            <w:pPr>
              <w:jc w:val="right"/>
              <w:ind w:right="49"/>
              <w:spacing w:after="0"/>
              <w:rPr>
                <w:sz w:val="20"/>
                <w:szCs w:val="20"/>
                <w:color w:val="auto"/>
              </w:rPr>
            </w:pPr>
            <w:r>
              <w:rPr>
                <w:rFonts w:ascii="Arial" w:cs="Arial" w:eastAsia="Arial" w:hAnsi="Arial"/>
                <w:sz w:val="14"/>
                <w:szCs w:val="14"/>
                <w:color w:val="231F20"/>
              </w:rPr>
              <w:t>$</w:t>
            </w:r>
          </w:p>
        </w:tc>
        <w:tc>
          <w:tcPr>
            <w:tcW w:w="90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231F20"/>
              </w:rPr>
              <w:t>127.6</w:t>
            </w:r>
          </w:p>
        </w:tc>
      </w:tr>
    </w:tbl>
    <w:p>
      <w:pPr>
        <w:spacing w:after="0" w:line="36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69" w:name="page70"/>
    <w:bookmarkEnd w:id="69"/>
    <w:p>
      <w:pPr>
        <w:ind w:left="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For 2024, the Other category was updated to remove tax credit, capital loss, and other carryforwards. The capital loss carryforwards of $27.4 and $25.2 for 2024 and 2023, respectively, were combined with net operating losses, and the category was renamed to Tax loss carryforwards. The capital loss carryforwards are fully offset by valuation allowance due to the expiration of carryforwards and uncertain source of future capital gains. The tax credit and other carryforwards were combined in a new category and consist primarily of U.S. foreign and general business tax credits. A related valuation allowance of $11.8 was recorded as of December 31, 2024, as management believes that realization of certain tax credit carryforwards is unlikely.</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Pre-tax earnings of non-United States operations were $246.0, $165.2 and $380.9 in 2024, 2023, and 2022, respectively. We have not provided deferred taxes on $289.4 of accumulated unremitted earnings of non-United States subsidiaries that are considered indefinitely reinvested. We have not estimated the deferred tax liability on these earnings as such estimation is not practicable to determine or immaterial to the financial statements. As of December 31, 2024, deferred taxes for non-United States withholding and other taxes were provided on $1,353.5 of accumulated unremitted earnings of non-United States subsidiaries that may be remitted to the United States. As of December 31, 2024 and 2023, we have recorded a deferred tax liability of $25.9 and $23.1, respectively, related to these non-United States earnings that may be remitted.</w:t>
      </w:r>
    </w:p>
    <w:p>
      <w:pPr>
        <w:spacing w:after="0" w:line="6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We had United States federal and non-United States net operating loss carryforwards and United States state net operating loss carryforwards totaling $1,041.2 and $151.5, respectively, as of December 31, 2024. The net operating loss carryforwards expire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640" w:type="dxa"/>
            <w:vAlign w:val="bottom"/>
            <w:tcBorders>
              <w:top w:val="single" w:sz="8" w:color="auto"/>
            </w:tcBorders>
            <w:shd w:val="clear" w:color="auto" w:fill="98B0CF"/>
          </w:tcPr>
          <w:p>
            <w:pPr>
              <w:spacing w:after="0"/>
              <w:rPr>
                <w:sz w:val="12"/>
                <w:szCs w:val="12"/>
                <w:color w:val="auto"/>
              </w:rPr>
            </w:pPr>
          </w:p>
        </w:tc>
        <w:tc>
          <w:tcPr>
            <w:tcW w:w="3260" w:type="dxa"/>
            <w:vAlign w:val="bottom"/>
            <w:tcBorders>
              <w:top w:val="single" w:sz="8" w:color="auto"/>
            </w:tcBorders>
            <w:shd w:val="clear" w:color="auto" w:fill="98B0CF"/>
          </w:tcPr>
          <w:p>
            <w:pPr>
              <w:spacing w:after="0"/>
              <w:rPr>
                <w:sz w:val="12"/>
                <w:szCs w:val="12"/>
                <w:color w:val="auto"/>
              </w:rPr>
            </w:pPr>
          </w:p>
        </w:tc>
        <w:tc>
          <w:tcPr>
            <w:tcW w:w="1080" w:type="dxa"/>
            <w:vAlign w:val="bottom"/>
            <w:tcBorders>
              <w:top w:val="single" w:sz="8" w:color="auto"/>
            </w:tcBorders>
            <w:shd w:val="clear" w:color="auto" w:fill="98B0CF"/>
          </w:tcPr>
          <w:p>
            <w:pPr>
              <w:jc w:val="center"/>
              <w:ind w:right="212"/>
              <w:spacing w:after="0" w:line="146" w:lineRule="exact"/>
              <w:rPr>
                <w:sz w:val="20"/>
                <w:szCs w:val="20"/>
                <w:color w:val="auto"/>
              </w:rPr>
            </w:pPr>
            <w:r>
              <w:rPr>
                <w:rFonts w:ascii="Arial" w:cs="Arial" w:eastAsia="Arial" w:hAnsi="Arial"/>
                <w:sz w:val="13"/>
                <w:szCs w:val="13"/>
                <w:b w:val="1"/>
                <w:bCs w:val="1"/>
                <w:color w:val="231F20"/>
                <w:w w:val="96"/>
              </w:rPr>
              <w:t>United States</w:t>
            </w:r>
          </w:p>
        </w:tc>
        <w:tc>
          <w:tcPr>
            <w:tcW w:w="260" w:type="dxa"/>
            <w:vAlign w:val="bottom"/>
            <w:tcBorders>
              <w:top w:val="single" w:sz="8" w:color="auto"/>
            </w:tcBorders>
            <w:shd w:val="clear" w:color="auto" w:fill="98B0CF"/>
          </w:tcPr>
          <w:p>
            <w:pPr>
              <w:spacing w:after="0"/>
              <w:rPr>
                <w:sz w:val="12"/>
                <w:szCs w:val="12"/>
                <w:color w:val="auto"/>
              </w:rPr>
            </w:pPr>
          </w:p>
        </w:tc>
        <w:tc>
          <w:tcPr>
            <w:tcW w:w="1020" w:type="dxa"/>
            <w:vAlign w:val="bottom"/>
            <w:tcBorders>
              <w:top w:val="single" w:sz="8" w:color="auto"/>
            </w:tcBorders>
            <w:shd w:val="clear" w:color="auto" w:fill="98B0CF"/>
          </w:tcPr>
          <w:p>
            <w:pPr>
              <w:spacing w:after="0"/>
              <w:rPr>
                <w:sz w:val="12"/>
                <w:szCs w:val="12"/>
                <w:color w:val="auto"/>
              </w:rPr>
            </w:pPr>
          </w:p>
        </w:tc>
      </w:tr>
      <w:tr>
        <w:trPr>
          <w:trHeight w:val="142"/>
        </w:trPr>
        <w:tc>
          <w:tcPr>
            <w:tcW w:w="5640" w:type="dxa"/>
            <w:vAlign w:val="bottom"/>
            <w:shd w:val="clear" w:color="auto" w:fill="98B0CF"/>
          </w:tcPr>
          <w:p>
            <w:pPr>
              <w:spacing w:after="0"/>
              <w:rPr>
                <w:sz w:val="12"/>
                <w:szCs w:val="12"/>
                <w:color w:val="auto"/>
              </w:rPr>
            </w:pPr>
          </w:p>
        </w:tc>
        <w:tc>
          <w:tcPr>
            <w:tcW w:w="3260" w:type="dxa"/>
            <w:vAlign w:val="bottom"/>
            <w:shd w:val="clear" w:color="auto" w:fill="98B0CF"/>
          </w:tcPr>
          <w:p>
            <w:pPr>
              <w:spacing w:after="0"/>
              <w:rPr>
                <w:sz w:val="12"/>
                <w:szCs w:val="12"/>
                <w:color w:val="auto"/>
              </w:rPr>
            </w:pPr>
          </w:p>
        </w:tc>
        <w:tc>
          <w:tcPr>
            <w:tcW w:w="1080" w:type="dxa"/>
            <w:vAlign w:val="bottom"/>
            <w:shd w:val="clear" w:color="auto" w:fill="98B0CF"/>
          </w:tcPr>
          <w:p>
            <w:pPr>
              <w:jc w:val="center"/>
              <w:ind w:right="212"/>
              <w:spacing w:after="0" w:line="142" w:lineRule="exact"/>
              <w:rPr>
                <w:sz w:val="20"/>
                <w:szCs w:val="20"/>
                <w:color w:val="auto"/>
              </w:rPr>
            </w:pPr>
            <w:r>
              <w:rPr>
                <w:rFonts w:ascii="Arial" w:cs="Arial" w:eastAsia="Arial" w:hAnsi="Arial"/>
                <w:sz w:val="13"/>
                <w:szCs w:val="13"/>
                <w:b w:val="1"/>
                <w:bCs w:val="1"/>
                <w:color w:val="231F20"/>
                <w:w w:val="98"/>
              </w:rPr>
              <w:t>Federal and</w:t>
            </w:r>
          </w:p>
        </w:tc>
        <w:tc>
          <w:tcPr>
            <w:tcW w:w="260" w:type="dxa"/>
            <w:vAlign w:val="bottom"/>
            <w:shd w:val="clear" w:color="auto" w:fill="98B0CF"/>
          </w:tcPr>
          <w:p>
            <w:pPr>
              <w:spacing w:after="0"/>
              <w:rPr>
                <w:sz w:val="12"/>
                <w:szCs w:val="12"/>
                <w:color w:val="auto"/>
              </w:rPr>
            </w:pPr>
          </w:p>
        </w:tc>
        <w:tc>
          <w:tcPr>
            <w:tcW w:w="1020" w:type="dxa"/>
            <w:vAlign w:val="bottom"/>
            <w:shd w:val="clear" w:color="auto" w:fill="98B0CF"/>
          </w:tcPr>
          <w:p>
            <w:pPr>
              <w:spacing w:after="0"/>
              <w:rPr>
                <w:sz w:val="12"/>
                <w:szCs w:val="12"/>
                <w:color w:val="auto"/>
              </w:rPr>
            </w:pPr>
          </w:p>
        </w:tc>
      </w:tr>
      <w:tr>
        <w:trPr>
          <w:trHeight w:val="142"/>
        </w:trPr>
        <w:tc>
          <w:tcPr>
            <w:tcW w:w="5640" w:type="dxa"/>
            <w:vAlign w:val="bottom"/>
            <w:shd w:val="clear" w:color="auto" w:fill="98B0CF"/>
          </w:tcPr>
          <w:p>
            <w:pPr>
              <w:spacing w:after="0"/>
              <w:rPr>
                <w:sz w:val="12"/>
                <w:szCs w:val="12"/>
                <w:color w:val="auto"/>
              </w:rPr>
            </w:pPr>
          </w:p>
        </w:tc>
        <w:tc>
          <w:tcPr>
            <w:tcW w:w="3260" w:type="dxa"/>
            <w:vAlign w:val="bottom"/>
            <w:shd w:val="clear" w:color="auto" w:fill="98B0CF"/>
          </w:tcPr>
          <w:p>
            <w:pPr>
              <w:spacing w:after="0"/>
              <w:rPr>
                <w:sz w:val="12"/>
                <w:szCs w:val="12"/>
                <w:color w:val="auto"/>
              </w:rPr>
            </w:pPr>
          </w:p>
        </w:tc>
        <w:tc>
          <w:tcPr>
            <w:tcW w:w="1080" w:type="dxa"/>
            <w:vAlign w:val="bottom"/>
            <w:shd w:val="clear" w:color="auto" w:fill="98B0CF"/>
          </w:tcPr>
          <w:p>
            <w:pPr>
              <w:jc w:val="center"/>
              <w:ind w:right="212"/>
              <w:spacing w:after="0" w:line="142" w:lineRule="exact"/>
              <w:rPr>
                <w:sz w:val="20"/>
                <w:szCs w:val="20"/>
                <w:color w:val="auto"/>
              </w:rPr>
            </w:pPr>
            <w:r>
              <w:rPr>
                <w:rFonts w:ascii="Arial" w:cs="Arial" w:eastAsia="Arial" w:hAnsi="Arial"/>
                <w:sz w:val="13"/>
                <w:szCs w:val="13"/>
                <w:b w:val="1"/>
                <w:bCs w:val="1"/>
                <w:color w:val="231F20"/>
                <w:w w:val="97"/>
              </w:rPr>
              <w:t>Non-United</w:t>
            </w:r>
          </w:p>
        </w:tc>
        <w:tc>
          <w:tcPr>
            <w:tcW w:w="260" w:type="dxa"/>
            <w:vAlign w:val="bottom"/>
            <w:shd w:val="clear" w:color="auto" w:fill="98B0CF"/>
          </w:tcPr>
          <w:p>
            <w:pPr>
              <w:spacing w:after="0"/>
              <w:rPr>
                <w:sz w:val="12"/>
                <w:szCs w:val="12"/>
                <w:color w:val="auto"/>
              </w:rPr>
            </w:pPr>
          </w:p>
        </w:tc>
        <w:tc>
          <w:tcPr>
            <w:tcW w:w="1020" w:type="dxa"/>
            <w:vAlign w:val="bottom"/>
            <w:shd w:val="clear" w:color="auto" w:fill="98B0CF"/>
          </w:tcPr>
          <w:p>
            <w:pPr>
              <w:jc w:val="right"/>
              <w:ind w:right="151"/>
              <w:spacing w:after="0" w:line="142" w:lineRule="exact"/>
              <w:rPr>
                <w:sz w:val="20"/>
                <w:szCs w:val="20"/>
                <w:color w:val="auto"/>
              </w:rPr>
            </w:pPr>
            <w:r>
              <w:rPr>
                <w:rFonts w:ascii="Arial" w:cs="Arial" w:eastAsia="Arial" w:hAnsi="Arial"/>
                <w:sz w:val="13"/>
                <w:szCs w:val="13"/>
                <w:b w:val="1"/>
                <w:bCs w:val="1"/>
                <w:color w:val="231F20"/>
                <w:w w:val="93"/>
              </w:rPr>
              <w:t>United States</w:t>
            </w:r>
          </w:p>
        </w:tc>
      </w:tr>
      <w:tr>
        <w:trPr>
          <w:trHeight w:val="175"/>
        </w:trPr>
        <w:tc>
          <w:tcPr>
            <w:tcW w:w="5640" w:type="dxa"/>
            <w:vAlign w:val="bottom"/>
            <w:tcBorders>
              <w:bottom w:val="single" w:sz="8" w:color="CFF0FC"/>
            </w:tcBorders>
            <w:shd w:val="clear" w:color="auto" w:fill="98B0CF"/>
          </w:tcPr>
          <w:p>
            <w:pPr>
              <w:spacing w:after="0"/>
              <w:rPr>
                <w:sz w:val="14"/>
                <w:szCs w:val="14"/>
                <w:color w:val="auto"/>
              </w:rPr>
            </w:pPr>
          </w:p>
        </w:tc>
        <w:tc>
          <w:tcPr>
            <w:tcW w:w="3260" w:type="dxa"/>
            <w:vAlign w:val="bottom"/>
            <w:tcBorders>
              <w:bottom w:val="single" w:sz="8" w:color="CFF0FC"/>
            </w:tcBorders>
            <w:shd w:val="clear" w:color="auto" w:fill="98B0CF"/>
          </w:tcPr>
          <w:p>
            <w:pPr>
              <w:spacing w:after="0"/>
              <w:rPr>
                <w:sz w:val="14"/>
                <w:szCs w:val="14"/>
                <w:color w:val="auto"/>
              </w:rPr>
            </w:pPr>
          </w:p>
        </w:tc>
        <w:tc>
          <w:tcPr>
            <w:tcW w:w="1080" w:type="dxa"/>
            <w:vAlign w:val="bottom"/>
            <w:tcBorders>
              <w:bottom w:val="single" w:sz="8" w:color="CFF0FC"/>
            </w:tcBorders>
            <w:shd w:val="clear" w:color="auto" w:fill="98B0CF"/>
          </w:tcPr>
          <w:p>
            <w:pPr>
              <w:jc w:val="center"/>
              <w:ind w:right="192"/>
              <w:spacing w:after="0"/>
              <w:rPr>
                <w:sz w:val="20"/>
                <w:szCs w:val="20"/>
                <w:color w:val="auto"/>
              </w:rPr>
            </w:pPr>
            <w:r>
              <w:rPr>
                <w:rFonts w:ascii="Arial" w:cs="Arial" w:eastAsia="Arial" w:hAnsi="Arial"/>
                <w:sz w:val="13"/>
                <w:szCs w:val="13"/>
                <w:b w:val="1"/>
                <w:bCs w:val="1"/>
                <w:color w:val="231F20"/>
                <w:w w:val="97"/>
              </w:rPr>
              <w:t>States</w:t>
            </w:r>
          </w:p>
        </w:tc>
        <w:tc>
          <w:tcPr>
            <w:tcW w:w="260" w:type="dxa"/>
            <w:vAlign w:val="bottom"/>
            <w:tcBorders>
              <w:bottom w:val="single" w:sz="8" w:color="CFF0FC"/>
            </w:tcBorders>
            <w:shd w:val="clear" w:color="auto" w:fill="98B0CF"/>
          </w:tcPr>
          <w:p>
            <w:pPr>
              <w:spacing w:after="0"/>
              <w:rPr>
                <w:sz w:val="14"/>
                <w:szCs w:val="14"/>
                <w:color w:val="auto"/>
              </w:rPr>
            </w:pPr>
          </w:p>
        </w:tc>
        <w:tc>
          <w:tcPr>
            <w:tcW w:w="1020" w:type="dxa"/>
            <w:vAlign w:val="bottom"/>
            <w:tcBorders>
              <w:bottom w:val="single" w:sz="8" w:color="CFF0FC"/>
            </w:tcBorders>
            <w:shd w:val="clear" w:color="auto" w:fill="98B0CF"/>
          </w:tcPr>
          <w:p>
            <w:pPr>
              <w:jc w:val="right"/>
              <w:ind w:right="391"/>
              <w:spacing w:after="0"/>
              <w:rPr>
                <w:sz w:val="20"/>
                <w:szCs w:val="20"/>
                <w:color w:val="auto"/>
              </w:rPr>
            </w:pPr>
            <w:r>
              <w:rPr>
                <w:rFonts w:ascii="Arial" w:cs="Arial" w:eastAsia="Arial" w:hAnsi="Arial"/>
                <w:sz w:val="13"/>
                <w:szCs w:val="13"/>
                <w:b w:val="1"/>
                <w:bCs w:val="1"/>
                <w:color w:val="231F20"/>
              </w:rPr>
              <w:t>State</w:t>
            </w:r>
          </w:p>
        </w:tc>
      </w:tr>
      <w:tr>
        <w:trPr>
          <w:trHeight w:val="173"/>
        </w:trPr>
        <w:tc>
          <w:tcPr>
            <w:tcW w:w="5640" w:type="dxa"/>
            <w:vAlign w:val="bottom"/>
            <w:tcBorders>
              <w:top w:val="single" w:sz="8" w:color="auto"/>
            </w:tcBorders>
            <w:shd w:val="clear" w:color="auto" w:fill="E2E8F1"/>
          </w:tcPr>
          <w:p>
            <w:pPr>
              <w:ind w:left="80"/>
              <w:spacing w:after="0"/>
              <w:rPr>
                <w:sz w:val="20"/>
                <w:szCs w:val="20"/>
                <w:color w:val="auto"/>
              </w:rPr>
            </w:pPr>
            <w:r>
              <w:rPr>
                <w:rFonts w:ascii="Arial" w:cs="Arial" w:eastAsia="Arial" w:hAnsi="Arial"/>
                <w:sz w:val="14"/>
                <w:szCs w:val="14"/>
                <w:color w:val="231F20"/>
              </w:rPr>
              <w:t>2024</w:t>
            </w:r>
          </w:p>
        </w:tc>
        <w:tc>
          <w:tcPr>
            <w:tcW w:w="3260" w:type="dxa"/>
            <w:vAlign w:val="bottom"/>
            <w:tcBorders>
              <w:top w:val="single" w:sz="8" w:color="auto"/>
            </w:tcBorders>
            <w:shd w:val="clear" w:color="auto" w:fill="E2E8F1"/>
          </w:tcPr>
          <w:p>
            <w:pPr>
              <w:spacing w:after="0"/>
              <w:rPr>
                <w:sz w:val="15"/>
                <w:szCs w:val="15"/>
                <w:color w:val="auto"/>
              </w:rPr>
            </w:pPr>
          </w:p>
        </w:tc>
        <w:tc>
          <w:tcPr>
            <w:tcW w:w="1080" w:type="dxa"/>
            <w:vAlign w:val="bottom"/>
            <w:tcBorders>
              <w:top w:val="single" w:sz="8" w:color="auto"/>
            </w:tcBorders>
            <w:shd w:val="clear" w:color="auto" w:fill="E2E8F1"/>
          </w:tcPr>
          <w:p>
            <w:pPr>
              <w:jc w:val="right"/>
              <w:ind w:right="112"/>
              <w:spacing w:after="0"/>
              <w:rPr>
                <w:sz w:val="20"/>
                <w:szCs w:val="20"/>
                <w:color w:val="auto"/>
              </w:rPr>
            </w:pPr>
            <w:r>
              <w:rPr>
                <w:rFonts w:ascii="Arial" w:cs="Arial" w:eastAsia="Arial" w:hAnsi="Arial"/>
                <w:sz w:val="14"/>
                <w:szCs w:val="14"/>
                <w:color w:val="231F20"/>
              </w:rPr>
              <w:t>2.7</w:t>
            </w:r>
          </w:p>
        </w:tc>
        <w:tc>
          <w:tcPr>
            <w:tcW w:w="260" w:type="dxa"/>
            <w:vAlign w:val="bottom"/>
            <w:tcBorders>
              <w:top w:val="single" w:sz="8" w:color="auto"/>
            </w:tcBorders>
            <w:shd w:val="clear" w:color="auto" w:fill="E2E8F1"/>
          </w:tcPr>
          <w:p>
            <w:pPr>
              <w:spacing w:after="0"/>
              <w:rPr>
                <w:sz w:val="15"/>
                <w:szCs w:val="15"/>
                <w:color w:val="auto"/>
              </w:rPr>
            </w:pPr>
          </w:p>
        </w:tc>
        <w:tc>
          <w:tcPr>
            <w:tcW w:w="1020" w:type="dxa"/>
            <w:vAlign w:val="bottom"/>
            <w:tcBorders>
              <w:top w:val="single" w:sz="8" w:color="auto"/>
            </w:tcBorders>
            <w:shd w:val="clear" w:color="auto" w:fill="E2E8F1"/>
          </w:tcPr>
          <w:p>
            <w:pPr>
              <w:jc w:val="right"/>
              <w:ind w:right="71"/>
              <w:spacing w:after="0"/>
              <w:rPr>
                <w:sz w:val="20"/>
                <w:szCs w:val="20"/>
                <w:color w:val="auto"/>
              </w:rPr>
            </w:pPr>
            <w:r>
              <w:rPr>
                <w:rFonts w:ascii="Arial" w:cs="Arial" w:eastAsia="Arial" w:hAnsi="Arial"/>
                <w:sz w:val="14"/>
                <w:szCs w:val="14"/>
                <w:color w:val="231F20"/>
              </w:rPr>
              <w:t>2.4</w:t>
            </w:r>
          </w:p>
        </w:tc>
      </w:tr>
      <w:tr>
        <w:trPr>
          <w:trHeight w:val="189"/>
        </w:trPr>
        <w:tc>
          <w:tcPr>
            <w:tcW w:w="5640" w:type="dxa"/>
            <w:vAlign w:val="bottom"/>
          </w:tcPr>
          <w:p>
            <w:pPr>
              <w:ind w:left="80"/>
              <w:spacing w:after="0"/>
              <w:rPr>
                <w:sz w:val="20"/>
                <w:szCs w:val="20"/>
                <w:color w:val="auto"/>
              </w:rPr>
            </w:pPr>
            <w:r>
              <w:rPr>
                <w:rFonts w:ascii="Arial" w:cs="Arial" w:eastAsia="Arial" w:hAnsi="Arial"/>
                <w:sz w:val="14"/>
                <w:szCs w:val="14"/>
                <w:color w:val="231F20"/>
              </w:rPr>
              <w:t>2025</w:t>
            </w:r>
          </w:p>
        </w:tc>
        <w:tc>
          <w:tcPr>
            <w:tcW w:w="3260" w:type="dxa"/>
            <w:vAlign w:val="bottom"/>
          </w:tcPr>
          <w:p>
            <w:pPr>
              <w:spacing w:after="0"/>
              <w:rPr>
                <w:sz w:val="16"/>
                <w:szCs w:val="16"/>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color w:val="231F20"/>
              </w:rPr>
              <w:t>0.7</w:t>
            </w:r>
          </w:p>
        </w:tc>
        <w:tc>
          <w:tcPr>
            <w:tcW w:w="26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231F20"/>
              </w:rPr>
              <w:t>8.1</w:t>
            </w:r>
          </w:p>
        </w:tc>
      </w:tr>
      <w:tr>
        <w:trPr>
          <w:trHeight w:val="189"/>
        </w:trPr>
        <w:tc>
          <w:tcPr>
            <w:tcW w:w="564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2026</w:t>
            </w:r>
          </w:p>
        </w:tc>
        <w:tc>
          <w:tcPr>
            <w:tcW w:w="3260" w:type="dxa"/>
            <w:vAlign w:val="bottom"/>
            <w:shd w:val="clear" w:color="auto" w:fill="E2E8F1"/>
          </w:tcPr>
          <w:p>
            <w:pPr>
              <w:spacing w:after="0"/>
              <w:rPr>
                <w:sz w:val="16"/>
                <w:szCs w:val="16"/>
                <w:color w:val="auto"/>
              </w:rPr>
            </w:pPr>
          </w:p>
        </w:tc>
        <w:tc>
          <w:tcPr>
            <w:tcW w:w="1080" w:type="dxa"/>
            <w:vAlign w:val="bottom"/>
            <w:shd w:val="clear" w:color="auto" w:fill="E2E8F1"/>
          </w:tcPr>
          <w:p>
            <w:pPr>
              <w:jc w:val="right"/>
              <w:ind w:right="112"/>
              <w:spacing w:after="0"/>
              <w:rPr>
                <w:sz w:val="20"/>
                <w:szCs w:val="20"/>
                <w:color w:val="auto"/>
              </w:rPr>
            </w:pPr>
            <w:r>
              <w:rPr>
                <w:rFonts w:ascii="Arial" w:cs="Arial" w:eastAsia="Arial" w:hAnsi="Arial"/>
                <w:sz w:val="14"/>
                <w:szCs w:val="14"/>
                <w:color w:val="231F20"/>
              </w:rPr>
              <w:t>3.5</w:t>
            </w:r>
          </w:p>
        </w:tc>
        <w:tc>
          <w:tcPr>
            <w:tcW w:w="260" w:type="dxa"/>
            <w:vAlign w:val="bottom"/>
            <w:shd w:val="clear" w:color="auto" w:fill="E2E8F1"/>
          </w:tcPr>
          <w:p>
            <w:pPr>
              <w:spacing w:after="0"/>
              <w:rPr>
                <w:sz w:val="16"/>
                <w:szCs w:val="16"/>
                <w:color w:val="auto"/>
              </w:rPr>
            </w:pPr>
          </w:p>
        </w:tc>
        <w:tc>
          <w:tcPr>
            <w:tcW w:w="102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231F20"/>
              </w:rPr>
              <w:t>3.7</w:t>
            </w:r>
          </w:p>
        </w:tc>
      </w:tr>
      <w:tr>
        <w:trPr>
          <w:trHeight w:val="189"/>
        </w:trPr>
        <w:tc>
          <w:tcPr>
            <w:tcW w:w="5640" w:type="dxa"/>
            <w:vAlign w:val="bottom"/>
          </w:tcPr>
          <w:p>
            <w:pPr>
              <w:ind w:left="80"/>
              <w:spacing w:after="0"/>
              <w:rPr>
                <w:sz w:val="20"/>
                <w:szCs w:val="20"/>
                <w:color w:val="auto"/>
              </w:rPr>
            </w:pPr>
            <w:r>
              <w:rPr>
                <w:rFonts w:ascii="Arial" w:cs="Arial" w:eastAsia="Arial" w:hAnsi="Arial"/>
                <w:sz w:val="14"/>
                <w:szCs w:val="14"/>
                <w:color w:val="231F20"/>
              </w:rPr>
              <w:t>2027</w:t>
            </w:r>
          </w:p>
        </w:tc>
        <w:tc>
          <w:tcPr>
            <w:tcW w:w="3260" w:type="dxa"/>
            <w:vAlign w:val="bottom"/>
          </w:tcPr>
          <w:p>
            <w:pPr>
              <w:spacing w:after="0"/>
              <w:rPr>
                <w:sz w:val="16"/>
                <w:szCs w:val="16"/>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color w:val="231F20"/>
              </w:rPr>
              <w:t>5.0</w:t>
            </w:r>
          </w:p>
        </w:tc>
        <w:tc>
          <w:tcPr>
            <w:tcW w:w="26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231F20"/>
              </w:rPr>
              <w:t>0.2</w:t>
            </w:r>
          </w:p>
        </w:tc>
      </w:tr>
      <w:tr>
        <w:trPr>
          <w:trHeight w:val="189"/>
        </w:trPr>
        <w:tc>
          <w:tcPr>
            <w:tcW w:w="564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2028</w:t>
            </w:r>
          </w:p>
        </w:tc>
        <w:tc>
          <w:tcPr>
            <w:tcW w:w="3260" w:type="dxa"/>
            <w:vAlign w:val="bottom"/>
            <w:shd w:val="clear" w:color="auto" w:fill="E2E8F1"/>
          </w:tcPr>
          <w:p>
            <w:pPr>
              <w:spacing w:after="0"/>
              <w:rPr>
                <w:sz w:val="16"/>
                <w:szCs w:val="16"/>
                <w:color w:val="auto"/>
              </w:rPr>
            </w:pPr>
          </w:p>
        </w:tc>
        <w:tc>
          <w:tcPr>
            <w:tcW w:w="1080" w:type="dxa"/>
            <w:vAlign w:val="bottom"/>
            <w:shd w:val="clear" w:color="auto" w:fill="E2E8F1"/>
          </w:tcPr>
          <w:p>
            <w:pPr>
              <w:jc w:val="right"/>
              <w:ind w:right="112"/>
              <w:spacing w:after="0"/>
              <w:rPr>
                <w:sz w:val="20"/>
                <w:szCs w:val="20"/>
                <w:color w:val="auto"/>
              </w:rPr>
            </w:pPr>
            <w:r>
              <w:rPr>
                <w:rFonts w:ascii="Arial" w:cs="Arial" w:eastAsia="Arial" w:hAnsi="Arial"/>
                <w:sz w:val="14"/>
                <w:szCs w:val="14"/>
                <w:color w:val="231F20"/>
              </w:rPr>
              <w:t>6.9</w:t>
            </w:r>
          </w:p>
        </w:tc>
        <w:tc>
          <w:tcPr>
            <w:tcW w:w="260" w:type="dxa"/>
            <w:vAlign w:val="bottom"/>
            <w:shd w:val="clear" w:color="auto" w:fill="E2E8F1"/>
          </w:tcPr>
          <w:p>
            <w:pPr>
              <w:spacing w:after="0"/>
              <w:rPr>
                <w:sz w:val="16"/>
                <w:szCs w:val="16"/>
                <w:color w:val="auto"/>
              </w:rPr>
            </w:pPr>
          </w:p>
        </w:tc>
        <w:tc>
          <w:tcPr>
            <w:tcW w:w="102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231F20"/>
              </w:rPr>
              <w:t>1</w:t>
            </w:r>
          </w:p>
        </w:tc>
      </w:tr>
      <w:tr>
        <w:trPr>
          <w:trHeight w:val="189"/>
        </w:trPr>
        <w:tc>
          <w:tcPr>
            <w:tcW w:w="5640" w:type="dxa"/>
            <w:vAlign w:val="bottom"/>
          </w:tcPr>
          <w:p>
            <w:pPr>
              <w:ind w:left="80"/>
              <w:spacing w:after="0"/>
              <w:rPr>
                <w:sz w:val="20"/>
                <w:szCs w:val="20"/>
                <w:color w:val="auto"/>
              </w:rPr>
            </w:pPr>
            <w:r>
              <w:rPr>
                <w:rFonts w:ascii="Arial" w:cs="Arial" w:eastAsia="Arial" w:hAnsi="Arial"/>
                <w:sz w:val="14"/>
                <w:szCs w:val="14"/>
                <w:color w:val="231F20"/>
              </w:rPr>
              <w:t>Thereafter</w:t>
            </w:r>
          </w:p>
        </w:tc>
        <w:tc>
          <w:tcPr>
            <w:tcW w:w="3260" w:type="dxa"/>
            <w:vAlign w:val="bottom"/>
          </w:tcPr>
          <w:p>
            <w:pPr>
              <w:spacing w:after="0"/>
              <w:rPr>
                <w:sz w:val="16"/>
                <w:szCs w:val="16"/>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color w:val="231F20"/>
              </w:rPr>
              <w:t>15.1</w:t>
            </w:r>
          </w:p>
        </w:tc>
        <w:tc>
          <w:tcPr>
            <w:tcW w:w="26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231F20"/>
              </w:rPr>
              <w:t>105.3</w:t>
            </w:r>
          </w:p>
        </w:tc>
      </w:tr>
      <w:tr>
        <w:trPr>
          <w:trHeight w:val="189"/>
        </w:trPr>
        <w:tc>
          <w:tcPr>
            <w:tcW w:w="564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231F20"/>
              </w:rPr>
              <w:t>No expirations</w:t>
            </w:r>
          </w:p>
        </w:tc>
        <w:tc>
          <w:tcPr>
            <w:tcW w:w="3260" w:type="dxa"/>
            <w:vAlign w:val="bottom"/>
            <w:tcBorders>
              <w:bottom w:val="single" w:sz="8" w:color="auto"/>
            </w:tcBorders>
            <w:shd w:val="clear" w:color="auto" w:fill="E2E8F1"/>
          </w:tcPr>
          <w:p>
            <w:pPr>
              <w:spacing w:after="0"/>
              <w:rPr>
                <w:sz w:val="16"/>
                <w:szCs w:val="16"/>
                <w:color w:val="auto"/>
              </w:rPr>
            </w:pPr>
          </w:p>
        </w:tc>
        <w:tc>
          <w:tcPr>
            <w:tcW w:w="1080" w:type="dxa"/>
            <w:vAlign w:val="bottom"/>
            <w:tcBorders>
              <w:bottom w:val="single" w:sz="8" w:color="auto"/>
            </w:tcBorders>
            <w:shd w:val="clear" w:color="auto" w:fill="E2E8F1"/>
          </w:tcPr>
          <w:p>
            <w:pPr>
              <w:jc w:val="right"/>
              <w:ind w:right="112"/>
              <w:spacing w:after="0"/>
              <w:rPr>
                <w:sz w:val="20"/>
                <w:szCs w:val="20"/>
                <w:color w:val="auto"/>
              </w:rPr>
            </w:pPr>
            <w:r>
              <w:rPr>
                <w:rFonts w:ascii="Arial" w:cs="Arial" w:eastAsia="Arial" w:hAnsi="Arial"/>
                <w:sz w:val="14"/>
                <w:szCs w:val="14"/>
                <w:color w:val="231F20"/>
              </w:rPr>
              <w:t>1,007.3</w:t>
            </w:r>
          </w:p>
        </w:tc>
        <w:tc>
          <w:tcPr>
            <w:tcW w:w="26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ind w:right="71"/>
              <w:spacing w:after="0"/>
              <w:rPr>
                <w:sz w:val="20"/>
                <w:szCs w:val="20"/>
                <w:color w:val="auto"/>
              </w:rPr>
            </w:pPr>
            <w:r>
              <w:rPr>
                <w:rFonts w:ascii="Arial" w:cs="Arial" w:eastAsia="Arial" w:hAnsi="Arial"/>
                <w:sz w:val="14"/>
                <w:szCs w:val="14"/>
                <w:color w:val="231F20"/>
              </w:rPr>
              <w:t>30.8</w:t>
            </w:r>
          </w:p>
        </w:tc>
      </w:tr>
      <w:tr>
        <w:trPr>
          <w:trHeight w:val="181"/>
        </w:trPr>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231F20"/>
              </w:rPr>
              <w:t>Total net operating loss carryforwards</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231F20"/>
              </w:rPr>
              <w:t>1,041.2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231F20"/>
              </w:rPr>
              <w:t>151.5</w:t>
            </w:r>
          </w:p>
        </w:tc>
      </w:tr>
    </w:tbl>
    <w:p>
      <w:pPr>
        <w:spacing w:after="0" w:line="92"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We have recorded a deferred tax asset of $184.7 as of December 31, 2024, for the benefit of these net operating losses. Realization of this asset is dependent on generating sufficient taxable income prior to the expiration of the loss carryforwards. A related valuation allowance of $168.8 was recorded as of December 31, 2024, due to the expiration of net operating loss carryforwards and uncertain source of future taxable income.</w:t>
      </w:r>
    </w:p>
    <w:p>
      <w:pPr>
        <w:spacing w:after="0" w:line="6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231F20"/>
        </w:rPr>
        <w:t>We had gross unrecognized tax benefits related to various tax jurisdictions, including interest and penalties, of $36.1, $32.8 and $81.6 in 2024, 2023 and 2022, respectively. If recognized, the entire amount would favorably affect the effective tax rate except for $9.5. Our unrecognized tax benefits decreased by $48.8 during 2023 primarily due to the effective settlement of an audit during the third quarter, which resulted in the recognition of a tax benefit of $10.8. We do not expect our unrecognized tax benefits to change significantly over the next 12 months.</w:t>
      </w:r>
    </w:p>
    <w:p>
      <w:pPr>
        <w:spacing w:after="0" w:line="65"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We recognize accrued interest and penalties related to unrecognized tax benefits in income tax expense. We accrued net interest and penalties of $0.5, $0.6 and $0.8 in 2024, 2023 and 2022, respectively. We reduced our accrued interest and penalties related to unrecognized tax benefits by $4.2 primarily due to the effectively settled income tax audit in the third quarter of 2023.</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70" w:name="page71"/>
    <w:bookmarkEnd w:id="70"/>
    <w:tbl>
      <w:tblPr>
        <w:tblLayout w:type="fixed"/>
        <w:tblInd w:w="5" w:type="dxa"/>
        <w:tblCellMar>
          <w:top w:w="0" w:type="dxa"/>
          <w:left w:w="0" w:type="dxa"/>
          <w:bottom w:w="0" w:type="dxa"/>
          <w:right w:w="0" w:type="dxa"/>
        </w:tblCellMar>
      </w:tblPr>
      <w:tr>
        <w:trPr>
          <w:trHeight w:val="213"/>
        </w:trPr>
        <w:tc>
          <w:tcPr>
            <w:tcW w:w="7660" w:type="dxa"/>
            <w:vAlign w:val="bottom"/>
            <w:shd w:val="clear" w:color="auto" w:fill="5B89B4"/>
          </w:tcPr>
          <w:p>
            <w:pPr>
              <w:spacing w:after="0"/>
              <w:rPr>
                <w:sz w:val="18"/>
                <w:szCs w:val="18"/>
                <w:color w:val="auto"/>
              </w:rPr>
            </w:pPr>
          </w:p>
        </w:tc>
        <w:tc>
          <w:tcPr>
            <w:tcW w:w="800" w:type="dxa"/>
            <w:vAlign w:val="bottom"/>
            <w:shd w:val="clear" w:color="auto" w:fill="5B89B4"/>
          </w:tcPr>
          <w:p>
            <w:pPr>
              <w:spacing w:after="0"/>
              <w:rPr>
                <w:sz w:val="18"/>
                <w:szCs w:val="18"/>
                <w:color w:val="auto"/>
              </w:rPr>
            </w:pPr>
          </w:p>
        </w:tc>
        <w:tc>
          <w:tcPr>
            <w:tcW w:w="500" w:type="dxa"/>
            <w:vAlign w:val="bottom"/>
            <w:shd w:val="clear" w:color="auto" w:fill="5B89B4"/>
          </w:tcPr>
          <w:p>
            <w:pPr>
              <w:spacing w:after="0"/>
              <w:rPr>
                <w:sz w:val="18"/>
                <w:szCs w:val="18"/>
                <w:color w:val="auto"/>
              </w:rPr>
            </w:pPr>
          </w:p>
        </w:tc>
        <w:tc>
          <w:tcPr>
            <w:tcW w:w="320" w:type="dxa"/>
            <w:vAlign w:val="bottom"/>
            <w:shd w:val="clear" w:color="auto" w:fill="5B89B4"/>
          </w:tcPr>
          <w:p>
            <w:pPr>
              <w:spacing w:after="0"/>
              <w:rPr>
                <w:sz w:val="18"/>
                <w:szCs w:val="18"/>
                <w:color w:val="auto"/>
              </w:rPr>
            </w:pPr>
          </w:p>
        </w:tc>
        <w:tc>
          <w:tcPr>
            <w:tcW w:w="880" w:type="dxa"/>
            <w:vAlign w:val="bottom"/>
            <w:shd w:val="clear" w:color="auto" w:fill="5B89B4"/>
          </w:tcPr>
          <w:p>
            <w:pPr>
              <w:spacing w:after="0"/>
              <w:rPr>
                <w:sz w:val="18"/>
                <w:szCs w:val="18"/>
                <w:color w:val="auto"/>
              </w:rPr>
            </w:pPr>
          </w:p>
        </w:tc>
        <w:tc>
          <w:tcPr>
            <w:tcW w:w="300" w:type="dxa"/>
            <w:vAlign w:val="bottom"/>
            <w:shd w:val="clear" w:color="auto" w:fill="5B89B4"/>
          </w:tcPr>
          <w:p>
            <w:pPr>
              <w:spacing w:after="0"/>
              <w:rPr>
                <w:sz w:val="18"/>
                <w:szCs w:val="18"/>
                <w:color w:val="auto"/>
              </w:rPr>
            </w:pPr>
          </w:p>
        </w:tc>
        <w:tc>
          <w:tcPr>
            <w:tcW w:w="800" w:type="dxa"/>
            <w:vAlign w:val="bottom"/>
            <w:shd w:val="clear" w:color="auto" w:fill="5B89B4"/>
          </w:tcPr>
          <w:p>
            <w:pPr>
              <w:jc w:val="right"/>
              <w:ind w:right="9"/>
              <w:spacing w:after="0"/>
              <w:rPr>
                <w:sz w:val="20"/>
                <w:szCs w:val="20"/>
                <w:color w:val="auto"/>
              </w:rPr>
            </w:pPr>
            <w:r>
              <w:rPr>
                <w:rFonts w:ascii="Arial" w:cs="Arial" w:eastAsia="Arial" w:hAnsi="Arial"/>
                <w:sz w:val="16"/>
                <w:szCs w:val="16"/>
                <w:color w:val="FFFFFF"/>
              </w:rPr>
              <w:t>Part II</w:t>
            </w:r>
          </w:p>
        </w:tc>
      </w:tr>
      <w:tr>
        <w:trPr>
          <w:trHeight w:val="369"/>
        </w:trPr>
        <w:tc>
          <w:tcPr>
            <w:tcW w:w="8460" w:type="dxa"/>
            <w:vAlign w:val="bottom"/>
            <w:gridSpan w:val="2"/>
          </w:tcPr>
          <w:p>
            <w:pPr>
              <w:spacing w:after="0"/>
              <w:rPr>
                <w:sz w:val="20"/>
                <w:szCs w:val="20"/>
                <w:color w:val="auto"/>
              </w:rPr>
            </w:pPr>
            <w:r>
              <w:rPr>
                <w:rFonts w:ascii="Arial" w:cs="Arial" w:eastAsia="Arial" w:hAnsi="Arial"/>
                <w:sz w:val="16"/>
                <w:szCs w:val="16"/>
                <w:color w:val="231F20"/>
              </w:rPr>
              <w:t>The following table summarizes the activity related to our unrecognized tax benefits during 2024, 2023, and 2022:</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92"/>
        </w:trPr>
        <w:tc>
          <w:tcPr>
            <w:tcW w:w="76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r>
      <w:tr>
        <w:trPr>
          <w:trHeight w:val="211"/>
        </w:trPr>
        <w:tc>
          <w:tcPr>
            <w:tcW w:w="7660" w:type="dxa"/>
            <w:vAlign w:val="bottom"/>
            <w:tcBorders>
              <w:bottom w:val="single" w:sz="8" w:color="auto"/>
            </w:tcBorders>
            <w:shd w:val="clear" w:color="auto" w:fill="98B0CF"/>
          </w:tcPr>
          <w:p>
            <w:pPr>
              <w:spacing w:after="0"/>
              <w:rPr>
                <w:sz w:val="18"/>
                <w:szCs w:val="18"/>
                <w:color w:val="auto"/>
              </w:rPr>
            </w:pPr>
          </w:p>
        </w:tc>
        <w:tc>
          <w:tcPr>
            <w:tcW w:w="800" w:type="dxa"/>
            <w:vAlign w:val="bottom"/>
            <w:tcBorders>
              <w:bottom w:val="single" w:sz="8" w:color="auto"/>
            </w:tcBorders>
            <w:shd w:val="clear" w:color="auto" w:fill="98B0CF"/>
          </w:tcPr>
          <w:p>
            <w:pPr>
              <w:jc w:val="right"/>
              <w:spacing w:after="0"/>
              <w:rPr>
                <w:sz w:val="20"/>
                <w:szCs w:val="20"/>
                <w:color w:val="auto"/>
              </w:rPr>
            </w:pPr>
            <w:r>
              <w:rPr>
                <w:rFonts w:ascii="Arial" w:cs="Arial" w:eastAsia="Arial" w:hAnsi="Arial"/>
                <w:sz w:val="13"/>
                <w:szCs w:val="13"/>
                <w:b w:val="1"/>
                <w:bCs w:val="1"/>
                <w:color w:val="231F20"/>
              </w:rPr>
              <w:t>2024</w:t>
            </w:r>
          </w:p>
        </w:tc>
        <w:tc>
          <w:tcPr>
            <w:tcW w:w="500" w:type="dxa"/>
            <w:vAlign w:val="bottom"/>
            <w:tcBorders>
              <w:bottom w:val="single" w:sz="8" w:color="auto"/>
            </w:tcBorders>
            <w:shd w:val="clear" w:color="auto" w:fill="98B0CF"/>
          </w:tcPr>
          <w:p>
            <w:pPr>
              <w:spacing w:after="0"/>
              <w:rPr>
                <w:sz w:val="18"/>
                <w:szCs w:val="18"/>
                <w:color w:val="auto"/>
              </w:rPr>
            </w:pPr>
          </w:p>
        </w:tc>
        <w:tc>
          <w:tcPr>
            <w:tcW w:w="320" w:type="dxa"/>
            <w:vAlign w:val="bottom"/>
            <w:tcBorders>
              <w:bottom w:val="single" w:sz="8" w:color="auto"/>
            </w:tcBorders>
            <w:shd w:val="clear" w:color="auto" w:fill="98B0CF"/>
          </w:tcPr>
          <w:p>
            <w:pPr>
              <w:spacing w:after="0"/>
              <w:rPr>
                <w:sz w:val="18"/>
                <w:szCs w:val="18"/>
                <w:color w:val="auto"/>
              </w:rPr>
            </w:pPr>
          </w:p>
        </w:tc>
        <w:tc>
          <w:tcPr>
            <w:tcW w:w="880" w:type="dxa"/>
            <w:vAlign w:val="bottom"/>
            <w:tcBorders>
              <w:bottom w:val="single" w:sz="8" w:color="auto"/>
            </w:tcBorders>
            <w:shd w:val="clear" w:color="auto" w:fill="98B0CF"/>
          </w:tcPr>
          <w:p>
            <w:pPr>
              <w:jc w:val="right"/>
              <w:ind w:right="430"/>
              <w:spacing w:after="0"/>
              <w:rPr>
                <w:sz w:val="20"/>
                <w:szCs w:val="20"/>
                <w:color w:val="auto"/>
              </w:rPr>
            </w:pPr>
            <w:r>
              <w:rPr>
                <w:rFonts w:ascii="Arial" w:cs="Arial" w:eastAsia="Arial" w:hAnsi="Arial"/>
                <w:sz w:val="13"/>
                <w:szCs w:val="13"/>
                <w:b w:val="1"/>
                <w:bCs w:val="1"/>
                <w:color w:val="231F20"/>
              </w:rPr>
              <w:t>2023</w:t>
            </w:r>
          </w:p>
        </w:tc>
        <w:tc>
          <w:tcPr>
            <w:tcW w:w="300" w:type="dxa"/>
            <w:vAlign w:val="bottom"/>
            <w:tcBorders>
              <w:bottom w:val="single" w:sz="8" w:color="auto"/>
            </w:tcBorders>
            <w:shd w:val="clear" w:color="auto" w:fill="98B0CF"/>
          </w:tcPr>
          <w:p>
            <w:pPr>
              <w:spacing w:after="0"/>
              <w:rPr>
                <w:sz w:val="18"/>
                <w:szCs w:val="18"/>
                <w:color w:val="auto"/>
              </w:rPr>
            </w:pPr>
          </w:p>
        </w:tc>
        <w:tc>
          <w:tcPr>
            <w:tcW w:w="800" w:type="dxa"/>
            <w:vAlign w:val="bottom"/>
            <w:tcBorders>
              <w:bottom w:val="single" w:sz="8" w:color="auto"/>
            </w:tcBorders>
            <w:shd w:val="clear" w:color="auto" w:fill="98B0CF"/>
          </w:tcPr>
          <w:p>
            <w:pPr>
              <w:jc w:val="right"/>
              <w:ind w:right="349"/>
              <w:spacing w:after="0"/>
              <w:rPr>
                <w:sz w:val="20"/>
                <w:szCs w:val="20"/>
                <w:color w:val="auto"/>
              </w:rPr>
            </w:pPr>
            <w:r>
              <w:rPr>
                <w:rFonts w:ascii="Arial" w:cs="Arial" w:eastAsia="Arial" w:hAnsi="Arial"/>
                <w:sz w:val="13"/>
                <w:szCs w:val="13"/>
                <w:b w:val="1"/>
                <w:bCs w:val="1"/>
                <w:color w:val="231F20"/>
              </w:rPr>
              <w:t>2022</w:t>
            </w:r>
          </w:p>
        </w:tc>
      </w:tr>
      <w:tr>
        <w:trPr>
          <w:trHeight w:val="187"/>
        </w:trPr>
        <w:tc>
          <w:tcPr>
            <w:tcW w:w="766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Gross unrecognized tax benefits, beginning of year</w:t>
            </w:r>
          </w:p>
        </w:tc>
        <w:tc>
          <w:tcPr>
            <w:tcW w:w="800" w:type="dxa"/>
            <w:vAlign w:val="bottom"/>
            <w:shd w:val="clear" w:color="auto" w:fill="E2E8F1"/>
          </w:tcPr>
          <w:p>
            <w:pPr>
              <w:jc w:val="right"/>
              <w:ind w:right="431"/>
              <w:spacing w:after="0"/>
              <w:rPr>
                <w:sz w:val="20"/>
                <w:szCs w:val="20"/>
                <w:color w:val="auto"/>
              </w:rPr>
            </w:pPr>
            <w:r>
              <w:rPr>
                <w:rFonts w:ascii="Arial" w:cs="Arial" w:eastAsia="Arial" w:hAnsi="Arial"/>
                <w:sz w:val="14"/>
                <w:szCs w:val="14"/>
                <w:color w:val="231F20"/>
              </w:rPr>
              <w:t>$</w:t>
            </w:r>
          </w:p>
        </w:tc>
        <w:tc>
          <w:tcPr>
            <w:tcW w:w="500" w:type="dxa"/>
            <w:vAlign w:val="bottom"/>
            <w:shd w:val="clear" w:color="auto" w:fill="E2E8F1"/>
          </w:tcPr>
          <w:p>
            <w:pPr>
              <w:jc w:val="right"/>
              <w:ind w:right="149"/>
              <w:spacing w:after="0"/>
              <w:rPr>
                <w:sz w:val="20"/>
                <w:szCs w:val="20"/>
                <w:color w:val="auto"/>
              </w:rPr>
            </w:pPr>
            <w:r>
              <w:rPr>
                <w:rFonts w:ascii="Arial" w:cs="Arial" w:eastAsia="Arial" w:hAnsi="Arial"/>
                <w:sz w:val="14"/>
                <w:szCs w:val="14"/>
                <w:color w:val="231F20"/>
                <w:w w:val="95"/>
              </w:rPr>
              <w:t>31.1</w:t>
            </w:r>
          </w:p>
        </w:tc>
        <w:tc>
          <w:tcPr>
            <w:tcW w:w="320" w:type="dxa"/>
            <w:vAlign w:val="bottom"/>
            <w:shd w:val="clear" w:color="auto" w:fill="E2E8F1"/>
          </w:tcPr>
          <w:p>
            <w:pPr>
              <w:jc w:val="right"/>
              <w:ind w:right="49"/>
              <w:spacing w:after="0"/>
              <w:rPr>
                <w:sz w:val="20"/>
                <w:szCs w:val="20"/>
                <w:color w:val="auto"/>
              </w:rPr>
            </w:pPr>
            <w:r>
              <w:rPr>
                <w:rFonts w:ascii="Arial" w:cs="Arial" w:eastAsia="Arial" w:hAnsi="Arial"/>
                <w:sz w:val="14"/>
                <w:szCs w:val="14"/>
                <w:color w:val="231F20"/>
              </w:rPr>
              <w:t>$</w:t>
            </w:r>
          </w:p>
        </w:tc>
        <w:tc>
          <w:tcPr>
            <w:tcW w:w="88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231F20"/>
              </w:rPr>
              <w:t>76.3</w:t>
            </w:r>
          </w:p>
        </w:tc>
        <w:tc>
          <w:tcPr>
            <w:tcW w:w="30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w:t>
            </w:r>
          </w:p>
        </w:tc>
        <w:tc>
          <w:tcPr>
            <w:tcW w:w="80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67.3</w:t>
            </w:r>
          </w:p>
        </w:tc>
      </w:tr>
      <w:tr>
        <w:trPr>
          <w:trHeight w:val="189"/>
        </w:trPr>
        <w:tc>
          <w:tcPr>
            <w:tcW w:w="7660" w:type="dxa"/>
            <w:vAlign w:val="bottom"/>
          </w:tcPr>
          <w:p>
            <w:pPr>
              <w:ind w:left="240"/>
              <w:spacing w:after="0"/>
              <w:rPr>
                <w:sz w:val="20"/>
                <w:szCs w:val="20"/>
                <w:color w:val="auto"/>
              </w:rPr>
            </w:pPr>
            <w:r>
              <w:rPr>
                <w:rFonts w:ascii="Arial" w:cs="Arial" w:eastAsia="Arial" w:hAnsi="Arial"/>
                <w:sz w:val="14"/>
                <w:szCs w:val="14"/>
                <w:color w:val="231F20"/>
              </w:rPr>
              <w:t>Increases in prior year tax positions</w:t>
            </w:r>
          </w:p>
        </w:tc>
        <w:tc>
          <w:tcPr>
            <w:tcW w:w="800" w:type="dxa"/>
            <w:vAlign w:val="bottom"/>
          </w:tcPr>
          <w:p>
            <w:pPr>
              <w:spacing w:after="0"/>
              <w:rPr>
                <w:sz w:val="16"/>
                <w:szCs w:val="16"/>
                <w:color w:val="auto"/>
              </w:rPr>
            </w:pPr>
          </w:p>
        </w:tc>
        <w:tc>
          <w:tcPr>
            <w:tcW w:w="500" w:type="dxa"/>
            <w:vAlign w:val="bottom"/>
          </w:tcPr>
          <w:p>
            <w:pPr>
              <w:jc w:val="right"/>
              <w:ind w:right="149"/>
              <w:spacing w:after="0"/>
              <w:rPr>
                <w:sz w:val="20"/>
                <w:szCs w:val="20"/>
                <w:color w:val="auto"/>
              </w:rPr>
            </w:pPr>
            <w:r>
              <w:rPr>
                <w:rFonts w:ascii="Arial" w:cs="Arial" w:eastAsia="Arial" w:hAnsi="Arial"/>
                <w:sz w:val="14"/>
                <w:szCs w:val="14"/>
                <w:color w:val="231F20"/>
              </w:rPr>
              <w:t>6.5</w:t>
            </w:r>
          </w:p>
        </w:tc>
        <w:tc>
          <w:tcPr>
            <w:tcW w:w="320" w:type="dxa"/>
            <w:vAlign w:val="bottom"/>
          </w:tcPr>
          <w:p>
            <w:pPr>
              <w:spacing w:after="0"/>
              <w:rPr>
                <w:sz w:val="16"/>
                <w:szCs w:val="16"/>
                <w:color w:val="auto"/>
              </w:rPr>
            </w:pPr>
          </w:p>
        </w:tc>
        <w:tc>
          <w:tcPr>
            <w:tcW w:w="880" w:type="dxa"/>
            <w:vAlign w:val="bottom"/>
          </w:tcPr>
          <w:p>
            <w:pPr>
              <w:jc w:val="right"/>
              <w:ind w:right="130"/>
              <w:spacing w:after="0"/>
              <w:rPr>
                <w:sz w:val="20"/>
                <w:szCs w:val="20"/>
                <w:color w:val="auto"/>
              </w:rPr>
            </w:pPr>
            <w:r>
              <w:rPr>
                <w:rFonts w:ascii="Arial" w:cs="Arial" w:eastAsia="Arial" w:hAnsi="Arial"/>
                <w:sz w:val="14"/>
                <w:szCs w:val="14"/>
                <w:color w:val="231F20"/>
              </w:rPr>
              <w:t>4.6</w:t>
            </w:r>
          </w:p>
        </w:tc>
        <w:tc>
          <w:tcPr>
            <w:tcW w:w="30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231F20"/>
              </w:rPr>
              <w:t>10.5</w:t>
            </w:r>
          </w:p>
        </w:tc>
      </w:tr>
      <w:tr>
        <w:trPr>
          <w:trHeight w:val="189"/>
        </w:trPr>
        <w:tc>
          <w:tcPr>
            <w:tcW w:w="766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Decreases in prior year tax positions</w:t>
            </w:r>
          </w:p>
        </w:tc>
        <w:tc>
          <w:tcPr>
            <w:tcW w:w="800" w:type="dxa"/>
            <w:vAlign w:val="bottom"/>
            <w:shd w:val="clear" w:color="auto" w:fill="E2E8F1"/>
          </w:tcPr>
          <w:p>
            <w:pPr>
              <w:spacing w:after="0"/>
              <w:rPr>
                <w:sz w:val="16"/>
                <w:szCs w:val="16"/>
                <w:color w:val="auto"/>
              </w:rPr>
            </w:pPr>
          </w:p>
        </w:tc>
        <w:tc>
          <w:tcPr>
            <w:tcW w:w="50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(0.6 )</w:t>
            </w:r>
          </w:p>
        </w:tc>
        <w:tc>
          <w:tcPr>
            <w:tcW w:w="32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231F20"/>
              </w:rPr>
              <w:t>(1.2 )</w:t>
            </w:r>
          </w:p>
        </w:tc>
        <w:tc>
          <w:tcPr>
            <w:tcW w:w="300" w:type="dxa"/>
            <w:vAlign w:val="bottom"/>
            <w:shd w:val="clear" w:color="auto" w:fill="E2E8F1"/>
          </w:tcPr>
          <w:p>
            <w:pPr>
              <w:spacing w:after="0"/>
              <w:rPr>
                <w:sz w:val="16"/>
                <w:szCs w:val="16"/>
                <w:color w:val="auto"/>
              </w:rPr>
            </w:pPr>
          </w:p>
        </w:tc>
        <w:tc>
          <w:tcPr>
            <w:tcW w:w="80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(1.2 )</w:t>
            </w:r>
          </w:p>
        </w:tc>
      </w:tr>
      <w:tr>
        <w:trPr>
          <w:trHeight w:val="189"/>
        </w:trPr>
        <w:tc>
          <w:tcPr>
            <w:tcW w:w="7660" w:type="dxa"/>
            <w:vAlign w:val="bottom"/>
          </w:tcPr>
          <w:p>
            <w:pPr>
              <w:ind w:left="240"/>
              <w:spacing w:after="0"/>
              <w:rPr>
                <w:sz w:val="20"/>
                <w:szCs w:val="20"/>
                <w:color w:val="auto"/>
              </w:rPr>
            </w:pPr>
            <w:r>
              <w:rPr>
                <w:rFonts w:ascii="Arial" w:cs="Arial" w:eastAsia="Arial" w:hAnsi="Arial"/>
                <w:sz w:val="14"/>
                <w:szCs w:val="14"/>
                <w:color w:val="231F20"/>
              </w:rPr>
              <w:t>Increases for current year tax positions</w:t>
            </w:r>
          </w:p>
        </w:tc>
        <w:tc>
          <w:tcPr>
            <w:tcW w:w="800" w:type="dxa"/>
            <w:vAlign w:val="bottom"/>
          </w:tcPr>
          <w:p>
            <w:pPr>
              <w:spacing w:after="0"/>
              <w:rPr>
                <w:sz w:val="16"/>
                <w:szCs w:val="16"/>
                <w:color w:val="auto"/>
              </w:rPr>
            </w:pPr>
          </w:p>
        </w:tc>
        <w:tc>
          <w:tcPr>
            <w:tcW w:w="500" w:type="dxa"/>
            <w:vAlign w:val="bottom"/>
          </w:tcPr>
          <w:p>
            <w:pPr>
              <w:jc w:val="right"/>
              <w:ind w:right="149"/>
              <w:spacing w:after="0"/>
              <w:rPr>
                <w:sz w:val="20"/>
                <w:szCs w:val="20"/>
                <w:color w:val="auto"/>
              </w:rPr>
            </w:pPr>
            <w:r>
              <w:rPr>
                <w:rFonts w:ascii="Arial" w:cs="Arial" w:eastAsia="Arial" w:hAnsi="Arial"/>
                <w:sz w:val="14"/>
                <w:szCs w:val="14"/>
                <w:color w:val="231F20"/>
              </w:rPr>
              <w:t>2.2</w:t>
            </w:r>
          </w:p>
        </w:tc>
        <w:tc>
          <w:tcPr>
            <w:tcW w:w="320" w:type="dxa"/>
            <w:vAlign w:val="bottom"/>
          </w:tcPr>
          <w:p>
            <w:pPr>
              <w:spacing w:after="0"/>
              <w:rPr>
                <w:sz w:val="16"/>
                <w:szCs w:val="16"/>
                <w:color w:val="auto"/>
              </w:rPr>
            </w:pPr>
          </w:p>
        </w:tc>
        <w:tc>
          <w:tcPr>
            <w:tcW w:w="880" w:type="dxa"/>
            <w:vAlign w:val="bottom"/>
          </w:tcPr>
          <w:p>
            <w:pPr>
              <w:jc w:val="right"/>
              <w:ind w:right="130"/>
              <w:spacing w:after="0"/>
              <w:rPr>
                <w:sz w:val="20"/>
                <w:szCs w:val="20"/>
                <w:color w:val="auto"/>
              </w:rPr>
            </w:pPr>
            <w:r>
              <w:rPr>
                <w:rFonts w:ascii="Arial" w:cs="Arial" w:eastAsia="Arial" w:hAnsi="Arial"/>
                <w:sz w:val="14"/>
                <w:szCs w:val="14"/>
                <w:color w:val="231F20"/>
              </w:rPr>
              <w:t>2.6</w:t>
            </w:r>
          </w:p>
        </w:tc>
        <w:tc>
          <w:tcPr>
            <w:tcW w:w="30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231F20"/>
              </w:rPr>
              <w:t>2.3</w:t>
            </w:r>
          </w:p>
        </w:tc>
      </w:tr>
      <w:tr>
        <w:trPr>
          <w:trHeight w:val="189"/>
        </w:trPr>
        <w:tc>
          <w:tcPr>
            <w:tcW w:w="7660" w:type="dxa"/>
            <w:vAlign w:val="bottom"/>
            <w:tcBorders>
              <w:bottom w:val="single" w:sz="8" w:color="auto"/>
            </w:tcBorders>
            <w:shd w:val="clear" w:color="auto" w:fill="E2E8F1"/>
          </w:tcPr>
          <w:p>
            <w:pPr>
              <w:ind w:left="240"/>
              <w:spacing w:after="0"/>
              <w:rPr>
                <w:sz w:val="20"/>
                <w:szCs w:val="20"/>
                <w:color w:val="auto"/>
              </w:rPr>
            </w:pPr>
            <w:r>
              <w:rPr>
                <w:rFonts w:ascii="Arial" w:cs="Arial" w:eastAsia="Arial" w:hAnsi="Arial"/>
                <w:sz w:val="14"/>
                <w:szCs w:val="14"/>
                <w:color w:val="231F20"/>
              </w:rPr>
              <w:t>Expiration of statute of limitations and audit settlements</w:t>
            </w:r>
          </w:p>
        </w:tc>
        <w:tc>
          <w:tcPr>
            <w:tcW w:w="800" w:type="dxa"/>
            <w:vAlign w:val="bottom"/>
            <w:tcBorders>
              <w:bottom w:val="single" w:sz="8" w:color="auto"/>
            </w:tcBorders>
            <w:shd w:val="clear" w:color="auto" w:fill="E2E8F1"/>
          </w:tcPr>
          <w:p>
            <w:pPr>
              <w:spacing w:after="0"/>
              <w:rPr>
                <w:sz w:val="16"/>
                <w:szCs w:val="16"/>
                <w:color w:val="auto"/>
              </w:rPr>
            </w:pPr>
          </w:p>
        </w:tc>
        <w:tc>
          <w:tcPr>
            <w:tcW w:w="500" w:type="dxa"/>
            <w:vAlign w:val="bottom"/>
            <w:tcBorders>
              <w:bottom w:val="single" w:sz="8" w:color="auto"/>
            </w:tcBorders>
            <w:shd w:val="clear" w:color="auto" w:fill="E2E8F1"/>
          </w:tcPr>
          <w:p>
            <w:pPr>
              <w:jc w:val="right"/>
              <w:ind w:right="69"/>
              <w:spacing w:after="0"/>
              <w:rPr>
                <w:sz w:val="20"/>
                <w:szCs w:val="20"/>
                <w:color w:val="auto"/>
              </w:rPr>
            </w:pPr>
            <w:r>
              <w:rPr>
                <w:rFonts w:ascii="Arial" w:cs="Arial" w:eastAsia="Arial" w:hAnsi="Arial"/>
                <w:sz w:val="14"/>
                <w:szCs w:val="14"/>
                <w:color w:val="231F20"/>
              </w:rPr>
              <w:t>(4.5 )</w:t>
            </w:r>
          </w:p>
        </w:tc>
        <w:tc>
          <w:tcPr>
            <w:tcW w:w="32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jc w:val="right"/>
              <w:ind w:right="50"/>
              <w:spacing w:after="0"/>
              <w:rPr>
                <w:sz w:val="20"/>
                <w:szCs w:val="20"/>
                <w:color w:val="auto"/>
              </w:rPr>
            </w:pPr>
            <w:r>
              <w:rPr>
                <w:rFonts w:ascii="Arial" w:cs="Arial" w:eastAsia="Arial" w:hAnsi="Arial"/>
                <w:sz w:val="14"/>
                <w:szCs w:val="14"/>
                <w:color w:val="231F20"/>
              </w:rPr>
              <w:t>(51.2 )</w:t>
            </w:r>
          </w:p>
        </w:tc>
        <w:tc>
          <w:tcPr>
            <w:tcW w:w="300" w:type="dxa"/>
            <w:vAlign w:val="bottom"/>
            <w:tcBorders>
              <w:bottom w:val="single" w:sz="8" w:color="auto"/>
            </w:tcBorders>
            <w:shd w:val="clear" w:color="auto" w:fill="E2E8F1"/>
          </w:tcPr>
          <w:p>
            <w:pPr>
              <w:spacing w:after="0"/>
              <w:rPr>
                <w:sz w:val="16"/>
                <w:szCs w:val="16"/>
                <w:color w:val="auto"/>
              </w:rPr>
            </w:pPr>
          </w:p>
        </w:tc>
        <w:tc>
          <w:tcPr>
            <w:tcW w:w="8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231F20"/>
              </w:rPr>
              <w:t>(2.6 )</w:t>
            </w:r>
          </w:p>
        </w:tc>
      </w:tr>
      <w:tr>
        <w:trPr>
          <w:trHeight w:val="181"/>
        </w:trPr>
        <w:tc>
          <w:tcPr>
            <w:tcW w:w="76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231F20"/>
              </w:rPr>
              <w:t>Gross unrecognized tax benefits, end of year</w:t>
            </w:r>
          </w:p>
        </w:tc>
        <w:tc>
          <w:tcPr>
            <w:tcW w:w="8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231F20"/>
              </w:rPr>
              <w:t>$</w:t>
            </w:r>
          </w:p>
        </w:tc>
        <w:tc>
          <w:tcPr>
            <w:tcW w:w="5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231F20"/>
                <w:w w:val="95"/>
              </w:rPr>
              <w:t>34.7</w:t>
            </w:r>
          </w:p>
        </w:tc>
        <w:tc>
          <w:tcPr>
            <w:tcW w:w="3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231F20"/>
              </w:rPr>
              <w:t>31.1</w:t>
            </w:r>
          </w:p>
        </w:tc>
        <w:tc>
          <w:tcPr>
            <w:tcW w:w="3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231F20"/>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231F20"/>
              </w:rPr>
              <w:t>76.3</w:t>
            </w:r>
          </w:p>
        </w:tc>
      </w:tr>
      <w:tr>
        <w:trPr>
          <w:trHeight w:val="181"/>
        </w:trPr>
        <w:tc>
          <w:tcPr>
            <w:tcW w:w="766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231F20"/>
              </w:rPr>
              <w:t>Potential interest and penalties</w:t>
            </w:r>
          </w:p>
        </w:tc>
        <w:tc>
          <w:tcPr>
            <w:tcW w:w="800" w:type="dxa"/>
            <w:vAlign w:val="bottom"/>
            <w:tcBorders>
              <w:bottom w:val="single" w:sz="8" w:color="auto"/>
            </w:tcBorders>
            <w:shd w:val="clear" w:color="auto" w:fill="E2E8F1"/>
          </w:tcPr>
          <w:p>
            <w:pPr>
              <w:spacing w:after="0"/>
              <w:rPr>
                <w:sz w:val="15"/>
                <w:szCs w:val="15"/>
                <w:color w:val="auto"/>
              </w:rPr>
            </w:pPr>
          </w:p>
        </w:tc>
        <w:tc>
          <w:tcPr>
            <w:tcW w:w="500" w:type="dxa"/>
            <w:vAlign w:val="bottom"/>
            <w:tcBorders>
              <w:bottom w:val="single" w:sz="8" w:color="auto"/>
            </w:tcBorders>
            <w:shd w:val="clear" w:color="auto" w:fill="E2E8F1"/>
          </w:tcPr>
          <w:p>
            <w:pPr>
              <w:jc w:val="right"/>
              <w:ind w:right="149"/>
              <w:spacing w:after="0"/>
              <w:rPr>
                <w:sz w:val="20"/>
                <w:szCs w:val="20"/>
                <w:color w:val="auto"/>
              </w:rPr>
            </w:pPr>
            <w:r>
              <w:rPr>
                <w:rFonts w:ascii="Arial" w:cs="Arial" w:eastAsia="Arial" w:hAnsi="Arial"/>
                <w:sz w:val="14"/>
                <w:szCs w:val="14"/>
                <w:color w:val="231F20"/>
              </w:rPr>
              <w:t>1.4</w:t>
            </w:r>
          </w:p>
        </w:tc>
        <w:tc>
          <w:tcPr>
            <w:tcW w:w="320" w:type="dxa"/>
            <w:vAlign w:val="bottom"/>
            <w:tcBorders>
              <w:bottom w:val="single" w:sz="8" w:color="auto"/>
            </w:tcBorders>
            <w:shd w:val="clear" w:color="auto" w:fill="E2E8F1"/>
          </w:tcPr>
          <w:p>
            <w:pPr>
              <w:spacing w:after="0"/>
              <w:rPr>
                <w:sz w:val="15"/>
                <w:szCs w:val="15"/>
                <w:color w:val="auto"/>
              </w:rPr>
            </w:pPr>
          </w:p>
        </w:tc>
        <w:tc>
          <w:tcPr>
            <w:tcW w:w="880" w:type="dxa"/>
            <w:vAlign w:val="bottom"/>
            <w:tcBorders>
              <w:bottom w:val="single" w:sz="8" w:color="auto"/>
            </w:tcBorders>
            <w:shd w:val="clear" w:color="auto" w:fill="E2E8F1"/>
          </w:tcPr>
          <w:p>
            <w:pPr>
              <w:jc w:val="right"/>
              <w:ind w:right="130"/>
              <w:spacing w:after="0"/>
              <w:rPr>
                <w:sz w:val="20"/>
                <w:szCs w:val="20"/>
                <w:color w:val="auto"/>
              </w:rPr>
            </w:pPr>
            <w:r>
              <w:rPr>
                <w:rFonts w:ascii="Arial" w:cs="Arial" w:eastAsia="Arial" w:hAnsi="Arial"/>
                <w:sz w:val="14"/>
                <w:szCs w:val="14"/>
                <w:color w:val="231F20"/>
              </w:rPr>
              <w:t>1.7</w:t>
            </w:r>
          </w:p>
        </w:tc>
        <w:tc>
          <w:tcPr>
            <w:tcW w:w="300" w:type="dxa"/>
            <w:vAlign w:val="bottom"/>
            <w:tcBorders>
              <w:bottom w:val="single" w:sz="8" w:color="auto"/>
            </w:tcBorders>
            <w:shd w:val="clear" w:color="auto" w:fill="E2E8F1"/>
          </w:tcPr>
          <w:p>
            <w:pPr>
              <w:spacing w:after="0"/>
              <w:rPr>
                <w:sz w:val="15"/>
                <w:szCs w:val="15"/>
                <w:color w:val="auto"/>
              </w:rPr>
            </w:pPr>
          </w:p>
        </w:tc>
        <w:tc>
          <w:tcPr>
            <w:tcW w:w="800" w:type="dxa"/>
            <w:vAlign w:val="bottom"/>
            <w:tcBorders>
              <w:bottom w:val="single" w:sz="8" w:color="auto"/>
            </w:tcBorders>
            <w:shd w:val="clear" w:color="auto" w:fill="E2E8F1"/>
          </w:tcPr>
          <w:p>
            <w:pPr>
              <w:jc w:val="right"/>
              <w:ind w:right="69"/>
              <w:spacing w:after="0"/>
              <w:rPr>
                <w:sz w:val="20"/>
                <w:szCs w:val="20"/>
                <w:color w:val="auto"/>
              </w:rPr>
            </w:pPr>
            <w:r>
              <w:rPr>
                <w:rFonts w:ascii="Arial" w:cs="Arial" w:eastAsia="Arial" w:hAnsi="Arial"/>
                <w:sz w:val="14"/>
                <w:szCs w:val="14"/>
                <w:color w:val="231F20"/>
              </w:rPr>
              <w:t>5.3</w:t>
            </w:r>
          </w:p>
        </w:tc>
      </w:tr>
      <w:tr>
        <w:trPr>
          <w:trHeight w:val="181"/>
        </w:trPr>
        <w:tc>
          <w:tcPr>
            <w:tcW w:w="76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231F20"/>
              </w:rPr>
              <w:t>Balance, end of year</w:t>
            </w:r>
          </w:p>
        </w:tc>
        <w:tc>
          <w:tcPr>
            <w:tcW w:w="8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231F20"/>
              </w:rPr>
              <w:t>$</w:t>
            </w:r>
          </w:p>
        </w:tc>
        <w:tc>
          <w:tcPr>
            <w:tcW w:w="5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231F20"/>
                <w:w w:val="95"/>
              </w:rPr>
              <w:t>36.1</w:t>
            </w:r>
          </w:p>
        </w:tc>
        <w:tc>
          <w:tcPr>
            <w:tcW w:w="3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231F20"/>
              </w:rPr>
              <w:t>32.8</w:t>
            </w:r>
          </w:p>
        </w:tc>
        <w:tc>
          <w:tcPr>
            <w:tcW w:w="3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231F20"/>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231F20"/>
              </w:rPr>
              <w:t>81.6</w:t>
            </w:r>
          </w:p>
        </w:tc>
      </w:tr>
    </w:tbl>
    <w:p>
      <w:pPr>
        <w:spacing w:after="0" w:line="92"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231F20"/>
        </w:rPr>
        <w:t>We conduct business globally in various countries and territories. We are routinely audited by the tax authorities of the various tax jurisdictions in which we operate. Generally, the tax years that could be subject to examination are 2016 through 2023 for our major operations in France, Italy, the United Kingdom and the United States. As of December 31, 2024, we were subject to tax audits in Austria, Germany, India, Israel, Spain and the United States.</w:t>
      </w:r>
    </w:p>
    <w:p>
      <w:pPr>
        <w:spacing w:after="0" w:line="197" w:lineRule="exact"/>
        <w:rPr>
          <w:sz w:val="20"/>
          <w:szCs w:val="20"/>
          <w:color w:val="auto"/>
        </w:rPr>
      </w:pPr>
    </w:p>
    <w:p>
      <w:pPr>
        <w:ind w:left="325" w:hanging="325"/>
        <w:spacing w:after="0"/>
        <w:tabs>
          <w:tab w:leader="none" w:pos="325" w:val="left"/>
        </w:tabs>
        <w:numPr>
          <w:ilvl w:val="0"/>
          <w:numId w:val="45"/>
        </w:numPr>
        <w:rPr>
          <w:rFonts w:ascii="Arial" w:cs="Arial" w:eastAsia="Arial" w:hAnsi="Arial"/>
          <w:sz w:val="22"/>
          <w:szCs w:val="22"/>
          <w:b w:val="1"/>
          <w:bCs w:val="1"/>
          <w:color w:val="5B89B4"/>
        </w:rPr>
      </w:pPr>
      <w:r>
        <w:rPr>
          <w:rFonts w:ascii="Arial" w:cs="Arial" w:eastAsia="Arial" w:hAnsi="Arial"/>
          <w:sz w:val="22"/>
          <w:szCs w:val="22"/>
          <w:b w:val="1"/>
          <w:bCs w:val="1"/>
          <w:u w:val="single" w:color="auto"/>
          <w:color w:val="5B89B4"/>
        </w:rPr>
        <w:t>Net Earnings Per Share</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The calculation of net earnings per share - basic and net earnings per share - diluted were as follows:</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231"/>
        </w:trPr>
        <w:tc>
          <w:tcPr>
            <w:tcW w:w="6900" w:type="dxa"/>
            <w:vAlign w:val="bottom"/>
            <w:tcBorders>
              <w:top w:val="single" w:sz="8" w:color="231F20"/>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top w:val="single" w:sz="8" w:color="231F20"/>
              <w:bottom w:val="single" w:sz="8" w:color="auto"/>
            </w:tcBorders>
            <w:shd w:val="clear" w:color="auto" w:fill="98B0CF"/>
          </w:tcPr>
          <w:p>
            <w:pPr>
              <w:spacing w:after="0"/>
              <w:rPr>
                <w:sz w:val="20"/>
                <w:szCs w:val="20"/>
                <w:color w:val="auto"/>
              </w:rPr>
            </w:pPr>
          </w:p>
        </w:tc>
        <w:tc>
          <w:tcPr>
            <w:tcW w:w="1060" w:type="dxa"/>
            <w:vAlign w:val="bottom"/>
            <w:tcBorders>
              <w:top w:val="single" w:sz="8" w:color="231F20"/>
              <w:bottom w:val="single" w:sz="8" w:color="auto"/>
            </w:tcBorders>
            <w:shd w:val="clear" w:color="auto" w:fill="98B0CF"/>
          </w:tcPr>
          <w:p>
            <w:pPr>
              <w:jc w:val="right"/>
              <w:ind w:right="530"/>
              <w:spacing w:after="0"/>
              <w:rPr>
                <w:sz w:val="20"/>
                <w:szCs w:val="20"/>
                <w:color w:val="auto"/>
              </w:rPr>
            </w:pPr>
            <w:r>
              <w:rPr>
                <w:rFonts w:ascii="Arial" w:cs="Arial" w:eastAsia="Arial" w:hAnsi="Arial"/>
                <w:sz w:val="13"/>
                <w:szCs w:val="13"/>
                <w:b w:val="1"/>
                <w:bCs w:val="1"/>
                <w:color w:val="auto"/>
              </w:rPr>
              <w:t>2024</w:t>
            </w:r>
          </w:p>
        </w:tc>
        <w:tc>
          <w:tcPr>
            <w:tcW w:w="400" w:type="dxa"/>
            <w:vAlign w:val="bottom"/>
            <w:tcBorders>
              <w:top w:val="single" w:sz="8" w:color="231F20"/>
              <w:bottom w:val="single" w:sz="8" w:color="auto"/>
            </w:tcBorders>
            <w:shd w:val="clear" w:color="auto" w:fill="98B0CF"/>
          </w:tcPr>
          <w:p>
            <w:pPr>
              <w:spacing w:after="0"/>
              <w:rPr>
                <w:sz w:val="20"/>
                <w:szCs w:val="20"/>
                <w:color w:val="auto"/>
              </w:rPr>
            </w:pPr>
          </w:p>
        </w:tc>
        <w:tc>
          <w:tcPr>
            <w:tcW w:w="1040" w:type="dxa"/>
            <w:vAlign w:val="bottom"/>
            <w:tcBorders>
              <w:top w:val="single" w:sz="8" w:color="231F20"/>
              <w:bottom w:val="single" w:sz="8" w:color="auto"/>
            </w:tcBorders>
            <w:shd w:val="clear" w:color="auto" w:fill="98B0CF"/>
          </w:tcPr>
          <w:p>
            <w:pPr>
              <w:jc w:val="right"/>
              <w:ind w:right="490"/>
              <w:spacing w:after="0"/>
              <w:rPr>
                <w:sz w:val="20"/>
                <w:szCs w:val="20"/>
                <w:color w:val="auto"/>
              </w:rPr>
            </w:pPr>
            <w:r>
              <w:rPr>
                <w:rFonts w:ascii="Arial" w:cs="Arial" w:eastAsia="Arial" w:hAnsi="Arial"/>
                <w:sz w:val="13"/>
                <w:szCs w:val="13"/>
                <w:b w:val="1"/>
                <w:bCs w:val="1"/>
                <w:color w:val="auto"/>
              </w:rPr>
              <w:t>2023</w:t>
            </w:r>
          </w:p>
        </w:tc>
        <w:tc>
          <w:tcPr>
            <w:tcW w:w="400" w:type="dxa"/>
            <w:vAlign w:val="bottom"/>
            <w:tcBorders>
              <w:top w:val="single" w:sz="8" w:color="231F20"/>
              <w:bottom w:val="single" w:sz="8" w:color="auto"/>
            </w:tcBorders>
            <w:shd w:val="clear" w:color="auto" w:fill="98B0CF"/>
          </w:tcPr>
          <w:p>
            <w:pPr>
              <w:spacing w:after="0"/>
              <w:rPr>
                <w:sz w:val="20"/>
                <w:szCs w:val="20"/>
                <w:color w:val="auto"/>
              </w:rPr>
            </w:pPr>
          </w:p>
        </w:tc>
        <w:tc>
          <w:tcPr>
            <w:tcW w:w="1060" w:type="dxa"/>
            <w:vAlign w:val="bottom"/>
            <w:tcBorders>
              <w:top w:val="single" w:sz="8" w:color="231F20"/>
              <w:bottom w:val="single" w:sz="8" w:color="auto"/>
            </w:tcBorders>
            <w:shd w:val="clear" w:color="auto" w:fill="98B0CF"/>
          </w:tcPr>
          <w:p>
            <w:pPr>
              <w:jc w:val="right"/>
              <w:ind w:right="530"/>
              <w:spacing w:after="0"/>
              <w:rPr>
                <w:sz w:val="20"/>
                <w:szCs w:val="20"/>
                <w:color w:val="auto"/>
              </w:rPr>
            </w:pPr>
            <w:r>
              <w:rPr>
                <w:rFonts w:ascii="Arial" w:cs="Arial" w:eastAsia="Arial" w:hAnsi="Arial"/>
                <w:sz w:val="13"/>
                <w:szCs w:val="13"/>
                <w:b w:val="1"/>
                <w:bCs w:val="1"/>
                <w:color w:val="auto"/>
              </w:rPr>
              <w:t>2022</w:t>
            </w:r>
          </w:p>
        </w:tc>
      </w:tr>
      <w:tr>
        <w:trPr>
          <w:trHeight w:val="187"/>
        </w:trPr>
        <w:tc>
          <w:tcPr>
            <w:tcW w:w="690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auto"/>
              </w:rPr>
              <w:t>Net earnings available to common shareholders:</w:t>
            </w:r>
          </w:p>
        </w:tc>
        <w:tc>
          <w:tcPr>
            <w:tcW w:w="400" w:type="dxa"/>
            <w:vAlign w:val="bottom"/>
            <w:tcBorders>
              <w:bottom w:val="single" w:sz="8" w:color="231F20"/>
            </w:tcBorders>
            <w:shd w:val="clear" w:color="auto" w:fill="E2E8F1"/>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145.1</w:t>
            </w:r>
          </w:p>
        </w:tc>
        <w:tc>
          <w:tcPr>
            <w:tcW w:w="400" w:type="dxa"/>
            <w:vAlign w:val="bottom"/>
            <w:tcBorders>
              <w:bottom w:val="single" w:sz="8" w:color="231F20"/>
            </w:tcBorders>
            <w:shd w:val="clear" w:color="auto" w:fill="E2E8F1"/>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auto"/>
              </w:rPr>
              <w:t>88.8</w:t>
            </w:r>
          </w:p>
        </w:tc>
        <w:tc>
          <w:tcPr>
            <w:tcW w:w="400" w:type="dxa"/>
            <w:vAlign w:val="bottom"/>
            <w:tcBorders>
              <w:bottom w:val="single" w:sz="8" w:color="231F20"/>
            </w:tcBorders>
            <w:shd w:val="clear" w:color="auto" w:fill="E2E8F1"/>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373.8</w:t>
            </w:r>
          </w:p>
        </w:tc>
      </w:tr>
      <w:tr>
        <w:trPr>
          <w:trHeight w:val="181"/>
        </w:trPr>
        <w:tc>
          <w:tcPr>
            <w:tcW w:w="6900" w:type="dxa"/>
            <w:vAlign w:val="bottom"/>
          </w:tcPr>
          <w:p>
            <w:pPr>
              <w:ind w:left="80"/>
              <w:spacing w:after="0"/>
              <w:rPr>
                <w:sz w:val="20"/>
                <w:szCs w:val="20"/>
                <w:color w:val="auto"/>
              </w:rPr>
            </w:pPr>
            <w:r>
              <w:rPr>
                <w:rFonts w:ascii="Arial" w:cs="Arial" w:eastAsia="Arial" w:hAnsi="Arial"/>
                <w:sz w:val="14"/>
                <w:szCs w:val="14"/>
                <w:color w:val="auto"/>
              </w:rPr>
              <w:t>Weighted-average common shares outstanding (in millions):</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6900" w:type="dxa"/>
            <w:vAlign w:val="bottom"/>
            <w:shd w:val="clear" w:color="auto" w:fill="E2E8F1"/>
          </w:tcPr>
          <w:p>
            <w:pPr>
              <w:ind w:left="80"/>
              <w:spacing w:after="0"/>
              <w:rPr>
                <w:sz w:val="20"/>
                <w:szCs w:val="20"/>
                <w:color w:val="auto"/>
              </w:rPr>
            </w:pPr>
            <w:r>
              <w:rPr>
                <w:rFonts w:ascii="Arial" w:cs="Arial" w:eastAsia="Arial" w:hAnsi="Arial"/>
                <w:sz w:val="14"/>
                <w:szCs w:val="14"/>
                <w:color w:val="auto"/>
              </w:rPr>
              <w:t>Weighted-average common shares outstanding – basic</w:t>
            </w:r>
          </w:p>
        </w:tc>
        <w:tc>
          <w:tcPr>
            <w:tcW w:w="400" w:type="dxa"/>
            <w:vAlign w:val="bottom"/>
            <w:shd w:val="clear" w:color="auto" w:fill="E2E8F1"/>
          </w:tcPr>
          <w:p>
            <w:pPr>
              <w:spacing w:after="0"/>
              <w:rPr>
                <w:sz w:val="16"/>
                <w:szCs w:val="16"/>
                <w:color w:val="auto"/>
              </w:rPr>
            </w:pPr>
          </w:p>
        </w:tc>
        <w:tc>
          <w:tcPr>
            <w:tcW w:w="10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47.8</w:t>
            </w:r>
          </w:p>
        </w:tc>
        <w:tc>
          <w:tcPr>
            <w:tcW w:w="40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auto"/>
              </w:rPr>
              <w:t>49.8</w:t>
            </w:r>
          </w:p>
        </w:tc>
        <w:tc>
          <w:tcPr>
            <w:tcW w:w="400" w:type="dxa"/>
            <w:vAlign w:val="bottom"/>
            <w:shd w:val="clear" w:color="auto" w:fill="E2E8F1"/>
          </w:tcPr>
          <w:p>
            <w:pPr>
              <w:spacing w:after="0"/>
              <w:rPr>
                <w:sz w:val="16"/>
                <w:szCs w:val="16"/>
                <w:color w:val="auto"/>
              </w:rPr>
            </w:pPr>
          </w:p>
        </w:tc>
        <w:tc>
          <w:tcPr>
            <w:tcW w:w="10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52.2</w:t>
            </w:r>
          </w:p>
        </w:tc>
      </w:tr>
      <w:tr>
        <w:trPr>
          <w:trHeight w:val="189"/>
        </w:trPr>
        <w:tc>
          <w:tcPr>
            <w:tcW w:w="6900" w:type="dxa"/>
            <w:vAlign w:val="bottom"/>
            <w:tcBorders>
              <w:bottom w:val="single" w:sz="8" w:color="231F20"/>
            </w:tcBorders>
          </w:tcPr>
          <w:p>
            <w:pPr>
              <w:ind w:left="240"/>
              <w:spacing w:after="0"/>
              <w:rPr>
                <w:sz w:val="20"/>
                <w:szCs w:val="20"/>
                <w:color w:val="auto"/>
              </w:rPr>
            </w:pPr>
            <w:r>
              <w:rPr>
                <w:rFonts w:ascii="Arial" w:cs="Arial" w:eastAsia="Arial" w:hAnsi="Arial"/>
                <w:sz w:val="14"/>
                <w:szCs w:val="14"/>
                <w:color w:val="auto"/>
              </w:rPr>
              <w:t>Effect of other share-based awards</w:t>
            </w:r>
          </w:p>
        </w:tc>
        <w:tc>
          <w:tcPr>
            <w:tcW w:w="40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0.5</w:t>
            </w:r>
          </w:p>
        </w:tc>
        <w:tc>
          <w:tcPr>
            <w:tcW w:w="400" w:type="dxa"/>
            <w:vAlign w:val="bottom"/>
            <w:tcBorders>
              <w:bottom w:val="single" w:sz="8" w:color="231F20"/>
            </w:tcBorders>
          </w:tcPr>
          <w:p>
            <w:pPr>
              <w:spacing w:after="0"/>
              <w:rPr>
                <w:sz w:val="16"/>
                <w:szCs w:val="16"/>
                <w:color w:val="auto"/>
              </w:rPr>
            </w:pPr>
          </w:p>
        </w:tc>
        <w:tc>
          <w:tcPr>
            <w:tcW w:w="104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0.6</w:t>
            </w:r>
          </w:p>
        </w:tc>
        <w:tc>
          <w:tcPr>
            <w:tcW w:w="40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0.6</w:t>
            </w:r>
          </w:p>
        </w:tc>
      </w:tr>
      <w:tr>
        <w:trPr>
          <w:trHeight w:val="181"/>
        </w:trPr>
        <w:tc>
          <w:tcPr>
            <w:tcW w:w="690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auto"/>
              </w:rPr>
              <w:t>Weighted-average common shares outstanding – diluted</w:t>
            </w:r>
          </w:p>
        </w:tc>
        <w:tc>
          <w:tcPr>
            <w:tcW w:w="400" w:type="dxa"/>
            <w:vAlign w:val="bottom"/>
            <w:tcBorders>
              <w:bottom w:val="single" w:sz="8" w:color="231F20"/>
            </w:tcBorders>
            <w:shd w:val="clear" w:color="auto" w:fill="E2E8F1"/>
          </w:tcPr>
          <w:p>
            <w:pPr>
              <w:spacing w:after="0"/>
              <w:rPr>
                <w:sz w:val="15"/>
                <w:szCs w:val="15"/>
                <w:color w:val="auto"/>
              </w:rPr>
            </w:pPr>
          </w:p>
        </w:tc>
        <w:tc>
          <w:tcPr>
            <w:tcW w:w="106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48.3</w:t>
            </w:r>
          </w:p>
        </w:tc>
        <w:tc>
          <w:tcPr>
            <w:tcW w:w="400" w:type="dxa"/>
            <w:vAlign w:val="bottom"/>
            <w:tcBorders>
              <w:bottom w:val="single" w:sz="8" w:color="231F20"/>
            </w:tcBorders>
            <w:shd w:val="clear" w:color="auto" w:fill="E2E8F1"/>
          </w:tcPr>
          <w:p>
            <w:pPr>
              <w:spacing w:after="0"/>
              <w:rPr>
                <w:sz w:val="15"/>
                <w:szCs w:val="15"/>
                <w:color w:val="auto"/>
              </w:rPr>
            </w:pPr>
          </w:p>
        </w:tc>
        <w:tc>
          <w:tcPr>
            <w:tcW w:w="104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auto"/>
              </w:rPr>
              <w:t>50.4</w:t>
            </w:r>
          </w:p>
        </w:tc>
        <w:tc>
          <w:tcPr>
            <w:tcW w:w="400" w:type="dxa"/>
            <w:vAlign w:val="bottom"/>
            <w:tcBorders>
              <w:bottom w:val="single" w:sz="8" w:color="231F20"/>
            </w:tcBorders>
            <w:shd w:val="clear" w:color="auto" w:fill="E2E8F1"/>
          </w:tcPr>
          <w:p>
            <w:pPr>
              <w:spacing w:after="0"/>
              <w:rPr>
                <w:sz w:val="15"/>
                <w:szCs w:val="15"/>
                <w:color w:val="auto"/>
              </w:rPr>
            </w:pPr>
          </w:p>
        </w:tc>
        <w:tc>
          <w:tcPr>
            <w:tcW w:w="106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52.8</w:t>
            </w:r>
          </w:p>
        </w:tc>
      </w:tr>
      <w:tr>
        <w:trPr>
          <w:trHeight w:val="181"/>
        </w:trPr>
        <w:tc>
          <w:tcPr>
            <w:tcW w:w="690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auto"/>
              </w:rPr>
              <w:t>Net earnings per share – basic</w:t>
            </w:r>
          </w:p>
        </w:tc>
        <w:tc>
          <w:tcPr>
            <w:tcW w:w="400" w:type="dxa"/>
            <w:vAlign w:val="bottom"/>
            <w:tcBorders>
              <w:bottom w:val="single" w:sz="8" w:color="231F20"/>
            </w:tcBorders>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3.04</w:t>
            </w:r>
          </w:p>
        </w:tc>
        <w:tc>
          <w:tcPr>
            <w:tcW w:w="400" w:type="dxa"/>
            <w:vAlign w:val="bottom"/>
            <w:tcBorders>
              <w:bottom w:val="single" w:sz="8" w:color="231F20"/>
            </w:tcBorders>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1.78</w:t>
            </w:r>
          </w:p>
        </w:tc>
        <w:tc>
          <w:tcPr>
            <w:tcW w:w="400" w:type="dxa"/>
            <w:vAlign w:val="bottom"/>
            <w:tcBorders>
              <w:bottom w:val="single" w:sz="8" w:color="231F20"/>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7.17</w:t>
            </w:r>
          </w:p>
        </w:tc>
      </w:tr>
      <w:tr>
        <w:trPr>
          <w:trHeight w:val="181"/>
        </w:trPr>
        <w:tc>
          <w:tcPr>
            <w:tcW w:w="690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auto"/>
              </w:rPr>
              <w:t>Net earnings per share – diluted</w:t>
            </w:r>
          </w:p>
        </w:tc>
        <w:tc>
          <w:tcPr>
            <w:tcW w:w="400" w:type="dxa"/>
            <w:vAlign w:val="bottom"/>
            <w:tcBorders>
              <w:bottom w:val="single" w:sz="8" w:color="231F20"/>
            </w:tcBorders>
            <w:shd w:val="clear" w:color="auto" w:fill="E2E8F1"/>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3.01</w:t>
            </w:r>
          </w:p>
        </w:tc>
        <w:tc>
          <w:tcPr>
            <w:tcW w:w="400" w:type="dxa"/>
            <w:vAlign w:val="bottom"/>
            <w:tcBorders>
              <w:bottom w:val="single" w:sz="8" w:color="231F20"/>
            </w:tcBorders>
            <w:shd w:val="clear" w:color="auto" w:fill="E2E8F1"/>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auto"/>
              </w:rPr>
              <w:t>1.76</w:t>
            </w:r>
          </w:p>
        </w:tc>
        <w:tc>
          <w:tcPr>
            <w:tcW w:w="400" w:type="dxa"/>
            <w:vAlign w:val="bottom"/>
            <w:tcBorders>
              <w:bottom w:val="single" w:sz="8" w:color="231F20"/>
            </w:tcBorders>
            <w:shd w:val="clear" w:color="auto" w:fill="E2E8F1"/>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7.08</w:t>
            </w:r>
          </w:p>
        </w:tc>
      </w:tr>
    </w:tbl>
    <w:p>
      <w:pPr>
        <w:spacing w:after="0" w:line="92"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231F20"/>
        </w:rPr>
        <w:t>There were 0.8 million, 0.6 million and 0.5 million share-based awards excluded from the calculation of net earnings per share - diluted for the years ended December 31, 2024, 2023 and 2022, respectively, because their impact was anti-dilutive.</w:t>
      </w:r>
    </w:p>
    <w:p>
      <w:pPr>
        <w:spacing w:after="0" w:line="33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7" w:right="319" w:bottom="1440" w:gutter="0" w:footer="0" w:header="0"/>
        </w:sectPr>
      </w:pPr>
    </w:p>
    <w:bookmarkStart w:id="71" w:name="page72"/>
    <w:bookmarkEnd w:id="71"/>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310" w:lineRule="exact"/>
        <w:rPr>
          <w:sz w:val="20"/>
          <w:szCs w:val="20"/>
          <w:color w:val="auto"/>
        </w:rPr>
      </w:pPr>
    </w:p>
    <w:p>
      <w:pPr>
        <w:ind w:left="325" w:hanging="325"/>
        <w:spacing w:after="0"/>
        <w:tabs>
          <w:tab w:leader="none" w:pos="325" w:val="left"/>
        </w:tabs>
        <w:numPr>
          <w:ilvl w:val="0"/>
          <w:numId w:val="46"/>
        </w:numPr>
        <w:rPr>
          <w:rFonts w:ascii="Arial" w:cs="Arial" w:eastAsia="Arial" w:hAnsi="Arial"/>
          <w:sz w:val="22"/>
          <w:szCs w:val="22"/>
          <w:b w:val="1"/>
          <w:bCs w:val="1"/>
          <w:color w:val="5B89B4"/>
        </w:rPr>
      </w:pPr>
      <w:r>
        <w:rPr>
          <w:rFonts w:ascii="Arial" w:cs="Arial" w:eastAsia="Arial" w:hAnsi="Arial"/>
          <w:sz w:val="22"/>
          <w:szCs w:val="22"/>
          <w:b w:val="1"/>
          <w:bCs w:val="1"/>
          <w:u w:val="single" w:color="auto"/>
          <w:color w:val="5B89B4"/>
        </w:rPr>
        <w:t>Goodwill</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Changes in the carrying value of goodwill by reportable segment and Corporate were as follows:</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130"/>
        </w:trPr>
        <w:tc>
          <w:tcPr>
            <w:tcW w:w="4540" w:type="dxa"/>
            <w:vAlign w:val="bottom"/>
            <w:tcBorders>
              <w:top w:val="single" w:sz="8" w:color="auto"/>
            </w:tcBorders>
            <w:shd w:val="clear" w:color="auto" w:fill="98B0CF"/>
          </w:tcPr>
          <w:p>
            <w:pPr>
              <w:spacing w:after="0"/>
              <w:rPr>
                <w:sz w:val="11"/>
                <w:szCs w:val="11"/>
                <w:color w:val="auto"/>
              </w:rPr>
            </w:pPr>
          </w:p>
        </w:tc>
        <w:tc>
          <w:tcPr>
            <w:tcW w:w="300" w:type="dxa"/>
            <w:vAlign w:val="bottom"/>
            <w:tcBorders>
              <w:top w:val="single" w:sz="8" w:color="auto"/>
            </w:tcBorders>
            <w:shd w:val="clear" w:color="auto" w:fill="98B0CF"/>
          </w:tcPr>
          <w:p>
            <w:pPr>
              <w:spacing w:after="0"/>
              <w:rPr>
                <w:sz w:val="11"/>
                <w:szCs w:val="11"/>
                <w:color w:val="auto"/>
              </w:rPr>
            </w:pPr>
          </w:p>
        </w:tc>
        <w:tc>
          <w:tcPr>
            <w:tcW w:w="920" w:type="dxa"/>
            <w:vAlign w:val="bottom"/>
            <w:tcBorders>
              <w:top w:val="single" w:sz="8" w:color="auto"/>
            </w:tcBorders>
            <w:vMerge w:val="restart"/>
            <w:shd w:val="clear" w:color="auto" w:fill="98B0CF"/>
          </w:tcPr>
          <w:p>
            <w:pPr>
              <w:jc w:val="right"/>
              <w:ind w:right="170"/>
              <w:spacing w:after="0"/>
              <w:rPr>
                <w:sz w:val="20"/>
                <w:szCs w:val="20"/>
                <w:color w:val="auto"/>
              </w:rPr>
            </w:pPr>
            <w:r>
              <w:rPr>
                <w:rFonts w:ascii="Arial" w:cs="Arial" w:eastAsia="Arial" w:hAnsi="Arial"/>
                <w:sz w:val="13"/>
                <w:szCs w:val="13"/>
                <w:b w:val="1"/>
                <w:bCs w:val="1"/>
                <w:color w:val="auto"/>
                <w:w w:val="92"/>
              </w:rPr>
              <w:t>Americas</w:t>
            </w:r>
            <w:r>
              <w:rPr>
                <w:rFonts w:ascii="Arial" w:cs="Arial" w:eastAsia="Arial" w:hAnsi="Arial"/>
                <w:sz w:val="16"/>
                <w:szCs w:val="16"/>
                <w:b w:val="1"/>
                <w:bCs w:val="1"/>
                <w:color w:val="auto"/>
                <w:w w:val="92"/>
                <w:vertAlign w:val="superscript"/>
              </w:rPr>
              <w:t>(a)</w:t>
            </w:r>
          </w:p>
        </w:tc>
        <w:tc>
          <w:tcPr>
            <w:tcW w:w="200" w:type="dxa"/>
            <w:vAlign w:val="bottom"/>
            <w:tcBorders>
              <w:top w:val="single" w:sz="8" w:color="auto"/>
            </w:tcBorders>
            <w:shd w:val="clear" w:color="auto" w:fill="98B0CF"/>
          </w:tcPr>
          <w:p>
            <w:pPr>
              <w:spacing w:after="0"/>
              <w:rPr>
                <w:sz w:val="11"/>
                <w:szCs w:val="11"/>
                <w:color w:val="auto"/>
              </w:rPr>
            </w:pPr>
          </w:p>
        </w:tc>
        <w:tc>
          <w:tcPr>
            <w:tcW w:w="900" w:type="dxa"/>
            <w:vAlign w:val="bottom"/>
            <w:tcBorders>
              <w:top w:val="single" w:sz="8" w:color="auto"/>
            </w:tcBorders>
            <w:shd w:val="clear" w:color="auto" w:fill="98B0CF"/>
          </w:tcPr>
          <w:p>
            <w:pPr>
              <w:jc w:val="right"/>
              <w:ind w:right="231"/>
              <w:spacing w:after="0" w:line="130" w:lineRule="exact"/>
              <w:rPr>
                <w:sz w:val="20"/>
                <w:szCs w:val="20"/>
                <w:color w:val="auto"/>
              </w:rPr>
            </w:pPr>
            <w:r>
              <w:rPr>
                <w:rFonts w:ascii="Arial" w:cs="Arial" w:eastAsia="Arial" w:hAnsi="Arial"/>
                <w:sz w:val="13"/>
                <w:szCs w:val="13"/>
                <w:b w:val="1"/>
                <w:bCs w:val="1"/>
                <w:color w:val="auto"/>
              </w:rPr>
              <w:t>Southern</w:t>
            </w:r>
          </w:p>
        </w:tc>
        <w:tc>
          <w:tcPr>
            <w:tcW w:w="200" w:type="dxa"/>
            <w:vAlign w:val="bottom"/>
            <w:tcBorders>
              <w:top w:val="single" w:sz="8" w:color="auto"/>
            </w:tcBorders>
            <w:shd w:val="clear" w:color="auto" w:fill="98B0CF"/>
          </w:tcPr>
          <w:p>
            <w:pPr>
              <w:spacing w:after="0"/>
              <w:rPr>
                <w:sz w:val="11"/>
                <w:szCs w:val="11"/>
                <w:color w:val="auto"/>
              </w:rPr>
            </w:pPr>
          </w:p>
        </w:tc>
        <w:tc>
          <w:tcPr>
            <w:tcW w:w="900" w:type="dxa"/>
            <w:vAlign w:val="bottom"/>
            <w:tcBorders>
              <w:top w:val="single" w:sz="8" w:color="auto"/>
            </w:tcBorders>
            <w:shd w:val="clear" w:color="auto" w:fill="98B0CF"/>
          </w:tcPr>
          <w:p>
            <w:pPr>
              <w:jc w:val="right"/>
              <w:ind w:right="251"/>
              <w:spacing w:after="0" w:line="130" w:lineRule="exact"/>
              <w:rPr>
                <w:sz w:val="20"/>
                <w:szCs w:val="20"/>
                <w:color w:val="auto"/>
              </w:rPr>
            </w:pPr>
            <w:r>
              <w:rPr>
                <w:rFonts w:ascii="Arial" w:cs="Arial" w:eastAsia="Arial" w:hAnsi="Arial"/>
                <w:sz w:val="13"/>
                <w:szCs w:val="13"/>
                <w:b w:val="1"/>
                <w:bCs w:val="1"/>
                <w:color w:val="auto"/>
              </w:rPr>
              <w:t>Northern</w:t>
            </w:r>
          </w:p>
        </w:tc>
        <w:tc>
          <w:tcPr>
            <w:tcW w:w="260" w:type="dxa"/>
            <w:vAlign w:val="bottom"/>
            <w:tcBorders>
              <w:top w:val="single" w:sz="8" w:color="auto"/>
            </w:tcBorders>
            <w:shd w:val="clear" w:color="auto" w:fill="98B0CF"/>
          </w:tcPr>
          <w:p>
            <w:pPr>
              <w:spacing w:after="0"/>
              <w:rPr>
                <w:sz w:val="11"/>
                <w:szCs w:val="11"/>
                <w:color w:val="auto"/>
              </w:rPr>
            </w:pPr>
          </w:p>
        </w:tc>
        <w:tc>
          <w:tcPr>
            <w:tcW w:w="840" w:type="dxa"/>
            <w:vAlign w:val="bottom"/>
            <w:tcBorders>
              <w:top w:val="single" w:sz="8" w:color="auto"/>
            </w:tcBorders>
            <w:shd w:val="clear" w:color="auto" w:fill="98B0CF"/>
          </w:tcPr>
          <w:p>
            <w:pPr>
              <w:spacing w:after="0"/>
              <w:rPr>
                <w:sz w:val="11"/>
                <w:szCs w:val="11"/>
                <w:color w:val="auto"/>
              </w:rPr>
            </w:pPr>
          </w:p>
        </w:tc>
        <w:tc>
          <w:tcPr>
            <w:tcW w:w="160" w:type="dxa"/>
            <w:vAlign w:val="bottom"/>
            <w:tcBorders>
              <w:top w:val="single" w:sz="8" w:color="auto"/>
            </w:tcBorders>
            <w:shd w:val="clear" w:color="auto" w:fill="98B0CF"/>
          </w:tcPr>
          <w:p>
            <w:pPr>
              <w:spacing w:after="0"/>
              <w:rPr>
                <w:sz w:val="11"/>
                <w:szCs w:val="11"/>
                <w:color w:val="auto"/>
              </w:rPr>
            </w:pPr>
          </w:p>
        </w:tc>
        <w:tc>
          <w:tcPr>
            <w:tcW w:w="960" w:type="dxa"/>
            <w:vAlign w:val="bottom"/>
            <w:tcBorders>
              <w:top w:val="single" w:sz="8" w:color="auto"/>
            </w:tcBorders>
            <w:vMerge w:val="restart"/>
            <w:shd w:val="clear" w:color="auto" w:fill="98B0CF"/>
          </w:tcPr>
          <w:p>
            <w:pPr>
              <w:jc w:val="right"/>
              <w:ind w:right="170"/>
              <w:spacing w:after="0"/>
              <w:rPr>
                <w:sz w:val="20"/>
                <w:szCs w:val="20"/>
                <w:color w:val="auto"/>
              </w:rPr>
            </w:pPr>
            <w:r>
              <w:rPr>
                <w:rFonts w:ascii="Arial" w:cs="Arial" w:eastAsia="Arial" w:hAnsi="Arial"/>
                <w:sz w:val="13"/>
                <w:szCs w:val="13"/>
                <w:b w:val="1"/>
                <w:bCs w:val="1"/>
                <w:color w:val="auto"/>
                <w:w w:val="93"/>
              </w:rPr>
              <w:t>Corporate</w:t>
            </w:r>
            <w:r>
              <w:rPr>
                <w:rFonts w:ascii="Arial" w:cs="Arial" w:eastAsia="Arial" w:hAnsi="Arial"/>
                <w:sz w:val="16"/>
                <w:szCs w:val="16"/>
                <w:b w:val="1"/>
                <w:bCs w:val="1"/>
                <w:color w:val="auto"/>
                <w:w w:val="93"/>
                <w:vertAlign w:val="superscript"/>
              </w:rPr>
              <w:t>(c)</w:t>
            </w:r>
          </w:p>
        </w:tc>
        <w:tc>
          <w:tcPr>
            <w:tcW w:w="260" w:type="dxa"/>
            <w:vAlign w:val="bottom"/>
            <w:tcBorders>
              <w:top w:val="single" w:sz="8" w:color="auto"/>
            </w:tcBorders>
            <w:shd w:val="clear" w:color="auto" w:fill="98B0CF"/>
          </w:tcPr>
          <w:p>
            <w:pPr>
              <w:spacing w:after="0"/>
              <w:rPr>
                <w:sz w:val="11"/>
                <w:szCs w:val="11"/>
                <w:color w:val="auto"/>
              </w:rPr>
            </w:pPr>
          </w:p>
        </w:tc>
        <w:tc>
          <w:tcPr>
            <w:tcW w:w="820" w:type="dxa"/>
            <w:vAlign w:val="bottom"/>
            <w:tcBorders>
              <w:top w:val="single" w:sz="8" w:color="auto"/>
            </w:tcBorders>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40" w:type="dxa"/>
            <w:vAlign w:val="bottom"/>
            <w:tcBorders>
              <w:bottom w:val="single" w:sz="8" w:color="auto"/>
            </w:tcBorders>
            <w:shd w:val="clear" w:color="auto" w:fill="98B0CF"/>
          </w:tcPr>
          <w:p>
            <w:pPr>
              <w:spacing w:after="0"/>
              <w:rPr>
                <w:sz w:val="14"/>
                <w:szCs w:val="14"/>
                <w:color w:val="auto"/>
              </w:rPr>
            </w:pPr>
          </w:p>
        </w:tc>
        <w:tc>
          <w:tcPr>
            <w:tcW w:w="300" w:type="dxa"/>
            <w:vAlign w:val="bottom"/>
            <w:tcBorders>
              <w:bottom w:val="single" w:sz="8" w:color="auto"/>
            </w:tcBorders>
            <w:shd w:val="clear" w:color="auto" w:fill="98B0CF"/>
          </w:tcPr>
          <w:p>
            <w:pPr>
              <w:spacing w:after="0"/>
              <w:rPr>
                <w:sz w:val="14"/>
                <w:szCs w:val="14"/>
                <w:color w:val="auto"/>
              </w:rPr>
            </w:pPr>
          </w:p>
        </w:tc>
        <w:tc>
          <w:tcPr>
            <w:tcW w:w="920" w:type="dxa"/>
            <w:vAlign w:val="bottom"/>
            <w:tcBorders>
              <w:bottom w:val="single" w:sz="8" w:color="auto"/>
            </w:tcBorders>
            <w:vMerge w:val="continue"/>
            <w:shd w:val="clear" w:color="auto" w:fill="98B0CF"/>
          </w:tcPr>
          <w:p>
            <w:pPr>
              <w:spacing w:after="0"/>
              <w:rPr>
                <w:sz w:val="14"/>
                <w:szCs w:val="14"/>
                <w:color w:val="auto"/>
              </w:rPr>
            </w:pPr>
          </w:p>
        </w:tc>
        <w:tc>
          <w:tcPr>
            <w:tcW w:w="200" w:type="dxa"/>
            <w:vAlign w:val="bottom"/>
            <w:tcBorders>
              <w:bottom w:val="single" w:sz="8" w:color="auto"/>
            </w:tcBorders>
            <w:shd w:val="clear" w:color="auto" w:fill="98B0CF"/>
          </w:tcPr>
          <w:p>
            <w:pPr>
              <w:spacing w:after="0"/>
              <w:rPr>
                <w:sz w:val="14"/>
                <w:szCs w:val="14"/>
                <w:color w:val="auto"/>
              </w:rPr>
            </w:pPr>
          </w:p>
        </w:tc>
        <w:tc>
          <w:tcPr>
            <w:tcW w:w="900" w:type="dxa"/>
            <w:vAlign w:val="bottom"/>
            <w:tcBorders>
              <w:bottom w:val="single" w:sz="8" w:color="auto"/>
            </w:tcBorders>
            <w:shd w:val="clear" w:color="auto" w:fill="98B0CF"/>
          </w:tcPr>
          <w:p>
            <w:pPr>
              <w:jc w:val="right"/>
              <w:ind w:right="251"/>
              <w:spacing w:after="0" w:line="165" w:lineRule="exact"/>
              <w:rPr>
                <w:sz w:val="20"/>
                <w:szCs w:val="20"/>
                <w:color w:val="auto"/>
              </w:rPr>
            </w:pPr>
            <w:r>
              <w:rPr>
                <w:rFonts w:ascii="Arial" w:cs="Arial" w:eastAsia="Arial" w:hAnsi="Arial"/>
                <w:sz w:val="13"/>
                <w:szCs w:val="13"/>
                <w:b w:val="1"/>
                <w:bCs w:val="1"/>
                <w:color w:val="auto"/>
                <w:w w:val="95"/>
              </w:rPr>
              <w:t>Europe</w:t>
            </w:r>
            <w:r>
              <w:rPr>
                <w:rFonts w:ascii="Arial" w:cs="Arial" w:eastAsia="Arial" w:hAnsi="Arial"/>
                <w:sz w:val="16"/>
                <w:szCs w:val="16"/>
                <w:b w:val="1"/>
                <w:bCs w:val="1"/>
                <w:color w:val="auto"/>
                <w:w w:val="95"/>
                <w:vertAlign w:val="superscript"/>
              </w:rPr>
              <w:t>(b)</w:t>
            </w:r>
          </w:p>
        </w:tc>
        <w:tc>
          <w:tcPr>
            <w:tcW w:w="200" w:type="dxa"/>
            <w:vAlign w:val="bottom"/>
            <w:tcBorders>
              <w:bottom w:val="single" w:sz="8" w:color="auto"/>
            </w:tcBorders>
            <w:shd w:val="clear" w:color="auto" w:fill="98B0CF"/>
          </w:tcPr>
          <w:p>
            <w:pPr>
              <w:spacing w:after="0"/>
              <w:rPr>
                <w:sz w:val="14"/>
                <w:szCs w:val="14"/>
                <w:color w:val="auto"/>
              </w:rPr>
            </w:pPr>
          </w:p>
        </w:tc>
        <w:tc>
          <w:tcPr>
            <w:tcW w:w="900" w:type="dxa"/>
            <w:vAlign w:val="bottom"/>
            <w:tcBorders>
              <w:bottom w:val="single" w:sz="8" w:color="auto"/>
            </w:tcBorders>
            <w:shd w:val="clear" w:color="auto" w:fill="98B0CF"/>
          </w:tcPr>
          <w:p>
            <w:pPr>
              <w:jc w:val="right"/>
              <w:ind w:right="291"/>
              <w:spacing w:after="0"/>
              <w:rPr>
                <w:sz w:val="20"/>
                <w:szCs w:val="20"/>
                <w:color w:val="auto"/>
              </w:rPr>
            </w:pPr>
            <w:r>
              <w:rPr>
                <w:rFonts w:ascii="Arial" w:cs="Arial" w:eastAsia="Arial" w:hAnsi="Arial"/>
                <w:sz w:val="13"/>
                <w:szCs w:val="13"/>
                <w:b w:val="1"/>
                <w:bCs w:val="1"/>
                <w:color w:val="auto"/>
              </w:rPr>
              <w:t>Europe</w:t>
            </w:r>
          </w:p>
        </w:tc>
        <w:tc>
          <w:tcPr>
            <w:tcW w:w="260" w:type="dxa"/>
            <w:vAlign w:val="bottom"/>
            <w:tcBorders>
              <w:bottom w:val="single" w:sz="8" w:color="auto"/>
            </w:tcBorders>
            <w:shd w:val="clear" w:color="auto" w:fill="98B0CF"/>
          </w:tcPr>
          <w:p>
            <w:pPr>
              <w:spacing w:after="0"/>
              <w:rPr>
                <w:sz w:val="14"/>
                <w:szCs w:val="14"/>
                <w:color w:val="auto"/>
              </w:rPr>
            </w:pPr>
          </w:p>
        </w:tc>
        <w:tc>
          <w:tcPr>
            <w:tcW w:w="840" w:type="dxa"/>
            <w:vAlign w:val="bottom"/>
            <w:tcBorders>
              <w:bottom w:val="single" w:sz="8" w:color="auto"/>
            </w:tcBorders>
            <w:shd w:val="clear" w:color="auto" w:fill="98B0CF"/>
          </w:tcPr>
          <w:p>
            <w:pPr>
              <w:jc w:val="right"/>
              <w:ind w:right="330"/>
              <w:spacing w:after="0"/>
              <w:rPr>
                <w:sz w:val="20"/>
                <w:szCs w:val="20"/>
                <w:color w:val="auto"/>
              </w:rPr>
            </w:pPr>
            <w:r>
              <w:rPr>
                <w:rFonts w:ascii="Arial" w:cs="Arial" w:eastAsia="Arial" w:hAnsi="Arial"/>
                <w:sz w:val="13"/>
                <w:szCs w:val="13"/>
                <w:b w:val="1"/>
                <w:bCs w:val="1"/>
                <w:color w:val="auto"/>
              </w:rPr>
              <w:t>APME</w:t>
            </w:r>
          </w:p>
        </w:tc>
        <w:tc>
          <w:tcPr>
            <w:tcW w:w="160" w:type="dxa"/>
            <w:vAlign w:val="bottom"/>
            <w:tcBorders>
              <w:bottom w:val="single" w:sz="8" w:color="auto"/>
            </w:tcBorders>
            <w:shd w:val="clear" w:color="auto" w:fill="98B0CF"/>
          </w:tcPr>
          <w:p>
            <w:pPr>
              <w:spacing w:after="0"/>
              <w:rPr>
                <w:sz w:val="14"/>
                <w:szCs w:val="14"/>
                <w:color w:val="auto"/>
              </w:rPr>
            </w:pPr>
          </w:p>
        </w:tc>
        <w:tc>
          <w:tcPr>
            <w:tcW w:w="960" w:type="dxa"/>
            <w:vAlign w:val="bottom"/>
            <w:tcBorders>
              <w:bottom w:val="single" w:sz="8" w:color="auto"/>
            </w:tcBorders>
            <w:vMerge w:val="continue"/>
            <w:shd w:val="clear" w:color="auto" w:fill="98B0CF"/>
          </w:tcPr>
          <w:p>
            <w:pPr>
              <w:spacing w:after="0"/>
              <w:rPr>
                <w:sz w:val="14"/>
                <w:szCs w:val="14"/>
                <w:color w:val="auto"/>
              </w:rPr>
            </w:pPr>
          </w:p>
        </w:tc>
        <w:tc>
          <w:tcPr>
            <w:tcW w:w="260" w:type="dxa"/>
            <w:vAlign w:val="bottom"/>
            <w:tcBorders>
              <w:bottom w:val="single" w:sz="8" w:color="auto"/>
            </w:tcBorders>
            <w:shd w:val="clear" w:color="auto" w:fill="98B0CF"/>
          </w:tcPr>
          <w:p>
            <w:pPr>
              <w:spacing w:after="0"/>
              <w:rPr>
                <w:sz w:val="14"/>
                <w:szCs w:val="14"/>
                <w:color w:val="auto"/>
              </w:rPr>
            </w:pPr>
          </w:p>
        </w:tc>
        <w:tc>
          <w:tcPr>
            <w:tcW w:w="820" w:type="dxa"/>
            <w:vAlign w:val="bottom"/>
            <w:tcBorders>
              <w:bottom w:val="single" w:sz="8" w:color="auto"/>
            </w:tcBorders>
            <w:shd w:val="clear" w:color="auto" w:fill="98B0CF"/>
          </w:tcPr>
          <w:p>
            <w:pPr>
              <w:jc w:val="right"/>
              <w:ind w:right="35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7"/>
        </w:trPr>
        <w:tc>
          <w:tcPr>
            <w:tcW w:w="4540" w:type="dxa"/>
            <w:vAlign w:val="bottom"/>
            <w:shd w:val="clear" w:color="auto" w:fill="E2E8F1"/>
          </w:tcPr>
          <w:p>
            <w:pPr>
              <w:ind w:left="80"/>
              <w:spacing w:after="0" w:line="187" w:lineRule="exact"/>
              <w:rPr>
                <w:sz w:val="20"/>
                <w:szCs w:val="20"/>
                <w:color w:val="auto"/>
              </w:rPr>
            </w:pPr>
            <w:r>
              <w:rPr>
                <w:rFonts w:ascii="Arial" w:cs="Arial" w:eastAsia="Arial" w:hAnsi="Arial"/>
                <w:sz w:val="14"/>
                <w:szCs w:val="14"/>
                <w:color w:val="auto"/>
              </w:rPr>
              <w:t>Balance, January 1, 2023</w:t>
            </w:r>
            <w:r>
              <w:rPr>
                <w:rFonts w:ascii="Arial" w:cs="Arial" w:eastAsia="Arial" w:hAnsi="Arial"/>
                <w:sz w:val="19"/>
                <w:szCs w:val="19"/>
                <w:color w:val="auto"/>
                <w:vertAlign w:val="superscript"/>
              </w:rPr>
              <w:t>(d)</w:t>
            </w:r>
          </w:p>
        </w:tc>
        <w:tc>
          <w:tcPr>
            <w:tcW w:w="3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1,049.6</w:t>
            </w:r>
          </w:p>
        </w:tc>
        <w:tc>
          <w:tcPr>
            <w:tcW w:w="2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2E8F1"/>
          </w:tcPr>
          <w:p>
            <w:pPr>
              <w:jc w:val="right"/>
              <w:ind w:right="91"/>
              <w:spacing w:after="0"/>
              <w:rPr>
                <w:sz w:val="20"/>
                <w:szCs w:val="20"/>
                <w:color w:val="auto"/>
              </w:rPr>
            </w:pPr>
            <w:r>
              <w:rPr>
                <w:rFonts w:ascii="Arial" w:cs="Arial" w:eastAsia="Arial" w:hAnsi="Arial"/>
                <w:sz w:val="14"/>
                <w:szCs w:val="14"/>
                <w:color w:val="auto"/>
              </w:rPr>
              <w:t>148.2</w:t>
            </w:r>
          </w:p>
        </w:tc>
        <w:tc>
          <w:tcPr>
            <w:tcW w:w="2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2E8F1"/>
          </w:tcPr>
          <w:p>
            <w:pPr>
              <w:jc w:val="right"/>
              <w:ind w:right="91"/>
              <w:spacing w:after="0"/>
              <w:rPr>
                <w:sz w:val="20"/>
                <w:szCs w:val="20"/>
                <w:color w:val="auto"/>
              </w:rPr>
            </w:pPr>
            <w:r>
              <w:rPr>
                <w:rFonts w:ascii="Arial" w:cs="Arial" w:eastAsia="Arial" w:hAnsi="Arial"/>
                <w:sz w:val="14"/>
                <w:szCs w:val="14"/>
                <w:color w:val="auto"/>
              </w:rPr>
              <w:t>234.8</w:t>
            </w:r>
          </w:p>
        </w:tc>
        <w:tc>
          <w:tcPr>
            <w:tcW w:w="26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69.5</w:t>
            </w:r>
          </w:p>
        </w:tc>
        <w:tc>
          <w:tcPr>
            <w:tcW w:w="1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126.0</w:t>
            </w:r>
          </w:p>
        </w:tc>
        <w:tc>
          <w:tcPr>
            <w:tcW w:w="26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1,628.1</w:t>
            </w:r>
          </w:p>
        </w:tc>
        <w:tc>
          <w:tcPr>
            <w:tcW w:w="0" w:type="dxa"/>
            <w:vAlign w:val="bottom"/>
          </w:tcPr>
          <w:p>
            <w:pPr>
              <w:spacing w:after="0"/>
              <w:rPr>
                <w:sz w:val="1"/>
                <w:szCs w:val="1"/>
                <w:color w:val="auto"/>
              </w:rPr>
            </w:pPr>
          </w:p>
        </w:tc>
      </w:tr>
      <w:tr>
        <w:trPr>
          <w:trHeight w:val="189"/>
        </w:trPr>
        <w:tc>
          <w:tcPr>
            <w:tcW w:w="4540" w:type="dxa"/>
            <w:vAlign w:val="bottom"/>
          </w:tcPr>
          <w:p>
            <w:pPr>
              <w:ind w:left="240"/>
              <w:spacing w:after="0" w:line="189" w:lineRule="exact"/>
              <w:rPr>
                <w:sz w:val="20"/>
                <w:szCs w:val="20"/>
                <w:color w:val="auto"/>
              </w:rPr>
            </w:pPr>
            <w:r>
              <w:rPr>
                <w:rFonts w:ascii="Arial" w:cs="Arial" w:eastAsia="Arial" w:hAnsi="Arial"/>
                <w:sz w:val="14"/>
                <w:szCs w:val="14"/>
                <w:color w:val="auto"/>
              </w:rPr>
              <w:t>Impairment Charge</w:t>
            </w:r>
            <w:r>
              <w:rPr>
                <w:rFonts w:ascii="Arial" w:cs="Arial" w:eastAsia="Arial" w:hAnsi="Arial"/>
                <w:sz w:val="19"/>
                <w:szCs w:val="19"/>
                <w:color w:val="auto"/>
                <w:vertAlign w:val="superscript"/>
              </w:rPr>
              <w:t>(e)</w:t>
            </w:r>
          </w:p>
        </w:tc>
        <w:tc>
          <w:tcPr>
            <w:tcW w:w="300" w:type="dxa"/>
            <w:vAlign w:val="bottom"/>
          </w:tcPr>
          <w:p>
            <w:pPr>
              <w:spacing w:after="0"/>
              <w:rPr>
                <w:sz w:val="16"/>
                <w:szCs w:val="16"/>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(55.1 )</w:t>
            </w:r>
          </w:p>
        </w:tc>
        <w:tc>
          <w:tcPr>
            <w:tcW w:w="260" w:type="dxa"/>
            <w:vAlign w:val="bottom"/>
          </w:tcPr>
          <w:p>
            <w:pPr>
              <w:spacing w:after="0"/>
              <w:rPr>
                <w:sz w:val="16"/>
                <w:szCs w:val="16"/>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(55.1 )</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auto"/>
            </w:tcBorders>
            <w:shd w:val="clear" w:color="auto" w:fill="E2E8F1"/>
          </w:tcPr>
          <w:p>
            <w:pPr>
              <w:ind w:left="240"/>
              <w:spacing w:after="0"/>
              <w:rPr>
                <w:sz w:val="20"/>
                <w:szCs w:val="20"/>
                <w:color w:val="auto"/>
              </w:rPr>
            </w:pPr>
            <w:r>
              <w:rPr>
                <w:rFonts w:ascii="Arial" w:cs="Arial" w:eastAsia="Arial" w:hAnsi="Arial"/>
                <w:sz w:val="14"/>
                <w:szCs w:val="14"/>
                <w:color w:val="auto"/>
              </w:rPr>
              <w:t>Currency impact</w:t>
            </w:r>
          </w:p>
        </w:tc>
        <w:tc>
          <w:tcPr>
            <w:tcW w:w="300" w:type="dxa"/>
            <w:vAlign w:val="bottom"/>
            <w:tcBorders>
              <w:bottom w:val="single" w:sz="8" w:color="auto"/>
            </w:tcBorders>
            <w:shd w:val="clear" w:color="auto" w:fill="E2E8F1"/>
          </w:tcPr>
          <w:p>
            <w:pPr>
              <w:spacing w:after="0"/>
              <w:rPr>
                <w:sz w:val="16"/>
                <w:szCs w:val="16"/>
                <w:color w:val="auto"/>
              </w:rPr>
            </w:pPr>
          </w:p>
        </w:tc>
        <w:tc>
          <w:tcPr>
            <w:tcW w:w="920" w:type="dxa"/>
            <w:vAlign w:val="bottom"/>
            <w:tcBorders>
              <w:bottom w:val="single" w:sz="8" w:color="auto"/>
            </w:tcBorders>
            <w:shd w:val="clear" w:color="auto" w:fill="E2E8F1"/>
          </w:tcPr>
          <w:p>
            <w:pPr>
              <w:jc w:val="right"/>
              <w:ind w:right="90"/>
              <w:spacing w:after="0"/>
              <w:rPr>
                <w:sz w:val="20"/>
                <w:szCs w:val="20"/>
                <w:color w:val="auto"/>
              </w:rPr>
            </w:pPr>
            <w:r>
              <w:rPr>
                <w:rFonts w:ascii="Arial" w:cs="Arial" w:eastAsia="Arial" w:hAnsi="Arial"/>
                <w:sz w:val="14"/>
                <w:szCs w:val="14"/>
                <w:color w:val="auto"/>
              </w:rPr>
              <w:t>0.8</w:t>
            </w:r>
          </w:p>
        </w:tc>
        <w:tc>
          <w:tcPr>
            <w:tcW w:w="200" w:type="dxa"/>
            <w:vAlign w:val="bottom"/>
            <w:tcBorders>
              <w:bottom w:val="single" w:sz="8" w:color="auto"/>
            </w:tcBorders>
            <w:shd w:val="clear" w:color="auto" w:fill="E2E8F1"/>
          </w:tcPr>
          <w:p>
            <w:pPr>
              <w:spacing w:after="0"/>
              <w:rPr>
                <w:sz w:val="16"/>
                <w:szCs w:val="16"/>
                <w:color w:val="auto"/>
              </w:rPr>
            </w:pPr>
          </w:p>
        </w:tc>
        <w:tc>
          <w:tcPr>
            <w:tcW w:w="900" w:type="dxa"/>
            <w:vAlign w:val="bottom"/>
            <w:tcBorders>
              <w:bottom w:val="single" w:sz="8" w:color="auto"/>
            </w:tcBorders>
            <w:shd w:val="clear" w:color="auto" w:fill="E2E8F1"/>
          </w:tcPr>
          <w:p>
            <w:pPr>
              <w:jc w:val="right"/>
              <w:ind w:right="91"/>
              <w:spacing w:after="0"/>
              <w:rPr>
                <w:sz w:val="20"/>
                <w:szCs w:val="20"/>
                <w:color w:val="auto"/>
              </w:rPr>
            </w:pPr>
            <w:r>
              <w:rPr>
                <w:rFonts w:ascii="Arial" w:cs="Arial" w:eastAsia="Arial" w:hAnsi="Arial"/>
                <w:sz w:val="14"/>
                <w:szCs w:val="14"/>
                <w:color w:val="auto"/>
              </w:rPr>
              <w:t>6.5</w:t>
            </w:r>
          </w:p>
        </w:tc>
        <w:tc>
          <w:tcPr>
            <w:tcW w:w="200" w:type="dxa"/>
            <w:vAlign w:val="bottom"/>
            <w:tcBorders>
              <w:bottom w:val="single" w:sz="8" w:color="auto"/>
            </w:tcBorders>
            <w:shd w:val="clear" w:color="auto" w:fill="E2E8F1"/>
          </w:tcPr>
          <w:p>
            <w:pPr>
              <w:spacing w:after="0"/>
              <w:rPr>
                <w:sz w:val="16"/>
                <w:szCs w:val="16"/>
                <w:color w:val="auto"/>
              </w:rPr>
            </w:pPr>
          </w:p>
        </w:tc>
        <w:tc>
          <w:tcPr>
            <w:tcW w:w="900" w:type="dxa"/>
            <w:vAlign w:val="bottom"/>
            <w:tcBorders>
              <w:bottom w:val="single" w:sz="8" w:color="auto"/>
            </w:tcBorders>
            <w:shd w:val="clear" w:color="auto" w:fill="E2E8F1"/>
          </w:tcPr>
          <w:p>
            <w:pPr>
              <w:jc w:val="right"/>
              <w:ind w:right="91"/>
              <w:spacing w:after="0"/>
              <w:rPr>
                <w:sz w:val="20"/>
                <w:szCs w:val="20"/>
                <w:color w:val="auto"/>
              </w:rPr>
            </w:pPr>
            <w:r>
              <w:rPr>
                <w:rFonts w:ascii="Arial" w:cs="Arial" w:eastAsia="Arial" w:hAnsi="Arial"/>
                <w:sz w:val="14"/>
                <w:szCs w:val="14"/>
                <w:color w:val="auto"/>
              </w:rPr>
              <w:t>8.3</w:t>
            </w:r>
          </w:p>
        </w:tc>
        <w:tc>
          <w:tcPr>
            <w:tcW w:w="260" w:type="dxa"/>
            <w:vAlign w:val="bottom"/>
            <w:tcBorders>
              <w:bottom w:val="single" w:sz="8" w:color="auto"/>
            </w:tcBorders>
            <w:shd w:val="clear" w:color="auto" w:fill="E2E8F1"/>
          </w:tcPr>
          <w:p>
            <w:pPr>
              <w:spacing w:after="0"/>
              <w:rPr>
                <w:sz w:val="16"/>
                <w:szCs w:val="16"/>
                <w:color w:val="auto"/>
              </w:rPr>
            </w:pPr>
          </w:p>
        </w:tc>
        <w:tc>
          <w:tcPr>
            <w:tcW w:w="840" w:type="dxa"/>
            <w:vAlign w:val="bottom"/>
            <w:tcBorders>
              <w:bottom w:val="single" w:sz="8" w:color="auto"/>
            </w:tcBorders>
            <w:shd w:val="clear" w:color="auto" w:fill="E2E8F1"/>
          </w:tcPr>
          <w:p>
            <w:pPr>
              <w:jc w:val="right"/>
              <w:ind w:right="10"/>
              <w:spacing w:after="0"/>
              <w:rPr>
                <w:sz w:val="20"/>
                <w:szCs w:val="20"/>
                <w:color w:val="auto"/>
              </w:rPr>
            </w:pPr>
            <w:r>
              <w:rPr>
                <w:rFonts w:ascii="Arial" w:cs="Arial" w:eastAsia="Arial" w:hAnsi="Arial"/>
                <w:sz w:val="14"/>
                <w:szCs w:val="14"/>
                <w:color w:val="auto"/>
              </w:rPr>
              <w:t>(1.8 )</w:t>
            </w:r>
          </w:p>
        </w:tc>
        <w:tc>
          <w:tcPr>
            <w:tcW w:w="160" w:type="dxa"/>
            <w:vAlign w:val="bottom"/>
            <w:tcBorders>
              <w:bottom w:val="single" w:sz="8" w:color="auto"/>
            </w:tcBorders>
            <w:shd w:val="clear" w:color="auto" w:fill="E2E8F1"/>
          </w:tcPr>
          <w:p>
            <w:pPr>
              <w:spacing w:after="0"/>
              <w:rPr>
                <w:sz w:val="16"/>
                <w:szCs w:val="16"/>
                <w:color w:val="auto"/>
              </w:rPr>
            </w:pPr>
          </w:p>
        </w:tc>
        <w:tc>
          <w:tcPr>
            <w:tcW w:w="960" w:type="dxa"/>
            <w:vAlign w:val="bottom"/>
            <w:tcBorders>
              <w:bottom w:val="single" w:sz="8" w:color="auto"/>
            </w:tcBorders>
            <w:shd w:val="clear" w:color="auto" w:fill="E2E8F1"/>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2E8F1"/>
          </w:tcPr>
          <w:p>
            <w:pPr>
              <w:spacing w:after="0"/>
              <w:rPr>
                <w:sz w:val="16"/>
                <w:szCs w:val="16"/>
                <w:color w:val="auto"/>
              </w:rPr>
            </w:pPr>
          </w:p>
        </w:tc>
        <w:tc>
          <w:tcPr>
            <w:tcW w:w="82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1"/>
        </w:trPr>
        <w:tc>
          <w:tcPr>
            <w:tcW w:w="4540" w:type="dxa"/>
            <w:vAlign w:val="bottom"/>
          </w:tcPr>
          <w:p>
            <w:pPr>
              <w:ind w:left="80"/>
              <w:spacing w:after="0" w:line="181" w:lineRule="exact"/>
              <w:rPr>
                <w:sz w:val="20"/>
                <w:szCs w:val="20"/>
                <w:color w:val="auto"/>
              </w:rPr>
            </w:pPr>
            <w:r>
              <w:rPr>
                <w:rFonts w:ascii="Arial" w:cs="Arial" w:eastAsia="Arial" w:hAnsi="Arial"/>
                <w:sz w:val="14"/>
                <w:szCs w:val="14"/>
                <w:color w:val="auto"/>
              </w:rPr>
              <w:t>Balance, December 31, 2023</w:t>
            </w:r>
            <w:r>
              <w:rPr>
                <w:rFonts w:ascii="Arial" w:cs="Arial" w:eastAsia="Arial" w:hAnsi="Arial"/>
                <w:sz w:val="19"/>
                <w:szCs w:val="19"/>
                <w:color w:val="auto"/>
                <w:vertAlign w:val="superscript"/>
              </w:rPr>
              <w:t>(d)</w:t>
            </w:r>
          </w:p>
        </w:tc>
        <w:tc>
          <w:tcPr>
            <w:tcW w:w="300" w:type="dxa"/>
            <w:vAlign w:val="bottom"/>
          </w:tcPr>
          <w:p>
            <w:pPr>
              <w:spacing w:after="0"/>
              <w:rPr>
                <w:sz w:val="15"/>
                <w:szCs w:val="15"/>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1,050.4</w:t>
            </w:r>
          </w:p>
        </w:tc>
        <w:tc>
          <w:tcPr>
            <w:tcW w:w="200" w:type="dxa"/>
            <w:vAlign w:val="bottom"/>
          </w:tcPr>
          <w:p>
            <w:pPr>
              <w:spacing w:after="0"/>
              <w:rPr>
                <w:sz w:val="15"/>
                <w:szCs w:val="15"/>
                <w:color w:val="auto"/>
              </w:rPr>
            </w:pP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154.7</w:t>
            </w:r>
          </w:p>
        </w:tc>
        <w:tc>
          <w:tcPr>
            <w:tcW w:w="200" w:type="dxa"/>
            <w:vAlign w:val="bottom"/>
          </w:tcPr>
          <w:p>
            <w:pPr>
              <w:spacing w:after="0"/>
              <w:rPr>
                <w:sz w:val="15"/>
                <w:szCs w:val="15"/>
                <w:color w:val="auto"/>
              </w:rPr>
            </w:pP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188.0</w:t>
            </w:r>
          </w:p>
        </w:tc>
        <w:tc>
          <w:tcPr>
            <w:tcW w:w="260" w:type="dxa"/>
            <w:vAlign w:val="bottom"/>
          </w:tcPr>
          <w:p>
            <w:pPr>
              <w:spacing w:after="0"/>
              <w:rPr>
                <w:sz w:val="15"/>
                <w:szCs w:val="15"/>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67.7</w:t>
            </w:r>
          </w:p>
        </w:tc>
        <w:tc>
          <w:tcPr>
            <w:tcW w:w="16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126.0</w:t>
            </w:r>
          </w:p>
        </w:tc>
        <w:tc>
          <w:tcPr>
            <w:tcW w:w="260" w:type="dxa"/>
            <w:vAlign w:val="bottom"/>
          </w:tcPr>
          <w:p>
            <w:pPr>
              <w:spacing w:after="0"/>
              <w:rPr>
                <w:sz w:val="15"/>
                <w:szCs w:val="15"/>
                <w:color w:val="auto"/>
              </w:rPr>
            </w:pPr>
          </w:p>
        </w:tc>
        <w:tc>
          <w:tcPr>
            <w:tcW w:w="820" w:type="dxa"/>
            <w:vAlign w:val="bottom"/>
          </w:tcPr>
          <w:p>
            <w:pPr>
              <w:jc w:val="right"/>
              <w:ind w:right="70"/>
              <w:spacing w:after="0"/>
              <w:rPr>
                <w:sz w:val="20"/>
                <w:szCs w:val="20"/>
                <w:color w:val="auto"/>
              </w:rPr>
            </w:pPr>
            <w:r>
              <w:rPr>
                <w:rFonts w:ascii="Arial" w:cs="Arial" w:eastAsia="Arial" w:hAnsi="Arial"/>
                <w:sz w:val="14"/>
                <w:szCs w:val="14"/>
                <w:color w:val="auto"/>
              </w:rPr>
              <w:t>1,586.8</w:t>
            </w:r>
          </w:p>
        </w:tc>
        <w:tc>
          <w:tcPr>
            <w:tcW w:w="0" w:type="dxa"/>
            <w:vAlign w:val="bottom"/>
          </w:tcPr>
          <w:p>
            <w:pPr>
              <w:spacing w:after="0"/>
              <w:rPr>
                <w:sz w:val="1"/>
                <w:szCs w:val="1"/>
                <w:color w:val="auto"/>
              </w:rPr>
            </w:pPr>
          </w:p>
        </w:tc>
      </w:tr>
      <w:tr>
        <w:trPr>
          <w:trHeight w:val="189"/>
        </w:trPr>
        <w:tc>
          <w:tcPr>
            <w:tcW w:w="4540" w:type="dxa"/>
            <w:vAlign w:val="bottom"/>
            <w:shd w:val="clear" w:color="auto" w:fill="E2E8F1"/>
          </w:tcPr>
          <w:p>
            <w:pPr>
              <w:ind w:left="240"/>
              <w:spacing w:after="0"/>
              <w:rPr>
                <w:sz w:val="20"/>
                <w:szCs w:val="20"/>
                <w:color w:val="auto"/>
              </w:rPr>
            </w:pPr>
            <w:r>
              <w:rPr>
                <w:rFonts w:ascii="Arial" w:cs="Arial" w:eastAsia="Arial" w:hAnsi="Arial"/>
                <w:sz w:val="14"/>
                <w:szCs w:val="14"/>
                <w:color w:val="auto"/>
              </w:rPr>
              <w:t>Acquisitions</w:t>
            </w:r>
          </w:p>
        </w:tc>
        <w:tc>
          <w:tcPr>
            <w:tcW w:w="30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1.4</w:t>
            </w:r>
          </w:p>
        </w:tc>
        <w:tc>
          <w:tcPr>
            <w:tcW w:w="20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91"/>
              <w:spacing w:after="0"/>
              <w:rPr>
                <w:sz w:val="20"/>
                <w:szCs w:val="20"/>
                <w:color w:val="auto"/>
              </w:rPr>
            </w:pPr>
            <w:r>
              <w:rPr>
                <w:rFonts w:ascii="Arial" w:cs="Arial" w:eastAsia="Arial" w:hAnsi="Arial"/>
                <w:sz w:val="14"/>
                <w:szCs w:val="14"/>
                <w:color w:val="auto"/>
              </w:rPr>
              <w:t>—</w:t>
            </w:r>
          </w:p>
        </w:tc>
        <w:tc>
          <w:tcPr>
            <w:tcW w:w="260" w:type="dxa"/>
            <w:vAlign w:val="bottom"/>
            <w:shd w:val="clear" w:color="auto" w:fill="E2E8F1"/>
          </w:tcPr>
          <w:p>
            <w:pPr>
              <w:spacing w:after="0"/>
              <w:rPr>
                <w:sz w:val="16"/>
                <w:szCs w:val="16"/>
                <w:color w:val="auto"/>
              </w:rPr>
            </w:pPr>
          </w:p>
        </w:tc>
        <w:tc>
          <w:tcPr>
            <w:tcW w:w="84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w:t>
            </w:r>
          </w:p>
        </w:tc>
        <w:tc>
          <w:tcPr>
            <w:tcW w:w="160" w:type="dxa"/>
            <w:vAlign w:val="bottom"/>
            <w:shd w:val="clear" w:color="auto" w:fill="E2E8F1"/>
          </w:tcPr>
          <w:p>
            <w:pPr>
              <w:spacing w:after="0"/>
              <w:rPr>
                <w:sz w:val="16"/>
                <w:szCs w:val="16"/>
                <w:color w:val="auto"/>
              </w:rPr>
            </w:pPr>
          </w:p>
        </w:tc>
        <w:tc>
          <w:tcPr>
            <w:tcW w:w="96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shd w:val="clear" w:color="auto" w:fill="E2E8F1"/>
          </w:tcPr>
          <w:p>
            <w:pPr>
              <w:spacing w:after="0"/>
              <w:rPr>
                <w:sz w:val="16"/>
                <w:szCs w:val="16"/>
                <w:color w:val="auto"/>
              </w:rPr>
            </w:pPr>
          </w:p>
        </w:tc>
        <w:tc>
          <w:tcPr>
            <w:tcW w:w="82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Currency impact</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(3.6 )</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(9.4 )</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(6.6 )</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(4.7 )</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(0.5 )</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(24.8 )</w:t>
            </w:r>
          </w:p>
        </w:tc>
        <w:tc>
          <w:tcPr>
            <w:tcW w:w="0" w:type="dxa"/>
            <w:vAlign w:val="bottom"/>
          </w:tcPr>
          <w:p>
            <w:pPr>
              <w:spacing w:after="0"/>
              <w:rPr>
                <w:sz w:val="1"/>
                <w:szCs w:val="1"/>
                <w:color w:val="auto"/>
              </w:rPr>
            </w:pPr>
          </w:p>
        </w:tc>
      </w:tr>
      <w:tr>
        <w:trPr>
          <w:trHeight w:val="181"/>
        </w:trPr>
        <w:tc>
          <w:tcPr>
            <w:tcW w:w="4540" w:type="dxa"/>
            <w:vAlign w:val="bottom"/>
            <w:tcBorders>
              <w:bottom w:val="single" w:sz="8" w:color="auto"/>
            </w:tcBorders>
            <w:shd w:val="clear" w:color="auto" w:fill="E2E8F1"/>
          </w:tcPr>
          <w:p>
            <w:pPr>
              <w:ind w:left="80"/>
              <w:spacing w:after="0" w:line="181" w:lineRule="exact"/>
              <w:rPr>
                <w:sz w:val="20"/>
                <w:szCs w:val="20"/>
                <w:color w:val="auto"/>
              </w:rPr>
            </w:pPr>
            <w:r>
              <w:rPr>
                <w:rFonts w:ascii="Arial" w:cs="Arial" w:eastAsia="Arial" w:hAnsi="Arial"/>
                <w:sz w:val="14"/>
                <w:szCs w:val="14"/>
                <w:color w:val="auto"/>
              </w:rPr>
              <w:t>Balance, December 31, 2024</w:t>
            </w:r>
            <w:r>
              <w:rPr>
                <w:rFonts w:ascii="Arial" w:cs="Arial" w:eastAsia="Arial" w:hAnsi="Arial"/>
                <w:sz w:val="19"/>
                <w:szCs w:val="19"/>
                <w:color w:val="auto"/>
                <w:vertAlign w:val="superscript"/>
              </w:rPr>
              <w:t>(d)</w:t>
            </w:r>
          </w:p>
        </w:tc>
        <w:tc>
          <w:tcPr>
            <w:tcW w:w="3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2E8F1"/>
          </w:tcPr>
          <w:p>
            <w:pPr>
              <w:jc w:val="right"/>
              <w:ind w:right="90"/>
              <w:spacing w:after="0"/>
              <w:rPr>
                <w:sz w:val="20"/>
                <w:szCs w:val="20"/>
                <w:color w:val="auto"/>
              </w:rPr>
            </w:pPr>
            <w:r>
              <w:rPr>
                <w:rFonts w:ascii="Arial" w:cs="Arial" w:eastAsia="Arial" w:hAnsi="Arial"/>
                <w:sz w:val="14"/>
                <w:szCs w:val="14"/>
                <w:color w:val="auto"/>
              </w:rPr>
              <w:t>1,048.2</w:t>
            </w:r>
          </w:p>
        </w:tc>
        <w:tc>
          <w:tcPr>
            <w:tcW w:w="2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2E8F1"/>
          </w:tcPr>
          <w:p>
            <w:pPr>
              <w:jc w:val="right"/>
              <w:ind w:right="91"/>
              <w:spacing w:after="0"/>
              <w:rPr>
                <w:sz w:val="20"/>
                <w:szCs w:val="20"/>
                <w:color w:val="auto"/>
              </w:rPr>
            </w:pPr>
            <w:r>
              <w:rPr>
                <w:rFonts w:ascii="Arial" w:cs="Arial" w:eastAsia="Arial" w:hAnsi="Arial"/>
                <w:sz w:val="14"/>
                <w:szCs w:val="14"/>
                <w:color w:val="auto"/>
              </w:rPr>
              <w:t>145.3</w:t>
            </w:r>
          </w:p>
        </w:tc>
        <w:tc>
          <w:tcPr>
            <w:tcW w:w="2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2E8F1"/>
          </w:tcPr>
          <w:p>
            <w:pPr>
              <w:jc w:val="right"/>
              <w:ind w:right="91"/>
              <w:spacing w:after="0"/>
              <w:rPr>
                <w:sz w:val="20"/>
                <w:szCs w:val="20"/>
                <w:color w:val="auto"/>
              </w:rPr>
            </w:pPr>
            <w:r>
              <w:rPr>
                <w:rFonts w:ascii="Arial" w:cs="Arial" w:eastAsia="Arial" w:hAnsi="Arial"/>
                <w:sz w:val="14"/>
                <w:szCs w:val="14"/>
                <w:color w:val="auto"/>
              </w:rPr>
              <w:t>181.4</w:t>
            </w:r>
          </w:p>
        </w:tc>
        <w:tc>
          <w:tcPr>
            <w:tcW w:w="260" w:type="dxa"/>
            <w:vAlign w:val="bottom"/>
            <w:tcBorders>
              <w:bottom w:val="single" w:sz="8" w:color="auto"/>
            </w:tcBorders>
            <w:shd w:val="clear" w:color="auto" w:fill="E2E8F1"/>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2E8F1"/>
          </w:tcPr>
          <w:p>
            <w:pPr>
              <w:jc w:val="right"/>
              <w:ind w:right="90"/>
              <w:spacing w:after="0"/>
              <w:rPr>
                <w:sz w:val="20"/>
                <w:szCs w:val="20"/>
                <w:color w:val="auto"/>
              </w:rPr>
            </w:pPr>
            <w:r>
              <w:rPr>
                <w:rFonts w:ascii="Arial" w:cs="Arial" w:eastAsia="Arial" w:hAnsi="Arial"/>
                <w:sz w:val="14"/>
                <w:szCs w:val="14"/>
                <w:color w:val="auto"/>
              </w:rPr>
              <w:t>63.0</w:t>
            </w:r>
          </w:p>
        </w:tc>
        <w:tc>
          <w:tcPr>
            <w:tcW w:w="1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E2E8F1"/>
          </w:tcPr>
          <w:p>
            <w:pPr>
              <w:jc w:val="right"/>
              <w:ind w:right="90"/>
              <w:spacing w:after="0"/>
              <w:rPr>
                <w:sz w:val="20"/>
                <w:szCs w:val="20"/>
                <w:color w:val="auto"/>
              </w:rPr>
            </w:pPr>
            <w:r>
              <w:rPr>
                <w:rFonts w:ascii="Arial" w:cs="Arial" w:eastAsia="Arial" w:hAnsi="Arial"/>
                <w:sz w:val="14"/>
                <w:szCs w:val="14"/>
                <w:color w:val="auto"/>
              </w:rPr>
              <w:t>125.5</w:t>
            </w:r>
          </w:p>
        </w:tc>
        <w:tc>
          <w:tcPr>
            <w:tcW w:w="260" w:type="dxa"/>
            <w:vAlign w:val="bottom"/>
            <w:tcBorders>
              <w:bottom w:val="single" w:sz="8" w:color="auto"/>
            </w:tcBorders>
            <w:shd w:val="clear" w:color="auto" w:fill="E2E8F1"/>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1,563.4</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25" w:hanging="325"/>
        <w:spacing w:after="0"/>
        <w:tabs>
          <w:tab w:leader="none" w:pos="325" w:val="left"/>
        </w:tabs>
        <w:numPr>
          <w:ilvl w:val="0"/>
          <w:numId w:val="47"/>
        </w:numPr>
        <w:rPr>
          <w:rFonts w:ascii="Arial" w:cs="Arial" w:eastAsia="Arial" w:hAnsi="Arial"/>
          <w:sz w:val="17"/>
          <w:szCs w:val="17"/>
          <w:color w:val="231F20"/>
          <w:vertAlign w:val="superscript"/>
        </w:rPr>
      </w:pPr>
      <w:r>
        <w:rPr>
          <w:rFonts w:ascii="Arial" w:cs="Arial" w:eastAsia="Arial" w:hAnsi="Arial"/>
          <w:sz w:val="13"/>
          <w:szCs w:val="13"/>
          <w:color w:val="231F20"/>
        </w:rPr>
        <w:t>Balances related to United States were $1,006.5, $1,005.8 and $1,007.2 as of January 1, 2023, December 31, 2023 and December 31, 2024, respectively.</w:t>
      </w:r>
    </w:p>
    <w:p>
      <w:pPr>
        <w:spacing w:after="0" w:line="70" w:lineRule="exact"/>
        <w:rPr>
          <w:rFonts w:ascii="Arial" w:cs="Arial" w:eastAsia="Arial" w:hAnsi="Arial"/>
          <w:sz w:val="17"/>
          <w:szCs w:val="17"/>
          <w:color w:val="231F20"/>
          <w:vertAlign w:val="superscript"/>
        </w:rPr>
      </w:pPr>
    </w:p>
    <w:p>
      <w:pPr>
        <w:ind w:left="325" w:hanging="325"/>
        <w:spacing w:after="0" w:line="214" w:lineRule="auto"/>
        <w:tabs>
          <w:tab w:leader="none" w:pos="325" w:val="left"/>
        </w:tabs>
        <w:numPr>
          <w:ilvl w:val="0"/>
          <w:numId w:val="47"/>
        </w:numPr>
        <w:rPr>
          <w:rFonts w:ascii="Arial" w:cs="Arial" w:eastAsia="Arial" w:hAnsi="Arial"/>
          <w:sz w:val="17"/>
          <w:szCs w:val="17"/>
          <w:color w:val="231F20"/>
          <w:vertAlign w:val="superscript"/>
        </w:rPr>
      </w:pPr>
      <w:r>
        <w:rPr>
          <w:rFonts w:ascii="Arial" w:cs="Arial" w:eastAsia="Arial" w:hAnsi="Arial"/>
          <w:sz w:val="13"/>
          <w:szCs w:val="13"/>
          <w:color w:val="231F20"/>
        </w:rPr>
        <w:t>Balances related to France were $73.3, $75.6 and $70.9 as of January 1, 2023, December 31, 2023 and December 31, 2024, respectively. Balances related to Italy were $3.7, $3.8 and $3.5 as of January 1, 2023, December 31, 2023 and December 31, 2024, respectively.</w:t>
      </w:r>
    </w:p>
    <w:p>
      <w:pPr>
        <w:spacing w:after="0" w:line="70" w:lineRule="exact"/>
        <w:rPr>
          <w:rFonts w:ascii="Arial" w:cs="Arial" w:eastAsia="Arial" w:hAnsi="Arial"/>
          <w:sz w:val="17"/>
          <w:szCs w:val="17"/>
          <w:color w:val="231F20"/>
          <w:vertAlign w:val="superscript"/>
        </w:rPr>
      </w:pPr>
    </w:p>
    <w:p>
      <w:pPr>
        <w:jc w:val="both"/>
        <w:ind w:left="325" w:hanging="325"/>
        <w:spacing w:after="0" w:line="220" w:lineRule="auto"/>
        <w:tabs>
          <w:tab w:leader="none" w:pos="325" w:val="left"/>
        </w:tabs>
        <w:numPr>
          <w:ilvl w:val="0"/>
          <w:numId w:val="47"/>
        </w:numPr>
        <w:rPr>
          <w:rFonts w:ascii="Arial" w:cs="Arial" w:eastAsia="Arial" w:hAnsi="Arial"/>
          <w:sz w:val="17"/>
          <w:szCs w:val="17"/>
          <w:color w:val="231F20"/>
          <w:vertAlign w:val="superscript"/>
        </w:rPr>
      </w:pPr>
      <w:r>
        <w:rPr>
          <w:rFonts w:ascii="Arial" w:cs="Arial" w:eastAsia="Arial" w:hAnsi="Arial"/>
          <w:sz w:val="13"/>
          <w:szCs w:val="13"/>
          <w:color w:val="231F20"/>
        </w:rPr>
        <w:t>The majority of the Corporate balance as of January 1, 2023, December 31, 2023 and 2024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w:t>
      </w:r>
    </w:p>
    <w:p>
      <w:pPr>
        <w:spacing w:after="0" w:line="71" w:lineRule="exact"/>
        <w:rPr>
          <w:rFonts w:ascii="Arial" w:cs="Arial" w:eastAsia="Arial" w:hAnsi="Arial"/>
          <w:sz w:val="17"/>
          <w:szCs w:val="17"/>
          <w:color w:val="231F20"/>
          <w:vertAlign w:val="superscript"/>
        </w:rPr>
      </w:pPr>
    </w:p>
    <w:p>
      <w:pPr>
        <w:jc w:val="both"/>
        <w:ind w:left="325" w:hanging="325"/>
        <w:spacing w:after="0" w:line="218" w:lineRule="auto"/>
        <w:tabs>
          <w:tab w:leader="none" w:pos="325" w:val="left"/>
        </w:tabs>
        <w:numPr>
          <w:ilvl w:val="0"/>
          <w:numId w:val="47"/>
        </w:numPr>
        <w:rPr>
          <w:rFonts w:ascii="Arial" w:cs="Arial" w:eastAsia="Arial" w:hAnsi="Arial"/>
          <w:sz w:val="17"/>
          <w:szCs w:val="17"/>
          <w:color w:val="auto"/>
          <w:vertAlign w:val="superscript"/>
        </w:rPr>
      </w:pPr>
      <w:r>
        <w:rPr>
          <w:rFonts w:ascii="Arial" w:cs="Arial" w:eastAsia="Arial" w:hAnsi="Arial"/>
          <w:sz w:val="13"/>
          <w:szCs w:val="13"/>
          <w:color w:val="auto"/>
        </w:rPr>
        <w:t xml:space="preserve">Balances were net of accumulated impairment loss of $694.2 ($177.0 related to Northern Europe, $3.8 related to APME, $235.2 related to Right Management and $278.2 related to Corporate) as of January 1, 2023; and </w:t>
      </w:r>
      <w:r>
        <w:rPr>
          <w:rFonts w:ascii="Arial" w:cs="Arial" w:eastAsia="Arial" w:hAnsi="Arial"/>
          <w:sz w:val="13"/>
          <w:szCs w:val="13"/>
          <w:color w:val="231F20"/>
        </w:rPr>
        <w:t>$749.3 ($232.1 related to Northern Europe, $3.8 related to APME, $235.2 related to Right Management and $278.2 related to Corporate) as of both December 31, 2023</w:t>
      </w:r>
      <w:r>
        <w:rPr>
          <w:rFonts w:ascii="Arial" w:cs="Arial" w:eastAsia="Arial" w:hAnsi="Arial"/>
          <w:sz w:val="13"/>
          <w:szCs w:val="13"/>
          <w:color w:val="auto"/>
        </w:rPr>
        <w:t xml:space="preserve"> </w:t>
      </w:r>
      <w:r>
        <w:rPr>
          <w:rFonts w:ascii="Arial" w:cs="Arial" w:eastAsia="Arial" w:hAnsi="Arial"/>
          <w:sz w:val="13"/>
          <w:szCs w:val="13"/>
          <w:color w:val="231F20"/>
        </w:rPr>
        <w:t>and 2024.</w:t>
      </w:r>
    </w:p>
    <w:p>
      <w:pPr>
        <w:spacing w:after="0" w:line="53" w:lineRule="exact"/>
        <w:rPr>
          <w:rFonts w:ascii="Arial" w:cs="Arial" w:eastAsia="Arial" w:hAnsi="Arial"/>
          <w:sz w:val="17"/>
          <w:szCs w:val="17"/>
          <w:color w:val="auto"/>
          <w:vertAlign w:val="superscript"/>
        </w:rPr>
      </w:pPr>
    </w:p>
    <w:p>
      <w:pPr>
        <w:ind w:left="325" w:hanging="325"/>
        <w:spacing w:after="0"/>
        <w:tabs>
          <w:tab w:leader="none" w:pos="325" w:val="left"/>
        </w:tabs>
        <w:numPr>
          <w:ilvl w:val="0"/>
          <w:numId w:val="47"/>
        </w:numPr>
        <w:rPr>
          <w:rFonts w:ascii="Arial" w:cs="Arial" w:eastAsia="Arial" w:hAnsi="Arial"/>
          <w:sz w:val="16"/>
          <w:szCs w:val="16"/>
          <w:color w:val="231F20"/>
          <w:vertAlign w:val="superscript"/>
        </w:rPr>
      </w:pPr>
      <w:r>
        <w:rPr>
          <w:rFonts w:ascii="Arial" w:cs="Arial" w:eastAsia="Arial" w:hAnsi="Arial"/>
          <w:sz w:val="12"/>
          <w:szCs w:val="12"/>
          <w:color w:val="231F20"/>
        </w:rPr>
        <w:t>The impairment charge relates to our Netherlands reporting unit, which was recorded during the fourth quarter 2023. See Note 1 to the Consolidated Financial Statements for further information.</w:t>
      </w:r>
    </w:p>
    <w:p>
      <w:pPr>
        <w:spacing w:after="0" w:line="105" w:lineRule="exact"/>
        <w:rPr>
          <w:sz w:val="20"/>
          <w:szCs w:val="20"/>
          <w:color w:val="auto"/>
        </w:rPr>
      </w:pPr>
    </w:p>
    <w:p>
      <w:pPr>
        <w:ind w:left="325" w:hanging="325"/>
        <w:spacing w:after="0"/>
        <w:tabs>
          <w:tab w:leader="none" w:pos="325" w:val="left"/>
        </w:tabs>
        <w:numPr>
          <w:ilvl w:val="0"/>
          <w:numId w:val="48"/>
        </w:numPr>
        <w:rPr>
          <w:rFonts w:ascii="Arial" w:cs="Arial" w:eastAsia="Arial" w:hAnsi="Arial"/>
          <w:sz w:val="22"/>
          <w:szCs w:val="22"/>
          <w:b w:val="1"/>
          <w:bCs w:val="1"/>
          <w:color w:val="5B89B4"/>
        </w:rPr>
      </w:pPr>
      <w:r>
        <w:rPr>
          <w:rFonts w:ascii="Arial" w:cs="Arial" w:eastAsia="Arial" w:hAnsi="Arial"/>
          <w:sz w:val="22"/>
          <w:szCs w:val="22"/>
          <w:b w:val="1"/>
          <w:bCs w:val="1"/>
          <w:u w:val="single" w:color="auto"/>
          <w:color w:val="5B89B4"/>
        </w:rPr>
        <w:t>Debt</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Information concerning short-term borrowings is as follows:</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231"/>
        </w:trPr>
        <w:tc>
          <w:tcPr>
            <w:tcW w:w="7720" w:type="dxa"/>
            <w:vAlign w:val="bottom"/>
            <w:tcBorders>
              <w:top w:val="single" w:sz="8" w:color="231F20"/>
              <w:bottom w:val="single" w:sz="8" w:color="auto"/>
            </w:tcBorders>
            <w:shd w:val="clear" w:color="auto" w:fill="98B0CF"/>
          </w:tcPr>
          <w:p>
            <w:pPr>
              <w:spacing w:after="0"/>
              <w:rPr>
                <w:sz w:val="20"/>
                <w:szCs w:val="20"/>
                <w:color w:val="auto"/>
              </w:rPr>
            </w:pPr>
            <w:r>
              <w:rPr>
                <w:rFonts w:ascii="Arial" w:cs="Arial" w:eastAsia="Arial" w:hAnsi="Arial"/>
                <w:sz w:val="13"/>
                <w:szCs w:val="13"/>
                <w:b w:val="1"/>
                <w:bCs w:val="1"/>
                <w:color w:val="auto"/>
              </w:rPr>
              <w:t>December 31</w:t>
            </w:r>
          </w:p>
        </w:tc>
        <w:tc>
          <w:tcPr>
            <w:tcW w:w="540" w:type="dxa"/>
            <w:vAlign w:val="bottom"/>
            <w:tcBorders>
              <w:top w:val="single" w:sz="8" w:color="231F20"/>
              <w:bottom w:val="single" w:sz="8" w:color="auto"/>
            </w:tcBorders>
            <w:shd w:val="clear" w:color="auto" w:fill="98B0CF"/>
          </w:tcPr>
          <w:p>
            <w:pPr>
              <w:spacing w:after="0"/>
              <w:rPr>
                <w:sz w:val="20"/>
                <w:szCs w:val="20"/>
                <w:color w:val="auto"/>
              </w:rPr>
            </w:pPr>
          </w:p>
        </w:tc>
        <w:tc>
          <w:tcPr>
            <w:tcW w:w="1340" w:type="dxa"/>
            <w:vAlign w:val="bottom"/>
            <w:tcBorders>
              <w:top w:val="single" w:sz="8" w:color="231F20"/>
              <w:bottom w:val="single" w:sz="8" w:color="auto"/>
            </w:tcBorders>
            <w:shd w:val="clear" w:color="auto" w:fill="98B0CF"/>
          </w:tcPr>
          <w:p>
            <w:pPr>
              <w:jc w:val="right"/>
              <w:ind w:right="752"/>
              <w:spacing w:after="0"/>
              <w:rPr>
                <w:sz w:val="20"/>
                <w:szCs w:val="20"/>
                <w:color w:val="auto"/>
              </w:rPr>
            </w:pPr>
            <w:r>
              <w:rPr>
                <w:rFonts w:ascii="Arial" w:cs="Arial" w:eastAsia="Arial" w:hAnsi="Arial"/>
                <w:sz w:val="13"/>
                <w:szCs w:val="13"/>
                <w:b w:val="1"/>
                <w:bCs w:val="1"/>
                <w:color w:val="auto"/>
              </w:rPr>
              <w:t>2024</w:t>
            </w:r>
          </w:p>
        </w:tc>
        <w:tc>
          <w:tcPr>
            <w:tcW w:w="420" w:type="dxa"/>
            <w:vAlign w:val="bottom"/>
            <w:tcBorders>
              <w:top w:val="single" w:sz="8" w:color="231F20"/>
              <w:bottom w:val="single" w:sz="8" w:color="auto"/>
            </w:tcBorders>
            <w:shd w:val="clear" w:color="auto" w:fill="98B0CF"/>
          </w:tcPr>
          <w:p>
            <w:pPr>
              <w:spacing w:after="0"/>
              <w:rPr>
                <w:sz w:val="20"/>
                <w:szCs w:val="20"/>
                <w:color w:val="auto"/>
              </w:rPr>
            </w:pPr>
          </w:p>
        </w:tc>
        <w:tc>
          <w:tcPr>
            <w:tcW w:w="1240" w:type="dxa"/>
            <w:vAlign w:val="bottom"/>
            <w:tcBorders>
              <w:top w:val="single" w:sz="8" w:color="231F20"/>
              <w:bottom w:val="single" w:sz="8" w:color="auto"/>
            </w:tcBorders>
            <w:shd w:val="clear" w:color="auto" w:fill="98B0CF"/>
          </w:tcPr>
          <w:p>
            <w:pPr>
              <w:jc w:val="right"/>
              <w:ind w:right="652"/>
              <w:spacing w:after="0"/>
              <w:rPr>
                <w:sz w:val="20"/>
                <w:szCs w:val="20"/>
                <w:color w:val="auto"/>
              </w:rPr>
            </w:pPr>
            <w:r>
              <w:rPr>
                <w:rFonts w:ascii="Arial" w:cs="Arial" w:eastAsia="Arial" w:hAnsi="Arial"/>
                <w:sz w:val="13"/>
                <w:szCs w:val="13"/>
                <w:b w:val="1"/>
                <w:bCs w:val="1"/>
                <w:color w:val="auto"/>
              </w:rPr>
              <w:t>2023</w:t>
            </w:r>
          </w:p>
        </w:tc>
      </w:tr>
      <w:tr>
        <w:trPr>
          <w:trHeight w:val="187"/>
        </w:trPr>
        <w:tc>
          <w:tcPr>
            <w:tcW w:w="7720" w:type="dxa"/>
            <w:vAlign w:val="bottom"/>
            <w:shd w:val="clear" w:color="auto" w:fill="E2E8F1"/>
          </w:tcPr>
          <w:p>
            <w:pPr>
              <w:ind w:left="80"/>
              <w:spacing w:after="0"/>
              <w:rPr>
                <w:sz w:val="20"/>
                <w:szCs w:val="20"/>
                <w:color w:val="auto"/>
              </w:rPr>
            </w:pPr>
            <w:r>
              <w:rPr>
                <w:rFonts w:ascii="Arial" w:cs="Arial" w:eastAsia="Arial" w:hAnsi="Arial"/>
                <w:sz w:val="14"/>
                <w:szCs w:val="14"/>
                <w:color w:val="auto"/>
              </w:rPr>
              <w:t>Short-term borrowings</w:t>
            </w:r>
          </w:p>
        </w:tc>
        <w:tc>
          <w:tcPr>
            <w:tcW w:w="540" w:type="dxa"/>
            <w:vAlign w:val="bottom"/>
            <w:shd w:val="clear" w:color="auto" w:fill="E2E8F1"/>
          </w:tcPr>
          <w:p>
            <w:pPr>
              <w:jc w:val="right"/>
              <w:ind w:right="149"/>
              <w:spacing w:after="0"/>
              <w:rPr>
                <w:sz w:val="20"/>
                <w:szCs w:val="20"/>
                <w:color w:val="auto"/>
              </w:rPr>
            </w:pPr>
            <w:r>
              <w:rPr>
                <w:rFonts w:ascii="Arial" w:cs="Arial" w:eastAsia="Arial" w:hAnsi="Arial"/>
                <w:sz w:val="14"/>
                <w:szCs w:val="14"/>
                <w:color w:val="auto"/>
              </w:rPr>
              <w:t>$</w:t>
            </w:r>
          </w:p>
        </w:tc>
        <w:tc>
          <w:tcPr>
            <w:tcW w:w="1340" w:type="dxa"/>
            <w:vAlign w:val="bottom"/>
            <w:shd w:val="clear" w:color="auto" w:fill="E2E8F1"/>
          </w:tcPr>
          <w:p>
            <w:pPr>
              <w:ind w:left="780"/>
              <w:spacing w:after="0"/>
              <w:rPr>
                <w:sz w:val="20"/>
                <w:szCs w:val="20"/>
                <w:color w:val="auto"/>
              </w:rPr>
            </w:pPr>
            <w:r>
              <w:rPr>
                <w:rFonts w:ascii="Arial" w:cs="Arial" w:eastAsia="Arial" w:hAnsi="Arial"/>
                <w:sz w:val="14"/>
                <w:szCs w:val="14"/>
                <w:color w:val="auto"/>
              </w:rPr>
              <w:t>21.0</w:t>
            </w:r>
          </w:p>
        </w:tc>
        <w:tc>
          <w:tcPr>
            <w:tcW w:w="420" w:type="dxa"/>
            <w:vAlign w:val="bottom"/>
            <w:shd w:val="clear" w:color="auto" w:fill="E2E8F1"/>
          </w:tcPr>
          <w:p>
            <w:pPr>
              <w:jc w:val="right"/>
              <w:ind w:right="149"/>
              <w:spacing w:after="0"/>
              <w:rPr>
                <w:sz w:val="20"/>
                <w:szCs w:val="20"/>
                <w:color w:val="auto"/>
              </w:rPr>
            </w:pPr>
            <w:r>
              <w:rPr>
                <w:rFonts w:ascii="Arial" w:cs="Arial" w:eastAsia="Arial" w:hAnsi="Arial"/>
                <w:sz w:val="14"/>
                <w:szCs w:val="14"/>
                <w:color w:val="auto"/>
              </w:rPr>
              <w:t>$</w:t>
            </w:r>
          </w:p>
        </w:tc>
        <w:tc>
          <w:tcPr>
            <w:tcW w:w="1240" w:type="dxa"/>
            <w:vAlign w:val="bottom"/>
            <w:shd w:val="clear" w:color="auto" w:fill="E2E8F1"/>
          </w:tcPr>
          <w:p>
            <w:pPr>
              <w:jc w:val="right"/>
              <w:ind w:right="112"/>
              <w:spacing w:after="0"/>
              <w:rPr>
                <w:sz w:val="20"/>
                <w:szCs w:val="20"/>
                <w:color w:val="auto"/>
              </w:rPr>
            </w:pPr>
            <w:r>
              <w:rPr>
                <w:rFonts w:ascii="Arial" w:cs="Arial" w:eastAsia="Arial" w:hAnsi="Arial"/>
                <w:sz w:val="14"/>
                <w:szCs w:val="14"/>
                <w:color w:val="auto"/>
              </w:rPr>
              <w:t>9.0</w:t>
            </w:r>
          </w:p>
        </w:tc>
      </w:tr>
      <w:tr>
        <w:trPr>
          <w:trHeight w:val="189"/>
        </w:trPr>
        <w:tc>
          <w:tcPr>
            <w:tcW w:w="772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auto"/>
              </w:rPr>
              <w:t>Weighted-average interest rates</w:t>
            </w:r>
          </w:p>
        </w:tc>
        <w:tc>
          <w:tcPr>
            <w:tcW w:w="540" w:type="dxa"/>
            <w:vAlign w:val="bottom"/>
            <w:tcBorders>
              <w:bottom w:val="single" w:sz="8" w:color="231F20"/>
            </w:tcBorders>
          </w:tcPr>
          <w:p>
            <w:pPr>
              <w:spacing w:after="0"/>
              <w:rPr>
                <w:sz w:val="16"/>
                <w:szCs w:val="16"/>
                <w:color w:val="auto"/>
              </w:rPr>
            </w:pPr>
          </w:p>
        </w:tc>
        <w:tc>
          <w:tcPr>
            <w:tcW w:w="1340" w:type="dxa"/>
            <w:vAlign w:val="bottom"/>
            <w:tcBorders>
              <w:bottom w:val="single" w:sz="8" w:color="231F20"/>
            </w:tcBorders>
          </w:tcPr>
          <w:p>
            <w:pPr>
              <w:ind w:left="780"/>
              <w:spacing w:after="0"/>
              <w:rPr>
                <w:sz w:val="20"/>
                <w:szCs w:val="20"/>
                <w:color w:val="auto"/>
              </w:rPr>
            </w:pPr>
            <w:r>
              <w:rPr>
                <w:rFonts w:ascii="Arial" w:cs="Arial" w:eastAsia="Arial" w:hAnsi="Arial"/>
                <w:sz w:val="14"/>
                <w:szCs w:val="14"/>
                <w:color w:val="auto"/>
              </w:rPr>
              <w:t>33.3 %</w:t>
            </w:r>
          </w:p>
        </w:tc>
        <w:tc>
          <w:tcPr>
            <w:tcW w:w="420" w:type="dxa"/>
            <w:vAlign w:val="bottom"/>
            <w:tcBorders>
              <w:bottom w:val="single" w:sz="8" w:color="231F20"/>
            </w:tcBorders>
          </w:tcPr>
          <w:p>
            <w:pPr>
              <w:spacing w:after="0"/>
              <w:rPr>
                <w:sz w:val="16"/>
                <w:szCs w:val="16"/>
                <w:color w:val="auto"/>
              </w:rPr>
            </w:pPr>
          </w:p>
        </w:tc>
        <w:tc>
          <w:tcPr>
            <w:tcW w:w="12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17.4 %</w:t>
            </w:r>
          </w:p>
        </w:tc>
      </w:tr>
    </w:tbl>
    <w:p>
      <w:pPr>
        <w:spacing w:after="0" w:line="92"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231F20"/>
        </w:rPr>
        <w:t>We maintain separate bank credit lines with financial institutions to meet working capital needs of our subsidiary operations. As of December 31, 2024, such uncommitted credit lines totaled $290.5, of which $266.1 was unused. Under our revolving credit agreement, total subsidiary borrowings cannot exceed $300.0 in the first, second and fourth quarters, and $600.0 in the third quarter of each year. Due to these limitations, additional borrowings of $266.1 could have been made under these lines as of December 31, 2024.</w:t>
      </w:r>
    </w:p>
    <w:p>
      <w:pPr>
        <w:spacing w:after="0" w:line="65" w:lineRule="exact"/>
        <w:rPr>
          <w:sz w:val="20"/>
          <w:szCs w:val="20"/>
          <w:color w:val="auto"/>
        </w:rPr>
      </w:pPr>
    </w:p>
    <w:p>
      <w:pPr>
        <w:ind w:left="5"/>
        <w:spacing w:after="0"/>
        <w:rPr>
          <w:sz w:val="20"/>
          <w:szCs w:val="20"/>
          <w:color w:val="auto"/>
        </w:rPr>
      </w:pPr>
      <w:r>
        <w:rPr>
          <w:rFonts w:ascii="Arial" w:cs="Arial" w:eastAsia="Arial" w:hAnsi="Arial"/>
          <w:sz w:val="16"/>
          <w:szCs w:val="16"/>
          <w:color w:val="231F20"/>
        </w:rPr>
        <w:t>A summary of long-term debt is as follows:</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231"/>
        </w:trPr>
        <w:tc>
          <w:tcPr>
            <w:tcW w:w="7780" w:type="dxa"/>
            <w:vAlign w:val="bottom"/>
            <w:tcBorders>
              <w:top w:val="single" w:sz="8" w:color="auto"/>
              <w:bottom w:val="single" w:sz="8" w:color="auto"/>
            </w:tcBorders>
            <w:shd w:val="clear" w:color="auto" w:fill="98B0CF"/>
          </w:tcPr>
          <w:p>
            <w:pPr>
              <w:spacing w:after="0"/>
              <w:rPr>
                <w:sz w:val="20"/>
                <w:szCs w:val="20"/>
                <w:color w:val="auto"/>
              </w:rPr>
            </w:pPr>
            <w:r>
              <w:rPr>
                <w:rFonts w:ascii="Arial" w:cs="Arial" w:eastAsia="Arial" w:hAnsi="Arial"/>
                <w:sz w:val="13"/>
                <w:szCs w:val="13"/>
                <w:b w:val="1"/>
                <w:bCs w:val="1"/>
                <w:color w:val="auto"/>
              </w:rPr>
              <w:t>December 31</w:t>
            </w:r>
          </w:p>
        </w:tc>
        <w:tc>
          <w:tcPr>
            <w:tcW w:w="540" w:type="dxa"/>
            <w:vAlign w:val="bottom"/>
            <w:tcBorders>
              <w:top w:val="single" w:sz="8" w:color="auto"/>
              <w:bottom w:val="single" w:sz="8" w:color="auto"/>
            </w:tcBorders>
            <w:shd w:val="clear" w:color="auto" w:fill="98B0CF"/>
          </w:tcPr>
          <w:p>
            <w:pPr>
              <w:spacing w:after="0"/>
              <w:rPr>
                <w:sz w:val="20"/>
                <w:szCs w:val="20"/>
                <w:color w:val="auto"/>
              </w:rPr>
            </w:pPr>
          </w:p>
        </w:tc>
        <w:tc>
          <w:tcPr>
            <w:tcW w:w="1260" w:type="dxa"/>
            <w:vAlign w:val="bottom"/>
            <w:tcBorders>
              <w:top w:val="single" w:sz="8" w:color="auto"/>
              <w:bottom w:val="single" w:sz="8" w:color="auto"/>
            </w:tcBorders>
            <w:shd w:val="clear" w:color="auto" w:fill="98B0CF"/>
          </w:tcPr>
          <w:p>
            <w:pPr>
              <w:jc w:val="right"/>
              <w:ind w:right="670"/>
              <w:spacing w:after="0"/>
              <w:rPr>
                <w:sz w:val="20"/>
                <w:szCs w:val="20"/>
                <w:color w:val="auto"/>
              </w:rPr>
            </w:pPr>
            <w:r>
              <w:rPr>
                <w:rFonts w:ascii="Arial" w:cs="Arial" w:eastAsia="Arial" w:hAnsi="Arial"/>
                <w:sz w:val="13"/>
                <w:szCs w:val="13"/>
                <w:b w:val="1"/>
                <w:bCs w:val="1"/>
                <w:color w:val="auto"/>
              </w:rPr>
              <w:t>2024</w:t>
            </w:r>
          </w:p>
        </w:tc>
        <w:tc>
          <w:tcPr>
            <w:tcW w:w="500" w:type="dxa"/>
            <w:vAlign w:val="bottom"/>
            <w:tcBorders>
              <w:top w:val="single" w:sz="8" w:color="auto"/>
              <w:bottom w:val="single" w:sz="8" w:color="auto"/>
            </w:tcBorders>
            <w:shd w:val="clear" w:color="auto" w:fill="98B0CF"/>
          </w:tcPr>
          <w:p>
            <w:pPr>
              <w:spacing w:after="0"/>
              <w:rPr>
                <w:sz w:val="20"/>
                <w:szCs w:val="20"/>
                <w:color w:val="auto"/>
              </w:rPr>
            </w:pPr>
          </w:p>
        </w:tc>
        <w:tc>
          <w:tcPr>
            <w:tcW w:w="1180" w:type="dxa"/>
            <w:vAlign w:val="bottom"/>
            <w:tcBorders>
              <w:top w:val="single" w:sz="8" w:color="auto"/>
              <w:bottom w:val="single" w:sz="8" w:color="auto"/>
            </w:tcBorders>
            <w:shd w:val="clear" w:color="auto" w:fill="98B0CF"/>
          </w:tcPr>
          <w:p>
            <w:pPr>
              <w:jc w:val="right"/>
              <w:ind w:right="610"/>
              <w:spacing w:after="0"/>
              <w:rPr>
                <w:sz w:val="20"/>
                <w:szCs w:val="20"/>
                <w:color w:val="auto"/>
              </w:rPr>
            </w:pPr>
            <w:r>
              <w:rPr>
                <w:rFonts w:ascii="Arial" w:cs="Arial" w:eastAsia="Arial" w:hAnsi="Arial"/>
                <w:sz w:val="13"/>
                <w:szCs w:val="13"/>
                <w:b w:val="1"/>
                <w:bCs w:val="1"/>
                <w:color w:val="auto"/>
              </w:rPr>
              <w:t>2023</w:t>
            </w:r>
          </w:p>
        </w:tc>
      </w:tr>
      <w:tr>
        <w:trPr>
          <w:trHeight w:val="187"/>
        </w:trPr>
        <w:tc>
          <w:tcPr>
            <w:tcW w:w="7780" w:type="dxa"/>
            <w:vAlign w:val="bottom"/>
            <w:shd w:val="clear" w:color="auto" w:fill="E2E8F1"/>
          </w:tcPr>
          <w:p>
            <w:pPr>
              <w:ind w:left="80"/>
              <w:spacing w:after="0"/>
              <w:rPr>
                <w:sz w:val="20"/>
                <w:szCs w:val="20"/>
                <w:color w:val="auto"/>
              </w:rPr>
            </w:pPr>
            <w:r>
              <w:rPr>
                <w:rFonts w:ascii="Arial" w:cs="Arial" w:eastAsia="Arial" w:hAnsi="Arial"/>
                <w:sz w:val="14"/>
                <w:szCs w:val="14"/>
                <w:color w:val="auto"/>
              </w:rPr>
              <w:t>Euro-denominated notes:</w:t>
            </w:r>
          </w:p>
        </w:tc>
        <w:tc>
          <w:tcPr>
            <w:tcW w:w="54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c>
          <w:tcPr>
            <w:tcW w:w="500" w:type="dxa"/>
            <w:vAlign w:val="bottom"/>
            <w:shd w:val="clear" w:color="auto" w:fill="E2E8F1"/>
          </w:tcPr>
          <w:p>
            <w:pPr>
              <w:spacing w:after="0"/>
              <w:rPr>
                <w:sz w:val="16"/>
                <w:szCs w:val="16"/>
                <w:color w:val="auto"/>
              </w:rPr>
            </w:pPr>
          </w:p>
        </w:tc>
        <w:tc>
          <w:tcPr>
            <w:tcW w:w="1180" w:type="dxa"/>
            <w:vAlign w:val="bottom"/>
            <w:shd w:val="clear" w:color="auto" w:fill="E2E8F1"/>
          </w:tcPr>
          <w:p>
            <w:pPr>
              <w:spacing w:after="0"/>
              <w:rPr>
                <w:sz w:val="16"/>
                <w:szCs w:val="16"/>
                <w:color w:val="auto"/>
              </w:rPr>
            </w:pPr>
          </w:p>
        </w:tc>
      </w:tr>
      <w:tr>
        <w:trPr>
          <w:trHeight w:val="189"/>
        </w:trPr>
        <w:tc>
          <w:tcPr>
            <w:tcW w:w="7780" w:type="dxa"/>
            <w:vAlign w:val="bottom"/>
          </w:tcPr>
          <w:p>
            <w:pPr>
              <w:ind w:left="240"/>
              <w:spacing w:after="0"/>
              <w:rPr>
                <w:sz w:val="20"/>
                <w:szCs w:val="20"/>
                <w:color w:val="auto"/>
              </w:rPr>
            </w:pPr>
            <w:r>
              <w:rPr>
                <w:rFonts w:ascii="Arial" w:cs="Arial" w:eastAsia="Arial" w:hAnsi="Arial"/>
                <w:sz w:val="14"/>
                <w:szCs w:val="14"/>
                <w:color w:val="auto"/>
              </w:rPr>
              <w:t>€500.0 due June 2026</w:t>
            </w:r>
          </w:p>
        </w:tc>
        <w:tc>
          <w:tcPr>
            <w:tcW w:w="5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10"/>
              <w:spacing w:after="0"/>
              <w:rPr>
                <w:sz w:val="20"/>
                <w:szCs w:val="20"/>
                <w:color w:val="auto"/>
              </w:rPr>
            </w:pPr>
            <w:r>
              <w:rPr>
                <w:rFonts w:ascii="Arial" w:cs="Arial" w:eastAsia="Arial" w:hAnsi="Arial"/>
                <w:sz w:val="14"/>
                <w:szCs w:val="14"/>
                <w:color w:val="auto"/>
              </w:rPr>
              <w:t>516.6</w:t>
            </w:r>
          </w:p>
        </w:tc>
        <w:tc>
          <w:tcPr>
            <w:tcW w:w="5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70"/>
              <w:spacing w:after="0"/>
              <w:rPr>
                <w:sz w:val="20"/>
                <w:szCs w:val="20"/>
                <w:color w:val="auto"/>
              </w:rPr>
            </w:pPr>
            <w:r>
              <w:rPr>
                <w:rFonts w:ascii="Arial" w:cs="Arial" w:eastAsia="Arial" w:hAnsi="Arial"/>
                <w:sz w:val="14"/>
                <w:szCs w:val="14"/>
                <w:color w:val="auto"/>
              </w:rPr>
              <w:t>550.0</w:t>
            </w:r>
          </w:p>
        </w:tc>
      </w:tr>
      <w:tr>
        <w:trPr>
          <w:trHeight w:val="189"/>
        </w:trPr>
        <w:tc>
          <w:tcPr>
            <w:tcW w:w="7780" w:type="dxa"/>
            <w:vAlign w:val="bottom"/>
            <w:shd w:val="clear" w:color="auto" w:fill="E2E8F1"/>
          </w:tcPr>
          <w:p>
            <w:pPr>
              <w:ind w:left="240"/>
              <w:spacing w:after="0"/>
              <w:rPr>
                <w:sz w:val="20"/>
                <w:szCs w:val="20"/>
                <w:color w:val="auto"/>
              </w:rPr>
            </w:pPr>
            <w:r>
              <w:rPr>
                <w:rFonts w:ascii="Arial" w:cs="Arial" w:eastAsia="Arial" w:hAnsi="Arial"/>
                <w:sz w:val="14"/>
                <w:szCs w:val="14"/>
                <w:color w:val="auto"/>
              </w:rPr>
              <w:t>€400.0 due June 2027</w:t>
            </w:r>
          </w:p>
        </w:tc>
        <w:tc>
          <w:tcPr>
            <w:tcW w:w="540" w:type="dxa"/>
            <w:vAlign w:val="bottom"/>
            <w:shd w:val="clear" w:color="auto" w:fill="E2E8F1"/>
          </w:tcPr>
          <w:p>
            <w:pPr>
              <w:spacing w:after="0"/>
              <w:rPr>
                <w:sz w:val="16"/>
                <w:szCs w:val="16"/>
                <w:color w:val="auto"/>
              </w:rPr>
            </w:pPr>
          </w:p>
        </w:tc>
        <w:tc>
          <w:tcPr>
            <w:tcW w:w="1260" w:type="dxa"/>
            <w:vAlign w:val="bottom"/>
            <w:shd w:val="clear" w:color="auto" w:fill="E2E8F1"/>
          </w:tcPr>
          <w:p>
            <w:pPr>
              <w:jc w:val="right"/>
              <w:ind w:right="110"/>
              <w:spacing w:after="0"/>
              <w:rPr>
                <w:sz w:val="20"/>
                <w:szCs w:val="20"/>
                <w:color w:val="auto"/>
              </w:rPr>
            </w:pPr>
            <w:r>
              <w:rPr>
                <w:rFonts w:ascii="Arial" w:cs="Arial" w:eastAsia="Arial" w:hAnsi="Arial"/>
                <w:sz w:val="14"/>
                <w:szCs w:val="14"/>
                <w:color w:val="auto"/>
              </w:rPr>
              <w:t>411.8</w:t>
            </w:r>
          </w:p>
        </w:tc>
        <w:tc>
          <w:tcPr>
            <w:tcW w:w="500" w:type="dxa"/>
            <w:vAlign w:val="bottom"/>
            <w:shd w:val="clear" w:color="auto" w:fill="E2E8F1"/>
          </w:tcPr>
          <w:p>
            <w:pPr>
              <w:spacing w:after="0"/>
              <w:rPr>
                <w:sz w:val="16"/>
                <w:szCs w:val="16"/>
                <w:color w:val="auto"/>
              </w:rPr>
            </w:pPr>
          </w:p>
        </w:tc>
        <w:tc>
          <w:tcPr>
            <w:tcW w:w="118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438.2</w:t>
            </w:r>
          </w:p>
        </w:tc>
      </w:tr>
      <w:tr>
        <w:trPr>
          <w:trHeight w:val="189"/>
        </w:trPr>
        <w:tc>
          <w:tcPr>
            <w:tcW w:w="77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3.4</w:t>
            </w: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5.4</w:t>
            </w:r>
          </w:p>
        </w:tc>
      </w:tr>
      <w:tr>
        <w:trPr>
          <w:trHeight w:val="181"/>
        </w:trPr>
        <w:tc>
          <w:tcPr>
            <w:tcW w:w="7780" w:type="dxa"/>
            <w:vAlign w:val="bottom"/>
            <w:tcBorders>
              <w:bottom w:val="single" w:sz="8" w:color="auto"/>
            </w:tcBorders>
            <w:shd w:val="clear" w:color="auto" w:fill="E2E8F1"/>
          </w:tcPr>
          <w:p>
            <w:pPr>
              <w:spacing w:after="0"/>
              <w:rPr>
                <w:sz w:val="15"/>
                <w:szCs w:val="15"/>
                <w:color w:val="auto"/>
              </w:rPr>
            </w:pPr>
          </w:p>
        </w:tc>
        <w:tc>
          <w:tcPr>
            <w:tcW w:w="540" w:type="dxa"/>
            <w:vAlign w:val="bottom"/>
            <w:tcBorders>
              <w:bottom w:val="single" w:sz="8" w:color="auto"/>
            </w:tcBorders>
            <w:shd w:val="clear" w:color="auto" w:fill="E2E8F1"/>
          </w:tcPr>
          <w:p>
            <w:pPr>
              <w:spacing w:after="0"/>
              <w:rPr>
                <w:sz w:val="15"/>
                <w:szCs w:val="15"/>
                <w:color w:val="auto"/>
              </w:rPr>
            </w:pPr>
          </w:p>
        </w:tc>
        <w:tc>
          <w:tcPr>
            <w:tcW w:w="1260" w:type="dxa"/>
            <w:vAlign w:val="bottom"/>
            <w:tcBorders>
              <w:bottom w:val="single" w:sz="8" w:color="auto"/>
            </w:tcBorders>
            <w:shd w:val="clear" w:color="auto" w:fill="E2E8F1"/>
          </w:tcPr>
          <w:p>
            <w:pPr>
              <w:jc w:val="right"/>
              <w:ind w:right="110"/>
              <w:spacing w:after="0"/>
              <w:rPr>
                <w:sz w:val="20"/>
                <w:szCs w:val="20"/>
                <w:color w:val="auto"/>
              </w:rPr>
            </w:pPr>
            <w:r>
              <w:rPr>
                <w:rFonts w:ascii="Arial" w:cs="Arial" w:eastAsia="Arial" w:hAnsi="Arial"/>
                <w:sz w:val="14"/>
                <w:szCs w:val="14"/>
                <w:color w:val="auto"/>
              </w:rPr>
              <w:t>931.8</w:t>
            </w:r>
          </w:p>
        </w:tc>
        <w:tc>
          <w:tcPr>
            <w:tcW w:w="500" w:type="dxa"/>
            <w:vAlign w:val="bottom"/>
            <w:tcBorders>
              <w:bottom w:val="single" w:sz="8" w:color="auto"/>
            </w:tcBorders>
            <w:shd w:val="clear" w:color="auto" w:fill="E2E8F1"/>
          </w:tcPr>
          <w:p>
            <w:pPr>
              <w:spacing w:after="0"/>
              <w:rPr>
                <w:sz w:val="15"/>
                <w:szCs w:val="15"/>
                <w:color w:val="auto"/>
              </w:rPr>
            </w:pPr>
          </w:p>
        </w:tc>
        <w:tc>
          <w:tcPr>
            <w:tcW w:w="118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993.6</w:t>
            </w:r>
          </w:p>
        </w:tc>
      </w:tr>
      <w:tr>
        <w:trPr>
          <w:trHeight w:val="181"/>
        </w:trPr>
        <w:tc>
          <w:tcPr>
            <w:tcW w:w="77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Less current maturities</w:t>
            </w:r>
          </w:p>
        </w:tc>
        <w:tc>
          <w:tcPr>
            <w:tcW w:w="5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2.4</w:t>
            </w:r>
          </w:p>
        </w:tc>
        <w:tc>
          <w:tcPr>
            <w:tcW w:w="5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3.1</w:t>
            </w:r>
          </w:p>
        </w:tc>
      </w:tr>
      <w:tr>
        <w:trPr>
          <w:trHeight w:val="181"/>
        </w:trPr>
        <w:tc>
          <w:tcPr>
            <w:tcW w:w="778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auto"/>
              </w:rPr>
              <w:t>Long-term debt</w:t>
            </w:r>
          </w:p>
        </w:tc>
        <w:tc>
          <w:tcPr>
            <w:tcW w:w="540" w:type="dxa"/>
            <w:vAlign w:val="bottom"/>
            <w:tcBorders>
              <w:bottom w:val="single" w:sz="8" w:color="auto"/>
            </w:tcBorders>
            <w:shd w:val="clear" w:color="auto" w:fill="E2E8F1"/>
          </w:tcPr>
          <w:p>
            <w:pPr>
              <w:jc w:val="right"/>
              <w:ind w:right="1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E2E8F1"/>
          </w:tcPr>
          <w:p>
            <w:pPr>
              <w:jc w:val="right"/>
              <w:ind w:right="110"/>
              <w:spacing w:after="0"/>
              <w:rPr>
                <w:sz w:val="20"/>
                <w:szCs w:val="20"/>
                <w:color w:val="auto"/>
              </w:rPr>
            </w:pPr>
            <w:r>
              <w:rPr>
                <w:rFonts w:ascii="Arial" w:cs="Arial" w:eastAsia="Arial" w:hAnsi="Arial"/>
                <w:sz w:val="14"/>
                <w:szCs w:val="14"/>
                <w:color w:val="auto"/>
              </w:rPr>
              <w:t>929.4</w:t>
            </w:r>
          </w:p>
        </w:tc>
        <w:tc>
          <w:tcPr>
            <w:tcW w:w="500" w:type="dxa"/>
            <w:vAlign w:val="bottom"/>
            <w:tcBorders>
              <w:bottom w:val="single" w:sz="8" w:color="auto"/>
            </w:tcBorders>
            <w:shd w:val="clear" w:color="auto" w:fill="E2E8F1"/>
          </w:tcPr>
          <w:p>
            <w:pPr>
              <w:jc w:val="right"/>
              <w:ind w:right="16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990.5</w:t>
            </w:r>
          </w:p>
        </w:tc>
      </w:tr>
    </w:tbl>
    <w:p>
      <w:pPr>
        <w:spacing w:after="0" w:line="36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72" w:name="page73"/>
    <w:bookmarkEnd w:id="72"/>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Euro Notes</w:t>
      </w:r>
    </w:p>
    <w:p>
      <w:pPr>
        <w:spacing w:after="0" w:line="8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On June 30, 2022, we offered and sold €400.0 aggregate principal amount of the Company’s 3.50% notes due June 30, 2027 (the “€400.0 notes”). The proceeds from the €400.0 notes were used in July 2022 to repay our €400.0 1.875% notes due September 11, 2022. The €400.0 notes were issued at a price of 99.465% to yield an effective interest rate of 3.514%, net of a favorable impact of a forward starting interest rate swap. Interest on the Notes is payable in arrears on June 30 of each year. The Notes are unsecured senior obligations and rank equally with all of the Company’s existing and future senior unsecured debt and other liabilities.</w:t>
      </w:r>
    </w:p>
    <w:p>
      <w:pPr>
        <w:spacing w:after="0" w:line="66"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231F20"/>
        </w:rPr>
        <w:t>On June 22, 2018, we offered and sold €500.0 aggregate principal amount of the Company’s 1.750% notes due June 2026 (the “€500.0 notes”). The net proceeds from the €500.0 notes of €495.7 were used to repay our €350.0 notes due June 22, 2018, with the remaining balance used for general corporate purposes, which included share repurchases. The €500.0 notes were issued at a price of 99.564% to yield an effective interest rate of 1.809%. Interest on the €500.0 notes is payable in arrears on June 22 of each year. The €500.0 notes are unsecured senior obligations and rank equally with all of the Company’s existing and future senior unsecured debt and other liabilities.</w:t>
      </w:r>
    </w:p>
    <w:p>
      <w:pPr>
        <w:spacing w:after="0" w:line="6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Both the €500.0 notes and €400.0 notes contain certain customary non-financial restrictive covenants and events of default and are unsecured senior obligations and rank equally with all of our existing and future senior unsecured debt and other liabilities. These notes have been designated as a hedge of our net investment in subsidiaries with a Euro-functional currency as of December 31, 2024. Since our net investment in these subsidiaries exceeds the respective amount of the designated borrowings, the related translation gains or losses are included as a component of accumulated other comprehensive loss. (See Note 12 to the Consolidated Financial Statements for further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Revolving Credit Agreement</w:t>
      </w:r>
    </w:p>
    <w:p>
      <w:pPr>
        <w:spacing w:after="0" w:line="8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On May 27, 2022, we entered into a new Credit Agreement (the “Credit Agreement”) with a syndicate of commercial banks with a termination date of May 27, 2027 to replace our previous $600.0 revolving credit facility. The Credit Agreement includes terms generally consistent with our previous 5-year credit facility, except the Credit Agreement uses Secured Overnight Financing Rate (SOFR) as the base rate index instead of London Interbank Offered Rate (LIBOR). The Credit Agreement allows for borrowing of $600.0 in various currencies, and up to $150.0 may be used for the issuance of stand-by letters of credit. We had no borrowings under this facility as of December 31, 2024 and 2023. Outstanding letters of credit issued totaled $0.4, hence additional borrowings of $599.6 were available to us under the facility as of both December 31, 2024 and 2023.</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Under the Credit Agreement, a credit ratings-based pricing grid determines the facility fee and the credit spread that we add to the applicable interbank borrowing rate on all borrowings. At our current credit rating, the annual facility fee is 10 basis points paid on the entire facility and the credit spread is 102.5 basis points on any borrowings.</w:t>
      </w:r>
    </w:p>
    <w:p>
      <w:pPr>
        <w:spacing w:after="0" w:line="6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Debt Maturities</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maturities of long-term debt payable within each of the four years subsequent to December 31, 2025 are as follows: 2026 - $517.6, 2027 - $411.8, 2028 - $0.0, 2029 -$0.0.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73" w:name="page74"/>
    <w:bookmarkEnd w:id="73"/>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310" w:lineRule="exact"/>
        <w:rPr>
          <w:sz w:val="20"/>
          <w:szCs w:val="20"/>
          <w:color w:val="auto"/>
        </w:rPr>
      </w:pPr>
    </w:p>
    <w:p>
      <w:pPr>
        <w:ind w:left="325" w:hanging="325"/>
        <w:spacing w:after="0"/>
        <w:tabs>
          <w:tab w:leader="none" w:pos="325" w:val="left"/>
        </w:tabs>
        <w:numPr>
          <w:ilvl w:val="0"/>
          <w:numId w:val="49"/>
        </w:numPr>
        <w:rPr>
          <w:rFonts w:ascii="Arial" w:cs="Arial" w:eastAsia="Arial" w:hAnsi="Arial"/>
          <w:sz w:val="22"/>
          <w:szCs w:val="22"/>
          <w:b w:val="1"/>
          <w:bCs w:val="1"/>
          <w:color w:val="5B89B4"/>
        </w:rPr>
      </w:pPr>
      <w:r>
        <w:rPr>
          <w:rFonts w:ascii="Arial" w:cs="Arial" w:eastAsia="Arial" w:hAnsi="Arial"/>
          <w:sz w:val="22"/>
          <w:szCs w:val="22"/>
          <w:b w:val="1"/>
          <w:bCs w:val="1"/>
          <w:u w:val="single" w:color="auto"/>
          <w:color w:val="5B89B4"/>
        </w:rPr>
        <w:t>Retirement and Deferred Compensation Plans</w:t>
      </w:r>
    </w:p>
    <w:p>
      <w:pPr>
        <w:spacing w:after="0" w:line="108" w:lineRule="exact"/>
        <w:rPr>
          <w:sz w:val="20"/>
          <w:szCs w:val="20"/>
          <w:color w:val="auto"/>
        </w:rPr>
      </w:pPr>
    </w:p>
    <w:p>
      <w:pPr>
        <w:jc w:val="both"/>
        <w:ind w:left="5"/>
        <w:spacing w:after="0" w:line="260" w:lineRule="auto"/>
        <w:rPr>
          <w:sz w:val="20"/>
          <w:szCs w:val="20"/>
          <w:color w:val="auto"/>
        </w:rPr>
      </w:pPr>
      <w:r>
        <w:rPr>
          <w:rFonts w:ascii="Arial" w:cs="Arial" w:eastAsia="Arial" w:hAnsi="Arial"/>
          <w:sz w:val="16"/>
          <w:szCs w:val="16"/>
          <w:color w:val="231F20"/>
        </w:rPr>
        <w:t>For all of our United States defined benefit and retiree health care plans, we adopted the Society of Actuaries’ Pri-2012 Mortality Table with MP-2021 Mortality Improvement Scale in determining the plans’ benefit obligations as of December 31, 2024.</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Defined Benefit Pension Plans</w:t>
      </w:r>
    </w:p>
    <w:p>
      <w:pPr>
        <w:spacing w:after="0" w:line="88"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231F20"/>
        </w:rPr>
        <w:t>We sponsor qualified and nonqualified pension plans covering permanent employees in several countries. In our Switzerland pension plan, we recognized a partial settlement as a result of local regulations and turnover common to our industry and reclassified pension losses of $3.8, $5.8 and $2.7 in 2024, 2023, and 2022, respectively, net of tax, recorded in other comprehensive loss in the Consolidated Statements of Comprehensive Income. The reconciliation of the changes in the plans’ benefit obligations, the fair value of plan assets and the funded status of the plans are as follows:</w:t>
      </w:r>
    </w:p>
    <w:p>
      <w:pPr>
        <w:spacing w:after="0" w:line="72" w:lineRule="exact"/>
        <w:rPr>
          <w:sz w:val="20"/>
          <w:szCs w:val="20"/>
          <w:color w:val="auto"/>
        </w:rPr>
      </w:pPr>
    </w:p>
    <w:tbl>
      <w:tblPr>
        <w:tblLayout w:type="fixed"/>
        <w:tblInd w:w="5" w:type="dxa"/>
        <w:tblCellMar>
          <w:top w:w="0" w:type="dxa"/>
          <w:left w:w="0" w:type="dxa"/>
          <w:bottom w:w="0" w:type="dxa"/>
          <w:right w:w="0" w:type="dxa"/>
        </w:tblCellMar>
      </w:tblPr>
      <w:tr>
        <w:trPr>
          <w:trHeight w:val="231"/>
        </w:trPr>
        <w:tc>
          <w:tcPr>
            <w:tcW w:w="5700" w:type="dxa"/>
            <w:vAlign w:val="bottom"/>
            <w:tcBorders>
              <w:top w:val="single" w:sz="8" w:color="231F20"/>
              <w:bottom w:val="single" w:sz="8" w:color="auto"/>
            </w:tcBorders>
            <w:shd w:val="clear" w:color="auto" w:fill="98B0CF"/>
          </w:tcPr>
          <w:p>
            <w:pPr>
              <w:spacing w:after="0"/>
              <w:rPr>
                <w:sz w:val="20"/>
                <w:szCs w:val="20"/>
                <w:color w:val="auto"/>
              </w:rPr>
            </w:pPr>
          </w:p>
        </w:tc>
        <w:tc>
          <w:tcPr>
            <w:tcW w:w="2220" w:type="dxa"/>
            <w:vAlign w:val="bottom"/>
            <w:tcBorders>
              <w:top w:val="single" w:sz="8" w:color="231F20"/>
              <w:bottom w:val="single" w:sz="8" w:color="auto"/>
            </w:tcBorders>
            <w:gridSpan w:val="3"/>
            <w:shd w:val="clear" w:color="auto" w:fill="98B0CF"/>
          </w:tcPr>
          <w:p>
            <w:pPr>
              <w:jc w:val="right"/>
              <w:ind w:right="251"/>
              <w:spacing w:after="0"/>
              <w:rPr>
                <w:sz w:val="20"/>
                <w:szCs w:val="20"/>
                <w:color w:val="auto"/>
              </w:rPr>
            </w:pPr>
            <w:r>
              <w:rPr>
                <w:rFonts w:ascii="Arial" w:cs="Arial" w:eastAsia="Arial" w:hAnsi="Arial"/>
                <w:sz w:val="13"/>
                <w:szCs w:val="13"/>
                <w:b w:val="1"/>
                <w:bCs w:val="1"/>
                <w:color w:val="231F20"/>
              </w:rPr>
              <w:t>United States Plans</w:t>
            </w:r>
          </w:p>
        </w:tc>
        <w:tc>
          <w:tcPr>
            <w:tcW w:w="540" w:type="dxa"/>
            <w:vAlign w:val="bottom"/>
            <w:tcBorders>
              <w:top w:val="single" w:sz="8" w:color="231F20"/>
              <w:bottom w:val="single" w:sz="8" w:color="auto"/>
            </w:tcBorders>
            <w:shd w:val="clear" w:color="auto" w:fill="98B0CF"/>
          </w:tcPr>
          <w:p>
            <w:pPr>
              <w:spacing w:after="0"/>
              <w:rPr>
                <w:sz w:val="20"/>
                <w:szCs w:val="20"/>
                <w:color w:val="auto"/>
              </w:rPr>
            </w:pPr>
          </w:p>
        </w:tc>
        <w:tc>
          <w:tcPr>
            <w:tcW w:w="120" w:type="dxa"/>
            <w:vAlign w:val="bottom"/>
            <w:tcBorders>
              <w:top w:val="single" w:sz="8" w:color="231F20"/>
              <w:bottom w:val="single" w:sz="8" w:color="98B0CF"/>
            </w:tcBorders>
            <w:shd w:val="clear" w:color="auto" w:fill="98B0CF"/>
          </w:tcPr>
          <w:p>
            <w:pPr>
              <w:spacing w:after="0"/>
              <w:rPr>
                <w:sz w:val="20"/>
                <w:szCs w:val="20"/>
                <w:color w:val="auto"/>
              </w:rPr>
            </w:pPr>
          </w:p>
        </w:tc>
        <w:tc>
          <w:tcPr>
            <w:tcW w:w="2120" w:type="dxa"/>
            <w:vAlign w:val="bottom"/>
            <w:tcBorders>
              <w:top w:val="single" w:sz="8" w:color="231F20"/>
              <w:bottom w:val="single" w:sz="8" w:color="auto"/>
            </w:tcBorders>
            <w:gridSpan w:val="3"/>
            <w:shd w:val="clear" w:color="auto" w:fill="98B0CF"/>
          </w:tcPr>
          <w:p>
            <w:pPr>
              <w:jc w:val="right"/>
              <w:ind w:right="31"/>
              <w:spacing w:after="0"/>
              <w:rPr>
                <w:sz w:val="20"/>
                <w:szCs w:val="20"/>
                <w:color w:val="auto"/>
              </w:rPr>
            </w:pPr>
            <w:r>
              <w:rPr>
                <w:rFonts w:ascii="Arial" w:cs="Arial" w:eastAsia="Arial" w:hAnsi="Arial"/>
                <w:sz w:val="13"/>
                <w:szCs w:val="13"/>
                <w:b w:val="1"/>
                <w:bCs w:val="1"/>
                <w:color w:val="231F20"/>
              </w:rPr>
              <w:t>Non-United States Plans</w:t>
            </w:r>
          </w:p>
        </w:tc>
        <w:tc>
          <w:tcPr>
            <w:tcW w:w="560" w:type="dxa"/>
            <w:vAlign w:val="bottom"/>
            <w:tcBorders>
              <w:top w:val="single" w:sz="8" w:color="231F20"/>
              <w:bottom w:val="single" w:sz="8" w:color="auto"/>
            </w:tcBorders>
            <w:shd w:val="clear" w:color="auto" w:fill="98B0CF"/>
          </w:tcPr>
          <w:p>
            <w:pPr>
              <w:spacing w:after="0"/>
              <w:rPr>
                <w:sz w:val="20"/>
                <w:szCs w:val="20"/>
                <w:color w:val="auto"/>
              </w:rPr>
            </w:pPr>
          </w:p>
        </w:tc>
      </w:tr>
      <w:tr>
        <w:trPr>
          <w:trHeight w:val="228"/>
        </w:trPr>
        <w:tc>
          <w:tcPr>
            <w:tcW w:w="5700" w:type="dxa"/>
            <w:vAlign w:val="bottom"/>
            <w:tcBorders>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Year Ended December 31</w:t>
            </w:r>
          </w:p>
        </w:tc>
        <w:tc>
          <w:tcPr>
            <w:tcW w:w="780" w:type="dxa"/>
            <w:vAlign w:val="bottom"/>
            <w:tcBorders>
              <w:bottom w:val="single" w:sz="8" w:color="auto"/>
            </w:tcBorders>
            <w:shd w:val="clear" w:color="auto" w:fill="98B0CF"/>
          </w:tcPr>
          <w:p>
            <w:pPr>
              <w:jc w:val="right"/>
              <w:spacing w:after="0"/>
              <w:rPr>
                <w:sz w:val="20"/>
                <w:szCs w:val="20"/>
                <w:color w:val="auto"/>
              </w:rPr>
            </w:pPr>
            <w:r>
              <w:rPr>
                <w:rFonts w:ascii="Arial" w:cs="Arial" w:eastAsia="Arial" w:hAnsi="Arial"/>
                <w:sz w:val="13"/>
                <w:szCs w:val="13"/>
                <w:b w:val="1"/>
                <w:bCs w:val="1"/>
                <w:color w:val="231F20"/>
              </w:rPr>
              <w:t>2024</w:t>
            </w:r>
          </w:p>
        </w:tc>
        <w:tc>
          <w:tcPr>
            <w:tcW w:w="520" w:type="dxa"/>
            <w:vAlign w:val="bottom"/>
            <w:tcBorders>
              <w:bottom w:val="single" w:sz="8" w:color="auto"/>
            </w:tcBorders>
            <w:shd w:val="clear" w:color="auto" w:fill="98B0CF"/>
          </w:tcPr>
          <w:p>
            <w:pPr>
              <w:spacing w:after="0"/>
              <w:rPr>
                <w:sz w:val="19"/>
                <w:szCs w:val="19"/>
                <w:color w:val="auto"/>
              </w:rPr>
            </w:pPr>
          </w:p>
        </w:tc>
        <w:tc>
          <w:tcPr>
            <w:tcW w:w="920" w:type="dxa"/>
            <w:vAlign w:val="bottom"/>
            <w:tcBorders>
              <w:bottom w:val="single" w:sz="8" w:color="auto"/>
            </w:tcBorders>
            <w:shd w:val="clear" w:color="auto" w:fill="98B0CF"/>
          </w:tcPr>
          <w:p>
            <w:pPr>
              <w:jc w:val="right"/>
              <w:spacing w:after="0"/>
              <w:rPr>
                <w:sz w:val="20"/>
                <w:szCs w:val="20"/>
                <w:color w:val="auto"/>
              </w:rPr>
            </w:pPr>
            <w:r>
              <w:rPr>
                <w:rFonts w:ascii="Arial" w:cs="Arial" w:eastAsia="Arial" w:hAnsi="Arial"/>
                <w:sz w:val="13"/>
                <w:szCs w:val="13"/>
                <w:b w:val="1"/>
                <w:bCs w:val="1"/>
                <w:color w:val="231F20"/>
              </w:rPr>
              <w:t>2023</w:t>
            </w:r>
          </w:p>
        </w:tc>
        <w:tc>
          <w:tcPr>
            <w:tcW w:w="540" w:type="dxa"/>
            <w:vAlign w:val="bottom"/>
            <w:tcBorders>
              <w:bottom w:val="single" w:sz="8" w:color="auto"/>
            </w:tcBorders>
            <w:shd w:val="clear" w:color="auto" w:fill="98B0CF"/>
          </w:tcPr>
          <w:p>
            <w:pPr>
              <w:spacing w:after="0"/>
              <w:rPr>
                <w:sz w:val="19"/>
                <w:szCs w:val="19"/>
                <w:color w:val="auto"/>
              </w:rPr>
            </w:pPr>
          </w:p>
        </w:tc>
        <w:tc>
          <w:tcPr>
            <w:tcW w:w="860" w:type="dxa"/>
            <w:vAlign w:val="bottom"/>
            <w:tcBorders>
              <w:bottom w:val="single" w:sz="8" w:color="auto"/>
            </w:tcBorders>
            <w:gridSpan w:val="2"/>
            <w:shd w:val="clear" w:color="auto" w:fill="98B0CF"/>
          </w:tcPr>
          <w:p>
            <w:pPr>
              <w:jc w:val="right"/>
              <w:spacing w:after="0"/>
              <w:rPr>
                <w:sz w:val="20"/>
                <w:szCs w:val="20"/>
                <w:color w:val="auto"/>
              </w:rPr>
            </w:pPr>
            <w:r>
              <w:rPr>
                <w:rFonts w:ascii="Arial" w:cs="Arial" w:eastAsia="Arial" w:hAnsi="Arial"/>
                <w:sz w:val="13"/>
                <w:szCs w:val="13"/>
                <w:b w:val="1"/>
                <w:bCs w:val="1"/>
                <w:color w:val="231F20"/>
              </w:rPr>
              <w:t>2024</w:t>
            </w:r>
          </w:p>
        </w:tc>
        <w:tc>
          <w:tcPr>
            <w:tcW w:w="580" w:type="dxa"/>
            <w:vAlign w:val="bottom"/>
            <w:tcBorders>
              <w:bottom w:val="single" w:sz="8" w:color="auto"/>
            </w:tcBorders>
            <w:shd w:val="clear" w:color="auto" w:fill="98B0CF"/>
          </w:tcPr>
          <w:p>
            <w:pPr>
              <w:spacing w:after="0"/>
              <w:rPr>
                <w:sz w:val="19"/>
                <w:szCs w:val="19"/>
                <w:color w:val="auto"/>
              </w:rPr>
            </w:pPr>
          </w:p>
        </w:tc>
        <w:tc>
          <w:tcPr>
            <w:tcW w:w="800" w:type="dxa"/>
            <w:vAlign w:val="bottom"/>
            <w:tcBorders>
              <w:bottom w:val="single" w:sz="8" w:color="auto"/>
            </w:tcBorders>
            <w:shd w:val="clear" w:color="auto" w:fill="98B0CF"/>
          </w:tcPr>
          <w:p>
            <w:pPr>
              <w:jc w:val="right"/>
              <w:spacing w:after="0"/>
              <w:rPr>
                <w:sz w:val="20"/>
                <w:szCs w:val="20"/>
                <w:color w:val="auto"/>
              </w:rPr>
            </w:pPr>
            <w:r>
              <w:rPr>
                <w:rFonts w:ascii="Arial" w:cs="Arial" w:eastAsia="Arial" w:hAnsi="Arial"/>
                <w:sz w:val="13"/>
                <w:szCs w:val="13"/>
                <w:b w:val="1"/>
                <w:bCs w:val="1"/>
                <w:color w:val="231F20"/>
              </w:rPr>
              <w:t>2023</w:t>
            </w:r>
          </w:p>
        </w:tc>
        <w:tc>
          <w:tcPr>
            <w:tcW w:w="560" w:type="dxa"/>
            <w:vAlign w:val="bottom"/>
            <w:tcBorders>
              <w:bottom w:val="single" w:sz="8" w:color="auto"/>
            </w:tcBorders>
            <w:shd w:val="clear" w:color="auto" w:fill="98B0CF"/>
          </w:tcPr>
          <w:p>
            <w:pPr>
              <w:spacing w:after="0"/>
              <w:rPr>
                <w:sz w:val="19"/>
                <w:szCs w:val="19"/>
                <w:color w:val="auto"/>
              </w:rPr>
            </w:pPr>
          </w:p>
        </w:tc>
      </w:tr>
      <w:tr>
        <w:trPr>
          <w:trHeight w:val="187"/>
        </w:trPr>
        <w:tc>
          <w:tcPr>
            <w:tcW w:w="570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231F20"/>
              </w:rPr>
              <w:t>Change in Benefit Obligation</w:t>
            </w:r>
          </w:p>
        </w:tc>
        <w:tc>
          <w:tcPr>
            <w:tcW w:w="780" w:type="dxa"/>
            <w:vAlign w:val="bottom"/>
            <w:shd w:val="clear" w:color="auto" w:fill="E2E8F1"/>
          </w:tcPr>
          <w:p>
            <w:pPr>
              <w:spacing w:after="0"/>
              <w:rPr>
                <w:sz w:val="16"/>
                <w:szCs w:val="16"/>
                <w:color w:val="auto"/>
              </w:rPr>
            </w:pPr>
          </w:p>
        </w:tc>
        <w:tc>
          <w:tcPr>
            <w:tcW w:w="520" w:type="dxa"/>
            <w:vAlign w:val="bottom"/>
            <w:shd w:val="clear" w:color="auto" w:fill="E2E8F1"/>
          </w:tcPr>
          <w:p>
            <w:pPr>
              <w:spacing w:after="0"/>
              <w:rPr>
                <w:sz w:val="16"/>
                <w:szCs w:val="16"/>
                <w:color w:val="auto"/>
              </w:rPr>
            </w:pPr>
          </w:p>
        </w:tc>
        <w:tc>
          <w:tcPr>
            <w:tcW w:w="920" w:type="dxa"/>
            <w:vAlign w:val="bottom"/>
            <w:shd w:val="clear" w:color="auto" w:fill="E2E8F1"/>
          </w:tcPr>
          <w:p>
            <w:pPr>
              <w:spacing w:after="0"/>
              <w:rPr>
                <w:sz w:val="16"/>
                <w:szCs w:val="16"/>
                <w:color w:val="auto"/>
              </w:rPr>
            </w:pPr>
          </w:p>
        </w:tc>
        <w:tc>
          <w:tcPr>
            <w:tcW w:w="540" w:type="dxa"/>
            <w:vAlign w:val="bottom"/>
            <w:shd w:val="clear" w:color="auto" w:fill="E2E8F1"/>
          </w:tcPr>
          <w:p>
            <w:pPr>
              <w:spacing w:after="0"/>
              <w:rPr>
                <w:sz w:val="16"/>
                <w:szCs w:val="16"/>
                <w:color w:val="auto"/>
              </w:rPr>
            </w:pPr>
          </w:p>
        </w:tc>
        <w:tc>
          <w:tcPr>
            <w:tcW w:w="120" w:type="dxa"/>
            <w:vAlign w:val="bottom"/>
            <w:shd w:val="clear" w:color="auto" w:fill="E2E8F1"/>
          </w:tcPr>
          <w:p>
            <w:pPr>
              <w:spacing w:after="0"/>
              <w:rPr>
                <w:sz w:val="16"/>
                <w:szCs w:val="16"/>
                <w:color w:val="auto"/>
              </w:rPr>
            </w:pPr>
          </w:p>
        </w:tc>
        <w:tc>
          <w:tcPr>
            <w:tcW w:w="740" w:type="dxa"/>
            <w:vAlign w:val="bottom"/>
            <w:shd w:val="clear" w:color="auto" w:fill="E2E8F1"/>
          </w:tcPr>
          <w:p>
            <w:pPr>
              <w:spacing w:after="0"/>
              <w:rPr>
                <w:sz w:val="16"/>
                <w:szCs w:val="16"/>
                <w:color w:val="auto"/>
              </w:rPr>
            </w:pPr>
          </w:p>
        </w:tc>
        <w:tc>
          <w:tcPr>
            <w:tcW w:w="580" w:type="dxa"/>
            <w:vAlign w:val="bottom"/>
            <w:shd w:val="clear" w:color="auto" w:fill="E2E8F1"/>
          </w:tcPr>
          <w:p>
            <w:pPr>
              <w:spacing w:after="0"/>
              <w:rPr>
                <w:sz w:val="16"/>
                <w:szCs w:val="16"/>
                <w:color w:val="auto"/>
              </w:rPr>
            </w:pPr>
          </w:p>
        </w:tc>
        <w:tc>
          <w:tcPr>
            <w:tcW w:w="800" w:type="dxa"/>
            <w:vAlign w:val="bottom"/>
            <w:shd w:val="clear" w:color="auto" w:fill="E2E8F1"/>
          </w:tcPr>
          <w:p>
            <w:pPr>
              <w:spacing w:after="0"/>
              <w:rPr>
                <w:sz w:val="16"/>
                <w:szCs w:val="16"/>
                <w:color w:val="auto"/>
              </w:rPr>
            </w:pPr>
          </w:p>
        </w:tc>
        <w:tc>
          <w:tcPr>
            <w:tcW w:w="560" w:type="dxa"/>
            <w:vAlign w:val="bottom"/>
            <w:shd w:val="clear" w:color="auto" w:fill="E2E8F1"/>
          </w:tcPr>
          <w:p>
            <w:pPr>
              <w:spacing w:after="0"/>
              <w:rPr>
                <w:sz w:val="16"/>
                <w:szCs w:val="16"/>
                <w:color w:val="auto"/>
              </w:rPr>
            </w:pPr>
          </w:p>
        </w:tc>
      </w:tr>
      <w:tr>
        <w:trPr>
          <w:trHeight w:val="189"/>
        </w:trPr>
        <w:tc>
          <w:tcPr>
            <w:tcW w:w="5700" w:type="dxa"/>
            <w:vAlign w:val="bottom"/>
          </w:tcPr>
          <w:p>
            <w:pPr>
              <w:ind w:left="80"/>
              <w:spacing w:after="0"/>
              <w:rPr>
                <w:sz w:val="20"/>
                <w:szCs w:val="20"/>
                <w:color w:val="auto"/>
              </w:rPr>
            </w:pPr>
            <w:r>
              <w:rPr>
                <w:rFonts w:ascii="Arial" w:cs="Arial" w:eastAsia="Arial" w:hAnsi="Arial"/>
                <w:sz w:val="14"/>
                <w:szCs w:val="14"/>
                <w:color w:val="231F20"/>
              </w:rPr>
              <w:t>Benefit obligation, beginning of year</w:t>
            </w:r>
          </w:p>
        </w:tc>
        <w:tc>
          <w:tcPr>
            <w:tcW w:w="780" w:type="dxa"/>
            <w:vAlign w:val="bottom"/>
          </w:tcPr>
          <w:p>
            <w:pPr>
              <w:jc w:val="right"/>
              <w:ind w:right="632"/>
              <w:spacing w:after="0"/>
              <w:rPr>
                <w:sz w:val="20"/>
                <w:szCs w:val="20"/>
                <w:color w:val="auto"/>
              </w:rPr>
            </w:pPr>
            <w:r>
              <w:rPr>
                <w:rFonts w:ascii="Arial" w:cs="Arial" w:eastAsia="Arial" w:hAnsi="Arial"/>
                <w:sz w:val="14"/>
                <w:szCs w:val="14"/>
                <w:color w:val="231F20"/>
                <w:w w:val="76"/>
              </w:rPr>
              <w:t>$</w:t>
            </w:r>
          </w:p>
        </w:tc>
        <w:tc>
          <w:tcPr>
            <w:tcW w:w="520" w:type="dxa"/>
            <w:vAlign w:val="bottom"/>
          </w:tcPr>
          <w:p>
            <w:pPr>
              <w:jc w:val="right"/>
              <w:ind w:right="69"/>
              <w:spacing w:after="0"/>
              <w:rPr>
                <w:sz w:val="20"/>
                <w:szCs w:val="20"/>
                <w:color w:val="auto"/>
              </w:rPr>
            </w:pPr>
            <w:r>
              <w:rPr>
                <w:rFonts w:ascii="Arial" w:cs="Arial" w:eastAsia="Arial" w:hAnsi="Arial"/>
                <w:sz w:val="14"/>
                <w:szCs w:val="14"/>
                <w:color w:val="231F20"/>
              </w:rPr>
              <w:t>19.2</w:t>
            </w:r>
          </w:p>
        </w:tc>
        <w:tc>
          <w:tcPr>
            <w:tcW w:w="920" w:type="dxa"/>
            <w:vAlign w:val="bottom"/>
          </w:tcPr>
          <w:p>
            <w:pPr>
              <w:jc w:val="right"/>
              <w:ind w:right="631"/>
              <w:spacing w:after="0"/>
              <w:rPr>
                <w:sz w:val="20"/>
                <w:szCs w:val="20"/>
                <w:color w:val="auto"/>
              </w:rPr>
            </w:pPr>
            <w:r>
              <w:rPr>
                <w:rFonts w:ascii="Arial" w:cs="Arial" w:eastAsia="Arial" w:hAnsi="Arial"/>
                <w:sz w:val="14"/>
                <w:szCs w:val="14"/>
                <w:color w:val="231F20"/>
              </w:rPr>
              <w:t>$</w:t>
            </w:r>
          </w:p>
        </w:tc>
        <w:tc>
          <w:tcPr>
            <w:tcW w:w="540" w:type="dxa"/>
            <w:vAlign w:val="bottom"/>
          </w:tcPr>
          <w:p>
            <w:pPr>
              <w:jc w:val="right"/>
              <w:ind w:right="69"/>
              <w:spacing w:after="0"/>
              <w:rPr>
                <w:sz w:val="20"/>
                <w:szCs w:val="20"/>
                <w:color w:val="auto"/>
              </w:rPr>
            </w:pPr>
            <w:r>
              <w:rPr>
                <w:rFonts w:ascii="Arial" w:cs="Arial" w:eastAsia="Arial" w:hAnsi="Arial"/>
                <w:sz w:val="14"/>
                <w:szCs w:val="14"/>
                <w:color w:val="231F20"/>
              </w:rPr>
              <w:t>20.5</w:t>
            </w:r>
          </w:p>
        </w:tc>
        <w:tc>
          <w:tcPr>
            <w:tcW w:w="860" w:type="dxa"/>
            <w:vAlign w:val="bottom"/>
            <w:gridSpan w:val="2"/>
          </w:tcPr>
          <w:p>
            <w:pPr>
              <w:jc w:val="right"/>
              <w:ind w:right="577"/>
              <w:spacing w:after="0"/>
              <w:rPr>
                <w:sz w:val="20"/>
                <w:szCs w:val="20"/>
                <w:color w:val="auto"/>
              </w:rPr>
            </w:pPr>
            <w:r>
              <w:rPr>
                <w:rFonts w:ascii="Arial" w:cs="Arial" w:eastAsia="Arial" w:hAnsi="Arial"/>
                <w:sz w:val="14"/>
                <w:szCs w:val="14"/>
                <w:color w:val="231F20"/>
              </w:rPr>
              <w:t>$</w:t>
            </w:r>
          </w:p>
        </w:tc>
        <w:tc>
          <w:tcPr>
            <w:tcW w:w="580" w:type="dxa"/>
            <w:vAlign w:val="bottom"/>
          </w:tcPr>
          <w:p>
            <w:pPr>
              <w:jc w:val="right"/>
              <w:ind w:right="109"/>
              <w:spacing w:after="0"/>
              <w:rPr>
                <w:sz w:val="20"/>
                <w:szCs w:val="20"/>
                <w:color w:val="auto"/>
              </w:rPr>
            </w:pPr>
            <w:r>
              <w:rPr>
                <w:rFonts w:ascii="Arial" w:cs="Arial" w:eastAsia="Arial" w:hAnsi="Arial"/>
                <w:sz w:val="14"/>
                <w:szCs w:val="14"/>
                <w:color w:val="231F20"/>
              </w:rPr>
              <w:t>713.2</w:t>
            </w:r>
          </w:p>
        </w:tc>
        <w:tc>
          <w:tcPr>
            <w:tcW w:w="800" w:type="dxa"/>
            <w:vAlign w:val="bottom"/>
          </w:tcPr>
          <w:p>
            <w:pPr>
              <w:jc w:val="right"/>
              <w:ind w:right="571"/>
              <w:spacing w:after="0"/>
              <w:rPr>
                <w:sz w:val="20"/>
                <w:szCs w:val="20"/>
                <w:color w:val="auto"/>
              </w:rPr>
            </w:pPr>
            <w:r>
              <w:rPr>
                <w:rFonts w:ascii="Arial" w:cs="Arial" w:eastAsia="Arial" w:hAnsi="Arial"/>
                <w:sz w:val="14"/>
                <w:szCs w:val="14"/>
                <w:color w:val="231F20"/>
              </w:rPr>
              <w:t>$</w:t>
            </w:r>
          </w:p>
        </w:tc>
        <w:tc>
          <w:tcPr>
            <w:tcW w:w="560" w:type="dxa"/>
            <w:vAlign w:val="bottom"/>
          </w:tcPr>
          <w:p>
            <w:pPr>
              <w:jc w:val="right"/>
              <w:ind w:right="69"/>
              <w:spacing w:after="0"/>
              <w:rPr>
                <w:sz w:val="20"/>
                <w:szCs w:val="20"/>
                <w:color w:val="auto"/>
              </w:rPr>
            </w:pPr>
            <w:r>
              <w:rPr>
                <w:rFonts w:ascii="Arial" w:cs="Arial" w:eastAsia="Arial" w:hAnsi="Arial"/>
                <w:sz w:val="14"/>
                <w:szCs w:val="14"/>
                <w:color w:val="231F20"/>
              </w:rPr>
              <w:t>632.3</w:t>
            </w:r>
          </w:p>
        </w:tc>
      </w:tr>
      <w:tr>
        <w:trPr>
          <w:trHeight w:val="189"/>
        </w:trPr>
        <w:tc>
          <w:tcPr>
            <w:tcW w:w="570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Service cost</w:t>
            </w:r>
          </w:p>
        </w:tc>
        <w:tc>
          <w:tcPr>
            <w:tcW w:w="780" w:type="dxa"/>
            <w:vAlign w:val="bottom"/>
            <w:shd w:val="clear" w:color="auto" w:fill="E2E8F1"/>
          </w:tcPr>
          <w:p>
            <w:pPr>
              <w:spacing w:after="0"/>
              <w:rPr>
                <w:sz w:val="16"/>
                <w:szCs w:val="16"/>
                <w:color w:val="auto"/>
              </w:rPr>
            </w:pPr>
          </w:p>
        </w:tc>
        <w:tc>
          <w:tcPr>
            <w:tcW w:w="52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shd w:val="clear" w:color="auto" w:fill="E2E8F1"/>
          </w:tcPr>
          <w:p>
            <w:pPr>
              <w:spacing w:after="0"/>
              <w:rPr>
                <w:sz w:val="16"/>
                <w:szCs w:val="16"/>
                <w:color w:val="auto"/>
              </w:rPr>
            </w:pPr>
          </w:p>
        </w:tc>
        <w:tc>
          <w:tcPr>
            <w:tcW w:w="5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2E8F1"/>
          </w:tcPr>
          <w:p>
            <w:pPr>
              <w:spacing w:after="0"/>
              <w:rPr>
                <w:sz w:val="16"/>
                <w:szCs w:val="16"/>
                <w:color w:val="auto"/>
              </w:rPr>
            </w:pPr>
          </w:p>
        </w:tc>
        <w:tc>
          <w:tcPr>
            <w:tcW w:w="740" w:type="dxa"/>
            <w:vAlign w:val="bottom"/>
            <w:shd w:val="clear" w:color="auto" w:fill="E2E8F1"/>
          </w:tcPr>
          <w:p>
            <w:pPr>
              <w:spacing w:after="0"/>
              <w:rPr>
                <w:sz w:val="16"/>
                <w:szCs w:val="16"/>
                <w:color w:val="auto"/>
              </w:rPr>
            </w:pPr>
          </w:p>
        </w:tc>
        <w:tc>
          <w:tcPr>
            <w:tcW w:w="58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231F20"/>
              </w:rPr>
              <w:t>16.5</w:t>
            </w:r>
          </w:p>
        </w:tc>
        <w:tc>
          <w:tcPr>
            <w:tcW w:w="800" w:type="dxa"/>
            <w:vAlign w:val="bottom"/>
            <w:shd w:val="clear" w:color="auto" w:fill="E2E8F1"/>
          </w:tcPr>
          <w:p>
            <w:pPr>
              <w:spacing w:after="0"/>
              <w:rPr>
                <w:sz w:val="16"/>
                <w:szCs w:val="16"/>
                <w:color w:val="auto"/>
              </w:rPr>
            </w:pPr>
          </w:p>
        </w:tc>
        <w:tc>
          <w:tcPr>
            <w:tcW w:w="56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15.5</w:t>
            </w:r>
          </w:p>
        </w:tc>
      </w:tr>
      <w:tr>
        <w:trPr>
          <w:trHeight w:val="189"/>
        </w:trPr>
        <w:tc>
          <w:tcPr>
            <w:tcW w:w="5700" w:type="dxa"/>
            <w:vAlign w:val="bottom"/>
          </w:tcPr>
          <w:p>
            <w:pPr>
              <w:ind w:left="160"/>
              <w:spacing w:after="0"/>
              <w:rPr>
                <w:sz w:val="20"/>
                <w:szCs w:val="20"/>
                <w:color w:val="auto"/>
              </w:rPr>
            </w:pPr>
            <w:r>
              <w:rPr>
                <w:rFonts w:ascii="Arial" w:cs="Arial" w:eastAsia="Arial" w:hAnsi="Arial"/>
                <w:sz w:val="14"/>
                <w:szCs w:val="14"/>
                <w:color w:val="231F20"/>
              </w:rPr>
              <w:t>Interest cost</w:t>
            </w:r>
          </w:p>
        </w:tc>
        <w:tc>
          <w:tcPr>
            <w:tcW w:w="78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231F20"/>
              </w:rPr>
              <w:t>0.9</w:t>
            </w:r>
          </w:p>
        </w:tc>
        <w:tc>
          <w:tcPr>
            <w:tcW w:w="920" w:type="dxa"/>
            <w:vAlign w:val="bottom"/>
          </w:tcPr>
          <w:p>
            <w:pPr>
              <w:spacing w:after="0"/>
              <w:rPr>
                <w:sz w:val="16"/>
                <w:szCs w:val="16"/>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color w:val="231F20"/>
              </w:rPr>
              <w:t>1.0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231F20"/>
              </w:rPr>
              <w:t>18.5</w:t>
            </w:r>
          </w:p>
        </w:tc>
        <w:tc>
          <w:tcPr>
            <w:tcW w:w="800" w:type="dxa"/>
            <w:vAlign w:val="bottom"/>
          </w:tcPr>
          <w:p>
            <w:pPr>
              <w:spacing w:after="0"/>
              <w:rPr>
                <w:sz w:val="16"/>
                <w:szCs w:val="16"/>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231F20"/>
              </w:rPr>
              <w:t>20.1</w:t>
            </w:r>
          </w:p>
        </w:tc>
      </w:tr>
      <w:tr>
        <w:trPr>
          <w:trHeight w:val="189"/>
        </w:trPr>
        <w:tc>
          <w:tcPr>
            <w:tcW w:w="570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Curtailments</w:t>
            </w:r>
          </w:p>
        </w:tc>
        <w:tc>
          <w:tcPr>
            <w:tcW w:w="780" w:type="dxa"/>
            <w:vAlign w:val="bottom"/>
            <w:shd w:val="clear" w:color="auto" w:fill="E2E8F1"/>
          </w:tcPr>
          <w:p>
            <w:pPr>
              <w:spacing w:after="0"/>
              <w:rPr>
                <w:sz w:val="16"/>
                <w:szCs w:val="16"/>
                <w:color w:val="auto"/>
              </w:rPr>
            </w:pPr>
          </w:p>
        </w:tc>
        <w:tc>
          <w:tcPr>
            <w:tcW w:w="52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shd w:val="clear" w:color="auto" w:fill="E2E8F1"/>
          </w:tcPr>
          <w:p>
            <w:pPr>
              <w:spacing w:after="0"/>
              <w:rPr>
                <w:sz w:val="16"/>
                <w:szCs w:val="16"/>
                <w:color w:val="auto"/>
              </w:rPr>
            </w:pPr>
          </w:p>
        </w:tc>
        <w:tc>
          <w:tcPr>
            <w:tcW w:w="5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2E8F1"/>
          </w:tcPr>
          <w:p>
            <w:pPr>
              <w:spacing w:after="0"/>
              <w:rPr>
                <w:sz w:val="16"/>
                <w:szCs w:val="16"/>
                <w:color w:val="auto"/>
              </w:rPr>
            </w:pPr>
          </w:p>
        </w:tc>
        <w:tc>
          <w:tcPr>
            <w:tcW w:w="740" w:type="dxa"/>
            <w:vAlign w:val="bottom"/>
            <w:shd w:val="clear" w:color="auto" w:fill="E2E8F1"/>
          </w:tcPr>
          <w:p>
            <w:pPr>
              <w:spacing w:after="0"/>
              <w:rPr>
                <w:sz w:val="16"/>
                <w:szCs w:val="16"/>
                <w:color w:val="auto"/>
              </w:rPr>
            </w:pPr>
          </w:p>
        </w:tc>
        <w:tc>
          <w:tcPr>
            <w:tcW w:w="58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231F20"/>
              </w:rPr>
              <w:t>(2.7 )</w:t>
            </w:r>
          </w:p>
        </w:tc>
        <w:tc>
          <w:tcPr>
            <w:tcW w:w="800" w:type="dxa"/>
            <w:vAlign w:val="bottom"/>
            <w:shd w:val="clear" w:color="auto" w:fill="E2E8F1"/>
          </w:tcPr>
          <w:p>
            <w:pPr>
              <w:spacing w:after="0"/>
              <w:rPr>
                <w:sz w:val="16"/>
                <w:szCs w:val="16"/>
                <w:color w:val="auto"/>
              </w:rPr>
            </w:pPr>
          </w:p>
        </w:tc>
        <w:tc>
          <w:tcPr>
            <w:tcW w:w="56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r>
      <w:tr>
        <w:trPr>
          <w:trHeight w:val="189"/>
        </w:trPr>
        <w:tc>
          <w:tcPr>
            <w:tcW w:w="5700" w:type="dxa"/>
            <w:vAlign w:val="bottom"/>
          </w:tcPr>
          <w:p>
            <w:pPr>
              <w:ind w:left="160"/>
              <w:spacing w:after="0"/>
              <w:rPr>
                <w:sz w:val="20"/>
                <w:szCs w:val="20"/>
                <w:color w:val="auto"/>
              </w:rPr>
            </w:pPr>
            <w:r>
              <w:rPr>
                <w:rFonts w:ascii="Arial" w:cs="Arial" w:eastAsia="Arial" w:hAnsi="Arial"/>
                <w:sz w:val="14"/>
                <w:szCs w:val="14"/>
                <w:color w:val="231F20"/>
              </w:rPr>
              <w:t>Settlements</w:t>
            </w:r>
          </w:p>
        </w:tc>
        <w:tc>
          <w:tcPr>
            <w:tcW w:w="78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tcPr>
          <w:p>
            <w:pPr>
              <w:spacing w:after="0"/>
              <w:rPr>
                <w:sz w:val="16"/>
                <w:szCs w:val="16"/>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231F20"/>
              </w:rPr>
              <w:t>(50.9 )</w:t>
            </w:r>
          </w:p>
        </w:tc>
        <w:tc>
          <w:tcPr>
            <w:tcW w:w="8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(66.4 )</w:t>
            </w:r>
          </w:p>
        </w:tc>
      </w:tr>
      <w:tr>
        <w:trPr>
          <w:trHeight w:val="189"/>
        </w:trPr>
        <w:tc>
          <w:tcPr>
            <w:tcW w:w="570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Transfers</w:t>
            </w:r>
          </w:p>
        </w:tc>
        <w:tc>
          <w:tcPr>
            <w:tcW w:w="780" w:type="dxa"/>
            <w:vAlign w:val="bottom"/>
            <w:shd w:val="clear" w:color="auto" w:fill="E2E8F1"/>
          </w:tcPr>
          <w:p>
            <w:pPr>
              <w:spacing w:after="0"/>
              <w:rPr>
                <w:sz w:val="16"/>
                <w:szCs w:val="16"/>
                <w:color w:val="auto"/>
              </w:rPr>
            </w:pPr>
          </w:p>
        </w:tc>
        <w:tc>
          <w:tcPr>
            <w:tcW w:w="52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shd w:val="clear" w:color="auto" w:fill="E2E8F1"/>
          </w:tcPr>
          <w:p>
            <w:pPr>
              <w:spacing w:after="0"/>
              <w:rPr>
                <w:sz w:val="16"/>
                <w:szCs w:val="16"/>
                <w:color w:val="auto"/>
              </w:rPr>
            </w:pPr>
          </w:p>
        </w:tc>
        <w:tc>
          <w:tcPr>
            <w:tcW w:w="5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2E8F1"/>
          </w:tcPr>
          <w:p>
            <w:pPr>
              <w:spacing w:after="0"/>
              <w:rPr>
                <w:sz w:val="16"/>
                <w:szCs w:val="16"/>
                <w:color w:val="auto"/>
              </w:rPr>
            </w:pPr>
          </w:p>
        </w:tc>
        <w:tc>
          <w:tcPr>
            <w:tcW w:w="740" w:type="dxa"/>
            <w:vAlign w:val="bottom"/>
            <w:shd w:val="clear" w:color="auto" w:fill="E2E8F1"/>
          </w:tcPr>
          <w:p>
            <w:pPr>
              <w:spacing w:after="0"/>
              <w:rPr>
                <w:sz w:val="16"/>
                <w:szCs w:val="16"/>
                <w:color w:val="auto"/>
              </w:rPr>
            </w:pPr>
          </w:p>
        </w:tc>
        <w:tc>
          <w:tcPr>
            <w:tcW w:w="58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231F20"/>
              </w:rPr>
              <w:t>26.5</w:t>
            </w:r>
          </w:p>
        </w:tc>
        <w:tc>
          <w:tcPr>
            <w:tcW w:w="800" w:type="dxa"/>
            <w:vAlign w:val="bottom"/>
            <w:shd w:val="clear" w:color="auto" w:fill="E2E8F1"/>
          </w:tcPr>
          <w:p>
            <w:pPr>
              <w:spacing w:after="0"/>
              <w:rPr>
                <w:sz w:val="16"/>
                <w:szCs w:val="16"/>
                <w:color w:val="auto"/>
              </w:rPr>
            </w:pPr>
          </w:p>
        </w:tc>
        <w:tc>
          <w:tcPr>
            <w:tcW w:w="56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26.9</w:t>
            </w:r>
          </w:p>
        </w:tc>
      </w:tr>
      <w:tr>
        <w:trPr>
          <w:trHeight w:val="189"/>
        </w:trPr>
        <w:tc>
          <w:tcPr>
            <w:tcW w:w="5700" w:type="dxa"/>
            <w:vAlign w:val="bottom"/>
          </w:tcPr>
          <w:p>
            <w:pPr>
              <w:ind w:left="160"/>
              <w:spacing w:after="0"/>
              <w:rPr>
                <w:sz w:val="20"/>
                <w:szCs w:val="20"/>
                <w:color w:val="auto"/>
              </w:rPr>
            </w:pPr>
            <w:r>
              <w:rPr>
                <w:rFonts w:ascii="Arial" w:cs="Arial" w:eastAsia="Arial" w:hAnsi="Arial"/>
                <w:sz w:val="14"/>
                <w:szCs w:val="14"/>
                <w:color w:val="231F20"/>
              </w:rPr>
              <w:t>Actuarial (gain) loss</w:t>
            </w:r>
          </w:p>
        </w:tc>
        <w:tc>
          <w:tcPr>
            <w:tcW w:w="78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(0.1 )</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231F20"/>
              </w:rPr>
              <w:t>(3.9 )</w:t>
            </w:r>
          </w:p>
        </w:tc>
        <w:tc>
          <w:tcPr>
            <w:tcW w:w="800" w:type="dxa"/>
            <w:vAlign w:val="bottom"/>
          </w:tcPr>
          <w:p>
            <w:pPr>
              <w:spacing w:after="0"/>
              <w:rPr>
                <w:sz w:val="16"/>
                <w:szCs w:val="16"/>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231F20"/>
              </w:rPr>
              <w:t>43.3</w:t>
            </w:r>
          </w:p>
        </w:tc>
      </w:tr>
      <w:tr>
        <w:trPr>
          <w:trHeight w:val="189"/>
        </w:trPr>
        <w:tc>
          <w:tcPr>
            <w:tcW w:w="570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Plan participant contributions</w:t>
            </w:r>
          </w:p>
        </w:tc>
        <w:tc>
          <w:tcPr>
            <w:tcW w:w="780" w:type="dxa"/>
            <w:vAlign w:val="bottom"/>
            <w:shd w:val="clear" w:color="auto" w:fill="E2E8F1"/>
          </w:tcPr>
          <w:p>
            <w:pPr>
              <w:spacing w:after="0"/>
              <w:rPr>
                <w:sz w:val="16"/>
                <w:szCs w:val="16"/>
                <w:color w:val="auto"/>
              </w:rPr>
            </w:pPr>
          </w:p>
        </w:tc>
        <w:tc>
          <w:tcPr>
            <w:tcW w:w="52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shd w:val="clear" w:color="auto" w:fill="E2E8F1"/>
          </w:tcPr>
          <w:p>
            <w:pPr>
              <w:spacing w:after="0"/>
              <w:rPr>
                <w:sz w:val="16"/>
                <w:szCs w:val="16"/>
                <w:color w:val="auto"/>
              </w:rPr>
            </w:pPr>
          </w:p>
        </w:tc>
        <w:tc>
          <w:tcPr>
            <w:tcW w:w="5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2E8F1"/>
          </w:tcPr>
          <w:p>
            <w:pPr>
              <w:spacing w:after="0"/>
              <w:rPr>
                <w:sz w:val="16"/>
                <w:szCs w:val="16"/>
                <w:color w:val="auto"/>
              </w:rPr>
            </w:pPr>
          </w:p>
        </w:tc>
        <w:tc>
          <w:tcPr>
            <w:tcW w:w="740" w:type="dxa"/>
            <w:vAlign w:val="bottom"/>
            <w:shd w:val="clear" w:color="auto" w:fill="E2E8F1"/>
          </w:tcPr>
          <w:p>
            <w:pPr>
              <w:spacing w:after="0"/>
              <w:rPr>
                <w:sz w:val="16"/>
                <w:szCs w:val="16"/>
                <w:color w:val="auto"/>
              </w:rPr>
            </w:pPr>
          </w:p>
        </w:tc>
        <w:tc>
          <w:tcPr>
            <w:tcW w:w="58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231F20"/>
              </w:rPr>
              <w:t>11.4</w:t>
            </w:r>
          </w:p>
        </w:tc>
        <w:tc>
          <w:tcPr>
            <w:tcW w:w="800" w:type="dxa"/>
            <w:vAlign w:val="bottom"/>
            <w:shd w:val="clear" w:color="auto" w:fill="E2E8F1"/>
          </w:tcPr>
          <w:p>
            <w:pPr>
              <w:spacing w:after="0"/>
              <w:rPr>
                <w:sz w:val="16"/>
                <w:szCs w:val="16"/>
                <w:color w:val="auto"/>
              </w:rPr>
            </w:pPr>
          </w:p>
        </w:tc>
        <w:tc>
          <w:tcPr>
            <w:tcW w:w="56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12.4</w:t>
            </w:r>
          </w:p>
        </w:tc>
      </w:tr>
      <w:tr>
        <w:trPr>
          <w:trHeight w:val="189"/>
        </w:trPr>
        <w:tc>
          <w:tcPr>
            <w:tcW w:w="5700" w:type="dxa"/>
            <w:vAlign w:val="bottom"/>
          </w:tcPr>
          <w:p>
            <w:pPr>
              <w:ind w:left="160"/>
              <w:spacing w:after="0"/>
              <w:rPr>
                <w:sz w:val="20"/>
                <w:szCs w:val="20"/>
                <w:color w:val="auto"/>
              </w:rPr>
            </w:pPr>
            <w:r>
              <w:rPr>
                <w:rFonts w:ascii="Arial" w:cs="Arial" w:eastAsia="Arial" w:hAnsi="Arial"/>
                <w:sz w:val="14"/>
                <w:szCs w:val="14"/>
                <w:color w:val="231F20"/>
              </w:rPr>
              <w:t>Benefits paid</w:t>
            </w: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231F20"/>
              </w:rPr>
              <w:t>(2.1 )</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(2.2 )</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231F20"/>
              </w:rPr>
              <w:t>(16.0 )</w:t>
            </w:r>
          </w:p>
        </w:tc>
        <w:tc>
          <w:tcPr>
            <w:tcW w:w="8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(14.2 )</w:t>
            </w:r>
          </w:p>
        </w:tc>
      </w:tr>
      <w:tr>
        <w:trPr>
          <w:trHeight w:val="189"/>
        </w:trPr>
        <w:tc>
          <w:tcPr>
            <w:tcW w:w="5700" w:type="dxa"/>
            <w:vAlign w:val="bottom"/>
            <w:tcBorders>
              <w:bottom w:val="single" w:sz="8" w:color="231F20"/>
            </w:tcBorders>
            <w:shd w:val="clear" w:color="auto" w:fill="E2E8F1"/>
          </w:tcPr>
          <w:p>
            <w:pPr>
              <w:ind w:left="160"/>
              <w:spacing w:after="0"/>
              <w:rPr>
                <w:sz w:val="20"/>
                <w:szCs w:val="20"/>
                <w:color w:val="auto"/>
              </w:rPr>
            </w:pPr>
            <w:r>
              <w:rPr>
                <w:rFonts w:ascii="Arial" w:cs="Arial" w:eastAsia="Arial" w:hAnsi="Arial"/>
                <w:sz w:val="14"/>
                <w:szCs w:val="14"/>
                <w:color w:val="231F20"/>
              </w:rPr>
              <w:t>Currency exchange rate changes</w:t>
            </w:r>
          </w:p>
        </w:tc>
        <w:tc>
          <w:tcPr>
            <w:tcW w:w="780" w:type="dxa"/>
            <w:vAlign w:val="bottom"/>
            <w:tcBorders>
              <w:bottom w:val="single" w:sz="8" w:color="231F20"/>
            </w:tcBorders>
            <w:shd w:val="clear" w:color="auto" w:fill="E2E8F1"/>
          </w:tcPr>
          <w:p>
            <w:pPr>
              <w:spacing w:after="0"/>
              <w:rPr>
                <w:sz w:val="16"/>
                <w:szCs w:val="16"/>
                <w:color w:val="auto"/>
              </w:rPr>
            </w:pPr>
          </w:p>
        </w:tc>
        <w:tc>
          <w:tcPr>
            <w:tcW w:w="52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1F20"/>
            </w:tcBorders>
            <w:shd w:val="clear" w:color="auto" w:fill="E2E8F1"/>
          </w:tcPr>
          <w:p>
            <w:pPr>
              <w:spacing w:after="0"/>
              <w:rPr>
                <w:sz w:val="16"/>
                <w:szCs w:val="16"/>
                <w:color w:val="auto"/>
              </w:rPr>
            </w:pPr>
          </w:p>
        </w:tc>
        <w:tc>
          <w:tcPr>
            <w:tcW w:w="5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120" w:type="dxa"/>
            <w:vAlign w:val="bottom"/>
            <w:tcBorders>
              <w:bottom w:val="single" w:sz="8" w:color="231F20"/>
            </w:tcBorders>
            <w:shd w:val="clear" w:color="auto" w:fill="E2E8F1"/>
          </w:tcPr>
          <w:p>
            <w:pPr>
              <w:spacing w:after="0"/>
              <w:rPr>
                <w:sz w:val="16"/>
                <w:szCs w:val="16"/>
                <w:color w:val="auto"/>
              </w:rPr>
            </w:pPr>
          </w:p>
        </w:tc>
        <w:tc>
          <w:tcPr>
            <w:tcW w:w="74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ind w:right="9"/>
              <w:spacing w:after="0"/>
              <w:rPr>
                <w:sz w:val="20"/>
                <w:szCs w:val="20"/>
                <w:color w:val="auto"/>
              </w:rPr>
            </w:pPr>
            <w:r>
              <w:rPr>
                <w:rFonts w:ascii="Arial" w:cs="Arial" w:eastAsia="Arial" w:hAnsi="Arial"/>
                <w:sz w:val="14"/>
                <w:szCs w:val="14"/>
                <w:color w:val="231F20"/>
              </w:rPr>
              <w:t>(42.8 )</w:t>
            </w:r>
          </w:p>
        </w:tc>
        <w:tc>
          <w:tcPr>
            <w:tcW w:w="800" w:type="dxa"/>
            <w:vAlign w:val="bottom"/>
            <w:tcBorders>
              <w:bottom w:val="single" w:sz="8" w:color="231F20"/>
            </w:tcBorders>
            <w:shd w:val="clear" w:color="auto" w:fill="E2E8F1"/>
          </w:tcPr>
          <w:p>
            <w:pPr>
              <w:spacing w:after="0"/>
              <w:rPr>
                <w:sz w:val="16"/>
                <w:szCs w:val="16"/>
                <w:color w:val="auto"/>
              </w:rPr>
            </w:pPr>
          </w:p>
        </w:tc>
        <w:tc>
          <w:tcPr>
            <w:tcW w:w="56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43.3</w:t>
            </w:r>
          </w:p>
        </w:tc>
      </w:tr>
      <w:tr>
        <w:trPr>
          <w:trHeight w:val="181"/>
        </w:trPr>
        <w:tc>
          <w:tcPr>
            <w:tcW w:w="570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Benefit obligation, end of year</w:t>
            </w:r>
          </w:p>
        </w:tc>
        <w:tc>
          <w:tcPr>
            <w:tcW w:w="780" w:type="dxa"/>
            <w:vAlign w:val="bottom"/>
            <w:tcBorders>
              <w:bottom w:val="single" w:sz="8" w:color="231F20"/>
            </w:tcBorders>
          </w:tcPr>
          <w:p>
            <w:pPr>
              <w:jc w:val="right"/>
              <w:ind w:right="632"/>
              <w:spacing w:after="0"/>
              <w:rPr>
                <w:sz w:val="20"/>
                <w:szCs w:val="20"/>
                <w:color w:val="auto"/>
              </w:rPr>
            </w:pPr>
            <w:r>
              <w:rPr>
                <w:rFonts w:ascii="Arial" w:cs="Arial" w:eastAsia="Arial" w:hAnsi="Arial"/>
                <w:sz w:val="14"/>
                <w:szCs w:val="14"/>
                <w:color w:val="231F20"/>
                <w:w w:val="76"/>
              </w:rPr>
              <w:t>$</w:t>
            </w:r>
          </w:p>
        </w:tc>
        <w:tc>
          <w:tcPr>
            <w:tcW w:w="52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18.0</w:t>
            </w:r>
          </w:p>
        </w:tc>
        <w:tc>
          <w:tcPr>
            <w:tcW w:w="920" w:type="dxa"/>
            <w:vAlign w:val="bottom"/>
            <w:tcBorders>
              <w:bottom w:val="single" w:sz="8" w:color="231F20"/>
            </w:tcBorders>
          </w:tcPr>
          <w:p>
            <w:pPr>
              <w:jc w:val="right"/>
              <w:ind w:right="631"/>
              <w:spacing w:after="0"/>
              <w:rPr>
                <w:sz w:val="20"/>
                <w:szCs w:val="20"/>
                <w:color w:val="auto"/>
              </w:rPr>
            </w:pPr>
            <w:r>
              <w:rPr>
                <w:rFonts w:ascii="Arial" w:cs="Arial" w:eastAsia="Arial" w:hAnsi="Arial"/>
                <w:sz w:val="14"/>
                <w:szCs w:val="14"/>
                <w:color w:val="231F20"/>
              </w:rPr>
              <w:t>$</w:t>
            </w:r>
          </w:p>
        </w:tc>
        <w:tc>
          <w:tcPr>
            <w:tcW w:w="54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19.2</w:t>
            </w:r>
          </w:p>
        </w:tc>
        <w:tc>
          <w:tcPr>
            <w:tcW w:w="860" w:type="dxa"/>
            <w:vAlign w:val="bottom"/>
            <w:tcBorders>
              <w:bottom w:val="single" w:sz="8" w:color="231F20"/>
            </w:tcBorders>
            <w:gridSpan w:val="2"/>
          </w:tcPr>
          <w:p>
            <w:pPr>
              <w:jc w:val="right"/>
              <w:ind w:right="577"/>
              <w:spacing w:after="0"/>
              <w:rPr>
                <w:sz w:val="20"/>
                <w:szCs w:val="20"/>
                <w:color w:val="auto"/>
              </w:rPr>
            </w:pPr>
            <w:r>
              <w:rPr>
                <w:rFonts w:ascii="Arial" w:cs="Arial" w:eastAsia="Arial" w:hAnsi="Arial"/>
                <w:sz w:val="14"/>
                <w:szCs w:val="14"/>
                <w:color w:val="231F20"/>
              </w:rPr>
              <w:t>$</w:t>
            </w:r>
          </w:p>
        </w:tc>
        <w:tc>
          <w:tcPr>
            <w:tcW w:w="580" w:type="dxa"/>
            <w:vAlign w:val="bottom"/>
            <w:tcBorders>
              <w:bottom w:val="single" w:sz="8" w:color="231F20"/>
            </w:tcBorders>
          </w:tcPr>
          <w:p>
            <w:pPr>
              <w:jc w:val="right"/>
              <w:ind w:right="109"/>
              <w:spacing w:after="0"/>
              <w:rPr>
                <w:sz w:val="20"/>
                <w:szCs w:val="20"/>
                <w:color w:val="auto"/>
              </w:rPr>
            </w:pPr>
            <w:r>
              <w:rPr>
                <w:rFonts w:ascii="Arial" w:cs="Arial" w:eastAsia="Arial" w:hAnsi="Arial"/>
                <w:sz w:val="14"/>
                <w:szCs w:val="14"/>
                <w:color w:val="231F20"/>
              </w:rPr>
              <w:t>669.8</w:t>
            </w:r>
          </w:p>
        </w:tc>
        <w:tc>
          <w:tcPr>
            <w:tcW w:w="800" w:type="dxa"/>
            <w:vAlign w:val="bottom"/>
            <w:tcBorders>
              <w:bottom w:val="single" w:sz="8" w:color="231F20"/>
            </w:tcBorders>
          </w:tcPr>
          <w:p>
            <w:pPr>
              <w:jc w:val="right"/>
              <w:ind w:right="571"/>
              <w:spacing w:after="0"/>
              <w:rPr>
                <w:sz w:val="20"/>
                <w:szCs w:val="20"/>
                <w:color w:val="auto"/>
              </w:rPr>
            </w:pPr>
            <w:r>
              <w:rPr>
                <w:rFonts w:ascii="Arial" w:cs="Arial" w:eastAsia="Arial" w:hAnsi="Arial"/>
                <w:sz w:val="14"/>
                <w:szCs w:val="14"/>
                <w:color w:val="231F20"/>
              </w:rPr>
              <w:t>$</w:t>
            </w:r>
          </w:p>
        </w:tc>
        <w:tc>
          <w:tcPr>
            <w:tcW w:w="56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713.2</w:t>
            </w:r>
          </w:p>
        </w:tc>
      </w:tr>
      <w:tr>
        <w:trPr>
          <w:trHeight w:val="98"/>
        </w:trPr>
        <w:tc>
          <w:tcPr>
            <w:tcW w:w="570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gridSpan w:val="3"/>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211"/>
        </w:trPr>
        <w:tc>
          <w:tcPr>
            <w:tcW w:w="5700" w:type="dxa"/>
            <w:vAlign w:val="bottom"/>
            <w:tcBorders>
              <w:bottom w:val="single" w:sz="8" w:color="231F20"/>
            </w:tcBorders>
            <w:shd w:val="clear" w:color="auto" w:fill="98B0CF"/>
          </w:tcPr>
          <w:p>
            <w:pPr>
              <w:spacing w:after="0"/>
              <w:rPr>
                <w:sz w:val="18"/>
                <w:szCs w:val="18"/>
                <w:color w:val="auto"/>
              </w:rPr>
            </w:pPr>
          </w:p>
        </w:tc>
        <w:tc>
          <w:tcPr>
            <w:tcW w:w="2220" w:type="dxa"/>
            <w:vAlign w:val="bottom"/>
            <w:tcBorders>
              <w:bottom w:val="single" w:sz="8" w:color="231F20"/>
            </w:tcBorders>
            <w:gridSpan w:val="3"/>
            <w:shd w:val="clear" w:color="auto" w:fill="98B0CF"/>
          </w:tcPr>
          <w:p>
            <w:pPr>
              <w:jc w:val="right"/>
              <w:ind w:right="251"/>
              <w:spacing w:after="0"/>
              <w:rPr>
                <w:sz w:val="20"/>
                <w:szCs w:val="20"/>
                <w:color w:val="auto"/>
              </w:rPr>
            </w:pPr>
            <w:r>
              <w:rPr>
                <w:rFonts w:ascii="Arial" w:cs="Arial" w:eastAsia="Arial" w:hAnsi="Arial"/>
                <w:sz w:val="13"/>
                <w:szCs w:val="13"/>
                <w:b w:val="1"/>
                <w:bCs w:val="1"/>
                <w:color w:val="231F20"/>
              </w:rPr>
              <w:t>United States Plans</w:t>
            </w:r>
          </w:p>
        </w:tc>
        <w:tc>
          <w:tcPr>
            <w:tcW w:w="540" w:type="dxa"/>
            <w:vAlign w:val="bottom"/>
            <w:tcBorders>
              <w:bottom w:val="single" w:sz="8" w:color="231F20"/>
            </w:tcBorders>
            <w:shd w:val="clear" w:color="auto" w:fill="98B0CF"/>
          </w:tcPr>
          <w:p>
            <w:pPr>
              <w:spacing w:after="0"/>
              <w:rPr>
                <w:sz w:val="18"/>
                <w:szCs w:val="18"/>
                <w:color w:val="auto"/>
              </w:rPr>
            </w:pPr>
          </w:p>
        </w:tc>
        <w:tc>
          <w:tcPr>
            <w:tcW w:w="120" w:type="dxa"/>
            <w:vAlign w:val="bottom"/>
            <w:tcBorders>
              <w:bottom w:val="single" w:sz="8" w:color="98B0CF"/>
            </w:tcBorders>
            <w:shd w:val="clear" w:color="auto" w:fill="98B0CF"/>
          </w:tcPr>
          <w:p>
            <w:pPr>
              <w:spacing w:after="0"/>
              <w:rPr>
                <w:sz w:val="18"/>
                <w:szCs w:val="18"/>
                <w:color w:val="auto"/>
              </w:rPr>
            </w:pPr>
          </w:p>
        </w:tc>
        <w:tc>
          <w:tcPr>
            <w:tcW w:w="2120" w:type="dxa"/>
            <w:vAlign w:val="bottom"/>
            <w:tcBorders>
              <w:bottom w:val="single" w:sz="8" w:color="231F20"/>
            </w:tcBorders>
            <w:gridSpan w:val="3"/>
            <w:shd w:val="clear" w:color="auto" w:fill="98B0CF"/>
          </w:tcPr>
          <w:p>
            <w:pPr>
              <w:jc w:val="right"/>
              <w:ind w:right="31"/>
              <w:spacing w:after="0"/>
              <w:rPr>
                <w:sz w:val="20"/>
                <w:szCs w:val="20"/>
                <w:color w:val="auto"/>
              </w:rPr>
            </w:pPr>
            <w:r>
              <w:rPr>
                <w:rFonts w:ascii="Arial" w:cs="Arial" w:eastAsia="Arial" w:hAnsi="Arial"/>
                <w:sz w:val="13"/>
                <w:szCs w:val="13"/>
                <w:b w:val="1"/>
                <w:bCs w:val="1"/>
                <w:color w:val="231F20"/>
              </w:rPr>
              <w:t>Non-United States Plans</w:t>
            </w:r>
          </w:p>
        </w:tc>
        <w:tc>
          <w:tcPr>
            <w:tcW w:w="560" w:type="dxa"/>
            <w:vAlign w:val="bottom"/>
            <w:tcBorders>
              <w:bottom w:val="single" w:sz="8" w:color="231F20"/>
            </w:tcBorders>
            <w:shd w:val="clear" w:color="auto" w:fill="98B0CF"/>
          </w:tcPr>
          <w:p>
            <w:pPr>
              <w:spacing w:after="0"/>
              <w:rPr>
                <w:sz w:val="18"/>
                <w:szCs w:val="18"/>
                <w:color w:val="auto"/>
              </w:rPr>
            </w:pPr>
          </w:p>
        </w:tc>
      </w:tr>
      <w:tr>
        <w:trPr>
          <w:trHeight w:val="228"/>
        </w:trPr>
        <w:tc>
          <w:tcPr>
            <w:tcW w:w="5700" w:type="dxa"/>
            <w:vAlign w:val="bottom"/>
            <w:tcBorders>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Year Ended December 31</w:t>
            </w:r>
          </w:p>
        </w:tc>
        <w:tc>
          <w:tcPr>
            <w:tcW w:w="780" w:type="dxa"/>
            <w:vAlign w:val="bottom"/>
            <w:tcBorders>
              <w:bottom w:val="single" w:sz="8" w:color="auto"/>
            </w:tcBorders>
            <w:shd w:val="clear" w:color="auto" w:fill="98B0CF"/>
          </w:tcPr>
          <w:p>
            <w:pPr>
              <w:jc w:val="right"/>
              <w:spacing w:after="0"/>
              <w:rPr>
                <w:sz w:val="20"/>
                <w:szCs w:val="20"/>
                <w:color w:val="auto"/>
              </w:rPr>
            </w:pPr>
            <w:r>
              <w:rPr>
                <w:rFonts w:ascii="Arial" w:cs="Arial" w:eastAsia="Arial" w:hAnsi="Arial"/>
                <w:sz w:val="13"/>
                <w:szCs w:val="13"/>
                <w:b w:val="1"/>
                <w:bCs w:val="1"/>
                <w:color w:val="231F20"/>
              </w:rPr>
              <w:t>2024</w:t>
            </w:r>
          </w:p>
        </w:tc>
        <w:tc>
          <w:tcPr>
            <w:tcW w:w="520" w:type="dxa"/>
            <w:vAlign w:val="bottom"/>
            <w:tcBorders>
              <w:bottom w:val="single" w:sz="8" w:color="auto"/>
            </w:tcBorders>
            <w:shd w:val="clear" w:color="auto" w:fill="98B0CF"/>
          </w:tcPr>
          <w:p>
            <w:pPr>
              <w:spacing w:after="0"/>
              <w:rPr>
                <w:sz w:val="19"/>
                <w:szCs w:val="19"/>
                <w:color w:val="auto"/>
              </w:rPr>
            </w:pPr>
          </w:p>
        </w:tc>
        <w:tc>
          <w:tcPr>
            <w:tcW w:w="920" w:type="dxa"/>
            <w:vAlign w:val="bottom"/>
            <w:tcBorders>
              <w:bottom w:val="single" w:sz="8" w:color="auto"/>
            </w:tcBorders>
            <w:shd w:val="clear" w:color="auto" w:fill="98B0CF"/>
          </w:tcPr>
          <w:p>
            <w:pPr>
              <w:jc w:val="right"/>
              <w:spacing w:after="0"/>
              <w:rPr>
                <w:sz w:val="20"/>
                <w:szCs w:val="20"/>
                <w:color w:val="auto"/>
              </w:rPr>
            </w:pPr>
            <w:r>
              <w:rPr>
                <w:rFonts w:ascii="Arial" w:cs="Arial" w:eastAsia="Arial" w:hAnsi="Arial"/>
                <w:sz w:val="13"/>
                <w:szCs w:val="13"/>
                <w:b w:val="1"/>
                <w:bCs w:val="1"/>
                <w:color w:val="231F20"/>
              </w:rPr>
              <w:t>2023</w:t>
            </w:r>
          </w:p>
        </w:tc>
        <w:tc>
          <w:tcPr>
            <w:tcW w:w="540" w:type="dxa"/>
            <w:vAlign w:val="bottom"/>
            <w:tcBorders>
              <w:bottom w:val="single" w:sz="8" w:color="auto"/>
            </w:tcBorders>
            <w:shd w:val="clear" w:color="auto" w:fill="98B0CF"/>
          </w:tcPr>
          <w:p>
            <w:pPr>
              <w:spacing w:after="0"/>
              <w:rPr>
                <w:sz w:val="19"/>
                <w:szCs w:val="19"/>
                <w:color w:val="auto"/>
              </w:rPr>
            </w:pPr>
          </w:p>
        </w:tc>
        <w:tc>
          <w:tcPr>
            <w:tcW w:w="860" w:type="dxa"/>
            <w:vAlign w:val="bottom"/>
            <w:tcBorders>
              <w:bottom w:val="single" w:sz="8" w:color="auto"/>
            </w:tcBorders>
            <w:gridSpan w:val="2"/>
            <w:shd w:val="clear" w:color="auto" w:fill="98B0CF"/>
          </w:tcPr>
          <w:p>
            <w:pPr>
              <w:jc w:val="right"/>
              <w:spacing w:after="0"/>
              <w:rPr>
                <w:sz w:val="20"/>
                <w:szCs w:val="20"/>
                <w:color w:val="auto"/>
              </w:rPr>
            </w:pPr>
            <w:r>
              <w:rPr>
                <w:rFonts w:ascii="Arial" w:cs="Arial" w:eastAsia="Arial" w:hAnsi="Arial"/>
                <w:sz w:val="13"/>
                <w:szCs w:val="13"/>
                <w:b w:val="1"/>
                <w:bCs w:val="1"/>
                <w:color w:val="231F20"/>
              </w:rPr>
              <w:t>2024</w:t>
            </w:r>
          </w:p>
        </w:tc>
        <w:tc>
          <w:tcPr>
            <w:tcW w:w="580" w:type="dxa"/>
            <w:vAlign w:val="bottom"/>
            <w:tcBorders>
              <w:bottom w:val="single" w:sz="8" w:color="auto"/>
            </w:tcBorders>
            <w:shd w:val="clear" w:color="auto" w:fill="98B0CF"/>
          </w:tcPr>
          <w:p>
            <w:pPr>
              <w:spacing w:after="0"/>
              <w:rPr>
                <w:sz w:val="19"/>
                <w:szCs w:val="19"/>
                <w:color w:val="auto"/>
              </w:rPr>
            </w:pPr>
          </w:p>
        </w:tc>
        <w:tc>
          <w:tcPr>
            <w:tcW w:w="800" w:type="dxa"/>
            <w:vAlign w:val="bottom"/>
            <w:tcBorders>
              <w:bottom w:val="single" w:sz="8" w:color="auto"/>
            </w:tcBorders>
            <w:shd w:val="clear" w:color="auto" w:fill="98B0CF"/>
          </w:tcPr>
          <w:p>
            <w:pPr>
              <w:jc w:val="right"/>
              <w:spacing w:after="0"/>
              <w:rPr>
                <w:sz w:val="20"/>
                <w:szCs w:val="20"/>
                <w:color w:val="auto"/>
              </w:rPr>
            </w:pPr>
            <w:r>
              <w:rPr>
                <w:rFonts w:ascii="Arial" w:cs="Arial" w:eastAsia="Arial" w:hAnsi="Arial"/>
                <w:sz w:val="13"/>
                <w:szCs w:val="13"/>
                <w:b w:val="1"/>
                <w:bCs w:val="1"/>
                <w:color w:val="231F20"/>
              </w:rPr>
              <w:t>2023</w:t>
            </w:r>
          </w:p>
        </w:tc>
        <w:tc>
          <w:tcPr>
            <w:tcW w:w="560" w:type="dxa"/>
            <w:vAlign w:val="bottom"/>
            <w:tcBorders>
              <w:bottom w:val="single" w:sz="8" w:color="auto"/>
            </w:tcBorders>
            <w:shd w:val="clear" w:color="auto" w:fill="98B0CF"/>
          </w:tcPr>
          <w:p>
            <w:pPr>
              <w:spacing w:after="0"/>
              <w:rPr>
                <w:sz w:val="19"/>
                <w:szCs w:val="19"/>
                <w:color w:val="auto"/>
              </w:rPr>
            </w:pPr>
          </w:p>
        </w:tc>
      </w:tr>
      <w:tr>
        <w:trPr>
          <w:trHeight w:val="187"/>
        </w:trPr>
        <w:tc>
          <w:tcPr>
            <w:tcW w:w="570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231F20"/>
              </w:rPr>
              <w:t>Change in Plan Assets</w:t>
            </w:r>
          </w:p>
        </w:tc>
        <w:tc>
          <w:tcPr>
            <w:tcW w:w="780" w:type="dxa"/>
            <w:vAlign w:val="bottom"/>
            <w:shd w:val="clear" w:color="auto" w:fill="E2E8F1"/>
          </w:tcPr>
          <w:p>
            <w:pPr>
              <w:spacing w:after="0"/>
              <w:rPr>
                <w:sz w:val="16"/>
                <w:szCs w:val="16"/>
                <w:color w:val="auto"/>
              </w:rPr>
            </w:pPr>
          </w:p>
        </w:tc>
        <w:tc>
          <w:tcPr>
            <w:tcW w:w="520" w:type="dxa"/>
            <w:vAlign w:val="bottom"/>
            <w:shd w:val="clear" w:color="auto" w:fill="E2E8F1"/>
          </w:tcPr>
          <w:p>
            <w:pPr>
              <w:spacing w:after="0"/>
              <w:rPr>
                <w:sz w:val="16"/>
                <w:szCs w:val="16"/>
                <w:color w:val="auto"/>
              </w:rPr>
            </w:pPr>
          </w:p>
        </w:tc>
        <w:tc>
          <w:tcPr>
            <w:tcW w:w="920" w:type="dxa"/>
            <w:vAlign w:val="bottom"/>
            <w:shd w:val="clear" w:color="auto" w:fill="E2E8F1"/>
          </w:tcPr>
          <w:p>
            <w:pPr>
              <w:spacing w:after="0"/>
              <w:rPr>
                <w:sz w:val="16"/>
                <w:szCs w:val="16"/>
                <w:color w:val="auto"/>
              </w:rPr>
            </w:pPr>
          </w:p>
        </w:tc>
        <w:tc>
          <w:tcPr>
            <w:tcW w:w="540" w:type="dxa"/>
            <w:vAlign w:val="bottom"/>
            <w:shd w:val="clear" w:color="auto" w:fill="E2E8F1"/>
          </w:tcPr>
          <w:p>
            <w:pPr>
              <w:spacing w:after="0"/>
              <w:rPr>
                <w:sz w:val="16"/>
                <w:szCs w:val="16"/>
                <w:color w:val="auto"/>
              </w:rPr>
            </w:pPr>
          </w:p>
        </w:tc>
        <w:tc>
          <w:tcPr>
            <w:tcW w:w="120" w:type="dxa"/>
            <w:vAlign w:val="bottom"/>
            <w:shd w:val="clear" w:color="auto" w:fill="E2E8F1"/>
          </w:tcPr>
          <w:p>
            <w:pPr>
              <w:spacing w:after="0"/>
              <w:rPr>
                <w:sz w:val="16"/>
                <w:szCs w:val="16"/>
                <w:color w:val="auto"/>
              </w:rPr>
            </w:pPr>
          </w:p>
        </w:tc>
        <w:tc>
          <w:tcPr>
            <w:tcW w:w="740" w:type="dxa"/>
            <w:vAlign w:val="bottom"/>
            <w:shd w:val="clear" w:color="auto" w:fill="E2E8F1"/>
          </w:tcPr>
          <w:p>
            <w:pPr>
              <w:spacing w:after="0"/>
              <w:rPr>
                <w:sz w:val="16"/>
                <w:szCs w:val="16"/>
                <w:color w:val="auto"/>
              </w:rPr>
            </w:pPr>
          </w:p>
        </w:tc>
        <w:tc>
          <w:tcPr>
            <w:tcW w:w="580" w:type="dxa"/>
            <w:vAlign w:val="bottom"/>
            <w:shd w:val="clear" w:color="auto" w:fill="E2E8F1"/>
          </w:tcPr>
          <w:p>
            <w:pPr>
              <w:spacing w:after="0"/>
              <w:rPr>
                <w:sz w:val="16"/>
                <w:szCs w:val="16"/>
                <w:color w:val="auto"/>
              </w:rPr>
            </w:pPr>
          </w:p>
        </w:tc>
        <w:tc>
          <w:tcPr>
            <w:tcW w:w="800" w:type="dxa"/>
            <w:vAlign w:val="bottom"/>
            <w:shd w:val="clear" w:color="auto" w:fill="E2E8F1"/>
          </w:tcPr>
          <w:p>
            <w:pPr>
              <w:spacing w:after="0"/>
              <w:rPr>
                <w:sz w:val="16"/>
                <w:szCs w:val="16"/>
                <w:color w:val="auto"/>
              </w:rPr>
            </w:pPr>
          </w:p>
        </w:tc>
        <w:tc>
          <w:tcPr>
            <w:tcW w:w="560" w:type="dxa"/>
            <w:vAlign w:val="bottom"/>
            <w:shd w:val="clear" w:color="auto" w:fill="E2E8F1"/>
          </w:tcPr>
          <w:p>
            <w:pPr>
              <w:spacing w:after="0"/>
              <w:rPr>
                <w:sz w:val="16"/>
                <w:szCs w:val="16"/>
                <w:color w:val="auto"/>
              </w:rPr>
            </w:pPr>
          </w:p>
        </w:tc>
      </w:tr>
      <w:tr>
        <w:trPr>
          <w:trHeight w:val="189"/>
        </w:trPr>
        <w:tc>
          <w:tcPr>
            <w:tcW w:w="5700" w:type="dxa"/>
            <w:vAlign w:val="bottom"/>
          </w:tcPr>
          <w:p>
            <w:pPr>
              <w:ind w:left="80"/>
              <w:spacing w:after="0"/>
              <w:rPr>
                <w:sz w:val="20"/>
                <w:szCs w:val="20"/>
                <w:color w:val="auto"/>
              </w:rPr>
            </w:pPr>
            <w:r>
              <w:rPr>
                <w:rFonts w:ascii="Arial" w:cs="Arial" w:eastAsia="Arial" w:hAnsi="Arial"/>
                <w:sz w:val="14"/>
                <w:szCs w:val="14"/>
                <w:color w:val="231F20"/>
              </w:rPr>
              <w:t>Fair value of plan assets, beginning of year</w:t>
            </w:r>
          </w:p>
        </w:tc>
        <w:tc>
          <w:tcPr>
            <w:tcW w:w="780" w:type="dxa"/>
            <w:vAlign w:val="bottom"/>
          </w:tcPr>
          <w:p>
            <w:pPr>
              <w:jc w:val="right"/>
              <w:ind w:right="632"/>
              <w:spacing w:after="0"/>
              <w:rPr>
                <w:sz w:val="20"/>
                <w:szCs w:val="20"/>
                <w:color w:val="auto"/>
              </w:rPr>
            </w:pPr>
            <w:r>
              <w:rPr>
                <w:rFonts w:ascii="Arial" w:cs="Arial" w:eastAsia="Arial" w:hAnsi="Arial"/>
                <w:sz w:val="14"/>
                <w:szCs w:val="14"/>
                <w:color w:val="231F20"/>
                <w:w w:val="76"/>
              </w:rPr>
              <w:t>$</w:t>
            </w:r>
          </w:p>
        </w:tc>
        <w:tc>
          <w:tcPr>
            <w:tcW w:w="520" w:type="dxa"/>
            <w:vAlign w:val="bottom"/>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tcPr>
          <w:p>
            <w:pPr>
              <w:jc w:val="right"/>
              <w:ind w:right="631"/>
              <w:spacing w:after="0"/>
              <w:rPr>
                <w:sz w:val="20"/>
                <w:szCs w:val="20"/>
                <w:color w:val="auto"/>
              </w:rPr>
            </w:pPr>
            <w:r>
              <w:rPr>
                <w:rFonts w:ascii="Arial" w:cs="Arial" w:eastAsia="Arial" w:hAnsi="Arial"/>
                <w:sz w:val="14"/>
                <w:szCs w:val="14"/>
                <w:color w:val="231F20"/>
              </w:rPr>
              <w:t>$</w:t>
            </w:r>
          </w:p>
        </w:tc>
        <w:tc>
          <w:tcPr>
            <w:tcW w:w="540" w:type="dxa"/>
            <w:vAlign w:val="bottom"/>
          </w:tcPr>
          <w:p>
            <w:pPr>
              <w:jc w:val="right"/>
              <w:ind w:right="89"/>
              <w:spacing w:after="0"/>
              <w:rPr>
                <w:sz w:val="20"/>
                <w:szCs w:val="20"/>
                <w:color w:val="auto"/>
              </w:rPr>
            </w:pPr>
            <w:r>
              <w:rPr>
                <w:rFonts w:ascii="Arial" w:cs="Arial" w:eastAsia="Arial" w:hAnsi="Arial"/>
                <w:sz w:val="14"/>
                <w:szCs w:val="14"/>
                <w:color w:val="231F20"/>
              </w:rPr>
              <w:t>—</w:t>
            </w:r>
          </w:p>
        </w:tc>
        <w:tc>
          <w:tcPr>
            <w:tcW w:w="860" w:type="dxa"/>
            <w:vAlign w:val="bottom"/>
            <w:gridSpan w:val="2"/>
          </w:tcPr>
          <w:p>
            <w:pPr>
              <w:jc w:val="right"/>
              <w:ind w:right="577"/>
              <w:spacing w:after="0"/>
              <w:rPr>
                <w:sz w:val="20"/>
                <w:szCs w:val="20"/>
                <w:color w:val="auto"/>
              </w:rPr>
            </w:pPr>
            <w:r>
              <w:rPr>
                <w:rFonts w:ascii="Arial" w:cs="Arial" w:eastAsia="Arial" w:hAnsi="Arial"/>
                <w:sz w:val="14"/>
                <w:szCs w:val="14"/>
                <w:color w:val="231F20"/>
              </w:rPr>
              <w:t>$</w:t>
            </w:r>
          </w:p>
        </w:tc>
        <w:tc>
          <w:tcPr>
            <w:tcW w:w="580" w:type="dxa"/>
            <w:vAlign w:val="bottom"/>
          </w:tcPr>
          <w:p>
            <w:pPr>
              <w:jc w:val="right"/>
              <w:ind w:right="109"/>
              <w:spacing w:after="0"/>
              <w:rPr>
                <w:sz w:val="20"/>
                <w:szCs w:val="20"/>
                <w:color w:val="auto"/>
              </w:rPr>
            </w:pPr>
            <w:r>
              <w:rPr>
                <w:rFonts w:ascii="Arial" w:cs="Arial" w:eastAsia="Arial" w:hAnsi="Arial"/>
                <w:sz w:val="14"/>
                <w:szCs w:val="14"/>
                <w:color w:val="231F20"/>
              </w:rPr>
              <w:t>596.3</w:t>
            </w:r>
          </w:p>
        </w:tc>
        <w:tc>
          <w:tcPr>
            <w:tcW w:w="800" w:type="dxa"/>
            <w:vAlign w:val="bottom"/>
          </w:tcPr>
          <w:p>
            <w:pPr>
              <w:jc w:val="right"/>
              <w:ind w:right="571"/>
              <w:spacing w:after="0"/>
              <w:rPr>
                <w:sz w:val="20"/>
                <w:szCs w:val="20"/>
                <w:color w:val="auto"/>
              </w:rPr>
            </w:pPr>
            <w:r>
              <w:rPr>
                <w:rFonts w:ascii="Arial" w:cs="Arial" w:eastAsia="Arial" w:hAnsi="Arial"/>
                <w:sz w:val="14"/>
                <w:szCs w:val="14"/>
                <w:color w:val="231F20"/>
              </w:rPr>
              <w:t>$</w:t>
            </w:r>
          </w:p>
        </w:tc>
        <w:tc>
          <w:tcPr>
            <w:tcW w:w="560" w:type="dxa"/>
            <w:vAlign w:val="bottom"/>
          </w:tcPr>
          <w:p>
            <w:pPr>
              <w:jc w:val="right"/>
              <w:ind w:right="69"/>
              <w:spacing w:after="0"/>
              <w:rPr>
                <w:sz w:val="20"/>
                <w:szCs w:val="20"/>
                <w:color w:val="auto"/>
              </w:rPr>
            </w:pPr>
            <w:r>
              <w:rPr>
                <w:rFonts w:ascii="Arial" w:cs="Arial" w:eastAsia="Arial" w:hAnsi="Arial"/>
                <w:sz w:val="14"/>
                <w:szCs w:val="14"/>
                <w:color w:val="231F20"/>
              </w:rPr>
              <w:t>547.8</w:t>
            </w:r>
          </w:p>
        </w:tc>
      </w:tr>
      <w:tr>
        <w:trPr>
          <w:trHeight w:val="189"/>
        </w:trPr>
        <w:tc>
          <w:tcPr>
            <w:tcW w:w="570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Actual return on plan assets</w:t>
            </w:r>
          </w:p>
        </w:tc>
        <w:tc>
          <w:tcPr>
            <w:tcW w:w="780" w:type="dxa"/>
            <w:vAlign w:val="bottom"/>
            <w:shd w:val="clear" w:color="auto" w:fill="E2E8F1"/>
          </w:tcPr>
          <w:p>
            <w:pPr>
              <w:spacing w:after="0"/>
              <w:rPr>
                <w:sz w:val="16"/>
                <w:szCs w:val="16"/>
                <w:color w:val="auto"/>
              </w:rPr>
            </w:pPr>
          </w:p>
        </w:tc>
        <w:tc>
          <w:tcPr>
            <w:tcW w:w="52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shd w:val="clear" w:color="auto" w:fill="E2E8F1"/>
          </w:tcPr>
          <w:p>
            <w:pPr>
              <w:spacing w:after="0"/>
              <w:rPr>
                <w:sz w:val="16"/>
                <w:szCs w:val="16"/>
                <w:color w:val="auto"/>
              </w:rPr>
            </w:pPr>
          </w:p>
        </w:tc>
        <w:tc>
          <w:tcPr>
            <w:tcW w:w="54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2E8F1"/>
          </w:tcPr>
          <w:p>
            <w:pPr>
              <w:spacing w:after="0"/>
              <w:rPr>
                <w:sz w:val="16"/>
                <w:szCs w:val="16"/>
                <w:color w:val="auto"/>
              </w:rPr>
            </w:pPr>
          </w:p>
        </w:tc>
        <w:tc>
          <w:tcPr>
            <w:tcW w:w="740" w:type="dxa"/>
            <w:vAlign w:val="bottom"/>
            <w:shd w:val="clear" w:color="auto" w:fill="E2E8F1"/>
          </w:tcPr>
          <w:p>
            <w:pPr>
              <w:spacing w:after="0"/>
              <w:rPr>
                <w:sz w:val="16"/>
                <w:szCs w:val="16"/>
                <w:color w:val="auto"/>
              </w:rPr>
            </w:pPr>
          </w:p>
        </w:tc>
        <w:tc>
          <w:tcPr>
            <w:tcW w:w="58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231F20"/>
              </w:rPr>
              <w:t>40.7</w:t>
            </w:r>
          </w:p>
        </w:tc>
        <w:tc>
          <w:tcPr>
            <w:tcW w:w="800" w:type="dxa"/>
            <w:vAlign w:val="bottom"/>
            <w:shd w:val="clear" w:color="auto" w:fill="E2E8F1"/>
          </w:tcPr>
          <w:p>
            <w:pPr>
              <w:spacing w:after="0"/>
              <w:rPr>
                <w:sz w:val="16"/>
                <w:szCs w:val="16"/>
                <w:color w:val="auto"/>
              </w:rPr>
            </w:pPr>
          </w:p>
        </w:tc>
        <w:tc>
          <w:tcPr>
            <w:tcW w:w="56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30.3</w:t>
            </w:r>
          </w:p>
        </w:tc>
      </w:tr>
      <w:tr>
        <w:trPr>
          <w:trHeight w:val="189"/>
        </w:trPr>
        <w:tc>
          <w:tcPr>
            <w:tcW w:w="5700" w:type="dxa"/>
            <w:vAlign w:val="bottom"/>
          </w:tcPr>
          <w:p>
            <w:pPr>
              <w:ind w:left="160"/>
              <w:spacing w:after="0"/>
              <w:rPr>
                <w:sz w:val="20"/>
                <w:szCs w:val="20"/>
                <w:color w:val="auto"/>
              </w:rPr>
            </w:pPr>
            <w:r>
              <w:rPr>
                <w:rFonts w:ascii="Arial" w:cs="Arial" w:eastAsia="Arial" w:hAnsi="Arial"/>
                <w:sz w:val="14"/>
                <w:szCs w:val="14"/>
                <w:color w:val="231F20"/>
              </w:rPr>
              <w:t>Settlements</w:t>
            </w:r>
          </w:p>
        </w:tc>
        <w:tc>
          <w:tcPr>
            <w:tcW w:w="78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tcPr>
          <w:p>
            <w:pPr>
              <w:spacing w:after="0"/>
              <w:rPr>
                <w:sz w:val="16"/>
                <w:szCs w:val="16"/>
                <w:color w:val="auto"/>
              </w:rPr>
            </w:pPr>
          </w:p>
        </w:tc>
        <w:tc>
          <w:tcPr>
            <w:tcW w:w="540" w:type="dxa"/>
            <w:vAlign w:val="bottom"/>
          </w:tcPr>
          <w:p>
            <w:pPr>
              <w:jc w:val="right"/>
              <w:ind w:right="89"/>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231F20"/>
              </w:rPr>
              <w:t>(50.9 )</w:t>
            </w:r>
          </w:p>
        </w:tc>
        <w:tc>
          <w:tcPr>
            <w:tcW w:w="8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(66.4 )</w:t>
            </w:r>
          </w:p>
        </w:tc>
      </w:tr>
      <w:tr>
        <w:trPr>
          <w:trHeight w:val="189"/>
        </w:trPr>
        <w:tc>
          <w:tcPr>
            <w:tcW w:w="570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Transfers</w:t>
            </w:r>
          </w:p>
        </w:tc>
        <w:tc>
          <w:tcPr>
            <w:tcW w:w="780" w:type="dxa"/>
            <w:vAlign w:val="bottom"/>
            <w:shd w:val="clear" w:color="auto" w:fill="E2E8F1"/>
          </w:tcPr>
          <w:p>
            <w:pPr>
              <w:spacing w:after="0"/>
              <w:rPr>
                <w:sz w:val="16"/>
                <w:szCs w:val="16"/>
                <w:color w:val="auto"/>
              </w:rPr>
            </w:pPr>
          </w:p>
        </w:tc>
        <w:tc>
          <w:tcPr>
            <w:tcW w:w="52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shd w:val="clear" w:color="auto" w:fill="E2E8F1"/>
          </w:tcPr>
          <w:p>
            <w:pPr>
              <w:spacing w:after="0"/>
              <w:rPr>
                <w:sz w:val="16"/>
                <w:szCs w:val="16"/>
                <w:color w:val="auto"/>
              </w:rPr>
            </w:pPr>
          </w:p>
        </w:tc>
        <w:tc>
          <w:tcPr>
            <w:tcW w:w="54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w:t>
            </w:r>
          </w:p>
        </w:tc>
        <w:tc>
          <w:tcPr>
            <w:tcW w:w="120" w:type="dxa"/>
            <w:vAlign w:val="bottom"/>
            <w:shd w:val="clear" w:color="auto" w:fill="E2E8F1"/>
          </w:tcPr>
          <w:p>
            <w:pPr>
              <w:spacing w:after="0"/>
              <w:rPr>
                <w:sz w:val="16"/>
                <w:szCs w:val="16"/>
                <w:color w:val="auto"/>
              </w:rPr>
            </w:pPr>
          </w:p>
        </w:tc>
        <w:tc>
          <w:tcPr>
            <w:tcW w:w="740" w:type="dxa"/>
            <w:vAlign w:val="bottom"/>
            <w:shd w:val="clear" w:color="auto" w:fill="E2E8F1"/>
          </w:tcPr>
          <w:p>
            <w:pPr>
              <w:spacing w:after="0"/>
              <w:rPr>
                <w:sz w:val="16"/>
                <w:szCs w:val="16"/>
                <w:color w:val="auto"/>
              </w:rPr>
            </w:pPr>
          </w:p>
        </w:tc>
        <w:tc>
          <w:tcPr>
            <w:tcW w:w="58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231F20"/>
              </w:rPr>
              <w:t>23.7</w:t>
            </w:r>
          </w:p>
        </w:tc>
        <w:tc>
          <w:tcPr>
            <w:tcW w:w="800" w:type="dxa"/>
            <w:vAlign w:val="bottom"/>
            <w:shd w:val="clear" w:color="auto" w:fill="E2E8F1"/>
          </w:tcPr>
          <w:p>
            <w:pPr>
              <w:spacing w:after="0"/>
              <w:rPr>
                <w:sz w:val="16"/>
                <w:szCs w:val="16"/>
                <w:color w:val="auto"/>
              </w:rPr>
            </w:pPr>
          </w:p>
        </w:tc>
        <w:tc>
          <w:tcPr>
            <w:tcW w:w="56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28.4</w:t>
            </w:r>
          </w:p>
        </w:tc>
      </w:tr>
      <w:tr>
        <w:trPr>
          <w:trHeight w:val="189"/>
        </w:trPr>
        <w:tc>
          <w:tcPr>
            <w:tcW w:w="5700" w:type="dxa"/>
            <w:vAlign w:val="bottom"/>
          </w:tcPr>
          <w:p>
            <w:pPr>
              <w:ind w:left="160"/>
              <w:spacing w:after="0"/>
              <w:rPr>
                <w:sz w:val="20"/>
                <w:szCs w:val="20"/>
                <w:color w:val="auto"/>
              </w:rPr>
            </w:pPr>
            <w:r>
              <w:rPr>
                <w:rFonts w:ascii="Arial" w:cs="Arial" w:eastAsia="Arial" w:hAnsi="Arial"/>
                <w:sz w:val="14"/>
                <w:szCs w:val="14"/>
                <w:color w:val="231F20"/>
              </w:rPr>
              <w:t>Plan participant contributions</w:t>
            </w:r>
          </w:p>
        </w:tc>
        <w:tc>
          <w:tcPr>
            <w:tcW w:w="78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tcPr>
          <w:p>
            <w:pPr>
              <w:spacing w:after="0"/>
              <w:rPr>
                <w:sz w:val="16"/>
                <w:szCs w:val="16"/>
                <w:color w:val="auto"/>
              </w:rPr>
            </w:pPr>
          </w:p>
        </w:tc>
        <w:tc>
          <w:tcPr>
            <w:tcW w:w="540" w:type="dxa"/>
            <w:vAlign w:val="bottom"/>
          </w:tcPr>
          <w:p>
            <w:pPr>
              <w:jc w:val="right"/>
              <w:ind w:right="89"/>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231F20"/>
              </w:rPr>
              <w:t>11.4</w:t>
            </w:r>
          </w:p>
        </w:tc>
        <w:tc>
          <w:tcPr>
            <w:tcW w:w="800" w:type="dxa"/>
            <w:vAlign w:val="bottom"/>
          </w:tcPr>
          <w:p>
            <w:pPr>
              <w:spacing w:after="0"/>
              <w:rPr>
                <w:sz w:val="16"/>
                <w:szCs w:val="16"/>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231F20"/>
              </w:rPr>
              <w:t>12.4</w:t>
            </w:r>
          </w:p>
        </w:tc>
      </w:tr>
      <w:tr>
        <w:trPr>
          <w:trHeight w:val="189"/>
        </w:trPr>
        <w:tc>
          <w:tcPr>
            <w:tcW w:w="5700" w:type="dxa"/>
            <w:vAlign w:val="bottom"/>
            <w:shd w:val="clear" w:color="auto" w:fill="E2E8F1"/>
          </w:tcPr>
          <w:p>
            <w:pPr>
              <w:ind w:left="160"/>
              <w:spacing w:after="0"/>
              <w:rPr>
                <w:sz w:val="20"/>
                <w:szCs w:val="20"/>
                <w:color w:val="auto"/>
              </w:rPr>
            </w:pPr>
            <w:r>
              <w:rPr>
                <w:rFonts w:ascii="Arial" w:cs="Arial" w:eastAsia="Arial" w:hAnsi="Arial"/>
                <w:sz w:val="14"/>
                <w:szCs w:val="14"/>
                <w:color w:val="231F20"/>
              </w:rPr>
              <w:t>Company contributions</w:t>
            </w:r>
          </w:p>
        </w:tc>
        <w:tc>
          <w:tcPr>
            <w:tcW w:w="780" w:type="dxa"/>
            <w:vAlign w:val="bottom"/>
            <w:shd w:val="clear" w:color="auto" w:fill="E2E8F1"/>
          </w:tcPr>
          <w:p>
            <w:pPr>
              <w:spacing w:after="0"/>
              <w:rPr>
                <w:sz w:val="16"/>
                <w:szCs w:val="16"/>
                <w:color w:val="auto"/>
              </w:rPr>
            </w:pPr>
          </w:p>
        </w:tc>
        <w:tc>
          <w:tcPr>
            <w:tcW w:w="52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2.1</w:t>
            </w:r>
          </w:p>
        </w:tc>
        <w:tc>
          <w:tcPr>
            <w:tcW w:w="920" w:type="dxa"/>
            <w:vAlign w:val="bottom"/>
            <w:shd w:val="clear" w:color="auto" w:fill="E2E8F1"/>
          </w:tcPr>
          <w:p>
            <w:pPr>
              <w:spacing w:after="0"/>
              <w:rPr>
                <w:sz w:val="16"/>
                <w:szCs w:val="16"/>
                <w:color w:val="auto"/>
              </w:rPr>
            </w:pPr>
          </w:p>
        </w:tc>
        <w:tc>
          <w:tcPr>
            <w:tcW w:w="54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2.2</w:t>
            </w:r>
          </w:p>
        </w:tc>
        <w:tc>
          <w:tcPr>
            <w:tcW w:w="120" w:type="dxa"/>
            <w:vAlign w:val="bottom"/>
            <w:shd w:val="clear" w:color="auto" w:fill="E2E8F1"/>
          </w:tcPr>
          <w:p>
            <w:pPr>
              <w:spacing w:after="0"/>
              <w:rPr>
                <w:sz w:val="16"/>
                <w:szCs w:val="16"/>
                <w:color w:val="auto"/>
              </w:rPr>
            </w:pPr>
          </w:p>
        </w:tc>
        <w:tc>
          <w:tcPr>
            <w:tcW w:w="740" w:type="dxa"/>
            <w:vAlign w:val="bottom"/>
            <w:shd w:val="clear" w:color="auto" w:fill="E2E8F1"/>
          </w:tcPr>
          <w:p>
            <w:pPr>
              <w:spacing w:after="0"/>
              <w:rPr>
                <w:sz w:val="16"/>
                <w:szCs w:val="16"/>
                <w:color w:val="auto"/>
              </w:rPr>
            </w:pPr>
          </w:p>
        </w:tc>
        <w:tc>
          <w:tcPr>
            <w:tcW w:w="58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231F20"/>
              </w:rPr>
              <w:t>17.4</w:t>
            </w:r>
          </w:p>
        </w:tc>
        <w:tc>
          <w:tcPr>
            <w:tcW w:w="800" w:type="dxa"/>
            <w:vAlign w:val="bottom"/>
            <w:shd w:val="clear" w:color="auto" w:fill="E2E8F1"/>
          </w:tcPr>
          <w:p>
            <w:pPr>
              <w:spacing w:after="0"/>
              <w:rPr>
                <w:sz w:val="16"/>
                <w:szCs w:val="16"/>
                <w:color w:val="auto"/>
              </w:rPr>
            </w:pPr>
          </w:p>
        </w:tc>
        <w:tc>
          <w:tcPr>
            <w:tcW w:w="56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17.6</w:t>
            </w:r>
          </w:p>
        </w:tc>
      </w:tr>
      <w:tr>
        <w:trPr>
          <w:trHeight w:val="189"/>
        </w:trPr>
        <w:tc>
          <w:tcPr>
            <w:tcW w:w="5700" w:type="dxa"/>
            <w:vAlign w:val="bottom"/>
          </w:tcPr>
          <w:p>
            <w:pPr>
              <w:ind w:left="160"/>
              <w:spacing w:after="0"/>
              <w:rPr>
                <w:sz w:val="20"/>
                <w:szCs w:val="20"/>
                <w:color w:val="auto"/>
              </w:rPr>
            </w:pPr>
            <w:r>
              <w:rPr>
                <w:rFonts w:ascii="Arial" w:cs="Arial" w:eastAsia="Arial" w:hAnsi="Arial"/>
                <w:sz w:val="14"/>
                <w:szCs w:val="14"/>
                <w:color w:val="231F20"/>
              </w:rPr>
              <w:t>Benefits paid</w:t>
            </w: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231F20"/>
              </w:rPr>
              <w:t>(2.1 )</w:t>
            </w: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(2.2 )</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231F20"/>
              </w:rPr>
              <w:t>(16.0 )</w:t>
            </w:r>
          </w:p>
        </w:tc>
        <w:tc>
          <w:tcPr>
            <w:tcW w:w="8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(14.2 )</w:t>
            </w:r>
          </w:p>
        </w:tc>
      </w:tr>
      <w:tr>
        <w:trPr>
          <w:trHeight w:val="189"/>
        </w:trPr>
        <w:tc>
          <w:tcPr>
            <w:tcW w:w="5700" w:type="dxa"/>
            <w:vAlign w:val="bottom"/>
            <w:tcBorders>
              <w:bottom w:val="single" w:sz="8" w:color="231F20"/>
            </w:tcBorders>
            <w:shd w:val="clear" w:color="auto" w:fill="E2E8F1"/>
          </w:tcPr>
          <w:p>
            <w:pPr>
              <w:ind w:left="160"/>
              <w:spacing w:after="0"/>
              <w:rPr>
                <w:sz w:val="20"/>
                <w:szCs w:val="20"/>
                <w:color w:val="auto"/>
              </w:rPr>
            </w:pPr>
            <w:r>
              <w:rPr>
                <w:rFonts w:ascii="Arial" w:cs="Arial" w:eastAsia="Arial" w:hAnsi="Arial"/>
                <w:sz w:val="14"/>
                <w:szCs w:val="14"/>
                <w:color w:val="231F20"/>
              </w:rPr>
              <w:t>Currency exchange rate changes</w:t>
            </w:r>
          </w:p>
        </w:tc>
        <w:tc>
          <w:tcPr>
            <w:tcW w:w="780" w:type="dxa"/>
            <w:vAlign w:val="bottom"/>
            <w:tcBorders>
              <w:bottom w:val="single" w:sz="8" w:color="231F20"/>
            </w:tcBorders>
            <w:shd w:val="clear" w:color="auto" w:fill="E2E8F1"/>
          </w:tcPr>
          <w:p>
            <w:pPr>
              <w:spacing w:after="0"/>
              <w:rPr>
                <w:sz w:val="16"/>
                <w:szCs w:val="16"/>
                <w:color w:val="auto"/>
              </w:rPr>
            </w:pPr>
          </w:p>
        </w:tc>
        <w:tc>
          <w:tcPr>
            <w:tcW w:w="52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1F20"/>
            </w:tcBorders>
            <w:shd w:val="clear" w:color="auto" w:fill="E2E8F1"/>
          </w:tcPr>
          <w:p>
            <w:pPr>
              <w:spacing w:after="0"/>
              <w:rPr>
                <w:sz w:val="16"/>
                <w:szCs w:val="16"/>
                <w:color w:val="auto"/>
              </w:rPr>
            </w:pPr>
          </w:p>
        </w:tc>
        <w:tc>
          <w:tcPr>
            <w:tcW w:w="54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231F20"/>
              </w:rPr>
              <w:t>—</w:t>
            </w:r>
          </w:p>
        </w:tc>
        <w:tc>
          <w:tcPr>
            <w:tcW w:w="120" w:type="dxa"/>
            <w:vAlign w:val="bottom"/>
            <w:tcBorders>
              <w:bottom w:val="single" w:sz="8" w:color="231F20"/>
            </w:tcBorders>
            <w:shd w:val="clear" w:color="auto" w:fill="E2E8F1"/>
          </w:tcPr>
          <w:p>
            <w:pPr>
              <w:spacing w:after="0"/>
              <w:rPr>
                <w:sz w:val="16"/>
                <w:szCs w:val="16"/>
                <w:color w:val="auto"/>
              </w:rPr>
            </w:pPr>
          </w:p>
        </w:tc>
        <w:tc>
          <w:tcPr>
            <w:tcW w:w="74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ind w:right="9"/>
              <w:spacing w:after="0"/>
              <w:rPr>
                <w:sz w:val="20"/>
                <w:szCs w:val="20"/>
                <w:color w:val="auto"/>
              </w:rPr>
            </w:pPr>
            <w:r>
              <w:rPr>
                <w:rFonts w:ascii="Arial" w:cs="Arial" w:eastAsia="Arial" w:hAnsi="Arial"/>
                <w:sz w:val="14"/>
                <w:szCs w:val="14"/>
                <w:color w:val="231F20"/>
              </w:rPr>
              <w:t>(36.5 )</w:t>
            </w:r>
          </w:p>
        </w:tc>
        <w:tc>
          <w:tcPr>
            <w:tcW w:w="800" w:type="dxa"/>
            <w:vAlign w:val="bottom"/>
            <w:tcBorders>
              <w:bottom w:val="single" w:sz="8" w:color="231F20"/>
            </w:tcBorders>
            <w:shd w:val="clear" w:color="auto" w:fill="E2E8F1"/>
          </w:tcPr>
          <w:p>
            <w:pPr>
              <w:spacing w:after="0"/>
              <w:rPr>
                <w:sz w:val="16"/>
                <w:szCs w:val="16"/>
                <w:color w:val="auto"/>
              </w:rPr>
            </w:pPr>
          </w:p>
        </w:tc>
        <w:tc>
          <w:tcPr>
            <w:tcW w:w="56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40.4</w:t>
            </w:r>
          </w:p>
        </w:tc>
      </w:tr>
      <w:tr>
        <w:trPr>
          <w:trHeight w:val="181"/>
        </w:trPr>
        <w:tc>
          <w:tcPr>
            <w:tcW w:w="570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Fair value of plan assets, end of year</w:t>
            </w:r>
          </w:p>
        </w:tc>
        <w:tc>
          <w:tcPr>
            <w:tcW w:w="780" w:type="dxa"/>
            <w:vAlign w:val="bottom"/>
            <w:tcBorders>
              <w:bottom w:val="single" w:sz="8" w:color="231F20"/>
            </w:tcBorders>
          </w:tcPr>
          <w:p>
            <w:pPr>
              <w:jc w:val="right"/>
              <w:ind w:right="632"/>
              <w:spacing w:after="0"/>
              <w:rPr>
                <w:sz w:val="20"/>
                <w:szCs w:val="20"/>
                <w:color w:val="auto"/>
              </w:rPr>
            </w:pPr>
            <w:r>
              <w:rPr>
                <w:rFonts w:ascii="Arial" w:cs="Arial" w:eastAsia="Arial" w:hAnsi="Arial"/>
                <w:sz w:val="14"/>
                <w:szCs w:val="14"/>
                <w:color w:val="231F20"/>
                <w:w w:val="76"/>
              </w:rPr>
              <w:t>$</w:t>
            </w:r>
          </w:p>
        </w:tc>
        <w:tc>
          <w:tcPr>
            <w:tcW w:w="52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1F20"/>
            </w:tcBorders>
          </w:tcPr>
          <w:p>
            <w:pPr>
              <w:jc w:val="right"/>
              <w:ind w:right="631"/>
              <w:spacing w:after="0"/>
              <w:rPr>
                <w:sz w:val="20"/>
                <w:szCs w:val="20"/>
                <w:color w:val="auto"/>
              </w:rPr>
            </w:pPr>
            <w:r>
              <w:rPr>
                <w:rFonts w:ascii="Arial" w:cs="Arial" w:eastAsia="Arial" w:hAnsi="Arial"/>
                <w:sz w:val="14"/>
                <w:szCs w:val="14"/>
                <w:color w:val="231F20"/>
              </w:rPr>
              <w:t>$</w:t>
            </w:r>
          </w:p>
        </w:tc>
        <w:tc>
          <w:tcPr>
            <w:tcW w:w="540" w:type="dxa"/>
            <w:vAlign w:val="bottom"/>
            <w:tcBorders>
              <w:bottom w:val="single" w:sz="8" w:color="231F20"/>
            </w:tcBorders>
          </w:tcPr>
          <w:p>
            <w:pPr>
              <w:jc w:val="right"/>
              <w:ind w:right="89"/>
              <w:spacing w:after="0"/>
              <w:rPr>
                <w:sz w:val="20"/>
                <w:szCs w:val="20"/>
                <w:color w:val="auto"/>
              </w:rPr>
            </w:pPr>
            <w:r>
              <w:rPr>
                <w:rFonts w:ascii="Arial" w:cs="Arial" w:eastAsia="Arial" w:hAnsi="Arial"/>
                <w:sz w:val="14"/>
                <w:szCs w:val="14"/>
                <w:color w:val="231F20"/>
              </w:rPr>
              <w:t>—</w:t>
            </w:r>
          </w:p>
        </w:tc>
        <w:tc>
          <w:tcPr>
            <w:tcW w:w="860" w:type="dxa"/>
            <w:vAlign w:val="bottom"/>
            <w:tcBorders>
              <w:bottom w:val="single" w:sz="8" w:color="231F20"/>
            </w:tcBorders>
            <w:gridSpan w:val="2"/>
          </w:tcPr>
          <w:p>
            <w:pPr>
              <w:jc w:val="right"/>
              <w:ind w:right="577"/>
              <w:spacing w:after="0"/>
              <w:rPr>
                <w:sz w:val="20"/>
                <w:szCs w:val="20"/>
                <w:color w:val="auto"/>
              </w:rPr>
            </w:pPr>
            <w:r>
              <w:rPr>
                <w:rFonts w:ascii="Arial" w:cs="Arial" w:eastAsia="Arial" w:hAnsi="Arial"/>
                <w:sz w:val="14"/>
                <w:szCs w:val="14"/>
                <w:color w:val="231F20"/>
              </w:rPr>
              <w:t>$</w:t>
            </w:r>
          </w:p>
        </w:tc>
        <w:tc>
          <w:tcPr>
            <w:tcW w:w="580" w:type="dxa"/>
            <w:vAlign w:val="bottom"/>
            <w:tcBorders>
              <w:bottom w:val="single" w:sz="8" w:color="231F20"/>
            </w:tcBorders>
          </w:tcPr>
          <w:p>
            <w:pPr>
              <w:jc w:val="right"/>
              <w:ind w:right="109"/>
              <w:spacing w:after="0"/>
              <w:rPr>
                <w:sz w:val="20"/>
                <w:szCs w:val="20"/>
                <w:color w:val="auto"/>
              </w:rPr>
            </w:pPr>
            <w:r>
              <w:rPr>
                <w:rFonts w:ascii="Arial" w:cs="Arial" w:eastAsia="Arial" w:hAnsi="Arial"/>
                <w:sz w:val="14"/>
                <w:szCs w:val="14"/>
                <w:color w:val="231F20"/>
              </w:rPr>
              <w:t>586.1</w:t>
            </w:r>
          </w:p>
        </w:tc>
        <w:tc>
          <w:tcPr>
            <w:tcW w:w="800" w:type="dxa"/>
            <w:vAlign w:val="bottom"/>
            <w:tcBorders>
              <w:bottom w:val="single" w:sz="8" w:color="231F20"/>
            </w:tcBorders>
          </w:tcPr>
          <w:p>
            <w:pPr>
              <w:jc w:val="right"/>
              <w:ind w:right="571"/>
              <w:spacing w:after="0"/>
              <w:rPr>
                <w:sz w:val="20"/>
                <w:szCs w:val="20"/>
                <w:color w:val="auto"/>
              </w:rPr>
            </w:pPr>
            <w:r>
              <w:rPr>
                <w:rFonts w:ascii="Arial" w:cs="Arial" w:eastAsia="Arial" w:hAnsi="Arial"/>
                <w:sz w:val="14"/>
                <w:szCs w:val="14"/>
                <w:color w:val="231F20"/>
              </w:rPr>
              <w:t>$</w:t>
            </w:r>
          </w:p>
        </w:tc>
        <w:tc>
          <w:tcPr>
            <w:tcW w:w="56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596.3</w:t>
            </w:r>
          </w:p>
        </w:tc>
      </w:tr>
      <w:tr>
        <w:trPr>
          <w:trHeight w:val="181"/>
        </w:trPr>
        <w:tc>
          <w:tcPr>
            <w:tcW w:w="570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231F20"/>
              </w:rPr>
              <w:t>Funded Status at End of Year</w:t>
            </w:r>
          </w:p>
        </w:tc>
        <w:tc>
          <w:tcPr>
            <w:tcW w:w="780" w:type="dxa"/>
            <w:vAlign w:val="bottom"/>
            <w:shd w:val="clear" w:color="auto" w:fill="E2E8F1"/>
          </w:tcPr>
          <w:p>
            <w:pPr>
              <w:spacing w:after="0"/>
              <w:rPr>
                <w:sz w:val="15"/>
                <w:szCs w:val="15"/>
                <w:color w:val="auto"/>
              </w:rPr>
            </w:pPr>
          </w:p>
        </w:tc>
        <w:tc>
          <w:tcPr>
            <w:tcW w:w="520" w:type="dxa"/>
            <w:vAlign w:val="bottom"/>
            <w:shd w:val="clear" w:color="auto" w:fill="E2E8F1"/>
          </w:tcPr>
          <w:p>
            <w:pPr>
              <w:spacing w:after="0"/>
              <w:rPr>
                <w:sz w:val="15"/>
                <w:szCs w:val="15"/>
                <w:color w:val="auto"/>
              </w:rPr>
            </w:pPr>
          </w:p>
        </w:tc>
        <w:tc>
          <w:tcPr>
            <w:tcW w:w="920" w:type="dxa"/>
            <w:vAlign w:val="bottom"/>
            <w:shd w:val="clear" w:color="auto" w:fill="E2E8F1"/>
          </w:tcPr>
          <w:p>
            <w:pPr>
              <w:spacing w:after="0"/>
              <w:rPr>
                <w:sz w:val="15"/>
                <w:szCs w:val="15"/>
                <w:color w:val="auto"/>
              </w:rPr>
            </w:pPr>
          </w:p>
        </w:tc>
        <w:tc>
          <w:tcPr>
            <w:tcW w:w="540" w:type="dxa"/>
            <w:vAlign w:val="bottom"/>
            <w:shd w:val="clear" w:color="auto" w:fill="E2E8F1"/>
          </w:tcPr>
          <w:p>
            <w:pPr>
              <w:spacing w:after="0"/>
              <w:rPr>
                <w:sz w:val="15"/>
                <w:szCs w:val="15"/>
                <w:color w:val="auto"/>
              </w:rPr>
            </w:pPr>
          </w:p>
        </w:tc>
        <w:tc>
          <w:tcPr>
            <w:tcW w:w="120" w:type="dxa"/>
            <w:vAlign w:val="bottom"/>
            <w:shd w:val="clear" w:color="auto" w:fill="E2E8F1"/>
          </w:tcPr>
          <w:p>
            <w:pPr>
              <w:spacing w:after="0"/>
              <w:rPr>
                <w:sz w:val="15"/>
                <w:szCs w:val="15"/>
                <w:color w:val="auto"/>
              </w:rPr>
            </w:pPr>
          </w:p>
        </w:tc>
        <w:tc>
          <w:tcPr>
            <w:tcW w:w="740" w:type="dxa"/>
            <w:vAlign w:val="bottom"/>
            <w:shd w:val="clear" w:color="auto" w:fill="E2E8F1"/>
          </w:tcPr>
          <w:p>
            <w:pPr>
              <w:spacing w:after="0"/>
              <w:rPr>
                <w:sz w:val="15"/>
                <w:szCs w:val="15"/>
                <w:color w:val="auto"/>
              </w:rPr>
            </w:pPr>
          </w:p>
        </w:tc>
        <w:tc>
          <w:tcPr>
            <w:tcW w:w="580" w:type="dxa"/>
            <w:vAlign w:val="bottom"/>
            <w:shd w:val="clear" w:color="auto" w:fill="E2E8F1"/>
          </w:tcPr>
          <w:p>
            <w:pPr>
              <w:spacing w:after="0"/>
              <w:rPr>
                <w:sz w:val="15"/>
                <w:szCs w:val="15"/>
                <w:color w:val="auto"/>
              </w:rPr>
            </w:pPr>
          </w:p>
        </w:tc>
        <w:tc>
          <w:tcPr>
            <w:tcW w:w="800" w:type="dxa"/>
            <w:vAlign w:val="bottom"/>
            <w:shd w:val="clear" w:color="auto" w:fill="E2E8F1"/>
          </w:tcPr>
          <w:p>
            <w:pPr>
              <w:spacing w:after="0"/>
              <w:rPr>
                <w:sz w:val="15"/>
                <w:szCs w:val="15"/>
                <w:color w:val="auto"/>
              </w:rPr>
            </w:pPr>
          </w:p>
        </w:tc>
        <w:tc>
          <w:tcPr>
            <w:tcW w:w="560" w:type="dxa"/>
            <w:vAlign w:val="bottom"/>
            <w:shd w:val="clear" w:color="auto" w:fill="E2E8F1"/>
          </w:tcPr>
          <w:p>
            <w:pPr>
              <w:spacing w:after="0"/>
              <w:rPr>
                <w:sz w:val="15"/>
                <w:szCs w:val="15"/>
                <w:color w:val="auto"/>
              </w:rPr>
            </w:pPr>
          </w:p>
        </w:tc>
      </w:tr>
      <w:tr>
        <w:trPr>
          <w:trHeight w:val="189"/>
        </w:trPr>
        <w:tc>
          <w:tcPr>
            <w:tcW w:w="570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Funded status, end of year</w:t>
            </w:r>
          </w:p>
        </w:tc>
        <w:tc>
          <w:tcPr>
            <w:tcW w:w="780" w:type="dxa"/>
            <w:vAlign w:val="bottom"/>
            <w:tcBorders>
              <w:bottom w:val="single" w:sz="8" w:color="231F20"/>
            </w:tcBorders>
          </w:tcPr>
          <w:p>
            <w:pPr>
              <w:jc w:val="right"/>
              <w:ind w:right="632"/>
              <w:spacing w:after="0"/>
              <w:rPr>
                <w:sz w:val="20"/>
                <w:szCs w:val="20"/>
                <w:color w:val="auto"/>
              </w:rPr>
            </w:pPr>
            <w:r>
              <w:rPr>
                <w:rFonts w:ascii="Arial" w:cs="Arial" w:eastAsia="Arial" w:hAnsi="Arial"/>
                <w:sz w:val="14"/>
                <w:szCs w:val="14"/>
                <w:color w:val="231F20"/>
                <w:w w:val="76"/>
              </w:rPr>
              <w:t>$</w:t>
            </w:r>
          </w:p>
        </w:tc>
        <w:tc>
          <w:tcPr>
            <w:tcW w:w="5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(18.0 )</w:t>
            </w:r>
          </w:p>
        </w:tc>
        <w:tc>
          <w:tcPr>
            <w:tcW w:w="920" w:type="dxa"/>
            <w:vAlign w:val="bottom"/>
            <w:tcBorders>
              <w:bottom w:val="single" w:sz="8" w:color="231F20"/>
            </w:tcBorders>
          </w:tcPr>
          <w:p>
            <w:pPr>
              <w:jc w:val="right"/>
              <w:ind w:right="631"/>
              <w:spacing w:after="0"/>
              <w:rPr>
                <w:sz w:val="20"/>
                <w:szCs w:val="20"/>
                <w:color w:val="auto"/>
              </w:rPr>
            </w:pPr>
            <w:r>
              <w:rPr>
                <w:rFonts w:ascii="Arial" w:cs="Arial" w:eastAsia="Arial" w:hAnsi="Arial"/>
                <w:sz w:val="14"/>
                <w:szCs w:val="14"/>
                <w:color w:val="231F20"/>
              </w:rPr>
              <w:t>$</w:t>
            </w:r>
          </w:p>
        </w:tc>
        <w:tc>
          <w:tcPr>
            <w:tcW w:w="5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(19.2 )</w:t>
            </w:r>
          </w:p>
        </w:tc>
        <w:tc>
          <w:tcPr>
            <w:tcW w:w="860" w:type="dxa"/>
            <w:vAlign w:val="bottom"/>
            <w:tcBorders>
              <w:bottom w:val="single" w:sz="8" w:color="231F20"/>
            </w:tcBorders>
            <w:gridSpan w:val="2"/>
          </w:tcPr>
          <w:p>
            <w:pPr>
              <w:jc w:val="right"/>
              <w:ind w:right="577"/>
              <w:spacing w:after="0"/>
              <w:rPr>
                <w:sz w:val="20"/>
                <w:szCs w:val="20"/>
                <w:color w:val="auto"/>
              </w:rPr>
            </w:pPr>
            <w:r>
              <w:rPr>
                <w:rFonts w:ascii="Arial" w:cs="Arial" w:eastAsia="Arial" w:hAnsi="Arial"/>
                <w:sz w:val="14"/>
                <w:szCs w:val="14"/>
                <w:color w:val="231F20"/>
              </w:rPr>
              <w:t>$</w:t>
            </w:r>
          </w:p>
        </w:tc>
        <w:tc>
          <w:tcPr>
            <w:tcW w:w="580" w:type="dxa"/>
            <w:vAlign w:val="bottom"/>
            <w:tcBorders>
              <w:bottom w:val="single" w:sz="8" w:color="231F20"/>
            </w:tcBorders>
          </w:tcPr>
          <w:p>
            <w:pPr>
              <w:jc w:val="right"/>
              <w:ind w:right="9"/>
              <w:spacing w:after="0"/>
              <w:rPr>
                <w:sz w:val="20"/>
                <w:szCs w:val="20"/>
                <w:color w:val="auto"/>
              </w:rPr>
            </w:pPr>
            <w:r>
              <w:rPr>
                <w:rFonts w:ascii="Arial" w:cs="Arial" w:eastAsia="Arial" w:hAnsi="Arial"/>
                <w:sz w:val="14"/>
                <w:szCs w:val="14"/>
                <w:color w:val="231F20"/>
              </w:rPr>
              <w:t>(83.7 )</w:t>
            </w:r>
          </w:p>
        </w:tc>
        <w:tc>
          <w:tcPr>
            <w:tcW w:w="800" w:type="dxa"/>
            <w:vAlign w:val="bottom"/>
            <w:tcBorders>
              <w:bottom w:val="single" w:sz="8" w:color="231F20"/>
            </w:tcBorders>
          </w:tcPr>
          <w:p>
            <w:pPr>
              <w:jc w:val="right"/>
              <w:ind w:right="571"/>
              <w:spacing w:after="0"/>
              <w:rPr>
                <w:sz w:val="20"/>
                <w:szCs w:val="20"/>
                <w:color w:val="auto"/>
              </w:rPr>
            </w:pPr>
            <w:r>
              <w:rPr>
                <w:rFonts w:ascii="Arial" w:cs="Arial" w:eastAsia="Arial" w:hAnsi="Arial"/>
                <w:sz w:val="14"/>
                <w:szCs w:val="14"/>
                <w:color w:val="231F20"/>
              </w:rPr>
              <w:t>$</w:t>
            </w:r>
          </w:p>
        </w:tc>
        <w:tc>
          <w:tcPr>
            <w:tcW w:w="5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w w:val="99"/>
              </w:rPr>
              <w:t>(117.0 )</w:t>
            </w:r>
          </w:p>
        </w:tc>
      </w:tr>
      <w:tr>
        <w:trPr>
          <w:trHeight w:val="181"/>
        </w:trPr>
        <w:tc>
          <w:tcPr>
            <w:tcW w:w="570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231F20"/>
              </w:rPr>
              <w:t>Amounts Recognized</w:t>
            </w:r>
          </w:p>
        </w:tc>
        <w:tc>
          <w:tcPr>
            <w:tcW w:w="780" w:type="dxa"/>
            <w:vAlign w:val="bottom"/>
            <w:shd w:val="clear" w:color="auto" w:fill="E2E8F1"/>
          </w:tcPr>
          <w:p>
            <w:pPr>
              <w:spacing w:after="0"/>
              <w:rPr>
                <w:sz w:val="15"/>
                <w:szCs w:val="15"/>
                <w:color w:val="auto"/>
              </w:rPr>
            </w:pPr>
          </w:p>
        </w:tc>
        <w:tc>
          <w:tcPr>
            <w:tcW w:w="520" w:type="dxa"/>
            <w:vAlign w:val="bottom"/>
            <w:shd w:val="clear" w:color="auto" w:fill="E2E8F1"/>
          </w:tcPr>
          <w:p>
            <w:pPr>
              <w:spacing w:after="0"/>
              <w:rPr>
                <w:sz w:val="15"/>
                <w:szCs w:val="15"/>
                <w:color w:val="auto"/>
              </w:rPr>
            </w:pPr>
          </w:p>
        </w:tc>
        <w:tc>
          <w:tcPr>
            <w:tcW w:w="920" w:type="dxa"/>
            <w:vAlign w:val="bottom"/>
            <w:shd w:val="clear" w:color="auto" w:fill="E2E8F1"/>
          </w:tcPr>
          <w:p>
            <w:pPr>
              <w:spacing w:after="0"/>
              <w:rPr>
                <w:sz w:val="15"/>
                <w:szCs w:val="15"/>
                <w:color w:val="auto"/>
              </w:rPr>
            </w:pPr>
          </w:p>
        </w:tc>
        <w:tc>
          <w:tcPr>
            <w:tcW w:w="540" w:type="dxa"/>
            <w:vAlign w:val="bottom"/>
            <w:shd w:val="clear" w:color="auto" w:fill="E2E8F1"/>
          </w:tcPr>
          <w:p>
            <w:pPr>
              <w:spacing w:after="0"/>
              <w:rPr>
                <w:sz w:val="15"/>
                <w:szCs w:val="15"/>
                <w:color w:val="auto"/>
              </w:rPr>
            </w:pPr>
          </w:p>
        </w:tc>
        <w:tc>
          <w:tcPr>
            <w:tcW w:w="120" w:type="dxa"/>
            <w:vAlign w:val="bottom"/>
            <w:shd w:val="clear" w:color="auto" w:fill="E2E8F1"/>
          </w:tcPr>
          <w:p>
            <w:pPr>
              <w:spacing w:after="0"/>
              <w:rPr>
                <w:sz w:val="15"/>
                <w:szCs w:val="15"/>
                <w:color w:val="auto"/>
              </w:rPr>
            </w:pPr>
          </w:p>
        </w:tc>
        <w:tc>
          <w:tcPr>
            <w:tcW w:w="740" w:type="dxa"/>
            <w:vAlign w:val="bottom"/>
            <w:shd w:val="clear" w:color="auto" w:fill="E2E8F1"/>
          </w:tcPr>
          <w:p>
            <w:pPr>
              <w:spacing w:after="0"/>
              <w:rPr>
                <w:sz w:val="15"/>
                <w:szCs w:val="15"/>
                <w:color w:val="auto"/>
              </w:rPr>
            </w:pPr>
          </w:p>
        </w:tc>
        <w:tc>
          <w:tcPr>
            <w:tcW w:w="580" w:type="dxa"/>
            <w:vAlign w:val="bottom"/>
            <w:shd w:val="clear" w:color="auto" w:fill="E2E8F1"/>
          </w:tcPr>
          <w:p>
            <w:pPr>
              <w:spacing w:after="0"/>
              <w:rPr>
                <w:sz w:val="15"/>
                <w:szCs w:val="15"/>
                <w:color w:val="auto"/>
              </w:rPr>
            </w:pPr>
          </w:p>
        </w:tc>
        <w:tc>
          <w:tcPr>
            <w:tcW w:w="800" w:type="dxa"/>
            <w:vAlign w:val="bottom"/>
            <w:shd w:val="clear" w:color="auto" w:fill="E2E8F1"/>
          </w:tcPr>
          <w:p>
            <w:pPr>
              <w:spacing w:after="0"/>
              <w:rPr>
                <w:sz w:val="15"/>
                <w:szCs w:val="15"/>
                <w:color w:val="auto"/>
              </w:rPr>
            </w:pPr>
          </w:p>
        </w:tc>
        <w:tc>
          <w:tcPr>
            <w:tcW w:w="560" w:type="dxa"/>
            <w:vAlign w:val="bottom"/>
            <w:shd w:val="clear" w:color="auto" w:fill="E2E8F1"/>
          </w:tcPr>
          <w:p>
            <w:pPr>
              <w:spacing w:after="0"/>
              <w:rPr>
                <w:sz w:val="15"/>
                <w:szCs w:val="15"/>
                <w:color w:val="auto"/>
              </w:rPr>
            </w:pPr>
          </w:p>
        </w:tc>
      </w:tr>
      <w:tr>
        <w:trPr>
          <w:trHeight w:val="189"/>
        </w:trPr>
        <w:tc>
          <w:tcPr>
            <w:tcW w:w="5700" w:type="dxa"/>
            <w:vAlign w:val="bottom"/>
          </w:tcPr>
          <w:p>
            <w:pPr>
              <w:ind w:left="80"/>
              <w:spacing w:after="0"/>
              <w:rPr>
                <w:sz w:val="20"/>
                <w:szCs w:val="20"/>
                <w:color w:val="auto"/>
              </w:rPr>
            </w:pPr>
            <w:r>
              <w:rPr>
                <w:rFonts w:ascii="Arial" w:cs="Arial" w:eastAsia="Arial" w:hAnsi="Arial"/>
                <w:sz w:val="14"/>
                <w:szCs w:val="14"/>
                <w:color w:val="231F20"/>
              </w:rPr>
              <w:t>Noncurrent assets</w:t>
            </w:r>
          </w:p>
        </w:tc>
        <w:tc>
          <w:tcPr>
            <w:tcW w:w="780" w:type="dxa"/>
            <w:vAlign w:val="bottom"/>
          </w:tcPr>
          <w:p>
            <w:pPr>
              <w:jc w:val="right"/>
              <w:ind w:right="632"/>
              <w:spacing w:after="0"/>
              <w:rPr>
                <w:sz w:val="20"/>
                <w:szCs w:val="20"/>
                <w:color w:val="auto"/>
              </w:rPr>
            </w:pPr>
            <w:r>
              <w:rPr>
                <w:rFonts w:ascii="Arial" w:cs="Arial" w:eastAsia="Arial" w:hAnsi="Arial"/>
                <w:sz w:val="14"/>
                <w:szCs w:val="14"/>
                <w:color w:val="231F20"/>
                <w:w w:val="76"/>
              </w:rPr>
              <w:t>$</w:t>
            </w:r>
          </w:p>
        </w:tc>
        <w:tc>
          <w:tcPr>
            <w:tcW w:w="520" w:type="dxa"/>
            <w:vAlign w:val="bottom"/>
          </w:tcPr>
          <w:p>
            <w:pPr>
              <w:jc w:val="right"/>
              <w:ind w:right="69"/>
              <w:spacing w:after="0"/>
              <w:rPr>
                <w:sz w:val="20"/>
                <w:szCs w:val="20"/>
                <w:color w:val="auto"/>
              </w:rPr>
            </w:pPr>
            <w:r>
              <w:rPr>
                <w:rFonts w:ascii="Arial" w:cs="Arial" w:eastAsia="Arial" w:hAnsi="Arial"/>
                <w:sz w:val="14"/>
                <w:szCs w:val="14"/>
                <w:color w:val="231F20"/>
              </w:rPr>
              <w:t>—</w:t>
            </w:r>
          </w:p>
        </w:tc>
        <w:tc>
          <w:tcPr>
            <w:tcW w:w="920" w:type="dxa"/>
            <w:vAlign w:val="bottom"/>
          </w:tcPr>
          <w:p>
            <w:pPr>
              <w:jc w:val="right"/>
              <w:ind w:right="631"/>
              <w:spacing w:after="0"/>
              <w:rPr>
                <w:sz w:val="20"/>
                <w:szCs w:val="20"/>
                <w:color w:val="auto"/>
              </w:rPr>
            </w:pPr>
            <w:r>
              <w:rPr>
                <w:rFonts w:ascii="Arial" w:cs="Arial" w:eastAsia="Arial" w:hAnsi="Arial"/>
                <w:sz w:val="14"/>
                <w:szCs w:val="14"/>
                <w:color w:val="231F20"/>
              </w:rPr>
              <w:t>$</w:t>
            </w:r>
          </w:p>
        </w:tc>
        <w:tc>
          <w:tcPr>
            <w:tcW w:w="540" w:type="dxa"/>
            <w:vAlign w:val="bottom"/>
          </w:tcPr>
          <w:p>
            <w:pPr>
              <w:jc w:val="right"/>
              <w:ind w:right="89"/>
              <w:spacing w:after="0"/>
              <w:rPr>
                <w:sz w:val="20"/>
                <w:szCs w:val="20"/>
                <w:color w:val="auto"/>
              </w:rPr>
            </w:pPr>
            <w:r>
              <w:rPr>
                <w:rFonts w:ascii="Arial" w:cs="Arial" w:eastAsia="Arial" w:hAnsi="Arial"/>
                <w:sz w:val="14"/>
                <w:szCs w:val="14"/>
                <w:color w:val="231F20"/>
              </w:rPr>
              <w:t>—</w:t>
            </w:r>
          </w:p>
        </w:tc>
        <w:tc>
          <w:tcPr>
            <w:tcW w:w="860" w:type="dxa"/>
            <w:vAlign w:val="bottom"/>
            <w:gridSpan w:val="2"/>
          </w:tcPr>
          <w:p>
            <w:pPr>
              <w:jc w:val="right"/>
              <w:ind w:right="577"/>
              <w:spacing w:after="0"/>
              <w:rPr>
                <w:sz w:val="20"/>
                <w:szCs w:val="20"/>
                <w:color w:val="auto"/>
              </w:rPr>
            </w:pPr>
            <w:r>
              <w:rPr>
                <w:rFonts w:ascii="Arial" w:cs="Arial" w:eastAsia="Arial" w:hAnsi="Arial"/>
                <w:sz w:val="14"/>
                <w:szCs w:val="14"/>
                <w:color w:val="231F20"/>
              </w:rPr>
              <w:t>$</w:t>
            </w:r>
          </w:p>
        </w:tc>
        <w:tc>
          <w:tcPr>
            <w:tcW w:w="580" w:type="dxa"/>
            <w:vAlign w:val="bottom"/>
          </w:tcPr>
          <w:p>
            <w:pPr>
              <w:jc w:val="right"/>
              <w:ind w:right="109"/>
              <w:spacing w:after="0"/>
              <w:rPr>
                <w:sz w:val="20"/>
                <w:szCs w:val="20"/>
                <w:color w:val="auto"/>
              </w:rPr>
            </w:pPr>
            <w:r>
              <w:rPr>
                <w:rFonts w:ascii="Arial" w:cs="Arial" w:eastAsia="Arial" w:hAnsi="Arial"/>
                <w:sz w:val="14"/>
                <w:szCs w:val="14"/>
                <w:color w:val="231F20"/>
              </w:rPr>
              <w:t>22.7</w:t>
            </w:r>
          </w:p>
        </w:tc>
        <w:tc>
          <w:tcPr>
            <w:tcW w:w="800" w:type="dxa"/>
            <w:vAlign w:val="bottom"/>
          </w:tcPr>
          <w:p>
            <w:pPr>
              <w:jc w:val="right"/>
              <w:ind w:right="571"/>
              <w:spacing w:after="0"/>
              <w:rPr>
                <w:sz w:val="20"/>
                <w:szCs w:val="20"/>
                <w:color w:val="auto"/>
              </w:rPr>
            </w:pPr>
            <w:r>
              <w:rPr>
                <w:rFonts w:ascii="Arial" w:cs="Arial" w:eastAsia="Arial" w:hAnsi="Arial"/>
                <w:sz w:val="14"/>
                <w:szCs w:val="14"/>
                <w:color w:val="231F20"/>
              </w:rPr>
              <w:t>$</w:t>
            </w:r>
          </w:p>
        </w:tc>
        <w:tc>
          <w:tcPr>
            <w:tcW w:w="560" w:type="dxa"/>
            <w:vAlign w:val="bottom"/>
          </w:tcPr>
          <w:p>
            <w:pPr>
              <w:jc w:val="right"/>
              <w:ind w:right="69"/>
              <w:spacing w:after="0"/>
              <w:rPr>
                <w:sz w:val="20"/>
                <w:szCs w:val="20"/>
                <w:color w:val="auto"/>
              </w:rPr>
            </w:pPr>
            <w:r>
              <w:rPr>
                <w:rFonts w:ascii="Arial" w:cs="Arial" w:eastAsia="Arial" w:hAnsi="Arial"/>
                <w:sz w:val="14"/>
                <w:szCs w:val="14"/>
                <w:color w:val="231F20"/>
              </w:rPr>
              <w:t>8.8</w:t>
            </w:r>
          </w:p>
        </w:tc>
      </w:tr>
      <w:tr>
        <w:trPr>
          <w:trHeight w:val="189"/>
        </w:trPr>
        <w:tc>
          <w:tcPr>
            <w:tcW w:w="570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Current liabilities</w:t>
            </w:r>
          </w:p>
        </w:tc>
        <w:tc>
          <w:tcPr>
            <w:tcW w:w="780" w:type="dxa"/>
            <w:vAlign w:val="bottom"/>
            <w:shd w:val="clear" w:color="auto" w:fill="E2E8F1"/>
          </w:tcPr>
          <w:p>
            <w:pPr>
              <w:spacing w:after="0"/>
              <w:rPr>
                <w:sz w:val="16"/>
                <w:szCs w:val="16"/>
                <w:color w:val="auto"/>
              </w:rPr>
            </w:pPr>
          </w:p>
        </w:tc>
        <w:tc>
          <w:tcPr>
            <w:tcW w:w="52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(2.2 )</w:t>
            </w:r>
          </w:p>
        </w:tc>
        <w:tc>
          <w:tcPr>
            <w:tcW w:w="920" w:type="dxa"/>
            <w:vAlign w:val="bottom"/>
            <w:shd w:val="clear" w:color="auto" w:fill="E2E8F1"/>
          </w:tcPr>
          <w:p>
            <w:pPr>
              <w:spacing w:after="0"/>
              <w:rPr>
                <w:sz w:val="16"/>
                <w:szCs w:val="16"/>
                <w:color w:val="auto"/>
              </w:rPr>
            </w:pPr>
          </w:p>
        </w:tc>
        <w:tc>
          <w:tcPr>
            <w:tcW w:w="54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(2.2 )</w:t>
            </w:r>
          </w:p>
        </w:tc>
        <w:tc>
          <w:tcPr>
            <w:tcW w:w="120" w:type="dxa"/>
            <w:vAlign w:val="bottom"/>
            <w:shd w:val="clear" w:color="auto" w:fill="E2E8F1"/>
          </w:tcPr>
          <w:p>
            <w:pPr>
              <w:spacing w:after="0"/>
              <w:rPr>
                <w:sz w:val="16"/>
                <w:szCs w:val="16"/>
                <w:color w:val="auto"/>
              </w:rPr>
            </w:pPr>
          </w:p>
        </w:tc>
        <w:tc>
          <w:tcPr>
            <w:tcW w:w="740" w:type="dxa"/>
            <w:vAlign w:val="bottom"/>
            <w:shd w:val="clear" w:color="auto" w:fill="E2E8F1"/>
          </w:tcPr>
          <w:p>
            <w:pPr>
              <w:spacing w:after="0"/>
              <w:rPr>
                <w:sz w:val="16"/>
                <w:szCs w:val="16"/>
                <w:color w:val="auto"/>
              </w:rPr>
            </w:pPr>
          </w:p>
        </w:tc>
        <w:tc>
          <w:tcPr>
            <w:tcW w:w="58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231F20"/>
              </w:rPr>
              <w:t>(1.2 )</w:t>
            </w:r>
          </w:p>
        </w:tc>
        <w:tc>
          <w:tcPr>
            <w:tcW w:w="800" w:type="dxa"/>
            <w:vAlign w:val="bottom"/>
            <w:shd w:val="clear" w:color="auto" w:fill="E2E8F1"/>
          </w:tcPr>
          <w:p>
            <w:pPr>
              <w:spacing w:after="0"/>
              <w:rPr>
                <w:sz w:val="16"/>
                <w:szCs w:val="16"/>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(1.0 )</w:t>
            </w:r>
          </w:p>
        </w:tc>
      </w:tr>
      <w:tr>
        <w:trPr>
          <w:trHeight w:val="189"/>
        </w:trPr>
        <w:tc>
          <w:tcPr>
            <w:tcW w:w="570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Noncurrent liabilities</w:t>
            </w:r>
          </w:p>
        </w:tc>
        <w:tc>
          <w:tcPr>
            <w:tcW w:w="780" w:type="dxa"/>
            <w:vAlign w:val="bottom"/>
            <w:tcBorders>
              <w:bottom w:val="single" w:sz="8" w:color="231F20"/>
            </w:tcBorders>
          </w:tcPr>
          <w:p>
            <w:pPr>
              <w:spacing w:after="0"/>
              <w:rPr>
                <w:sz w:val="16"/>
                <w:szCs w:val="16"/>
                <w:color w:val="auto"/>
              </w:rPr>
            </w:pPr>
          </w:p>
        </w:tc>
        <w:tc>
          <w:tcPr>
            <w:tcW w:w="5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(15.8 )</w:t>
            </w:r>
          </w:p>
        </w:tc>
        <w:tc>
          <w:tcPr>
            <w:tcW w:w="920" w:type="dxa"/>
            <w:vAlign w:val="bottom"/>
            <w:tcBorders>
              <w:bottom w:val="single" w:sz="8" w:color="231F20"/>
            </w:tcBorders>
          </w:tcPr>
          <w:p>
            <w:pPr>
              <w:spacing w:after="0"/>
              <w:rPr>
                <w:sz w:val="16"/>
                <w:szCs w:val="16"/>
                <w:color w:val="auto"/>
              </w:rPr>
            </w:pPr>
          </w:p>
        </w:tc>
        <w:tc>
          <w:tcPr>
            <w:tcW w:w="5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(17.0 )</w:t>
            </w:r>
          </w:p>
        </w:tc>
        <w:tc>
          <w:tcPr>
            <w:tcW w:w="120" w:type="dxa"/>
            <w:vAlign w:val="bottom"/>
            <w:tcBorders>
              <w:bottom w:val="single" w:sz="8" w:color="231F20"/>
            </w:tcBorders>
          </w:tcPr>
          <w:p>
            <w:pPr>
              <w:spacing w:after="0"/>
              <w:rPr>
                <w:sz w:val="16"/>
                <w:szCs w:val="16"/>
                <w:color w:val="auto"/>
              </w:rPr>
            </w:pPr>
          </w:p>
        </w:tc>
        <w:tc>
          <w:tcPr>
            <w:tcW w:w="740" w:type="dxa"/>
            <w:vAlign w:val="bottom"/>
            <w:tcBorders>
              <w:bottom w:val="single" w:sz="8" w:color="231F20"/>
            </w:tcBorders>
          </w:tcPr>
          <w:p>
            <w:pPr>
              <w:spacing w:after="0"/>
              <w:rPr>
                <w:sz w:val="16"/>
                <w:szCs w:val="16"/>
                <w:color w:val="auto"/>
              </w:rPr>
            </w:pPr>
          </w:p>
        </w:tc>
        <w:tc>
          <w:tcPr>
            <w:tcW w:w="580" w:type="dxa"/>
            <w:vAlign w:val="bottom"/>
            <w:tcBorders>
              <w:bottom w:val="single" w:sz="8" w:color="231F20"/>
            </w:tcBorders>
          </w:tcPr>
          <w:p>
            <w:pPr>
              <w:jc w:val="right"/>
              <w:ind w:right="9"/>
              <w:spacing w:after="0"/>
              <w:rPr>
                <w:sz w:val="20"/>
                <w:szCs w:val="20"/>
                <w:color w:val="auto"/>
              </w:rPr>
            </w:pPr>
            <w:r>
              <w:rPr>
                <w:rFonts w:ascii="Arial" w:cs="Arial" w:eastAsia="Arial" w:hAnsi="Arial"/>
                <w:sz w:val="14"/>
                <w:szCs w:val="14"/>
                <w:color w:val="231F20"/>
                <w:w w:val="99"/>
              </w:rPr>
              <w:t>(105.2 )</w:t>
            </w:r>
          </w:p>
        </w:tc>
        <w:tc>
          <w:tcPr>
            <w:tcW w:w="800" w:type="dxa"/>
            <w:vAlign w:val="bottom"/>
            <w:tcBorders>
              <w:bottom w:val="single" w:sz="8" w:color="231F20"/>
            </w:tcBorders>
          </w:tcPr>
          <w:p>
            <w:pPr>
              <w:spacing w:after="0"/>
              <w:rPr>
                <w:sz w:val="16"/>
                <w:szCs w:val="16"/>
                <w:color w:val="auto"/>
              </w:rPr>
            </w:pPr>
          </w:p>
        </w:tc>
        <w:tc>
          <w:tcPr>
            <w:tcW w:w="5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w w:val="99"/>
              </w:rPr>
              <w:t>(124.8 )</w:t>
            </w:r>
          </w:p>
        </w:tc>
      </w:tr>
      <w:tr>
        <w:trPr>
          <w:trHeight w:val="181"/>
        </w:trPr>
        <w:tc>
          <w:tcPr>
            <w:tcW w:w="570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231F20"/>
              </w:rPr>
              <w:t>Net amount recognized</w:t>
            </w:r>
          </w:p>
        </w:tc>
        <w:tc>
          <w:tcPr>
            <w:tcW w:w="780" w:type="dxa"/>
            <w:vAlign w:val="bottom"/>
            <w:tcBorders>
              <w:bottom w:val="single" w:sz="8" w:color="231F20"/>
            </w:tcBorders>
            <w:shd w:val="clear" w:color="auto" w:fill="E2E8F1"/>
          </w:tcPr>
          <w:p>
            <w:pPr>
              <w:jc w:val="right"/>
              <w:ind w:right="632"/>
              <w:spacing w:after="0"/>
              <w:rPr>
                <w:sz w:val="20"/>
                <w:szCs w:val="20"/>
                <w:color w:val="auto"/>
              </w:rPr>
            </w:pPr>
            <w:r>
              <w:rPr>
                <w:rFonts w:ascii="Arial" w:cs="Arial" w:eastAsia="Arial" w:hAnsi="Arial"/>
                <w:sz w:val="14"/>
                <w:szCs w:val="14"/>
                <w:color w:val="231F20"/>
                <w:w w:val="76"/>
              </w:rPr>
              <w:t>$</w:t>
            </w:r>
          </w:p>
        </w:tc>
        <w:tc>
          <w:tcPr>
            <w:tcW w:w="52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(18.0 )</w:t>
            </w:r>
          </w:p>
        </w:tc>
        <w:tc>
          <w:tcPr>
            <w:tcW w:w="920" w:type="dxa"/>
            <w:vAlign w:val="bottom"/>
            <w:tcBorders>
              <w:bottom w:val="single" w:sz="8" w:color="231F20"/>
            </w:tcBorders>
            <w:shd w:val="clear" w:color="auto" w:fill="E2E8F1"/>
          </w:tcPr>
          <w:p>
            <w:pPr>
              <w:jc w:val="right"/>
              <w:ind w:right="631"/>
              <w:spacing w:after="0"/>
              <w:rPr>
                <w:sz w:val="20"/>
                <w:szCs w:val="20"/>
                <w:color w:val="auto"/>
              </w:rPr>
            </w:pPr>
            <w:r>
              <w:rPr>
                <w:rFonts w:ascii="Arial" w:cs="Arial" w:eastAsia="Arial" w:hAnsi="Arial"/>
                <w:sz w:val="14"/>
                <w:szCs w:val="14"/>
                <w:color w:val="231F20"/>
              </w:rPr>
              <w:t>$</w:t>
            </w:r>
          </w:p>
        </w:tc>
        <w:tc>
          <w:tcPr>
            <w:tcW w:w="5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(19.2 )</w:t>
            </w:r>
          </w:p>
        </w:tc>
        <w:tc>
          <w:tcPr>
            <w:tcW w:w="860" w:type="dxa"/>
            <w:vAlign w:val="bottom"/>
            <w:tcBorders>
              <w:bottom w:val="single" w:sz="8" w:color="231F20"/>
            </w:tcBorders>
            <w:gridSpan w:val="2"/>
            <w:shd w:val="clear" w:color="auto" w:fill="E2E8F1"/>
          </w:tcPr>
          <w:p>
            <w:pPr>
              <w:jc w:val="right"/>
              <w:ind w:right="577"/>
              <w:spacing w:after="0"/>
              <w:rPr>
                <w:sz w:val="20"/>
                <w:szCs w:val="20"/>
                <w:color w:val="auto"/>
              </w:rPr>
            </w:pPr>
            <w:r>
              <w:rPr>
                <w:rFonts w:ascii="Arial" w:cs="Arial" w:eastAsia="Arial" w:hAnsi="Arial"/>
                <w:sz w:val="14"/>
                <w:szCs w:val="14"/>
                <w:color w:val="231F20"/>
              </w:rPr>
              <w:t>$</w:t>
            </w:r>
          </w:p>
        </w:tc>
        <w:tc>
          <w:tcPr>
            <w:tcW w:w="580" w:type="dxa"/>
            <w:vAlign w:val="bottom"/>
            <w:tcBorders>
              <w:bottom w:val="single" w:sz="8" w:color="231F20"/>
            </w:tcBorders>
            <w:shd w:val="clear" w:color="auto" w:fill="E2E8F1"/>
          </w:tcPr>
          <w:p>
            <w:pPr>
              <w:jc w:val="right"/>
              <w:ind w:right="9"/>
              <w:spacing w:after="0"/>
              <w:rPr>
                <w:sz w:val="20"/>
                <w:szCs w:val="20"/>
                <w:color w:val="auto"/>
              </w:rPr>
            </w:pPr>
            <w:r>
              <w:rPr>
                <w:rFonts w:ascii="Arial" w:cs="Arial" w:eastAsia="Arial" w:hAnsi="Arial"/>
                <w:sz w:val="14"/>
                <w:szCs w:val="14"/>
                <w:color w:val="231F20"/>
              </w:rPr>
              <w:t>(83.7 )</w:t>
            </w:r>
          </w:p>
        </w:tc>
        <w:tc>
          <w:tcPr>
            <w:tcW w:w="800" w:type="dxa"/>
            <w:vAlign w:val="bottom"/>
            <w:tcBorders>
              <w:bottom w:val="single" w:sz="8" w:color="231F20"/>
            </w:tcBorders>
            <w:shd w:val="clear" w:color="auto" w:fill="E2E8F1"/>
          </w:tcPr>
          <w:p>
            <w:pPr>
              <w:jc w:val="right"/>
              <w:ind w:right="571"/>
              <w:spacing w:after="0"/>
              <w:rPr>
                <w:sz w:val="20"/>
                <w:szCs w:val="20"/>
                <w:color w:val="auto"/>
              </w:rPr>
            </w:pPr>
            <w:r>
              <w:rPr>
                <w:rFonts w:ascii="Arial" w:cs="Arial" w:eastAsia="Arial" w:hAnsi="Arial"/>
                <w:sz w:val="14"/>
                <w:szCs w:val="14"/>
                <w:color w:val="231F20"/>
              </w:rPr>
              <w:t>$</w:t>
            </w:r>
          </w:p>
        </w:tc>
        <w:tc>
          <w:tcPr>
            <w:tcW w:w="5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w w:val="99"/>
              </w:rPr>
              <w:t>(117.0 )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5369560</wp:posOffset>
            </wp:positionH>
            <wp:positionV relativeFrom="paragraph">
              <wp:posOffset>-4084955</wp:posOffset>
            </wp:positionV>
            <wp:extent cx="8255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5369560</wp:posOffset>
            </wp:positionH>
            <wp:positionV relativeFrom="paragraph">
              <wp:posOffset>-2244725</wp:posOffset>
            </wp:positionV>
            <wp:extent cx="8255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82550" cy="7620"/>
                    </a:xfrm>
                    <a:prstGeom prst="rect">
                      <a:avLst/>
                    </a:prstGeom>
                    <a:noFill/>
                  </pic:spPr>
                </pic:pic>
              </a:graphicData>
            </a:graphic>
          </wp:anchor>
        </w:drawing>
      </w:r>
    </w:p>
    <w:p>
      <w:pPr>
        <w:spacing w:after="0" w:line="34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74" w:name="page75"/>
    <w:bookmarkEnd w:id="74"/>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curtailments in 2024 primarily resulted from the wind down of Proservia Germany. For both 2024 and 2023, the settlements and transfers mostly represent transfers in and out of temporary associates within our Switzerland plan. The actuarial gain and loss are mainly related to changes in discount rates.</w:t>
      </w:r>
    </w:p>
    <w:p>
      <w:pPr>
        <w:spacing w:after="0" w:line="134"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 xml:space="preserve">One of our plans is located in the United Kingdom. In July 2024, the United Kingdom Court of Appeal upheld a ruling in the Virgin Media vs NTL Pension Trustee case, a decision that we were not a party to or involved in, that certain historical amendments for contracted-out defined benefit schemes were invalid if they were not accompanied by the correct actuarial confirmation. Since </w:t>
      </w:r>
      <w:r>
        <w:rPr>
          <w:rFonts w:ascii="Arial" w:cs="Arial" w:eastAsia="Arial" w:hAnsi="Arial"/>
          <w:sz w:val="17"/>
          <w:szCs w:val="17"/>
          <w:color w:val="auto"/>
        </w:rPr>
        <w:t>there remain significant areas of uncertainty,</w:t>
      </w:r>
      <w:r>
        <w:rPr>
          <w:rFonts w:ascii="Arial" w:cs="Arial" w:eastAsia="Arial" w:hAnsi="Arial"/>
          <w:sz w:val="16"/>
          <w:szCs w:val="16"/>
          <w:color w:val="auto"/>
        </w:rPr>
        <w:t xml:space="preserve"> we were not yet able to determine the impact of the ruling, if any, on our pension plan obligations as of December 31, 2024.</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231F20"/>
        </w:rPr>
        <w:t>Amounts recognized in accumulated other comprehensive loss, net of tax, consisted of:</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00" w:type="dxa"/>
            <w:vAlign w:val="bottom"/>
            <w:tcBorders>
              <w:top w:val="single" w:sz="8" w:color="231F20"/>
              <w:bottom w:val="single" w:sz="8" w:color="auto"/>
            </w:tcBorders>
            <w:shd w:val="clear" w:color="auto" w:fill="98B0CF"/>
          </w:tcPr>
          <w:p>
            <w:pPr>
              <w:spacing w:after="0"/>
              <w:rPr>
                <w:sz w:val="20"/>
                <w:szCs w:val="20"/>
                <w:color w:val="auto"/>
              </w:rPr>
            </w:pPr>
          </w:p>
        </w:tc>
        <w:tc>
          <w:tcPr>
            <w:tcW w:w="2300" w:type="dxa"/>
            <w:vAlign w:val="bottom"/>
            <w:tcBorders>
              <w:top w:val="single" w:sz="8" w:color="231F20"/>
              <w:bottom w:val="single" w:sz="8" w:color="auto"/>
            </w:tcBorders>
            <w:gridSpan w:val="3"/>
            <w:shd w:val="clear" w:color="auto" w:fill="98B0CF"/>
          </w:tcPr>
          <w:p>
            <w:pPr>
              <w:jc w:val="right"/>
              <w:ind w:right="332"/>
              <w:spacing w:after="0"/>
              <w:rPr>
                <w:sz w:val="20"/>
                <w:szCs w:val="20"/>
                <w:color w:val="auto"/>
              </w:rPr>
            </w:pPr>
            <w:r>
              <w:rPr>
                <w:rFonts w:ascii="Arial" w:cs="Arial" w:eastAsia="Arial" w:hAnsi="Arial"/>
                <w:sz w:val="13"/>
                <w:szCs w:val="13"/>
                <w:b w:val="1"/>
                <w:bCs w:val="1"/>
                <w:color w:val="231F20"/>
              </w:rPr>
              <w:t>United States Plans</w:t>
            </w:r>
          </w:p>
        </w:tc>
        <w:tc>
          <w:tcPr>
            <w:tcW w:w="460" w:type="dxa"/>
            <w:vAlign w:val="bottom"/>
            <w:tcBorders>
              <w:top w:val="single" w:sz="8" w:color="231F20"/>
              <w:bottom w:val="single" w:sz="8" w:color="auto"/>
            </w:tcBorders>
            <w:shd w:val="clear" w:color="auto" w:fill="98B0CF"/>
          </w:tcPr>
          <w:p>
            <w:pPr>
              <w:spacing w:after="0"/>
              <w:rPr>
                <w:sz w:val="20"/>
                <w:szCs w:val="20"/>
                <w:color w:val="auto"/>
              </w:rPr>
            </w:pPr>
          </w:p>
        </w:tc>
        <w:tc>
          <w:tcPr>
            <w:tcW w:w="120" w:type="dxa"/>
            <w:vAlign w:val="bottom"/>
            <w:tcBorders>
              <w:top w:val="single" w:sz="8" w:color="231F20"/>
              <w:bottom w:val="single" w:sz="8" w:color="98B0CF"/>
            </w:tcBorders>
            <w:shd w:val="clear" w:color="auto" w:fill="98B0CF"/>
          </w:tcPr>
          <w:p>
            <w:pPr>
              <w:spacing w:after="0"/>
              <w:rPr>
                <w:sz w:val="20"/>
                <w:szCs w:val="20"/>
                <w:color w:val="auto"/>
              </w:rPr>
            </w:pPr>
          </w:p>
        </w:tc>
        <w:tc>
          <w:tcPr>
            <w:tcW w:w="2200" w:type="dxa"/>
            <w:vAlign w:val="bottom"/>
            <w:tcBorders>
              <w:top w:val="single" w:sz="8" w:color="231F20"/>
              <w:bottom w:val="single" w:sz="8" w:color="auto"/>
            </w:tcBorders>
            <w:gridSpan w:val="3"/>
            <w:shd w:val="clear" w:color="auto" w:fill="98B0CF"/>
          </w:tcPr>
          <w:p>
            <w:pPr>
              <w:jc w:val="right"/>
              <w:ind w:right="112"/>
              <w:spacing w:after="0"/>
              <w:rPr>
                <w:sz w:val="20"/>
                <w:szCs w:val="20"/>
                <w:color w:val="auto"/>
              </w:rPr>
            </w:pPr>
            <w:r>
              <w:rPr>
                <w:rFonts w:ascii="Arial" w:cs="Arial" w:eastAsia="Arial" w:hAnsi="Arial"/>
                <w:sz w:val="13"/>
                <w:szCs w:val="13"/>
                <w:b w:val="1"/>
                <w:bCs w:val="1"/>
                <w:color w:val="231F20"/>
              </w:rPr>
              <w:t>Non-United States Plans</w:t>
            </w:r>
          </w:p>
        </w:tc>
        <w:tc>
          <w:tcPr>
            <w:tcW w:w="480" w:type="dxa"/>
            <w:vAlign w:val="bottom"/>
            <w:tcBorders>
              <w:top w:val="single" w:sz="8" w:color="231F20"/>
              <w:bottom w:val="single" w:sz="8" w:color="auto"/>
            </w:tcBorders>
            <w:shd w:val="clear" w:color="auto" w:fill="98B0CF"/>
          </w:tcPr>
          <w:p>
            <w:pPr>
              <w:spacing w:after="0"/>
              <w:rPr>
                <w:sz w:val="20"/>
                <w:szCs w:val="20"/>
                <w:color w:val="auto"/>
              </w:rPr>
            </w:pPr>
          </w:p>
        </w:tc>
      </w:tr>
      <w:tr>
        <w:trPr>
          <w:trHeight w:val="228"/>
        </w:trPr>
        <w:tc>
          <w:tcPr>
            <w:tcW w:w="5700" w:type="dxa"/>
            <w:vAlign w:val="bottom"/>
            <w:tcBorders>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Year Ended December 31</w:t>
            </w:r>
          </w:p>
        </w:tc>
        <w:tc>
          <w:tcPr>
            <w:tcW w:w="840" w:type="dxa"/>
            <w:vAlign w:val="bottom"/>
            <w:tcBorders>
              <w:bottom w:val="single" w:sz="8" w:color="auto"/>
            </w:tcBorders>
            <w:shd w:val="clear" w:color="auto" w:fill="98B0CF"/>
          </w:tcPr>
          <w:p>
            <w:pPr>
              <w:jc w:val="right"/>
              <w:ind w:right="53"/>
              <w:spacing w:after="0"/>
              <w:rPr>
                <w:sz w:val="20"/>
                <w:szCs w:val="20"/>
                <w:color w:val="auto"/>
              </w:rPr>
            </w:pPr>
            <w:r>
              <w:rPr>
                <w:rFonts w:ascii="Arial" w:cs="Arial" w:eastAsia="Arial" w:hAnsi="Arial"/>
                <w:sz w:val="13"/>
                <w:szCs w:val="13"/>
                <w:b w:val="1"/>
                <w:bCs w:val="1"/>
                <w:color w:val="231F20"/>
              </w:rPr>
              <w:t>2024</w:t>
            </w:r>
          </w:p>
        </w:tc>
        <w:tc>
          <w:tcPr>
            <w:tcW w:w="340" w:type="dxa"/>
            <w:vAlign w:val="bottom"/>
            <w:tcBorders>
              <w:bottom w:val="single" w:sz="8" w:color="auto"/>
            </w:tcBorders>
            <w:shd w:val="clear" w:color="auto" w:fill="98B0CF"/>
          </w:tcPr>
          <w:p>
            <w:pPr>
              <w:spacing w:after="0"/>
              <w:rPr>
                <w:sz w:val="19"/>
                <w:szCs w:val="19"/>
                <w:color w:val="auto"/>
              </w:rPr>
            </w:pPr>
          </w:p>
        </w:tc>
        <w:tc>
          <w:tcPr>
            <w:tcW w:w="1120" w:type="dxa"/>
            <w:vAlign w:val="bottom"/>
            <w:tcBorders>
              <w:bottom w:val="single" w:sz="8" w:color="auto"/>
            </w:tcBorders>
            <w:shd w:val="clear" w:color="auto" w:fill="98B0CF"/>
          </w:tcPr>
          <w:p>
            <w:pPr>
              <w:jc w:val="right"/>
              <w:ind w:right="72"/>
              <w:spacing w:after="0"/>
              <w:rPr>
                <w:sz w:val="20"/>
                <w:szCs w:val="20"/>
                <w:color w:val="auto"/>
              </w:rPr>
            </w:pPr>
            <w:r>
              <w:rPr>
                <w:rFonts w:ascii="Arial" w:cs="Arial" w:eastAsia="Arial" w:hAnsi="Arial"/>
                <w:sz w:val="13"/>
                <w:szCs w:val="13"/>
                <w:b w:val="1"/>
                <w:bCs w:val="1"/>
                <w:color w:val="231F20"/>
              </w:rPr>
              <w:t>2023</w:t>
            </w:r>
          </w:p>
        </w:tc>
        <w:tc>
          <w:tcPr>
            <w:tcW w:w="460" w:type="dxa"/>
            <w:vAlign w:val="bottom"/>
            <w:tcBorders>
              <w:bottom w:val="single" w:sz="8" w:color="auto"/>
            </w:tcBorders>
            <w:shd w:val="clear" w:color="auto" w:fill="98B0CF"/>
          </w:tcPr>
          <w:p>
            <w:pPr>
              <w:spacing w:after="0"/>
              <w:rPr>
                <w:sz w:val="19"/>
                <w:szCs w:val="19"/>
                <w:color w:val="auto"/>
              </w:rPr>
            </w:pPr>
          </w:p>
        </w:tc>
        <w:tc>
          <w:tcPr>
            <w:tcW w:w="960" w:type="dxa"/>
            <w:vAlign w:val="bottom"/>
            <w:tcBorders>
              <w:bottom w:val="single" w:sz="8" w:color="auto"/>
            </w:tcBorders>
            <w:gridSpan w:val="2"/>
            <w:shd w:val="clear" w:color="auto" w:fill="98B0CF"/>
          </w:tcPr>
          <w:p>
            <w:pPr>
              <w:jc w:val="right"/>
              <w:ind w:right="57"/>
              <w:spacing w:after="0"/>
              <w:rPr>
                <w:sz w:val="20"/>
                <w:szCs w:val="20"/>
                <w:color w:val="auto"/>
              </w:rPr>
            </w:pPr>
            <w:r>
              <w:rPr>
                <w:rFonts w:ascii="Arial" w:cs="Arial" w:eastAsia="Arial" w:hAnsi="Arial"/>
                <w:sz w:val="13"/>
                <w:szCs w:val="13"/>
                <w:b w:val="1"/>
                <w:bCs w:val="1"/>
                <w:color w:val="231F20"/>
              </w:rPr>
              <w:t>2024</w:t>
            </w:r>
          </w:p>
        </w:tc>
        <w:tc>
          <w:tcPr>
            <w:tcW w:w="440" w:type="dxa"/>
            <w:vAlign w:val="bottom"/>
            <w:tcBorders>
              <w:bottom w:val="single" w:sz="8" w:color="auto"/>
            </w:tcBorders>
            <w:shd w:val="clear" w:color="auto" w:fill="98B0CF"/>
          </w:tcPr>
          <w:p>
            <w:pPr>
              <w:spacing w:after="0"/>
              <w:rPr>
                <w:sz w:val="19"/>
                <w:szCs w:val="19"/>
                <w:color w:val="auto"/>
              </w:rPr>
            </w:pPr>
          </w:p>
        </w:tc>
        <w:tc>
          <w:tcPr>
            <w:tcW w:w="920" w:type="dxa"/>
            <w:vAlign w:val="bottom"/>
            <w:tcBorders>
              <w:bottom w:val="single" w:sz="8" w:color="auto"/>
            </w:tcBorders>
            <w:shd w:val="clear" w:color="auto" w:fill="98B0CF"/>
          </w:tcPr>
          <w:p>
            <w:pPr>
              <w:jc w:val="right"/>
              <w:ind w:right="12"/>
              <w:spacing w:after="0"/>
              <w:rPr>
                <w:sz w:val="20"/>
                <w:szCs w:val="20"/>
                <w:color w:val="auto"/>
              </w:rPr>
            </w:pPr>
            <w:r>
              <w:rPr>
                <w:rFonts w:ascii="Arial" w:cs="Arial" w:eastAsia="Arial" w:hAnsi="Arial"/>
                <w:sz w:val="13"/>
                <w:szCs w:val="13"/>
                <w:b w:val="1"/>
                <w:bCs w:val="1"/>
                <w:color w:val="231F20"/>
              </w:rPr>
              <w:t>2023</w:t>
            </w:r>
          </w:p>
        </w:tc>
        <w:tc>
          <w:tcPr>
            <w:tcW w:w="480" w:type="dxa"/>
            <w:vAlign w:val="bottom"/>
            <w:tcBorders>
              <w:bottom w:val="single" w:sz="8" w:color="auto"/>
            </w:tcBorders>
            <w:shd w:val="clear" w:color="auto" w:fill="98B0CF"/>
          </w:tcPr>
          <w:p>
            <w:pPr>
              <w:spacing w:after="0"/>
              <w:rPr>
                <w:sz w:val="19"/>
                <w:szCs w:val="19"/>
                <w:color w:val="auto"/>
              </w:rPr>
            </w:pPr>
          </w:p>
        </w:tc>
      </w:tr>
      <w:tr>
        <w:trPr>
          <w:trHeight w:val="187"/>
        </w:trPr>
        <w:tc>
          <w:tcPr>
            <w:tcW w:w="570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Net loss</w:t>
            </w:r>
          </w:p>
        </w:tc>
        <w:tc>
          <w:tcPr>
            <w:tcW w:w="840" w:type="dxa"/>
            <w:vAlign w:val="bottom"/>
            <w:shd w:val="clear" w:color="auto" w:fill="E2E8F1"/>
          </w:tcPr>
          <w:p>
            <w:pPr>
              <w:jc w:val="right"/>
              <w:ind w:right="693"/>
              <w:spacing w:after="0"/>
              <w:rPr>
                <w:sz w:val="20"/>
                <w:szCs w:val="20"/>
                <w:color w:val="auto"/>
              </w:rPr>
            </w:pPr>
            <w:r>
              <w:rPr>
                <w:rFonts w:ascii="Arial" w:cs="Arial" w:eastAsia="Arial" w:hAnsi="Arial"/>
                <w:sz w:val="14"/>
                <w:szCs w:val="14"/>
                <w:color w:val="231F20"/>
                <w:w w:val="76"/>
              </w:rPr>
              <w:t>$</w:t>
            </w:r>
          </w:p>
        </w:tc>
        <w:tc>
          <w:tcPr>
            <w:tcW w:w="34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3.6</w:t>
            </w:r>
          </w:p>
        </w:tc>
        <w:tc>
          <w:tcPr>
            <w:tcW w:w="1120" w:type="dxa"/>
            <w:vAlign w:val="bottom"/>
            <w:shd w:val="clear" w:color="auto" w:fill="E2E8F1"/>
          </w:tcPr>
          <w:p>
            <w:pPr>
              <w:jc w:val="right"/>
              <w:ind w:right="712"/>
              <w:spacing w:after="0"/>
              <w:rPr>
                <w:sz w:val="20"/>
                <w:szCs w:val="20"/>
                <w:color w:val="auto"/>
              </w:rPr>
            </w:pPr>
            <w:r>
              <w:rPr>
                <w:rFonts w:ascii="Arial" w:cs="Arial" w:eastAsia="Arial" w:hAnsi="Arial"/>
                <w:sz w:val="14"/>
                <w:szCs w:val="14"/>
                <w:color w:val="231F20"/>
              </w:rPr>
              <w:t>$</w:t>
            </w:r>
          </w:p>
        </w:tc>
        <w:tc>
          <w:tcPr>
            <w:tcW w:w="46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231F20"/>
              </w:rPr>
              <w:t>4.0</w:t>
            </w:r>
          </w:p>
        </w:tc>
        <w:tc>
          <w:tcPr>
            <w:tcW w:w="960" w:type="dxa"/>
            <w:vAlign w:val="bottom"/>
            <w:gridSpan w:val="2"/>
            <w:shd w:val="clear" w:color="auto" w:fill="E2E8F1"/>
          </w:tcPr>
          <w:p>
            <w:pPr>
              <w:jc w:val="right"/>
              <w:ind w:right="677"/>
              <w:spacing w:after="0"/>
              <w:rPr>
                <w:sz w:val="20"/>
                <w:szCs w:val="20"/>
                <w:color w:val="auto"/>
              </w:rPr>
            </w:pPr>
            <w:r>
              <w:rPr>
                <w:rFonts w:ascii="Arial" w:cs="Arial" w:eastAsia="Arial" w:hAnsi="Arial"/>
                <w:sz w:val="14"/>
                <w:szCs w:val="14"/>
                <w:color w:val="231F20"/>
              </w:rPr>
              <w:t>$</w:t>
            </w:r>
          </w:p>
        </w:tc>
        <w:tc>
          <w:tcPr>
            <w:tcW w:w="4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1.2</w:t>
            </w:r>
          </w:p>
        </w:tc>
        <w:tc>
          <w:tcPr>
            <w:tcW w:w="920" w:type="dxa"/>
            <w:vAlign w:val="bottom"/>
            <w:shd w:val="clear" w:color="auto" w:fill="E2E8F1"/>
          </w:tcPr>
          <w:p>
            <w:pPr>
              <w:jc w:val="right"/>
              <w:ind w:right="652"/>
              <w:spacing w:after="0"/>
              <w:rPr>
                <w:sz w:val="20"/>
                <w:szCs w:val="20"/>
                <w:color w:val="auto"/>
              </w:rPr>
            </w:pPr>
            <w:r>
              <w:rPr>
                <w:rFonts w:ascii="Arial" w:cs="Arial" w:eastAsia="Arial" w:hAnsi="Arial"/>
                <w:sz w:val="14"/>
                <w:szCs w:val="14"/>
                <w:color w:val="231F20"/>
              </w:rPr>
              <w:t>$</w:t>
            </w:r>
          </w:p>
        </w:tc>
        <w:tc>
          <w:tcPr>
            <w:tcW w:w="48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26.9</w:t>
            </w:r>
          </w:p>
        </w:tc>
      </w:tr>
      <w:tr>
        <w:trPr>
          <w:trHeight w:val="189"/>
        </w:trPr>
        <w:tc>
          <w:tcPr>
            <w:tcW w:w="5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231F20"/>
              </w:rPr>
              <w:t>Prior service cost</w:t>
            </w: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w:t>
            </w:r>
          </w:p>
        </w:tc>
        <w:tc>
          <w:tcPr>
            <w:tcW w:w="1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231F20"/>
              </w:rPr>
              <w: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231F20"/>
              </w:rPr>
              <w:t>4.1</w:t>
            </w: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231F20"/>
              </w:rPr>
              <w:t>5.1</w:t>
            </w:r>
          </w:p>
        </w:tc>
      </w:tr>
      <w:tr>
        <w:trPr>
          <w:trHeight w:val="181"/>
        </w:trPr>
        <w:tc>
          <w:tcPr>
            <w:tcW w:w="570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231F20"/>
              </w:rPr>
              <w:t>Total</w:t>
            </w:r>
          </w:p>
        </w:tc>
        <w:tc>
          <w:tcPr>
            <w:tcW w:w="840" w:type="dxa"/>
            <w:vAlign w:val="bottom"/>
            <w:tcBorders>
              <w:bottom w:val="single" w:sz="8" w:color="auto"/>
            </w:tcBorders>
            <w:shd w:val="clear" w:color="auto" w:fill="E2E8F1"/>
          </w:tcPr>
          <w:p>
            <w:pPr>
              <w:jc w:val="right"/>
              <w:ind w:right="693"/>
              <w:spacing w:after="0"/>
              <w:rPr>
                <w:sz w:val="20"/>
                <w:szCs w:val="20"/>
                <w:color w:val="auto"/>
              </w:rPr>
            </w:pPr>
            <w:r>
              <w:rPr>
                <w:rFonts w:ascii="Arial" w:cs="Arial" w:eastAsia="Arial" w:hAnsi="Arial"/>
                <w:sz w:val="14"/>
                <w:szCs w:val="14"/>
                <w:color w:val="231F20"/>
                <w:w w:val="76"/>
              </w:rPr>
              <w:t>$</w:t>
            </w:r>
          </w:p>
        </w:tc>
        <w:tc>
          <w:tcPr>
            <w:tcW w:w="3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231F20"/>
              </w:rPr>
              <w:t>3.6</w:t>
            </w:r>
          </w:p>
        </w:tc>
        <w:tc>
          <w:tcPr>
            <w:tcW w:w="1120" w:type="dxa"/>
            <w:vAlign w:val="bottom"/>
            <w:tcBorders>
              <w:bottom w:val="single" w:sz="8" w:color="auto"/>
            </w:tcBorders>
            <w:shd w:val="clear" w:color="auto" w:fill="E2E8F1"/>
          </w:tcPr>
          <w:p>
            <w:pPr>
              <w:jc w:val="right"/>
              <w:ind w:right="712"/>
              <w:spacing w:after="0"/>
              <w:rPr>
                <w:sz w:val="20"/>
                <w:szCs w:val="20"/>
                <w:color w:val="auto"/>
              </w:rPr>
            </w:pPr>
            <w:r>
              <w:rPr>
                <w:rFonts w:ascii="Arial" w:cs="Arial" w:eastAsia="Arial" w:hAnsi="Arial"/>
                <w:sz w:val="14"/>
                <w:szCs w:val="14"/>
                <w:color w:val="231F20"/>
              </w:rPr>
              <w:t>$</w:t>
            </w:r>
          </w:p>
        </w:tc>
        <w:tc>
          <w:tcPr>
            <w:tcW w:w="460" w:type="dxa"/>
            <w:vAlign w:val="bottom"/>
            <w:tcBorders>
              <w:bottom w:val="single" w:sz="8" w:color="auto"/>
            </w:tcBorders>
            <w:shd w:val="clear" w:color="auto" w:fill="E2E8F1"/>
          </w:tcPr>
          <w:p>
            <w:pPr>
              <w:jc w:val="right"/>
              <w:ind w:right="89"/>
              <w:spacing w:after="0"/>
              <w:rPr>
                <w:sz w:val="20"/>
                <w:szCs w:val="20"/>
                <w:color w:val="auto"/>
              </w:rPr>
            </w:pPr>
            <w:r>
              <w:rPr>
                <w:rFonts w:ascii="Arial" w:cs="Arial" w:eastAsia="Arial" w:hAnsi="Arial"/>
                <w:sz w:val="14"/>
                <w:szCs w:val="14"/>
                <w:color w:val="231F20"/>
              </w:rPr>
              <w:t>4.0</w:t>
            </w:r>
          </w:p>
        </w:tc>
        <w:tc>
          <w:tcPr>
            <w:tcW w:w="960" w:type="dxa"/>
            <w:vAlign w:val="bottom"/>
            <w:tcBorders>
              <w:bottom w:val="single" w:sz="8" w:color="auto"/>
            </w:tcBorders>
            <w:gridSpan w:val="2"/>
            <w:shd w:val="clear" w:color="auto" w:fill="E2E8F1"/>
          </w:tcPr>
          <w:p>
            <w:pPr>
              <w:jc w:val="right"/>
              <w:ind w:right="677"/>
              <w:spacing w:after="0"/>
              <w:rPr>
                <w:sz w:val="20"/>
                <w:szCs w:val="20"/>
                <w:color w:val="auto"/>
              </w:rPr>
            </w:pPr>
            <w:r>
              <w:rPr>
                <w:rFonts w:ascii="Arial" w:cs="Arial" w:eastAsia="Arial" w:hAnsi="Arial"/>
                <w:sz w:val="14"/>
                <w:szCs w:val="14"/>
                <w:color w:val="231F20"/>
              </w:rPr>
              <w:t>$</w:t>
            </w:r>
          </w:p>
        </w:tc>
        <w:tc>
          <w:tcPr>
            <w:tcW w:w="440" w:type="dxa"/>
            <w:vAlign w:val="bottom"/>
            <w:tcBorders>
              <w:bottom w:val="single" w:sz="8" w:color="auto"/>
            </w:tcBorders>
            <w:shd w:val="clear" w:color="auto" w:fill="E2E8F1"/>
          </w:tcPr>
          <w:p>
            <w:pPr>
              <w:jc w:val="right"/>
              <w:ind w:right="69"/>
              <w:spacing w:after="0"/>
              <w:rPr>
                <w:sz w:val="20"/>
                <w:szCs w:val="20"/>
                <w:color w:val="auto"/>
              </w:rPr>
            </w:pPr>
            <w:r>
              <w:rPr>
                <w:rFonts w:ascii="Arial" w:cs="Arial" w:eastAsia="Arial" w:hAnsi="Arial"/>
                <w:sz w:val="14"/>
                <w:szCs w:val="14"/>
                <w:color w:val="231F20"/>
              </w:rPr>
              <w:t>5.3</w:t>
            </w:r>
          </w:p>
        </w:tc>
        <w:tc>
          <w:tcPr>
            <w:tcW w:w="920" w:type="dxa"/>
            <w:vAlign w:val="bottom"/>
            <w:tcBorders>
              <w:bottom w:val="single" w:sz="8" w:color="auto"/>
            </w:tcBorders>
            <w:shd w:val="clear" w:color="auto" w:fill="E2E8F1"/>
          </w:tcPr>
          <w:p>
            <w:pPr>
              <w:jc w:val="right"/>
              <w:ind w:right="652"/>
              <w:spacing w:after="0"/>
              <w:rPr>
                <w:sz w:val="20"/>
                <w:szCs w:val="20"/>
                <w:color w:val="auto"/>
              </w:rPr>
            </w:pPr>
            <w:r>
              <w:rPr>
                <w:rFonts w:ascii="Arial" w:cs="Arial" w:eastAsia="Arial" w:hAnsi="Arial"/>
                <w:sz w:val="14"/>
                <w:szCs w:val="14"/>
                <w:color w:val="231F20"/>
              </w:rPr>
              <w:t>$</w:t>
            </w:r>
          </w:p>
        </w:tc>
        <w:tc>
          <w:tcPr>
            <w:tcW w:w="480" w:type="dxa"/>
            <w:vAlign w:val="bottom"/>
            <w:tcBorders>
              <w:bottom w:val="single" w:sz="8" w:color="auto"/>
            </w:tcBorders>
            <w:shd w:val="clear" w:color="auto" w:fill="E2E8F1"/>
          </w:tcPr>
          <w:p>
            <w:pPr>
              <w:jc w:val="right"/>
              <w:ind w:right="69"/>
              <w:spacing w:after="0"/>
              <w:rPr>
                <w:sz w:val="20"/>
                <w:szCs w:val="20"/>
                <w:color w:val="auto"/>
              </w:rPr>
            </w:pPr>
            <w:r>
              <w:rPr>
                <w:rFonts w:ascii="Arial" w:cs="Arial" w:eastAsia="Arial" w:hAnsi="Arial"/>
                <w:sz w:val="14"/>
                <w:szCs w:val="14"/>
                <w:color w:val="231F20"/>
              </w:rPr>
              <w:t>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5366385</wp:posOffset>
            </wp:positionH>
            <wp:positionV relativeFrom="paragraph">
              <wp:posOffset>-540385</wp:posOffset>
            </wp:positionV>
            <wp:extent cx="8255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82550" cy="7620"/>
                    </a:xfrm>
                    <a:prstGeom prst="rect">
                      <a:avLst/>
                    </a:prstGeom>
                    <a:noFill/>
                  </pic:spPr>
                </pic:pic>
              </a:graphicData>
            </a:graphic>
          </wp:anchor>
        </w:drawing>
      </w:r>
    </w:p>
    <w:p>
      <w:pPr>
        <w:spacing w:after="0" w:line="14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The accumulated benefit obligation (ABO) for all qualified defined benefit pension plans was $663.7 and $706.0 as of December 31, 2024 and 2023, respectively. The ABO for plans that have plan assets was $584.4 and $625.1 as of December 31, 2024 and 2023, respectively. The accumulated benefit obligation for some of our plans exceeded the fair value of plan assets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40" w:type="dxa"/>
            <w:vAlign w:val="bottom"/>
            <w:tcBorders>
              <w:top w:val="single" w:sz="8" w:color="231F20"/>
              <w:bottom w:val="single" w:sz="8" w:color="auto"/>
            </w:tcBorders>
            <w:shd w:val="clear" w:color="auto" w:fill="98B0CE"/>
          </w:tcPr>
          <w:p>
            <w:pPr>
              <w:ind w:left="80"/>
              <w:spacing w:after="0"/>
              <w:rPr>
                <w:sz w:val="20"/>
                <w:szCs w:val="20"/>
                <w:color w:val="auto"/>
              </w:rPr>
            </w:pPr>
            <w:r>
              <w:rPr>
                <w:rFonts w:ascii="Arial" w:cs="Arial" w:eastAsia="Arial" w:hAnsi="Arial"/>
                <w:sz w:val="13"/>
                <w:szCs w:val="13"/>
                <w:b w:val="1"/>
                <w:bCs w:val="1"/>
                <w:color w:val="231F20"/>
              </w:rPr>
              <w:t>December 31</w:t>
            </w:r>
          </w:p>
        </w:tc>
        <w:tc>
          <w:tcPr>
            <w:tcW w:w="560" w:type="dxa"/>
            <w:vAlign w:val="bottom"/>
            <w:tcBorders>
              <w:top w:val="single" w:sz="8" w:color="231F20"/>
              <w:bottom w:val="single" w:sz="8" w:color="auto"/>
            </w:tcBorders>
            <w:shd w:val="clear" w:color="auto" w:fill="98B0CE"/>
          </w:tcPr>
          <w:p>
            <w:pPr>
              <w:spacing w:after="0"/>
              <w:rPr>
                <w:sz w:val="20"/>
                <w:szCs w:val="20"/>
                <w:color w:val="auto"/>
              </w:rPr>
            </w:pPr>
          </w:p>
        </w:tc>
        <w:tc>
          <w:tcPr>
            <w:tcW w:w="1400" w:type="dxa"/>
            <w:vAlign w:val="bottom"/>
            <w:tcBorders>
              <w:top w:val="single" w:sz="8" w:color="231F20"/>
              <w:bottom w:val="single" w:sz="8" w:color="auto"/>
            </w:tcBorders>
            <w:shd w:val="clear" w:color="auto" w:fill="98B0CE"/>
          </w:tcPr>
          <w:p>
            <w:pPr>
              <w:jc w:val="right"/>
              <w:ind w:right="752"/>
              <w:spacing w:after="0"/>
              <w:rPr>
                <w:sz w:val="20"/>
                <w:szCs w:val="20"/>
                <w:color w:val="auto"/>
              </w:rPr>
            </w:pPr>
            <w:r>
              <w:rPr>
                <w:rFonts w:ascii="Arial" w:cs="Arial" w:eastAsia="Arial" w:hAnsi="Arial"/>
                <w:sz w:val="13"/>
                <w:szCs w:val="13"/>
                <w:b w:val="1"/>
                <w:bCs w:val="1"/>
                <w:color w:val="231F20"/>
              </w:rPr>
              <w:t>2024</w:t>
            </w:r>
          </w:p>
        </w:tc>
        <w:tc>
          <w:tcPr>
            <w:tcW w:w="520" w:type="dxa"/>
            <w:vAlign w:val="bottom"/>
            <w:tcBorders>
              <w:top w:val="single" w:sz="8" w:color="231F20"/>
              <w:bottom w:val="single" w:sz="8" w:color="auto"/>
            </w:tcBorders>
            <w:shd w:val="clear" w:color="auto" w:fill="98B0CE"/>
          </w:tcPr>
          <w:p>
            <w:pPr>
              <w:spacing w:after="0"/>
              <w:rPr>
                <w:sz w:val="20"/>
                <w:szCs w:val="20"/>
                <w:color w:val="auto"/>
              </w:rPr>
            </w:pPr>
          </w:p>
        </w:tc>
        <w:tc>
          <w:tcPr>
            <w:tcW w:w="1340" w:type="dxa"/>
            <w:vAlign w:val="bottom"/>
            <w:tcBorders>
              <w:top w:val="single" w:sz="8" w:color="231F20"/>
              <w:bottom w:val="single" w:sz="8" w:color="auto"/>
            </w:tcBorders>
            <w:shd w:val="clear" w:color="auto" w:fill="98B0CE"/>
          </w:tcPr>
          <w:p>
            <w:pPr>
              <w:jc w:val="right"/>
              <w:ind w:right="712"/>
              <w:spacing w:after="0"/>
              <w:rPr>
                <w:sz w:val="20"/>
                <w:szCs w:val="20"/>
                <w:color w:val="auto"/>
              </w:rPr>
            </w:pPr>
            <w:r>
              <w:rPr>
                <w:rFonts w:ascii="Arial" w:cs="Arial" w:eastAsia="Arial" w:hAnsi="Arial"/>
                <w:sz w:val="13"/>
                <w:szCs w:val="13"/>
                <w:b w:val="1"/>
                <w:bCs w:val="1"/>
                <w:color w:val="231F20"/>
              </w:rPr>
              <w:t>2023</w:t>
            </w:r>
          </w:p>
        </w:tc>
      </w:tr>
      <w:tr>
        <w:trPr>
          <w:trHeight w:val="187"/>
        </w:trPr>
        <w:tc>
          <w:tcPr>
            <w:tcW w:w="744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Accumulated benefit obligation</w:t>
            </w:r>
          </w:p>
        </w:tc>
        <w:tc>
          <w:tcPr>
            <w:tcW w:w="560" w:type="dxa"/>
            <w:vAlign w:val="bottom"/>
            <w:shd w:val="clear" w:color="auto" w:fill="E2E8F1"/>
          </w:tcPr>
          <w:p>
            <w:pPr>
              <w:jc w:val="right"/>
              <w:ind w:right="209"/>
              <w:spacing w:after="0"/>
              <w:rPr>
                <w:sz w:val="20"/>
                <w:szCs w:val="20"/>
                <w:color w:val="auto"/>
              </w:rPr>
            </w:pPr>
            <w:r>
              <w:rPr>
                <w:rFonts w:ascii="Arial" w:cs="Arial" w:eastAsia="Arial" w:hAnsi="Arial"/>
                <w:sz w:val="14"/>
                <w:szCs w:val="14"/>
                <w:color w:val="231F20"/>
              </w:rPr>
              <w:t>$</w:t>
            </w:r>
          </w:p>
        </w:tc>
        <w:tc>
          <w:tcPr>
            <w:tcW w:w="1400" w:type="dxa"/>
            <w:vAlign w:val="bottom"/>
            <w:shd w:val="clear" w:color="auto" w:fill="E2E8F1"/>
          </w:tcPr>
          <w:p>
            <w:pPr>
              <w:jc w:val="right"/>
              <w:ind w:right="92"/>
              <w:spacing w:after="0"/>
              <w:rPr>
                <w:sz w:val="20"/>
                <w:szCs w:val="20"/>
                <w:color w:val="auto"/>
              </w:rPr>
            </w:pPr>
            <w:r>
              <w:rPr>
                <w:rFonts w:ascii="Arial" w:cs="Arial" w:eastAsia="Arial" w:hAnsi="Arial"/>
                <w:sz w:val="14"/>
                <w:szCs w:val="14"/>
                <w:color w:val="231F20"/>
              </w:rPr>
              <w:t>117.2</w:t>
            </w:r>
          </w:p>
        </w:tc>
        <w:tc>
          <w:tcPr>
            <w:tcW w:w="520" w:type="dxa"/>
            <w:vAlign w:val="bottom"/>
            <w:shd w:val="clear" w:color="auto" w:fill="E2E8F1"/>
          </w:tcPr>
          <w:p>
            <w:pPr>
              <w:jc w:val="right"/>
              <w:ind w:right="229"/>
              <w:spacing w:after="0"/>
              <w:rPr>
                <w:sz w:val="20"/>
                <w:szCs w:val="20"/>
                <w:color w:val="auto"/>
              </w:rPr>
            </w:pPr>
            <w:r>
              <w:rPr>
                <w:rFonts w:ascii="Arial" w:cs="Arial" w:eastAsia="Arial" w:hAnsi="Arial"/>
                <w:sz w:val="14"/>
                <w:szCs w:val="14"/>
                <w:color w:val="231F20"/>
              </w:rPr>
              <w:t>$</w:t>
            </w:r>
          </w:p>
        </w:tc>
        <w:tc>
          <w:tcPr>
            <w:tcW w:w="134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231F20"/>
              </w:rPr>
              <w:t>129.9</w:t>
            </w:r>
          </w:p>
        </w:tc>
      </w:tr>
      <w:tr>
        <w:trPr>
          <w:trHeight w:val="189"/>
        </w:trPr>
        <w:tc>
          <w:tcPr>
            <w:tcW w:w="744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Plan assets</w:t>
            </w:r>
          </w:p>
        </w:tc>
        <w:tc>
          <w:tcPr>
            <w:tcW w:w="560" w:type="dxa"/>
            <w:vAlign w:val="bottom"/>
            <w:tcBorders>
              <w:bottom w:val="single" w:sz="8" w:color="231F20"/>
            </w:tcBorders>
          </w:tcPr>
          <w:p>
            <w:pPr>
              <w:spacing w:after="0"/>
              <w:rPr>
                <w:sz w:val="16"/>
                <w:szCs w:val="16"/>
                <w:color w:val="auto"/>
              </w:rPr>
            </w:pPr>
          </w:p>
        </w:tc>
        <w:tc>
          <w:tcPr>
            <w:tcW w:w="1400" w:type="dxa"/>
            <w:vAlign w:val="bottom"/>
            <w:tcBorders>
              <w:bottom w:val="single" w:sz="8" w:color="231F20"/>
            </w:tcBorders>
          </w:tcPr>
          <w:p>
            <w:pPr>
              <w:jc w:val="right"/>
              <w:ind w:right="92"/>
              <w:spacing w:after="0"/>
              <w:rPr>
                <w:sz w:val="20"/>
                <w:szCs w:val="20"/>
                <w:color w:val="auto"/>
              </w:rPr>
            </w:pPr>
            <w:r>
              <w:rPr>
                <w:rFonts w:ascii="Arial" w:cs="Arial" w:eastAsia="Arial" w:hAnsi="Arial"/>
                <w:sz w:val="14"/>
                <w:szCs w:val="14"/>
                <w:color w:val="231F20"/>
              </w:rPr>
              <w:t>93.4</w:t>
            </w:r>
          </w:p>
        </w:tc>
        <w:tc>
          <w:tcPr>
            <w:tcW w:w="520" w:type="dxa"/>
            <w:vAlign w:val="bottom"/>
            <w:tcBorders>
              <w:bottom w:val="single" w:sz="8" w:color="231F20"/>
            </w:tcBorders>
          </w:tcPr>
          <w:p>
            <w:pPr>
              <w:spacing w:after="0"/>
              <w:rPr>
                <w:sz w:val="16"/>
                <w:szCs w:val="16"/>
                <w:color w:val="auto"/>
              </w:rPr>
            </w:pPr>
          </w:p>
        </w:tc>
        <w:tc>
          <w:tcPr>
            <w:tcW w:w="1340" w:type="dxa"/>
            <w:vAlign w:val="bottom"/>
            <w:tcBorders>
              <w:bottom w:val="single" w:sz="8" w:color="231F20"/>
            </w:tcBorders>
          </w:tcPr>
          <w:p>
            <w:pPr>
              <w:jc w:val="right"/>
              <w:ind w:right="72"/>
              <w:spacing w:after="0"/>
              <w:rPr>
                <w:sz w:val="20"/>
                <w:szCs w:val="20"/>
                <w:color w:val="auto"/>
              </w:rPr>
            </w:pPr>
            <w:r>
              <w:rPr>
                <w:rFonts w:ascii="Arial" w:cs="Arial" w:eastAsia="Arial" w:hAnsi="Arial"/>
                <w:sz w:val="14"/>
                <w:szCs w:val="14"/>
                <w:color w:val="231F20"/>
              </w:rPr>
              <w:t>89.0</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231F20"/>
        </w:rPr>
        <w:t>The projected benefit obligation (PBO) for all qualified defined benefit pension plans was $687.8 and $732.4 as of December 31, 2024 and 2023, respectively.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231F20"/>
        </w:rPr>
        <w:t>The PBO for some of our plans exceeded the fair value of plan assets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tcBorders>
              <w:top w:val="single" w:sz="8" w:color="auto"/>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December 31</w:t>
            </w:r>
          </w:p>
        </w:tc>
        <w:tc>
          <w:tcPr>
            <w:tcW w:w="3280" w:type="dxa"/>
            <w:vAlign w:val="bottom"/>
            <w:tcBorders>
              <w:top w:val="single" w:sz="8" w:color="auto"/>
              <w:bottom w:val="single" w:sz="8" w:color="auto"/>
            </w:tcBorders>
            <w:shd w:val="clear" w:color="auto" w:fill="98B0CF"/>
          </w:tcPr>
          <w:p>
            <w:pPr>
              <w:spacing w:after="0"/>
              <w:rPr>
                <w:sz w:val="19"/>
                <w:szCs w:val="19"/>
                <w:color w:val="auto"/>
              </w:rPr>
            </w:pPr>
          </w:p>
        </w:tc>
        <w:tc>
          <w:tcPr>
            <w:tcW w:w="1400" w:type="dxa"/>
            <w:vAlign w:val="bottom"/>
            <w:tcBorders>
              <w:top w:val="single" w:sz="8" w:color="auto"/>
              <w:bottom w:val="single" w:sz="8" w:color="auto"/>
            </w:tcBorders>
            <w:shd w:val="clear" w:color="auto" w:fill="98B0CF"/>
          </w:tcPr>
          <w:p>
            <w:pPr>
              <w:jc w:val="right"/>
              <w:ind w:right="752"/>
              <w:spacing w:after="0"/>
              <w:rPr>
                <w:sz w:val="20"/>
                <w:szCs w:val="20"/>
                <w:color w:val="auto"/>
              </w:rPr>
            </w:pPr>
            <w:r>
              <w:rPr>
                <w:rFonts w:ascii="Arial" w:cs="Arial" w:eastAsia="Arial" w:hAnsi="Arial"/>
                <w:sz w:val="13"/>
                <w:szCs w:val="13"/>
                <w:b w:val="1"/>
                <w:bCs w:val="1"/>
                <w:color w:val="231F20"/>
              </w:rPr>
              <w:t>2024</w:t>
            </w:r>
          </w:p>
        </w:tc>
        <w:tc>
          <w:tcPr>
            <w:tcW w:w="520" w:type="dxa"/>
            <w:vAlign w:val="bottom"/>
            <w:tcBorders>
              <w:top w:val="single" w:sz="8" w:color="auto"/>
              <w:bottom w:val="single" w:sz="8" w:color="auto"/>
            </w:tcBorders>
            <w:shd w:val="clear" w:color="auto" w:fill="98B0CF"/>
          </w:tcPr>
          <w:p>
            <w:pPr>
              <w:spacing w:after="0"/>
              <w:rPr>
                <w:sz w:val="19"/>
                <w:szCs w:val="19"/>
                <w:color w:val="auto"/>
              </w:rPr>
            </w:pPr>
          </w:p>
        </w:tc>
        <w:tc>
          <w:tcPr>
            <w:tcW w:w="1340" w:type="dxa"/>
            <w:vAlign w:val="bottom"/>
            <w:tcBorders>
              <w:top w:val="single" w:sz="8" w:color="auto"/>
              <w:bottom w:val="single" w:sz="8" w:color="auto"/>
            </w:tcBorders>
            <w:shd w:val="clear" w:color="auto" w:fill="98B0CF"/>
          </w:tcPr>
          <w:p>
            <w:pPr>
              <w:jc w:val="right"/>
              <w:ind w:right="712"/>
              <w:spacing w:after="0"/>
              <w:rPr>
                <w:sz w:val="20"/>
                <w:szCs w:val="20"/>
                <w:color w:val="auto"/>
              </w:rPr>
            </w:pPr>
            <w:r>
              <w:rPr>
                <w:rFonts w:ascii="Arial" w:cs="Arial" w:eastAsia="Arial" w:hAnsi="Arial"/>
                <w:sz w:val="13"/>
                <w:szCs w:val="13"/>
                <w:b w:val="1"/>
                <w:bCs w:val="1"/>
                <w:color w:val="231F20"/>
              </w:rPr>
              <w:t>2023</w:t>
            </w:r>
          </w:p>
        </w:tc>
      </w:tr>
      <w:tr>
        <w:trPr>
          <w:trHeight w:val="189"/>
        </w:trPr>
        <w:tc>
          <w:tcPr>
            <w:tcW w:w="472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Projected benefit obligation</w:t>
            </w:r>
          </w:p>
        </w:tc>
        <w:tc>
          <w:tcPr>
            <w:tcW w:w="3280" w:type="dxa"/>
            <w:vAlign w:val="bottom"/>
            <w:shd w:val="clear" w:color="auto" w:fill="E2E8F1"/>
          </w:tcPr>
          <w:p>
            <w:pPr>
              <w:jc w:val="right"/>
              <w:ind w:right="209"/>
              <w:spacing w:after="0"/>
              <w:rPr>
                <w:sz w:val="20"/>
                <w:szCs w:val="20"/>
                <w:color w:val="auto"/>
              </w:rPr>
            </w:pPr>
            <w:r>
              <w:rPr>
                <w:rFonts w:ascii="Arial" w:cs="Arial" w:eastAsia="Arial" w:hAnsi="Arial"/>
                <w:sz w:val="14"/>
                <w:szCs w:val="14"/>
                <w:color w:val="231F20"/>
              </w:rPr>
              <w:t>$</w:t>
            </w:r>
          </w:p>
        </w:tc>
        <w:tc>
          <w:tcPr>
            <w:tcW w:w="1400" w:type="dxa"/>
            <w:vAlign w:val="bottom"/>
            <w:shd w:val="clear" w:color="auto" w:fill="E2E8F1"/>
          </w:tcPr>
          <w:p>
            <w:pPr>
              <w:jc w:val="right"/>
              <w:ind w:right="92"/>
              <w:spacing w:after="0"/>
              <w:rPr>
                <w:sz w:val="20"/>
                <w:szCs w:val="20"/>
                <w:color w:val="auto"/>
              </w:rPr>
            </w:pPr>
            <w:r>
              <w:rPr>
                <w:rFonts w:ascii="Arial" w:cs="Arial" w:eastAsia="Arial" w:hAnsi="Arial"/>
                <w:sz w:val="14"/>
                <w:szCs w:val="14"/>
                <w:color w:val="231F20"/>
              </w:rPr>
              <w:t>123.8</w:t>
            </w:r>
          </w:p>
        </w:tc>
        <w:tc>
          <w:tcPr>
            <w:tcW w:w="520" w:type="dxa"/>
            <w:vAlign w:val="bottom"/>
            <w:shd w:val="clear" w:color="auto" w:fill="E2E8F1"/>
          </w:tcPr>
          <w:p>
            <w:pPr>
              <w:jc w:val="right"/>
              <w:ind w:right="229"/>
              <w:spacing w:after="0"/>
              <w:rPr>
                <w:sz w:val="20"/>
                <w:szCs w:val="20"/>
                <w:color w:val="auto"/>
              </w:rPr>
            </w:pPr>
            <w:r>
              <w:rPr>
                <w:rFonts w:ascii="Arial" w:cs="Arial" w:eastAsia="Arial" w:hAnsi="Arial"/>
                <w:sz w:val="14"/>
                <w:szCs w:val="14"/>
                <w:color w:val="231F20"/>
              </w:rPr>
              <w:t>$</w:t>
            </w:r>
          </w:p>
        </w:tc>
        <w:tc>
          <w:tcPr>
            <w:tcW w:w="134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231F20"/>
              </w:rPr>
              <w:t>137.8</w:t>
            </w:r>
          </w:p>
        </w:tc>
      </w:tr>
      <w:tr>
        <w:trPr>
          <w:trHeight w:val="189"/>
        </w:trPr>
        <w:tc>
          <w:tcPr>
            <w:tcW w:w="47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231F20"/>
              </w:rPr>
              <w:t>Plan assets</w:t>
            </w:r>
          </w:p>
        </w:tc>
        <w:tc>
          <w:tcPr>
            <w:tcW w:w="3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231F20"/>
              </w:rPr>
              <w:t>96.9</w:t>
            </w:r>
          </w:p>
        </w:tc>
        <w:tc>
          <w:tcPr>
            <w:tcW w:w="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rPr>
              <w:t>92.6</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75" w:name="page76"/>
    <w:bookmarkEnd w:id="75"/>
    <w:p>
      <w:pPr>
        <w:ind w:left="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By their nature, some of our plans do not have plan assets. The accumulated benefit obligation for these plans was $79.3 and $80.9 as of December 31, 2024 and 2023,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231F20"/>
        </w:rPr>
        <w:t>The components of the net periodic benefit cost and other amounts recognized in other comprehensive income/loss for all plans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00" w:type="dxa"/>
            <w:vAlign w:val="bottom"/>
            <w:tcBorders>
              <w:top w:val="single" w:sz="8" w:color="231F20"/>
              <w:bottom w:val="single" w:sz="8" w:color="auto"/>
            </w:tcBorders>
            <w:shd w:val="clear" w:color="auto" w:fill="98B0CE"/>
          </w:tcPr>
          <w:p>
            <w:pPr>
              <w:ind w:left="80"/>
              <w:spacing w:after="0"/>
              <w:rPr>
                <w:sz w:val="20"/>
                <w:szCs w:val="20"/>
                <w:color w:val="auto"/>
              </w:rPr>
            </w:pPr>
            <w:r>
              <w:rPr>
                <w:rFonts w:ascii="Arial" w:cs="Arial" w:eastAsia="Arial" w:hAnsi="Arial"/>
                <w:sz w:val="13"/>
                <w:szCs w:val="13"/>
                <w:b w:val="1"/>
                <w:bCs w:val="1"/>
                <w:color w:val="231F20"/>
              </w:rPr>
              <w:t>Year Ended December 31</w:t>
            </w:r>
          </w:p>
        </w:tc>
        <w:tc>
          <w:tcPr>
            <w:tcW w:w="440" w:type="dxa"/>
            <w:vAlign w:val="bottom"/>
            <w:tcBorders>
              <w:top w:val="single" w:sz="8" w:color="231F20"/>
              <w:bottom w:val="single" w:sz="8" w:color="auto"/>
            </w:tcBorders>
            <w:shd w:val="clear" w:color="auto" w:fill="98B0CE"/>
          </w:tcPr>
          <w:p>
            <w:pPr>
              <w:spacing w:after="0"/>
              <w:rPr>
                <w:sz w:val="20"/>
                <w:szCs w:val="20"/>
                <w:color w:val="auto"/>
              </w:rPr>
            </w:pPr>
          </w:p>
        </w:tc>
        <w:tc>
          <w:tcPr>
            <w:tcW w:w="1220" w:type="dxa"/>
            <w:vAlign w:val="bottom"/>
            <w:tcBorders>
              <w:top w:val="single" w:sz="8" w:color="231F20"/>
              <w:bottom w:val="single" w:sz="8" w:color="auto"/>
            </w:tcBorders>
            <w:shd w:val="clear" w:color="auto" w:fill="98B0CE"/>
          </w:tcPr>
          <w:p>
            <w:pPr>
              <w:jc w:val="right"/>
              <w:ind w:right="650"/>
              <w:spacing w:after="0"/>
              <w:rPr>
                <w:sz w:val="20"/>
                <w:szCs w:val="20"/>
                <w:color w:val="auto"/>
              </w:rPr>
            </w:pPr>
            <w:r>
              <w:rPr>
                <w:rFonts w:ascii="Arial" w:cs="Arial" w:eastAsia="Arial" w:hAnsi="Arial"/>
                <w:sz w:val="13"/>
                <w:szCs w:val="13"/>
                <w:b w:val="1"/>
                <w:bCs w:val="1"/>
                <w:color w:val="231F20"/>
              </w:rPr>
              <w:t>2024</w:t>
            </w:r>
          </w:p>
        </w:tc>
        <w:tc>
          <w:tcPr>
            <w:tcW w:w="400" w:type="dxa"/>
            <w:vAlign w:val="bottom"/>
            <w:tcBorders>
              <w:top w:val="single" w:sz="8" w:color="231F20"/>
              <w:bottom w:val="single" w:sz="8" w:color="auto"/>
            </w:tcBorders>
            <w:shd w:val="clear" w:color="auto" w:fill="98B0CE"/>
          </w:tcPr>
          <w:p>
            <w:pPr>
              <w:spacing w:after="0"/>
              <w:rPr>
                <w:sz w:val="20"/>
                <w:szCs w:val="20"/>
                <w:color w:val="auto"/>
              </w:rPr>
            </w:pPr>
          </w:p>
        </w:tc>
        <w:tc>
          <w:tcPr>
            <w:tcW w:w="1220" w:type="dxa"/>
            <w:vAlign w:val="bottom"/>
            <w:tcBorders>
              <w:top w:val="single" w:sz="8" w:color="231F20"/>
              <w:bottom w:val="single" w:sz="8" w:color="auto"/>
            </w:tcBorders>
            <w:shd w:val="clear" w:color="auto" w:fill="98B0CE"/>
          </w:tcPr>
          <w:p>
            <w:pPr>
              <w:jc w:val="right"/>
              <w:ind w:right="650"/>
              <w:spacing w:after="0"/>
              <w:rPr>
                <w:sz w:val="20"/>
                <w:szCs w:val="20"/>
                <w:color w:val="auto"/>
              </w:rPr>
            </w:pPr>
            <w:r>
              <w:rPr>
                <w:rFonts w:ascii="Arial" w:cs="Arial" w:eastAsia="Arial" w:hAnsi="Arial"/>
                <w:sz w:val="13"/>
                <w:szCs w:val="13"/>
                <w:b w:val="1"/>
                <w:bCs w:val="1"/>
                <w:color w:val="231F20"/>
              </w:rPr>
              <w:t>2023</w:t>
            </w:r>
          </w:p>
        </w:tc>
        <w:tc>
          <w:tcPr>
            <w:tcW w:w="400" w:type="dxa"/>
            <w:vAlign w:val="bottom"/>
            <w:tcBorders>
              <w:top w:val="single" w:sz="8" w:color="231F20"/>
              <w:bottom w:val="single" w:sz="8" w:color="auto"/>
            </w:tcBorders>
            <w:shd w:val="clear" w:color="auto" w:fill="98B0CE"/>
          </w:tcPr>
          <w:p>
            <w:pPr>
              <w:spacing w:after="0"/>
              <w:rPr>
                <w:sz w:val="20"/>
                <w:szCs w:val="20"/>
                <w:color w:val="auto"/>
              </w:rPr>
            </w:pPr>
          </w:p>
        </w:tc>
        <w:tc>
          <w:tcPr>
            <w:tcW w:w="1180" w:type="dxa"/>
            <w:vAlign w:val="bottom"/>
            <w:tcBorders>
              <w:top w:val="single" w:sz="8" w:color="231F20"/>
              <w:bottom w:val="single" w:sz="8" w:color="auto"/>
            </w:tcBorders>
            <w:shd w:val="clear" w:color="auto" w:fill="98B0CE"/>
          </w:tcPr>
          <w:p>
            <w:pPr>
              <w:jc w:val="right"/>
              <w:ind w:right="610"/>
              <w:spacing w:after="0"/>
              <w:rPr>
                <w:sz w:val="20"/>
                <w:szCs w:val="20"/>
                <w:color w:val="auto"/>
              </w:rPr>
            </w:pPr>
            <w:r>
              <w:rPr>
                <w:rFonts w:ascii="Arial" w:cs="Arial" w:eastAsia="Arial" w:hAnsi="Arial"/>
                <w:sz w:val="13"/>
                <w:szCs w:val="13"/>
                <w:b w:val="1"/>
                <w:bCs w:val="1"/>
                <w:color w:val="231F20"/>
              </w:rPr>
              <w:t>2022</w:t>
            </w:r>
          </w:p>
        </w:tc>
      </w:tr>
      <w:tr>
        <w:trPr>
          <w:trHeight w:val="187"/>
        </w:trPr>
        <w:tc>
          <w:tcPr>
            <w:tcW w:w="640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231F20"/>
              </w:rPr>
              <w:t>Net Periodic Benefit Cost</w:t>
            </w:r>
          </w:p>
        </w:tc>
        <w:tc>
          <w:tcPr>
            <w:tcW w:w="44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40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400" w:type="dxa"/>
            <w:vAlign w:val="bottom"/>
            <w:shd w:val="clear" w:color="auto" w:fill="E2E8F1"/>
          </w:tcPr>
          <w:p>
            <w:pPr>
              <w:spacing w:after="0"/>
              <w:rPr>
                <w:sz w:val="16"/>
                <w:szCs w:val="16"/>
                <w:color w:val="auto"/>
              </w:rPr>
            </w:pPr>
          </w:p>
        </w:tc>
        <w:tc>
          <w:tcPr>
            <w:tcW w:w="1180" w:type="dxa"/>
            <w:vAlign w:val="bottom"/>
            <w:shd w:val="clear" w:color="auto" w:fill="E2E8F1"/>
          </w:tcPr>
          <w:p>
            <w:pPr>
              <w:spacing w:after="0"/>
              <w:rPr>
                <w:sz w:val="16"/>
                <w:szCs w:val="16"/>
                <w:color w:val="auto"/>
              </w:rPr>
            </w:pPr>
          </w:p>
        </w:tc>
      </w:tr>
      <w:tr>
        <w:trPr>
          <w:trHeight w:val="189"/>
        </w:trPr>
        <w:tc>
          <w:tcPr>
            <w:tcW w:w="6400" w:type="dxa"/>
            <w:vAlign w:val="bottom"/>
          </w:tcPr>
          <w:p>
            <w:pPr>
              <w:ind w:left="80"/>
              <w:spacing w:after="0"/>
              <w:rPr>
                <w:sz w:val="20"/>
                <w:szCs w:val="20"/>
                <w:color w:val="auto"/>
              </w:rPr>
            </w:pPr>
            <w:r>
              <w:rPr>
                <w:rFonts w:ascii="Arial" w:cs="Arial" w:eastAsia="Arial" w:hAnsi="Arial"/>
                <w:sz w:val="14"/>
                <w:szCs w:val="14"/>
                <w:color w:val="231F20"/>
              </w:rPr>
              <w:t>Service cost</w:t>
            </w:r>
          </w:p>
        </w:tc>
        <w:tc>
          <w:tcPr>
            <w:tcW w:w="440" w:type="dxa"/>
            <w:vAlign w:val="bottom"/>
          </w:tcPr>
          <w:p>
            <w:pPr>
              <w:jc w:val="right"/>
              <w:ind w:right="149"/>
              <w:spacing w:after="0"/>
              <w:rPr>
                <w:sz w:val="20"/>
                <w:szCs w:val="20"/>
                <w:color w:val="auto"/>
              </w:rPr>
            </w:pPr>
            <w:r>
              <w:rPr>
                <w:rFonts w:ascii="Arial" w:cs="Arial" w:eastAsia="Arial" w:hAnsi="Arial"/>
                <w:sz w:val="14"/>
                <w:szCs w:val="14"/>
                <w:color w:val="231F20"/>
              </w:rPr>
              <w:t>$</w:t>
            </w:r>
          </w:p>
        </w:tc>
        <w:tc>
          <w:tcPr>
            <w:tcW w:w="1220" w:type="dxa"/>
            <w:vAlign w:val="bottom"/>
          </w:tcPr>
          <w:p>
            <w:pPr>
              <w:jc w:val="right"/>
              <w:ind w:right="110"/>
              <w:spacing w:after="0"/>
              <w:rPr>
                <w:sz w:val="20"/>
                <w:szCs w:val="20"/>
                <w:color w:val="auto"/>
              </w:rPr>
            </w:pPr>
            <w:r>
              <w:rPr>
                <w:rFonts w:ascii="Arial" w:cs="Arial" w:eastAsia="Arial" w:hAnsi="Arial"/>
                <w:sz w:val="14"/>
                <w:szCs w:val="14"/>
                <w:color w:val="231F20"/>
              </w:rPr>
              <w:t>16.5</w:t>
            </w:r>
          </w:p>
        </w:tc>
        <w:tc>
          <w:tcPr>
            <w:tcW w:w="400" w:type="dxa"/>
            <w:vAlign w:val="bottom"/>
          </w:tcPr>
          <w:p>
            <w:pPr>
              <w:jc w:val="right"/>
              <w:ind w:right="149"/>
              <w:spacing w:after="0"/>
              <w:rPr>
                <w:sz w:val="20"/>
                <w:szCs w:val="20"/>
                <w:color w:val="auto"/>
              </w:rPr>
            </w:pPr>
            <w:r>
              <w:rPr>
                <w:rFonts w:ascii="Arial" w:cs="Arial" w:eastAsia="Arial" w:hAnsi="Arial"/>
                <w:sz w:val="14"/>
                <w:szCs w:val="14"/>
                <w:color w:val="231F20"/>
              </w:rPr>
              <w:t>$</w:t>
            </w:r>
          </w:p>
        </w:tc>
        <w:tc>
          <w:tcPr>
            <w:tcW w:w="1220" w:type="dxa"/>
            <w:vAlign w:val="bottom"/>
          </w:tcPr>
          <w:p>
            <w:pPr>
              <w:jc w:val="right"/>
              <w:ind w:right="110"/>
              <w:spacing w:after="0"/>
              <w:rPr>
                <w:sz w:val="20"/>
                <w:szCs w:val="20"/>
                <w:color w:val="auto"/>
              </w:rPr>
            </w:pPr>
            <w:r>
              <w:rPr>
                <w:rFonts w:ascii="Arial" w:cs="Arial" w:eastAsia="Arial" w:hAnsi="Arial"/>
                <w:sz w:val="14"/>
                <w:szCs w:val="14"/>
                <w:color w:val="231F20"/>
              </w:rPr>
              <w:t>15.5</w:t>
            </w:r>
          </w:p>
        </w:tc>
        <w:tc>
          <w:tcPr>
            <w:tcW w:w="400" w:type="dxa"/>
            <w:vAlign w:val="bottom"/>
          </w:tcPr>
          <w:p>
            <w:pPr>
              <w:jc w:val="right"/>
              <w:ind w:right="149"/>
              <w:spacing w:after="0"/>
              <w:rPr>
                <w:sz w:val="20"/>
                <w:szCs w:val="20"/>
                <w:color w:val="auto"/>
              </w:rPr>
            </w:pPr>
            <w:r>
              <w:rPr>
                <w:rFonts w:ascii="Arial" w:cs="Arial" w:eastAsia="Arial" w:hAnsi="Arial"/>
                <w:sz w:val="14"/>
                <w:szCs w:val="14"/>
                <w:color w:val="231F20"/>
              </w:rPr>
              <w:t>$</w:t>
            </w:r>
          </w:p>
        </w:tc>
        <w:tc>
          <w:tcPr>
            <w:tcW w:w="1180" w:type="dxa"/>
            <w:vAlign w:val="bottom"/>
          </w:tcPr>
          <w:p>
            <w:pPr>
              <w:jc w:val="right"/>
              <w:ind w:right="70"/>
              <w:spacing w:after="0"/>
              <w:rPr>
                <w:sz w:val="20"/>
                <w:szCs w:val="20"/>
                <w:color w:val="auto"/>
              </w:rPr>
            </w:pPr>
            <w:r>
              <w:rPr>
                <w:rFonts w:ascii="Arial" w:cs="Arial" w:eastAsia="Arial" w:hAnsi="Arial"/>
                <w:sz w:val="14"/>
                <w:szCs w:val="14"/>
                <w:color w:val="231F20"/>
              </w:rPr>
              <w:t>19.4</w:t>
            </w:r>
          </w:p>
        </w:tc>
      </w:tr>
      <w:tr>
        <w:trPr>
          <w:trHeight w:val="189"/>
        </w:trPr>
        <w:tc>
          <w:tcPr>
            <w:tcW w:w="640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Interest cost</w:t>
            </w:r>
          </w:p>
        </w:tc>
        <w:tc>
          <w:tcPr>
            <w:tcW w:w="440" w:type="dxa"/>
            <w:vAlign w:val="bottom"/>
            <w:shd w:val="clear" w:color="auto" w:fill="E2E8F1"/>
          </w:tcPr>
          <w:p>
            <w:pPr>
              <w:spacing w:after="0"/>
              <w:rPr>
                <w:sz w:val="16"/>
                <w:szCs w:val="16"/>
                <w:color w:val="auto"/>
              </w:rPr>
            </w:pPr>
          </w:p>
        </w:tc>
        <w:tc>
          <w:tcPr>
            <w:tcW w:w="1220" w:type="dxa"/>
            <w:vAlign w:val="bottom"/>
            <w:shd w:val="clear" w:color="auto" w:fill="E2E8F1"/>
          </w:tcPr>
          <w:p>
            <w:pPr>
              <w:jc w:val="right"/>
              <w:ind w:right="110"/>
              <w:spacing w:after="0"/>
              <w:rPr>
                <w:sz w:val="20"/>
                <w:szCs w:val="20"/>
                <w:color w:val="auto"/>
              </w:rPr>
            </w:pPr>
            <w:r>
              <w:rPr>
                <w:rFonts w:ascii="Arial" w:cs="Arial" w:eastAsia="Arial" w:hAnsi="Arial"/>
                <w:sz w:val="14"/>
                <w:szCs w:val="14"/>
                <w:color w:val="231F20"/>
              </w:rPr>
              <w:t>19.4</w:t>
            </w:r>
          </w:p>
        </w:tc>
        <w:tc>
          <w:tcPr>
            <w:tcW w:w="400" w:type="dxa"/>
            <w:vAlign w:val="bottom"/>
            <w:shd w:val="clear" w:color="auto" w:fill="E2E8F1"/>
          </w:tcPr>
          <w:p>
            <w:pPr>
              <w:spacing w:after="0"/>
              <w:rPr>
                <w:sz w:val="16"/>
                <w:szCs w:val="16"/>
                <w:color w:val="auto"/>
              </w:rPr>
            </w:pPr>
          </w:p>
        </w:tc>
        <w:tc>
          <w:tcPr>
            <w:tcW w:w="1220" w:type="dxa"/>
            <w:vAlign w:val="bottom"/>
            <w:shd w:val="clear" w:color="auto" w:fill="E2E8F1"/>
          </w:tcPr>
          <w:p>
            <w:pPr>
              <w:jc w:val="right"/>
              <w:ind w:right="110"/>
              <w:spacing w:after="0"/>
              <w:rPr>
                <w:sz w:val="20"/>
                <w:szCs w:val="20"/>
                <w:color w:val="auto"/>
              </w:rPr>
            </w:pPr>
            <w:r>
              <w:rPr>
                <w:rFonts w:ascii="Arial" w:cs="Arial" w:eastAsia="Arial" w:hAnsi="Arial"/>
                <w:sz w:val="14"/>
                <w:szCs w:val="14"/>
                <w:color w:val="231F20"/>
              </w:rPr>
              <w:t>21.1</w:t>
            </w:r>
          </w:p>
        </w:tc>
        <w:tc>
          <w:tcPr>
            <w:tcW w:w="400" w:type="dxa"/>
            <w:vAlign w:val="bottom"/>
            <w:shd w:val="clear" w:color="auto" w:fill="E2E8F1"/>
          </w:tcPr>
          <w:p>
            <w:pPr>
              <w:spacing w:after="0"/>
              <w:rPr>
                <w:sz w:val="16"/>
                <w:szCs w:val="16"/>
                <w:color w:val="auto"/>
              </w:rPr>
            </w:pPr>
          </w:p>
        </w:tc>
        <w:tc>
          <w:tcPr>
            <w:tcW w:w="118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8.7</w:t>
            </w:r>
          </w:p>
        </w:tc>
      </w:tr>
      <w:tr>
        <w:trPr>
          <w:trHeight w:val="189"/>
        </w:trPr>
        <w:tc>
          <w:tcPr>
            <w:tcW w:w="6400" w:type="dxa"/>
            <w:vAlign w:val="bottom"/>
          </w:tcPr>
          <w:p>
            <w:pPr>
              <w:ind w:left="80"/>
              <w:spacing w:after="0"/>
              <w:rPr>
                <w:sz w:val="20"/>
                <w:szCs w:val="20"/>
                <w:color w:val="auto"/>
              </w:rPr>
            </w:pPr>
            <w:r>
              <w:rPr>
                <w:rFonts w:ascii="Arial" w:cs="Arial" w:eastAsia="Arial" w:hAnsi="Arial"/>
                <w:sz w:val="14"/>
                <w:szCs w:val="14"/>
                <w:color w:val="231F20"/>
              </w:rPr>
              <w:t>Expected return on assets</w:t>
            </w:r>
          </w:p>
        </w:tc>
        <w:tc>
          <w:tcPr>
            <w:tcW w:w="440" w:type="dxa"/>
            <w:vAlign w:val="bottom"/>
          </w:tcPr>
          <w:p>
            <w:pPr>
              <w:spacing w:after="0"/>
              <w:rPr>
                <w:sz w:val="16"/>
                <w:szCs w:val="16"/>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231F20"/>
              </w:rPr>
              <w:t>(18.9 )</w:t>
            </w:r>
          </w:p>
        </w:tc>
        <w:tc>
          <w:tcPr>
            <w:tcW w:w="400" w:type="dxa"/>
            <w:vAlign w:val="bottom"/>
          </w:tcPr>
          <w:p>
            <w:pPr>
              <w:spacing w:after="0"/>
              <w:rPr>
                <w:sz w:val="16"/>
                <w:szCs w:val="16"/>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231F20"/>
              </w:rPr>
              <w:t>(19.0 )</w:t>
            </w:r>
          </w:p>
        </w:tc>
        <w:tc>
          <w:tcPr>
            <w:tcW w:w="4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231F20"/>
              </w:rPr>
              <w:t>(14.7 )</w:t>
            </w:r>
          </w:p>
        </w:tc>
      </w:tr>
      <w:tr>
        <w:trPr>
          <w:trHeight w:val="189"/>
        </w:trPr>
        <w:tc>
          <w:tcPr>
            <w:tcW w:w="640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Settlements</w:t>
            </w:r>
          </w:p>
        </w:tc>
        <w:tc>
          <w:tcPr>
            <w:tcW w:w="440" w:type="dxa"/>
            <w:vAlign w:val="bottom"/>
            <w:shd w:val="clear" w:color="auto" w:fill="E2E8F1"/>
          </w:tcPr>
          <w:p>
            <w:pPr>
              <w:spacing w:after="0"/>
              <w:rPr>
                <w:sz w:val="16"/>
                <w:szCs w:val="16"/>
                <w:color w:val="auto"/>
              </w:rPr>
            </w:pPr>
          </w:p>
        </w:tc>
        <w:tc>
          <w:tcPr>
            <w:tcW w:w="1220" w:type="dxa"/>
            <w:vAlign w:val="bottom"/>
            <w:shd w:val="clear" w:color="auto" w:fill="E2E8F1"/>
          </w:tcPr>
          <w:p>
            <w:pPr>
              <w:jc w:val="right"/>
              <w:ind w:right="110"/>
              <w:spacing w:after="0"/>
              <w:rPr>
                <w:sz w:val="20"/>
                <w:szCs w:val="20"/>
                <w:color w:val="auto"/>
              </w:rPr>
            </w:pPr>
            <w:r>
              <w:rPr>
                <w:rFonts w:ascii="Arial" w:cs="Arial" w:eastAsia="Arial" w:hAnsi="Arial"/>
                <w:sz w:val="14"/>
                <w:szCs w:val="14"/>
                <w:color w:val="231F20"/>
              </w:rPr>
              <w:t>1.8</w:t>
            </w:r>
          </w:p>
        </w:tc>
        <w:tc>
          <w:tcPr>
            <w:tcW w:w="400" w:type="dxa"/>
            <w:vAlign w:val="bottom"/>
            <w:shd w:val="clear" w:color="auto" w:fill="E2E8F1"/>
          </w:tcPr>
          <w:p>
            <w:pPr>
              <w:spacing w:after="0"/>
              <w:rPr>
                <w:sz w:val="16"/>
                <w:szCs w:val="16"/>
                <w:color w:val="auto"/>
              </w:rPr>
            </w:pPr>
          </w:p>
        </w:tc>
        <w:tc>
          <w:tcPr>
            <w:tcW w:w="1220" w:type="dxa"/>
            <w:vAlign w:val="bottom"/>
            <w:shd w:val="clear" w:color="auto" w:fill="E2E8F1"/>
          </w:tcPr>
          <w:p>
            <w:pPr>
              <w:jc w:val="right"/>
              <w:ind w:right="110"/>
              <w:spacing w:after="0"/>
              <w:rPr>
                <w:sz w:val="20"/>
                <w:szCs w:val="20"/>
                <w:color w:val="auto"/>
              </w:rPr>
            </w:pPr>
            <w:r>
              <w:rPr>
                <w:rFonts w:ascii="Arial" w:cs="Arial" w:eastAsia="Arial" w:hAnsi="Arial"/>
                <w:sz w:val="14"/>
                <w:szCs w:val="14"/>
                <w:color w:val="231F20"/>
              </w:rPr>
              <w:t>6.7</w:t>
            </w:r>
          </w:p>
        </w:tc>
        <w:tc>
          <w:tcPr>
            <w:tcW w:w="400" w:type="dxa"/>
            <w:vAlign w:val="bottom"/>
            <w:shd w:val="clear" w:color="auto" w:fill="E2E8F1"/>
          </w:tcPr>
          <w:p>
            <w:pPr>
              <w:spacing w:after="0"/>
              <w:rPr>
                <w:sz w:val="16"/>
                <w:szCs w:val="16"/>
                <w:color w:val="auto"/>
              </w:rPr>
            </w:pPr>
          </w:p>
        </w:tc>
        <w:tc>
          <w:tcPr>
            <w:tcW w:w="118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2.7</w:t>
            </w:r>
          </w:p>
        </w:tc>
      </w:tr>
      <w:tr>
        <w:trPr>
          <w:trHeight w:val="189"/>
        </w:trPr>
        <w:tc>
          <w:tcPr>
            <w:tcW w:w="6400" w:type="dxa"/>
            <w:vAlign w:val="bottom"/>
          </w:tcPr>
          <w:p>
            <w:pPr>
              <w:ind w:left="80"/>
              <w:spacing w:after="0"/>
              <w:rPr>
                <w:sz w:val="20"/>
                <w:szCs w:val="20"/>
                <w:color w:val="auto"/>
              </w:rPr>
            </w:pPr>
            <w:r>
              <w:rPr>
                <w:rFonts w:ascii="Arial" w:cs="Arial" w:eastAsia="Arial" w:hAnsi="Arial"/>
                <w:sz w:val="14"/>
                <w:szCs w:val="14"/>
                <w:color w:val="231F20"/>
              </w:rPr>
              <w:t>Net (gain) loss</w:t>
            </w:r>
          </w:p>
        </w:tc>
        <w:tc>
          <w:tcPr>
            <w:tcW w:w="440" w:type="dxa"/>
            <w:vAlign w:val="bottom"/>
          </w:tcPr>
          <w:p>
            <w:pPr>
              <w:spacing w:after="0"/>
              <w:rPr>
                <w:sz w:val="16"/>
                <w:szCs w:val="16"/>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231F20"/>
              </w:rPr>
              <w:t>(1.5 )</w:t>
            </w:r>
          </w:p>
        </w:tc>
        <w:tc>
          <w:tcPr>
            <w:tcW w:w="400" w:type="dxa"/>
            <w:vAlign w:val="bottom"/>
          </w:tcPr>
          <w:p>
            <w:pPr>
              <w:spacing w:after="0"/>
              <w:rPr>
                <w:sz w:val="16"/>
                <w:szCs w:val="16"/>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231F20"/>
              </w:rPr>
              <w:t>(3.3 )</w:t>
            </w:r>
          </w:p>
        </w:tc>
        <w:tc>
          <w:tcPr>
            <w:tcW w:w="400" w:type="dxa"/>
            <w:vAlign w:val="bottom"/>
          </w:tcPr>
          <w:p>
            <w:pPr>
              <w:spacing w:after="0"/>
              <w:rPr>
                <w:sz w:val="16"/>
                <w:szCs w:val="16"/>
                <w:color w:val="auto"/>
              </w:rPr>
            </w:pPr>
          </w:p>
        </w:tc>
        <w:tc>
          <w:tcPr>
            <w:tcW w:w="1180" w:type="dxa"/>
            <w:vAlign w:val="bottom"/>
          </w:tcPr>
          <w:p>
            <w:pPr>
              <w:jc w:val="right"/>
              <w:ind w:right="70"/>
              <w:spacing w:after="0"/>
              <w:rPr>
                <w:sz w:val="20"/>
                <w:szCs w:val="20"/>
                <w:color w:val="auto"/>
              </w:rPr>
            </w:pPr>
            <w:r>
              <w:rPr>
                <w:rFonts w:ascii="Arial" w:cs="Arial" w:eastAsia="Arial" w:hAnsi="Arial"/>
                <w:sz w:val="14"/>
                <w:szCs w:val="14"/>
                <w:color w:val="231F20"/>
              </w:rPr>
              <w:t>1.8</w:t>
            </w:r>
          </w:p>
        </w:tc>
      </w:tr>
      <w:tr>
        <w:trPr>
          <w:trHeight w:val="189"/>
        </w:trPr>
        <w:tc>
          <w:tcPr>
            <w:tcW w:w="640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231F20"/>
              </w:rPr>
              <w:t>Prior service cost</w:t>
            </w:r>
          </w:p>
        </w:tc>
        <w:tc>
          <w:tcPr>
            <w:tcW w:w="440" w:type="dxa"/>
            <w:vAlign w:val="bottom"/>
            <w:tcBorders>
              <w:bottom w:val="single" w:sz="8" w:color="231F20"/>
            </w:tcBorders>
            <w:shd w:val="clear" w:color="auto" w:fill="E2E8F1"/>
          </w:tcPr>
          <w:p>
            <w:pPr>
              <w:spacing w:after="0"/>
              <w:rPr>
                <w:sz w:val="16"/>
                <w:szCs w:val="16"/>
                <w:color w:val="auto"/>
              </w:rPr>
            </w:pPr>
          </w:p>
        </w:tc>
        <w:tc>
          <w:tcPr>
            <w:tcW w:w="1220" w:type="dxa"/>
            <w:vAlign w:val="bottom"/>
            <w:tcBorders>
              <w:bottom w:val="single" w:sz="8" w:color="231F20"/>
            </w:tcBorders>
            <w:shd w:val="clear" w:color="auto" w:fill="E2E8F1"/>
          </w:tcPr>
          <w:p>
            <w:pPr>
              <w:jc w:val="right"/>
              <w:ind w:right="110"/>
              <w:spacing w:after="0"/>
              <w:rPr>
                <w:sz w:val="20"/>
                <w:szCs w:val="20"/>
                <w:color w:val="auto"/>
              </w:rPr>
            </w:pPr>
            <w:r>
              <w:rPr>
                <w:rFonts w:ascii="Arial" w:cs="Arial" w:eastAsia="Arial" w:hAnsi="Arial"/>
                <w:sz w:val="14"/>
                <w:szCs w:val="14"/>
                <w:color w:val="231F20"/>
              </w:rPr>
              <w:t>0.7</w:t>
            </w:r>
          </w:p>
        </w:tc>
        <w:tc>
          <w:tcPr>
            <w:tcW w:w="400" w:type="dxa"/>
            <w:vAlign w:val="bottom"/>
            <w:tcBorders>
              <w:bottom w:val="single" w:sz="8" w:color="231F20"/>
            </w:tcBorders>
            <w:shd w:val="clear" w:color="auto" w:fill="E2E8F1"/>
          </w:tcPr>
          <w:p>
            <w:pPr>
              <w:spacing w:after="0"/>
              <w:rPr>
                <w:sz w:val="16"/>
                <w:szCs w:val="16"/>
                <w:color w:val="auto"/>
              </w:rPr>
            </w:pPr>
          </w:p>
        </w:tc>
        <w:tc>
          <w:tcPr>
            <w:tcW w:w="1220" w:type="dxa"/>
            <w:vAlign w:val="bottom"/>
            <w:tcBorders>
              <w:bottom w:val="single" w:sz="8" w:color="231F20"/>
            </w:tcBorders>
            <w:shd w:val="clear" w:color="auto" w:fill="E2E8F1"/>
          </w:tcPr>
          <w:p>
            <w:pPr>
              <w:jc w:val="right"/>
              <w:ind w:right="110"/>
              <w:spacing w:after="0"/>
              <w:rPr>
                <w:sz w:val="20"/>
                <w:szCs w:val="20"/>
                <w:color w:val="auto"/>
              </w:rPr>
            </w:pPr>
            <w:r>
              <w:rPr>
                <w:rFonts w:ascii="Arial" w:cs="Arial" w:eastAsia="Arial" w:hAnsi="Arial"/>
                <w:sz w:val="14"/>
                <w:szCs w:val="14"/>
                <w:color w:val="231F20"/>
              </w:rPr>
              <w:t>0.7</w:t>
            </w:r>
          </w:p>
        </w:tc>
        <w:tc>
          <w:tcPr>
            <w:tcW w:w="400" w:type="dxa"/>
            <w:vAlign w:val="bottom"/>
            <w:tcBorders>
              <w:bottom w:val="single" w:sz="8" w:color="231F20"/>
            </w:tcBorders>
            <w:shd w:val="clear" w:color="auto" w:fill="E2E8F1"/>
          </w:tcPr>
          <w:p>
            <w:pPr>
              <w:spacing w:after="0"/>
              <w:rPr>
                <w:sz w:val="16"/>
                <w:szCs w:val="16"/>
                <w:color w:val="auto"/>
              </w:rPr>
            </w:pPr>
          </w:p>
        </w:tc>
        <w:tc>
          <w:tcPr>
            <w:tcW w:w="118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231F20"/>
              </w:rPr>
              <w:t>0.7</w:t>
            </w:r>
          </w:p>
        </w:tc>
      </w:tr>
      <w:tr>
        <w:trPr>
          <w:trHeight w:val="181"/>
        </w:trPr>
        <w:tc>
          <w:tcPr>
            <w:tcW w:w="640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Net periodic benefit cost</w:t>
            </w:r>
          </w:p>
        </w:tc>
        <w:tc>
          <w:tcPr>
            <w:tcW w:w="440" w:type="dxa"/>
            <w:vAlign w:val="bottom"/>
            <w:tcBorders>
              <w:bottom w:val="single" w:sz="8" w:color="231F20"/>
            </w:tcBorders>
          </w:tcPr>
          <w:p>
            <w:pPr>
              <w:spacing w:after="0"/>
              <w:rPr>
                <w:sz w:val="15"/>
                <w:szCs w:val="15"/>
                <w:color w:val="auto"/>
              </w:rPr>
            </w:pPr>
          </w:p>
        </w:tc>
        <w:tc>
          <w:tcPr>
            <w:tcW w:w="1220" w:type="dxa"/>
            <w:vAlign w:val="bottom"/>
            <w:tcBorders>
              <w:bottom w:val="single" w:sz="8" w:color="231F20"/>
            </w:tcBorders>
          </w:tcPr>
          <w:p>
            <w:pPr>
              <w:jc w:val="right"/>
              <w:ind w:right="110"/>
              <w:spacing w:after="0"/>
              <w:rPr>
                <w:sz w:val="20"/>
                <w:szCs w:val="20"/>
                <w:color w:val="auto"/>
              </w:rPr>
            </w:pPr>
            <w:r>
              <w:rPr>
                <w:rFonts w:ascii="Arial" w:cs="Arial" w:eastAsia="Arial" w:hAnsi="Arial"/>
                <w:sz w:val="14"/>
                <w:szCs w:val="14"/>
                <w:color w:val="231F20"/>
              </w:rPr>
              <w:t>18.0</w:t>
            </w:r>
          </w:p>
        </w:tc>
        <w:tc>
          <w:tcPr>
            <w:tcW w:w="400" w:type="dxa"/>
            <w:vAlign w:val="bottom"/>
            <w:tcBorders>
              <w:bottom w:val="single" w:sz="8" w:color="231F20"/>
            </w:tcBorders>
          </w:tcPr>
          <w:p>
            <w:pPr>
              <w:spacing w:after="0"/>
              <w:rPr>
                <w:sz w:val="15"/>
                <w:szCs w:val="15"/>
                <w:color w:val="auto"/>
              </w:rPr>
            </w:pPr>
          </w:p>
        </w:tc>
        <w:tc>
          <w:tcPr>
            <w:tcW w:w="1220" w:type="dxa"/>
            <w:vAlign w:val="bottom"/>
            <w:tcBorders>
              <w:bottom w:val="single" w:sz="8" w:color="231F20"/>
            </w:tcBorders>
          </w:tcPr>
          <w:p>
            <w:pPr>
              <w:jc w:val="right"/>
              <w:ind w:right="110"/>
              <w:spacing w:after="0"/>
              <w:rPr>
                <w:sz w:val="20"/>
                <w:szCs w:val="20"/>
                <w:color w:val="auto"/>
              </w:rPr>
            </w:pPr>
            <w:r>
              <w:rPr>
                <w:rFonts w:ascii="Arial" w:cs="Arial" w:eastAsia="Arial" w:hAnsi="Arial"/>
                <w:sz w:val="14"/>
                <w:szCs w:val="14"/>
                <w:color w:val="231F20"/>
              </w:rPr>
              <w:t>21.7</w:t>
            </w:r>
          </w:p>
        </w:tc>
        <w:tc>
          <w:tcPr>
            <w:tcW w:w="400" w:type="dxa"/>
            <w:vAlign w:val="bottom"/>
            <w:tcBorders>
              <w:bottom w:val="single" w:sz="8" w:color="231F20"/>
            </w:tcBorders>
          </w:tcPr>
          <w:p>
            <w:pPr>
              <w:spacing w:after="0"/>
              <w:rPr>
                <w:sz w:val="15"/>
                <w:szCs w:val="15"/>
                <w:color w:val="auto"/>
              </w:rPr>
            </w:pPr>
          </w:p>
        </w:tc>
        <w:tc>
          <w:tcPr>
            <w:tcW w:w="118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231F20"/>
              </w:rPr>
              <w:t>18.6</w:t>
            </w:r>
          </w:p>
        </w:tc>
      </w:tr>
      <w:tr>
        <w:trPr>
          <w:trHeight w:val="157"/>
        </w:trPr>
        <w:tc>
          <w:tcPr>
            <w:tcW w:w="640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b w:val="1"/>
                <w:bCs w:val="1"/>
                <w:color w:val="231F20"/>
              </w:rPr>
              <w:t>Other Changes in Plan Assets and Benefit Obligation Recognized</w:t>
            </w:r>
          </w:p>
        </w:tc>
        <w:tc>
          <w:tcPr>
            <w:tcW w:w="440" w:type="dxa"/>
            <w:vAlign w:val="bottom"/>
            <w:shd w:val="clear" w:color="auto" w:fill="E2E8F1"/>
          </w:tcPr>
          <w:p>
            <w:pPr>
              <w:spacing w:after="0"/>
              <w:rPr>
                <w:sz w:val="13"/>
                <w:szCs w:val="13"/>
                <w:color w:val="auto"/>
              </w:rPr>
            </w:pPr>
          </w:p>
        </w:tc>
        <w:tc>
          <w:tcPr>
            <w:tcW w:w="122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22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180" w:type="dxa"/>
            <w:vAlign w:val="bottom"/>
            <w:shd w:val="clear" w:color="auto" w:fill="E2E8F1"/>
          </w:tcPr>
          <w:p>
            <w:pPr>
              <w:spacing w:after="0"/>
              <w:rPr>
                <w:sz w:val="13"/>
                <w:szCs w:val="13"/>
                <w:color w:val="auto"/>
              </w:rPr>
            </w:pPr>
          </w:p>
        </w:tc>
      </w:tr>
      <w:tr>
        <w:trPr>
          <w:trHeight w:val="178"/>
        </w:trPr>
        <w:tc>
          <w:tcPr>
            <w:tcW w:w="6400" w:type="dxa"/>
            <w:vAlign w:val="bottom"/>
            <w:shd w:val="clear" w:color="auto" w:fill="E2E8F1"/>
          </w:tcPr>
          <w:p>
            <w:pPr>
              <w:ind w:left="200"/>
              <w:spacing w:after="0"/>
              <w:rPr>
                <w:sz w:val="20"/>
                <w:szCs w:val="20"/>
                <w:color w:val="auto"/>
              </w:rPr>
            </w:pPr>
            <w:r>
              <w:rPr>
                <w:rFonts w:ascii="Arial" w:cs="Arial" w:eastAsia="Arial" w:hAnsi="Arial"/>
                <w:sz w:val="14"/>
                <w:szCs w:val="14"/>
                <w:b w:val="1"/>
                <w:bCs w:val="1"/>
                <w:color w:val="231F20"/>
              </w:rPr>
              <w:t>in Other Comprehensive Income/Loss</w:t>
            </w:r>
          </w:p>
        </w:tc>
        <w:tc>
          <w:tcPr>
            <w:tcW w:w="440" w:type="dxa"/>
            <w:vAlign w:val="bottom"/>
            <w:shd w:val="clear" w:color="auto" w:fill="E2E8F1"/>
          </w:tcPr>
          <w:p>
            <w:pPr>
              <w:spacing w:after="0"/>
              <w:rPr>
                <w:sz w:val="15"/>
                <w:szCs w:val="15"/>
                <w:color w:val="auto"/>
              </w:rPr>
            </w:pPr>
          </w:p>
        </w:tc>
        <w:tc>
          <w:tcPr>
            <w:tcW w:w="1220" w:type="dxa"/>
            <w:vAlign w:val="bottom"/>
            <w:shd w:val="clear" w:color="auto" w:fill="E2E8F1"/>
          </w:tcPr>
          <w:p>
            <w:pPr>
              <w:spacing w:after="0"/>
              <w:rPr>
                <w:sz w:val="15"/>
                <w:szCs w:val="15"/>
                <w:color w:val="auto"/>
              </w:rPr>
            </w:pPr>
          </w:p>
        </w:tc>
        <w:tc>
          <w:tcPr>
            <w:tcW w:w="400" w:type="dxa"/>
            <w:vAlign w:val="bottom"/>
            <w:shd w:val="clear" w:color="auto" w:fill="E2E8F1"/>
          </w:tcPr>
          <w:p>
            <w:pPr>
              <w:spacing w:after="0"/>
              <w:rPr>
                <w:sz w:val="15"/>
                <w:szCs w:val="15"/>
                <w:color w:val="auto"/>
              </w:rPr>
            </w:pPr>
          </w:p>
        </w:tc>
        <w:tc>
          <w:tcPr>
            <w:tcW w:w="1220" w:type="dxa"/>
            <w:vAlign w:val="bottom"/>
            <w:shd w:val="clear" w:color="auto" w:fill="E2E8F1"/>
          </w:tcPr>
          <w:p>
            <w:pPr>
              <w:spacing w:after="0"/>
              <w:rPr>
                <w:sz w:val="15"/>
                <w:szCs w:val="15"/>
                <w:color w:val="auto"/>
              </w:rPr>
            </w:pPr>
          </w:p>
        </w:tc>
        <w:tc>
          <w:tcPr>
            <w:tcW w:w="400" w:type="dxa"/>
            <w:vAlign w:val="bottom"/>
            <w:shd w:val="clear" w:color="auto" w:fill="E2E8F1"/>
          </w:tcPr>
          <w:p>
            <w:pPr>
              <w:spacing w:after="0"/>
              <w:rPr>
                <w:sz w:val="15"/>
                <w:szCs w:val="15"/>
                <w:color w:val="auto"/>
              </w:rPr>
            </w:pPr>
          </w:p>
        </w:tc>
        <w:tc>
          <w:tcPr>
            <w:tcW w:w="1180" w:type="dxa"/>
            <w:vAlign w:val="bottom"/>
            <w:shd w:val="clear" w:color="auto" w:fill="E2E8F1"/>
          </w:tcPr>
          <w:p>
            <w:pPr>
              <w:spacing w:after="0"/>
              <w:rPr>
                <w:sz w:val="15"/>
                <w:szCs w:val="15"/>
                <w:color w:val="auto"/>
              </w:rPr>
            </w:pPr>
          </w:p>
        </w:tc>
      </w:tr>
      <w:tr>
        <w:trPr>
          <w:trHeight w:val="189"/>
        </w:trPr>
        <w:tc>
          <w:tcPr>
            <w:tcW w:w="6400" w:type="dxa"/>
            <w:vAlign w:val="bottom"/>
          </w:tcPr>
          <w:p>
            <w:pPr>
              <w:ind w:left="80"/>
              <w:spacing w:after="0"/>
              <w:rPr>
                <w:sz w:val="20"/>
                <w:szCs w:val="20"/>
                <w:color w:val="auto"/>
              </w:rPr>
            </w:pPr>
            <w:r>
              <w:rPr>
                <w:rFonts w:ascii="Arial" w:cs="Arial" w:eastAsia="Arial" w:hAnsi="Arial"/>
                <w:sz w:val="14"/>
                <w:szCs w:val="14"/>
                <w:color w:val="231F20"/>
              </w:rPr>
              <w:t>Net (gain) loss</w:t>
            </w:r>
          </w:p>
        </w:tc>
        <w:tc>
          <w:tcPr>
            <w:tcW w:w="440" w:type="dxa"/>
            <w:vAlign w:val="bottom"/>
          </w:tcPr>
          <w:p>
            <w:pPr>
              <w:spacing w:after="0"/>
              <w:rPr>
                <w:sz w:val="16"/>
                <w:szCs w:val="16"/>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231F20"/>
              </w:rPr>
              <w:t>(25.7 )</w:t>
            </w:r>
          </w:p>
        </w:tc>
        <w:tc>
          <w:tcPr>
            <w:tcW w:w="400" w:type="dxa"/>
            <w:vAlign w:val="bottom"/>
          </w:tcPr>
          <w:p>
            <w:pPr>
              <w:spacing w:after="0"/>
              <w:rPr>
                <w:sz w:val="16"/>
                <w:szCs w:val="16"/>
                <w:color w:val="auto"/>
              </w:rPr>
            </w:pPr>
          </w:p>
        </w:tc>
        <w:tc>
          <w:tcPr>
            <w:tcW w:w="1220" w:type="dxa"/>
            <w:vAlign w:val="bottom"/>
          </w:tcPr>
          <w:p>
            <w:pPr>
              <w:jc w:val="right"/>
              <w:ind w:right="110"/>
              <w:spacing w:after="0"/>
              <w:rPr>
                <w:sz w:val="20"/>
                <w:szCs w:val="20"/>
                <w:color w:val="auto"/>
              </w:rPr>
            </w:pPr>
            <w:r>
              <w:rPr>
                <w:rFonts w:ascii="Arial" w:cs="Arial" w:eastAsia="Arial" w:hAnsi="Arial"/>
                <w:sz w:val="14"/>
                <w:szCs w:val="14"/>
                <w:color w:val="231F20"/>
              </w:rPr>
              <w:t>31.9</w:t>
            </w:r>
          </w:p>
        </w:tc>
        <w:tc>
          <w:tcPr>
            <w:tcW w:w="4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231F20"/>
              </w:rPr>
              <w:t>(40.9 )</w:t>
            </w:r>
          </w:p>
        </w:tc>
      </w:tr>
      <w:tr>
        <w:trPr>
          <w:trHeight w:val="189"/>
        </w:trPr>
        <w:tc>
          <w:tcPr>
            <w:tcW w:w="640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Prior service credit</w:t>
            </w:r>
          </w:p>
        </w:tc>
        <w:tc>
          <w:tcPr>
            <w:tcW w:w="440" w:type="dxa"/>
            <w:vAlign w:val="bottom"/>
            <w:shd w:val="clear" w:color="auto" w:fill="E2E8F1"/>
          </w:tcPr>
          <w:p>
            <w:pPr>
              <w:spacing w:after="0"/>
              <w:rPr>
                <w:sz w:val="16"/>
                <w:szCs w:val="16"/>
                <w:color w:val="auto"/>
              </w:rPr>
            </w:pPr>
          </w:p>
        </w:tc>
        <w:tc>
          <w:tcPr>
            <w:tcW w:w="1220" w:type="dxa"/>
            <w:vAlign w:val="bottom"/>
            <w:shd w:val="clear" w:color="auto" w:fill="E2E8F1"/>
          </w:tcPr>
          <w:p>
            <w:pPr>
              <w:jc w:val="right"/>
              <w:ind w:right="110"/>
              <w:spacing w:after="0"/>
              <w:rPr>
                <w:sz w:val="20"/>
                <w:szCs w:val="20"/>
                <w:color w:val="auto"/>
              </w:rPr>
            </w:pPr>
            <w:r>
              <w:rPr>
                <w:rFonts w:ascii="Arial" w:cs="Arial" w:eastAsia="Arial" w:hAnsi="Arial"/>
                <w:sz w:val="14"/>
                <w:szCs w:val="14"/>
                <w:color w:val="231F20"/>
              </w:rPr>
              <w:t>—</w:t>
            </w:r>
          </w:p>
        </w:tc>
        <w:tc>
          <w:tcPr>
            <w:tcW w:w="400" w:type="dxa"/>
            <w:vAlign w:val="bottom"/>
            <w:shd w:val="clear" w:color="auto" w:fill="E2E8F1"/>
          </w:tcPr>
          <w:p>
            <w:pPr>
              <w:spacing w:after="0"/>
              <w:rPr>
                <w:sz w:val="16"/>
                <w:szCs w:val="16"/>
                <w:color w:val="auto"/>
              </w:rPr>
            </w:pPr>
          </w:p>
        </w:tc>
        <w:tc>
          <w:tcPr>
            <w:tcW w:w="1220" w:type="dxa"/>
            <w:vAlign w:val="bottom"/>
            <w:shd w:val="clear" w:color="auto" w:fill="E2E8F1"/>
          </w:tcPr>
          <w:p>
            <w:pPr>
              <w:jc w:val="right"/>
              <w:ind w:right="30"/>
              <w:spacing w:after="0"/>
              <w:rPr>
                <w:sz w:val="20"/>
                <w:szCs w:val="20"/>
                <w:color w:val="auto"/>
              </w:rPr>
            </w:pPr>
            <w:r>
              <w:rPr>
                <w:rFonts w:ascii="Arial" w:cs="Arial" w:eastAsia="Arial" w:hAnsi="Arial"/>
                <w:sz w:val="14"/>
                <w:szCs w:val="14"/>
                <w:color w:val="231F20"/>
              </w:rPr>
              <w:t>(1.2 )</w:t>
            </w:r>
          </w:p>
        </w:tc>
        <w:tc>
          <w:tcPr>
            <w:tcW w:w="400" w:type="dxa"/>
            <w:vAlign w:val="bottom"/>
            <w:shd w:val="clear" w:color="auto" w:fill="E2E8F1"/>
          </w:tcPr>
          <w:p>
            <w:pPr>
              <w:spacing w:after="0"/>
              <w:rPr>
                <w:sz w:val="16"/>
                <w:szCs w:val="16"/>
                <w:color w:val="auto"/>
              </w:rPr>
            </w:pPr>
          </w:p>
        </w:tc>
        <w:tc>
          <w:tcPr>
            <w:tcW w:w="118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(0.2 )</w:t>
            </w:r>
          </w:p>
        </w:tc>
      </w:tr>
      <w:tr>
        <w:trPr>
          <w:trHeight w:val="189"/>
        </w:trPr>
        <w:tc>
          <w:tcPr>
            <w:tcW w:w="6400" w:type="dxa"/>
            <w:vAlign w:val="bottom"/>
          </w:tcPr>
          <w:p>
            <w:pPr>
              <w:ind w:left="80"/>
              <w:spacing w:after="0"/>
              <w:rPr>
                <w:sz w:val="20"/>
                <w:szCs w:val="20"/>
                <w:color w:val="auto"/>
              </w:rPr>
            </w:pPr>
            <w:r>
              <w:rPr>
                <w:rFonts w:ascii="Arial" w:cs="Arial" w:eastAsia="Arial" w:hAnsi="Arial"/>
                <w:sz w:val="14"/>
                <w:szCs w:val="14"/>
                <w:color w:val="231F20"/>
              </w:rPr>
              <w:t>Amortization of net loss</w:t>
            </w:r>
          </w:p>
        </w:tc>
        <w:tc>
          <w:tcPr>
            <w:tcW w:w="440" w:type="dxa"/>
            <w:vAlign w:val="bottom"/>
          </w:tcPr>
          <w:p>
            <w:pPr>
              <w:spacing w:after="0"/>
              <w:rPr>
                <w:sz w:val="16"/>
                <w:szCs w:val="16"/>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231F20"/>
              </w:rPr>
              <w:t>(3.0 )</w:t>
            </w:r>
          </w:p>
        </w:tc>
        <w:tc>
          <w:tcPr>
            <w:tcW w:w="400" w:type="dxa"/>
            <w:vAlign w:val="bottom"/>
          </w:tcPr>
          <w:p>
            <w:pPr>
              <w:spacing w:after="0"/>
              <w:rPr>
                <w:sz w:val="16"/>
                <w:szCs w:val="16"/>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231F20"/>
              </w:rPr>
              <w:t>(3.7 )</w:t>
            </w:r>
          </w:p>
        </w:tc>
        <w:tc>
          <w:tcPr>
            <w:tcW w:w="4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231F20"/>
              </w:rPr>
              <w:t>(5.0 )</w:t>
            </w:r>
          </w:p>
        </w:tc>
      </w:tr>
      <w:tr>
        <w:trPr>
          <w:trHeight w:val="189"/>
        </w:trPr>
        <w:tc>
          <w:tcPr>
            <w:tcW w:w="640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231F20"/>
              </w:rPr>
              <w:t>Amortization of prior service cost</w:t>
            </w:r>
          </w:p>
        </w:tc>
        <w:tc>
          <w:tcPr>
            <w:tcW w:w="440" w:type="dxa"/>
            <w:vAlign w:val="bottom"/>
            <w:tcBorders>
              <w:bottom w:val="single" w:sz="8" w:color="231F20"/>
            </w:tcBorders>
            <w:shd w:val="clear" w:color="auto" w:fill="E2E8F1"/>
          </w:tcPr>
          <w:p>
            <w:pPr>
              <w:spacing w:after="0"/>
              <w:rPr>
                <w:sz w:val="16"/>
                <w:szCs w:val="16"/>
                <w:color w:val="auto"/>
              </w:rPr>
            </w:pPr>
          </w:p>
        </w:tc>
        <w:tc>
          <w:tcPr>
            <w:tcW w:w="1220" w:type="dxa"/>
            <w:vAlign w:val="bottom"/>
            <w:tcBorders>
              <w:bottom w:val="single" w:sz="8" w:color="231F20"/>
            </w:tcBorders>
            <w:shd w:val="clear" w:color="auto" w:fill="E2E8F1"/>
          </w:tcPr>
          <w:p>
            <w:pPr>
              <w:jc w:val="right"/>
              <w:ind w:right="30"/>
              <w:spacing w:after="0"/>
              <w:rPr>
                <w:sz w:val="20"/>
                <w:szCs w:val="20"/>
                <w:color w:val="auto"/>
              </w:rPr>
            </w:pPr>
            <w:r>
              <w:rPr>
                <w:rFonts w:ascii="Arial" w:cs="Arial" w:eastAsia="Arial" w:hAnsi="Arial"/>
                <w:sz w:val="14"/>
                <w:szCs w:val="14"/>
                <w:color w:val="231F20"/>
              </w:rPr>
              <w:t>(0.7 )</w:t>
            </w:r>
          </w:p>
        </w:tc>
        <w:tc>
          <w:tcPr>
            <w:tcW w:w="400" w:type="dxa"/>
            <w:vAlign w:val="bottom"/>
            <w:tcBorders>
              <w:bottom w:val="single" w:sz="8" w:color="231F20"/>
            </w:tcBorders>
            <w:shd w:val="clear" w:color="auto" w:fill="E2E8F1"/>
          </w:tcPr>
          <w:p>
            <w:pPr>
              <w:spacing w:after="0"/>
              <w:rPr>
                <w:sz w:val="16"/>
                <w:szCs w:val="16"/>
                <w:color w:val="auto"/>
              </w:rPr>
            </w:pPr>
          </w:p>
        </w:tc>
        <w:tc>
          <w:tcPr>
            <w:tcW w:w="1220" w:type="dxa"/>
            <w:vAlign w:val="bottom"/>
            <w:tcBorders>
              <w:bottom w:val="single" w:sz="8" w:color="231F20"/>
            </w:tcBorders>
            <w:shd w:val="clear" w:color="auto" w:fill="E2E8F1"/>
          </w:tcPr>
          <w:p>
            <w:pPr>
              <w:jc w:val="right"/>
              <w:ind w:right="30"/>
              <w:spacing w:after="0"/>
              <w:rPr>
                <w:sz w:val="20"/>
                <w:szCs w:val="20"/>
                <w:color w:val="auto"/>
              </w:rPr>
            </w:pPr>
            <w:r>
              <w:rPr>
                <w:rFonts w:ascii="Arial" w:cs="Arial" w:eastAsia="Arial" w:hAnsi="Arial"/>
                <w:sz w:val="14"/>
                <w:szCs w:val="14"/>
                <w:color w:val="231F20"/>
              </w:rPr>
              <w:t>(0.7 )</w:t>
            </w:r>
          </w:p>
        </w:tc>
        <w:tc>
          <w:tcPr>
            <w:tcW w:w="400" w:type="dxa"/>
            <w:vAlign w:val="bottom"/>
            <w:tcBorders>
              <w:bottom w:val="single" w:sz="8" w:color="231F20"/>
            </w:tcBorders>
            <w:shd w:val="clear" w:color="auto" w:fill="E2E8F1"/>
          </w:tcPr>
          <w:p>
            <w:pPr>
              <w:spacing w:after="0"/>
              <w:rPr>
                <w:sz w:val="16"/>
                <w:szCs w:val="16"/>
                <w:color w:val="auto"/>
              </w:rPr>
            </w:pPr>
          </w:p>
        </w:tc>
        <w:tc>
          <w:tcPr>
            <w:tcW w:w="11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(0.7 )</w:t>
            </w:r>
          </w:p>
        </w:tc>
      </w:tr>
      <w:tr>
        <w:trPr>
          <w:trHeight w:val="181"/>
        </w:trPr>
        <w:tc>
          <w:tcPr>
            <w:tcW w:w="640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231F20"/>
              </w:rPr>
              <w:t>Total recognized in other comprehensive income/loss</w:t>
            </w:r>
          </w:p>
        </w:tc>
        <w:tc>
          <w:tcPr>
            <w:tcW w:w="440" w:type="dxa"/>
            <w:vAlign w:val="bottom"/>
            <w:tcBorders>
              <w:bottom w:val="single" w:sz="8" w:color="231F20"/>
            </w:tcBorders>
          </w:tcPr>
          <w:p>
            <w:pPr>
              <w:spacing w:after="0"/>
              <w:rPr>
                <w:sz w:val="15"/>
                <w:szCs w:val="15"/>
                <w:color w:val="auto"/>
              </w:rPr>
            </w:pPr>
          </w:p>
        </w:tc>
        <w:tc>
          <w:tcPr>
            <w:tcW w:w="1220" w:type="dxa"/>
            <w:vAlign w:val="bottom"/>
            <w:tcBorders>
              <w:bottom w:val="single" w:sz="8" w:color="231F20"/>
            </w:tcBorders>
          </w:tcPr>
          <w:p>
            <w:pPr>
              <w:jc w:val="right"/>
              <w:ind w:right="30"/>
              <w:spacing w:after="0"/>
              <w:rPr>
                <w:sz w:val="20"/>
                <w:szCs w:val="20"/>
                <w:color w:val="auto"/>
              </w:rPr>
            </w:pPr>
            <w:r>
              <w:rPr>
                <w:rFonts w:ascii="Arial" w:cs="Arial" w:eastAsia="Arial" w:hAnsi="Arial"/>
                <w:sz w:val="14"/>
                <w:szCs w:val="14"/>
                <w:color w:val="231F20"/>
              </w:rPr>
              <w:t>(29.4 )</w:t>
            </w:r>
          </w:p>
        </w:tc>
        <w:tc>
          <w:tcPr>
            <w:tcW w:w="400" w:type="dxa"/>
            <w:vAlign w:val="bottom"/>
            <w:tcBorders>
              <w:bottom w:val="single" w:sz="8" w:color="231F20"/>
            </w:tcBorders>
          </w:tcPr>
          <w:p>
            <w:pPr>
              <w:spacing w:after="0"/>
              <w:rPr>
                <w:sz w:val="15"/>
                <w:szCs w:val="15"/>
                <w:color w:val="auto"/>
              </w:rPr>
            </w:pPr>
          </w:p>
        </w:tc>
        <w:tc>
          <w:tcPr>
            <w:tcW w:w="1220" w:type="dxa"/>
            <w:vAlign w:val="bottom"/>
            <w:tcBorders>
              <w:bottom w:val="single" w:sz="8" w:color="231F20"/>
            </w:tcBorders>
          </w:tcPr>
          <w:p>
            <w:pPr>
              <w:jc w:val="right"/>
              <w:ind w:right="110"/>
              <w:spacing w:after="0"/>
              <w:rPr>
                <w:sz w:val="20"/>
                <w:szCs w:val="20"/>
                <w:color w:val="auto"/>
              </w:rPr>
            </w:pPr>
            <w:r>
              <w:rPr>
                <w:rFonts w:ascii="Arial" w:cs="Arial" w:eastAsia="Arial" w:hAnsi="Arial"/>
                <w:sz w:val="14"/>
                <w:szCs w:val="14"/>
                <w:color w:val="231F20"/>
              </w:rPr>
              <w:t>26.3</w:t>
            </w:r>
          </w:p>
        </w:tc>
        <w:tc>
          <w:tcPr>
            <w:tcW w:w="400" w:type="dxa"/>
            <w:vAlign w:val="bottom"/>
            <w:tcBorders>
              <w:bottom w:val="single" w:sz="8" w:color="231F20"/>
            </w:tcBorders>
          </w:tcPr>
          <w:p>
            <w:pPr>
              <w:spacing w:after="0"/>
              <w:rPr>
                <w:sz w:val="15"/>
                <w:szCs w:val="15"/>
                <w:color w:val="auto"/>
              </w:rPr>
            </w:pPr>
          </w:p>
        </w:tc>
        <w:tc>
          <w:tcPr>
            <w:tcW w:w="11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(46.8 )</w:t>
            </w:r>
          </w:p>
        </w:tc>
      </w:tr>
      <w:tr>
        <w:trPr>
          <w:trHeight w:val="157"/>
        </w:trPr>
        <w:tc>
          <w:tcPr>
            <w:tcW w:w="640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color w:val="231F20"/>
              </w:rPr>
              <w:t>Total recognized in net periodic benefit cost and other comprehensive</w:t>
            </w:r>
          </w:p>
        </w:tc>
        <w:tc>
          <w:tcPr>
            <w:tcW w:w="440" w:type="dxa"/>
            <w:vAlign w:val="bottom"/>
            <w:shd w:val="clear" w:color="auto" w:fill="E2E8F1"/>
          </w:tcPr>
          <w:p>
            <w:pPr>
              <w:spacing w:after="0"/>
              <w:rPr>
                <w:sz w:val="13"/>
                <w:szCs w:val="13"/>
                <w:color w:val="auto"/>
              </w:rPr>
            </w:pPr>
          </w:p>
        </w:tc>
        <w:tc>
          <w:tcPr>
            <w:tcW w:w="122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22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180" w:type="dxa"/>
            <w:vAlign w:val="bottom"/>
            <w:shd w:val="clear" w:color="auto" w:fill="E2E8F1"/>
          </w:tcPr>
          <w:p>
            <w:pPr>
              <w:spacing w:after="0"/>
              <w:rPr>
                <w:sz w:val="13"/>
                <w:szCs w:val="13"/>
                <w:color w:val="auto"/>
              </w:rPr>
            </w:pPr>
          </w:p>
        </w:tc>
      </w:tr>
      <w:tr>
        <w:trPr>
          <w:trHeight w:val="178"/>
        </w:trPr>
        <w:tc>
          <w:tcPr>
            <w:tcW w:w="6400" w:type="dxa"/>
            <w:vAlign w:val="bottom"/>
            <w:tcBorders>
              <w:bottom w:val="single" w:sz="8" w:color="231F20"/>
            </w:tcBorders>
            <w:shd w:val="clear" w:color="auto" w:fill="E2E8F1"/>
          </w:tcPr>
          <w:p>
            <w:pPr>
              <w:ind w:left="200"/>
              <w:spacing w:after="0"/>
              <w:rPr>
                <w:sz w:val="20"/>
                <w:szCs w:val="20"/>
                <w:color w:val="auto"/>
              </w:rPr>
            </w:pPr>
            <w:r>
              <w:rPr>
                <w:rFonts w:ascii="Arial" w:cs="Arial" w:eastAsia="Arial" w:hAnsi="Arial"/>
                <w:sz w:val="14"/>
                <w:szCs w:val="14"/>
                <w:color w:val="231F20"/>
              </w:rPr>
              <w:t>income/loss</w:t>
            </w:r>
          </w:p>
        </w:tc>
        <w:tc>
          <w:tcPr>
            <w:tcW w:w="440" w:type="dxa"/>
            <w:vAlign w:val="bottom"/>
            <w:tcBorders>
              <w:bottom w:val="single" w:sz="8" w:color="231F20"/>
            </w:tcBorders>
            <w:shd w:val="clear" w:color="auto" w:fill="E2E8F1"/>
          </w:tcPr>
          <w:p>
            <w:pPr>
              <w:jc w:val="right"/>
              <w:ind w:right="149"/>
              <w:spacing w:after="0"/>
              <w:rPr>
                <w:sz w:val="20"/>
                <w:szCs w:val="20"/>
                <w:color w:val="auto"/>
              </w:rPr>
            </w:pPr>
            <w:r>
              <w:rPr>
                <w:rFonts w:ascii="Arial" w:cs="Arial" w:eastAsia="Arial" w:hAnsi="Arial"/>
                <w:sz w:val="14"/>
                <w:szCs w:val="14"/>
                <w:color w:val="231F20"/>
              </w:rPr>
              <w:t>$</w:t>
            </w:r>
          </w:p>
        </w:tc>
        <w:tc>
          <w:tcPr>
            <w:tcW w:w="1220" w:type="dxa"/>
            <w:vAlign w:val="bottom"/>
            <w:tcBorders>
              <w:bottom w:val="single" w:sz="8" w:color="231F20"/>
            </w:tcBorders>
            <w:shd w:val="clear" w:color="auto" w:fill="E2E8F1"/>
          </w:tcPr>
          <w:p>
            <w:pPr>
              <w:jc w:val="right"/>
              <w:ind w:right="30"/>
              <w:spacing w:after="0"/>
              <w:rPr>
                <w:sz w:val="20"/>
                <w:szCs w:val="20"/>
                <w:color w:val="auto"/>
              </w:rPr>
            </w:pPr>
            <w:r>
              <w:rPr>
                <w:rFonts w:ascii="Arial" w:cs="Arial" w:eastAsia="Arial" w:hAnsi="Arial"/>
                <w:sz w:val="14"/>
                <w:szCs w:val="14"/>
                <w:color w:val="231F20"/>
              </w:rPr>
              <w:t>(11.4 )</w:t>
            </w:r>
          </w:p>
        </w:tc>
        <w:tc>
          <w:tcPr>
            <w:tcW w:w="400" w:type="dxa"/>
            <w:vAlign w:val="bottom"/>
            <w:tcBorders>
              <w:bottom w:val="single" w:sz="8" w:color="231F20"/>
            </w:tcBorders>
            <w:shd w:val="clear" w:color="auto" w:fill="E2E8F1"/>
          </w:tcPr>
          <w:p>
            <w:pPr>
              <w:jc w:val="right"/>
              <w:ind w:right="149"/>
              <w:spacing w:after="0"/>
              <w:rPr>
                <w:sz w:val="20"/>
                <w:szCs w:val="20"/>
                <w:color w:val="auto"/>
              </w:rPr>
            </w:pPr>
            <w:r>
              <w:rPr>
                <w:rFonts w:ascii="Arial" w:cs="Arial" w:eastAsia="Arial" w:hAnsi="Arial"/>
                <w:sz w:val="14"/>
                <w:szCs w:val="14"/>
                <w:color w:val="231F20"/>
              </w:rPr>
              <w:t>$</w:t>
            </w:r>
          </w:p>
        </w:tc>
        <w:tc>
          <w:tcPr>
            <w:tcW w:w="1220" w:type="dxa"/>
            <w:vAlign w:val="bottom"/>
            <w:tcBorders>
              <w:bottom w:val="single" w:sz="8" w:color="231F20"/>
            </w:tcBorders>
            <w:shd w:val="clear" w:color="auto" w:fill="E2E8F1"/>
          </w:tcPr>
          <w:p>
            <w:pPr>
              <w:jc w:val="right"/>
              <w:ind w:right="110"/>
              <w:spacing w:after="0"/>
              <w:rPr>
                <w:sz w:val="20"/>
                <w:szCs w:val="20"/>
                <w:color w:val="auto"/>
              </w:rPr>
            </w:pPr>
            <w:r>
              <w:rPr>
                <w:rFonts w:ascii="Arial" w:cs="Arial" w:eastAsia="Arial" w:hAnsi="Arial"/>
                <w:sz w:val="14"/>
                <w:szCs w:val="14"/>
                <w:color w:val="231F20"/>
              </w:rPr>
              <w:t>48.0</w:t>
            </w:r>
          </w:p>
        </w:tc>
        <w:tc>
          <w:tcPr>
            <w:tcW w:w="400" w:type="dxa"/>
            <w:vAlign w:val="bottom"/>
            <w:tcBorders>
              <w:bottom w:val="single" w:sz="8" w:color="231F20"/>
            </w:tcBorders>
            <w:shd w:val="clear" w:color="auto" w:fill="E2E8F1"/>
          </w:tcPr>
          <w:p>
            <w:pPr>
              <w:jc w:val="right"/>
              <w:ind w:right="149"/>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(28.2 )</w:t>
            </w:r>
          </w:p>
        </w:tc>
      </w:tr>
    </w:tbl>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estimated net loss and prior service cost for the defined benefit pension plans that will be amortized from accumulated other comprehensive income/loss into net periodic benefit cost during 2025 are $0.4 and $0.6,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231F20"/>
        </w:rPr>
        <w:t>The weighted-average assumptions used in the measurement of the benefit obligation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420" w:type="dxa"/>
            <w:vAlign w:val="bottom"/>
            <w:tcBorders>
              <w:top w:val="single" w:sz="8" w:color="auto"/>
              <w:bottom w:val="single" w:sz="8" w:color="98B0CF"/>
            </w:tcBorders>
            <w:shd w:val="clear" w:color="auto" w:fill="98B0CF"/>
          </w:tcPr>
          <w:p>
            <w:pPr>
              <w:spacing w:after="0"/>
              <w:rPr>
                <w:sz w:val="13"/>
                <w:szCs w:val="13"/>
                <w:color w:val="auto"/>
              </w:rPr>
            </w:pPr>
          </w:p>
        </w:tc>
        <w:tc>
          <w:tcPr>
            <w:tcW w:w="900" w:type="dxa"/>
            <w:vAlign w:val="bottom"/>
            <w:tcBorders>
              <w:top w:val="single" w:sz="8" w:color="auto"/>
              <w:bottom w:val="single" w:sz="8" w:color="98B0CF"/>
            </w:tcBorders>
            <w:shd w:val="clear" w:color="auto" w:fill="98B0CF"/>
          </w:tcPr>
          <w:p>
            <w:pPr>
              <w:spacing w:after="0"/>
              <w:rPr>
                <w:sz w:val="13"/>
                <w:szCs w:val="13"/>
                <w:color w:val="auto"/>
              </w:rPr>
            </w:pPr>
          </w:p>
        </w:tc>
        <w:tc>
          <w:tcPr>
            <w:tcW w:w="240" w:type="dxa"/>
            <w:vAlign w:val="bottom"/>
            <w:tcBorders>
              <w:top w:val="single" w:sz="8" w:color="auto"/>
              <w:bottom w:val="single" w:sz="8" w:color="98B0CF"/>
            </w:tcBorders>
            <w:shd w:val="clear" w:color="auto" w:fill="98B0CF"/>
          </w:tcPr>
          <w:p>
            <w:pPr>
              <w:spacing w:after="0"/>
              <w:rPr>
                <w:sz w:val="13"/>
                <w:szCs w:val="13"/>
                <w:color w:val="auto"/>
              </w:rPr>
            </w:pPr>
          </w:p>
        </w:tc>
        <w:tc>
          <w:tcPr>
            <w:tcW w:w="2240" w:type="dxa"/>
            <w:vAlign w:val="bottom"/>
            <w:tcBorders>
              <w:top w:val="single" w:sz="8" w:color="auto"/>
              <w:bottom w:val="single" w:sz="8" w:color="auto"/>
            </w:tcBorders>
            <w:gridSpan w:val="2"/>
            <w:shd w:val="clear" w:color="auto" w:fill="98B0CF"/>
          </w:tcPr>
          <w:p>
            <w:pPr>
              <w:jc w:val="right"/>
              <w:ind w:right="292"/>
              <w:spacing w:after="0"/>
              <w:rPr>
                <w:sz w:val="20"/>
                <w:szCs w:val="20"/>
                <w:color w:val="auto"/>
              </w:rPr>
            </w:pPr>
            <w:r>
              <w:rPr>
                <w:rFonts w:ascii="Arial" w:cs="Arial" w:eastAsia="Arial" w:hAnsi="Arial"/>
                <w:sz w:val="13"/>
                <w:szCs w:val="13"/>
                <w:b w:val="1"/>
                <w:bCs w:val="1"/>
                <w:color w:val="auto"/>
              </w:rPr>
              <w:t>United States Plans</w:t>
            </w:r>
          </w:p>
        </w:tc>
        <w:tc>
          <w:tcPr>
            <w:tcW w:w="100" w:type="dxa"/>
            <w:vAlign w:val="bottom"/>
            <w:tcBorders>
              <w:top w:val="single" w:sz="8" w:color="auto"/>
              <w:bottom w:val="single" w:sz="8" w:color="auto"/>
            </w:tcBorders>
            <w:shd w:val="clear" w:color="auto" w:fill="98B0CF"/>
          </w:tcPr>
          <w:p>
            <w:pPr>
              <w:spacing w:after="0"/>
              <w:rPr>
                <w:sz w:val="13"/>
                <w:szCs w:val="13"/>
                <w:color w:val="auto"/>
              </w:rPr>
            </w:pPr>
          </w:p>
        </w:tc>
        <w:tc>
          <w:tcPr>
            <w:tcW w:w="420" w:type="dxa"/>
            <w:vAlign w:val="bottom"/>
            <w:tcBorders>
              <w:top w:val="single" w:sz="8" w:color="auto"/>
              <w:bottom w:val="single" w:sz="8" w:color="auto"/>
            </w:tcBorders>
            <w:shd w:val="clear" w:color="auto" w:fill="98B0CF"/>
          </w:tcPr>
          <w:p>
            <w:pPr>
              <w:spacing w:after="0"/>
              <w:rPr>
                <w:sz w:val="13"/>
                <w:szCs w:val="13"/>
                <w:color w:val="auto"/>
              </w:rPr>
            </w:pPr>
          </w:p>
        </w:tc>
        <w:tc>
          <w:tcPr>
            <w:tcW w:w="100" w:type="dxa"/>
            <w:vAlign w:val="bottom"/>
            <w:tcBorders>
              <w:top w:val="single" w:sz="8" w:color="auto"/>
              <w:bottom w:val="single" w:sz="8" w:color="98B0CF"/>
            </w:tcBorders>
            <w:shd w:val="clear" w:color="auto" w:fill="98B0CF"/>
          </w:tcPr>
          <w:p>
            <w:pPr>
              <w:spacing w:after="0"/>
              <w:rPr>
                <w:sz w:val="13"/>
                <w:szCs w:val="13"/>
                <w:color w:val="auto"/>
              </w:rPr>
            </w:pPr>
          </w:p>
        </w:tc>
        <w:tc>
          <w:tcPr>
            <w:tcW w:w="580" w:type="dxa"/>
            <w:vAlign w:val="bottom"/>
            <w:tcBorders>
              <w:top w:val="single" w:sz="8" w:color="auto"/>
              <w:bottom w:val="single" w:sz="8" w:color="auto"/>
            </w:tcBorders>
            <w:shd w:val="clear" w:color="auto" w:fill="98B0CF"/>
          </w:tcPr>
          <w:p>
            <w:pPr>
              <w:spacing w:after="0"/>
              <w:rPr>
                <w:sz w:val="13"/>
                <w:szCs w:val="13"/>
                <w:color w:val="auto"/>
              </w:rPr>
            </w:pPr>
          </w:p>
        </w:tc>
        <w:tc>
          <w:tcPr>
            <w:tcW w:w="2260" w:type="dxa"/>
            <w:vAlign w:val="bottom"/>
            <w:tcBorders>
              <w:top w:val="single" w:sz="8" w:color="auto"/>
              <w:bottom w:val="single" w:sz="8" w:color="auto"/>
            </w:tcBorders>
            <w:gridSpan w:val="2"/>
            <w:shd w:val="clear" w:color="auto" w:fill="98B0CF"/>
          </w:tcPr>
          <w:p>
            <w:pPr>
              <w:jc w:val="right"/>
              <w:ind w:right="711"/>
              <w:spacing w:after="0"/>
              <w:rPr>
                <w:sz w:val="20"/>
                <w:szCs w:val="20"/>
                <w:color w:val="auto"/>
              </w:rPr>
            </w:pPr>
            <w:r>
              <w:rPr>
                <w:rFonts w:ascii="Arial" w:cs="Arial" w:eastAsia="Arial" w:hAnsi="Arial"/>
                <w:sz w:val="13"/>
                <w:szCs w:val="13"/>
                <w:b w:val="1"/>
                <w:bCs w:val="1"/>
                <w:color w:val="auto"/>
                <w:w w:val="96"/>
              </w:rPr>
              <w:t>Non-United States Plans</w:t>
            </w:r>
          </w:p>
        </w:tc>
      </w:tr>
      <w:tr>
        <w:trPr>
          <w:trHeight w:val="155"/>
        </w:trPr>
        <w:tc>
          <w:tcPr>
            <w:tcW w:w="4420" w:type="dxa"/>
            <w:vAlign w:val="bottom"/>
            <w:tcBorders>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900" w:type="dxa"/>
            <w:vAlign w:val="bottom"/>
            <w:tcBorders>
              <w:bottom w:val="single" w:sz="8" w:color="auto"/>
            </w:tcBorders>
            <w:shd w:val="clear" w:color="auto" w:fill="98B0CF"/>
          </w:tcPr>
          <w:p>
            <w:pPr>
              <w:spacing w:after="0"/>
              <w:rPr>
                <w:sz w:val="13"/>
                <w:szCs w:val="13"/>
                <w:color w:val="auto"/>
              </w:rPr>
            </w:pPr>
          </w:p>
        </w:tc>
        <w:tc>
          <w:tcPr>
            <w:tcW w:w="240" w:type="dxa"/>
            <w:vAlign w:val="bottom"/>
            <w:tcBorders>
              <w:bottom w:val="single" w:sz="8" w:color="auto"/>
            </w:tcBorders>
            <w:shd w:val="clear" w:color="auto" w:fill="98B0CF"/>
          </w:tcPr>
          <w:p>
            <w:pPr>
              <w:spacing w:after="0"/>
              <w:rPr>
                <w:sz w:val="13"/>
                <w:szCs w:val="13"/>
                <w:color w:val="auto"/>
              </w:rPr>
            </w:pPr>
          </w:p>
        </w:tc>
        <w:tc>
          <w:tcPr>
            <w:tcW w:w="1400" w:type="dxa"/>
            <w:vAlign w:val="bottom"/>
            <w:tcBorders>
              <w:bottom w:val="single" w:sz="8" w:color="auto"/>
            </w:tcBorders>
            <w:shd w:val="clear" w:color="auto" w:fill="98B0CF"/>
          </w:tcPr>
          <w:p>
            <w:pPr>
              <w:jc w:val="right"/>
              <w:ind w:right="612"/>
              <w:spacing w:after="0"/>
              <w:rPr>
                <w:sz w:val="20"/>
                <w:szCs w:val="20"/>
                <w:color w:val="auto"/>
              </w:rPr>
            </w:pPr>
            <w:r>
              <w:rPr>
                <w:rFonts w:ascii="Arial" w:cs="Arial" w:eastAsia="Arial" w:hAnsi="Arial"/>
                <w:sz w:val="13"/>
                <w:szCs w:val="13"/>
                <w:b w:val="1"/>
                <w:bCs w:val="1"/>
                <w:color w:val="auto"/>
              </w:rPr>
              <w:t>2024</w:t>
            </w:r>
          </w:p>
        </w:tc>
        <w:tc>
          <w:tcPr>
            <w:tcW w:w="840" w:type="dxa"/>
            <w:vAlign w:val="bottom"/>
            <w:tcBorders>
              <w:bottom w:val="single" w:sz="8" w:color="auto"/>
            </w:tcBorders>
            <w:shd w:val="clear" w:color="auto" w:fill="98B0CF"/>
          </w:tcPr>
          <w:p>
            <w:pPr>
              <w:ind w:left="460"/>
              <w:spacing w:after="0"/>
              <w:rPr>
                <w:sz w:val="20"/>
                <w:szCs w:val="20"/>
                <w:color w:val="auto"/>
              </w:rPr>
            </w:pPr>
            <w:r>
              <w:rPr>
                <w:rFonts w:ascii="Arial" w:cs="Arial" w:eastAsia="Arial" w:hAnsi="Arial"/>
                <w:sz w:val="13"/>
                <w:szCs w:val="13"/>
                <w:b w:val="1"/>
                <w:bCs w:val="1"/>
                <w:color w:val="auto"/>
              </w:rPr>
              <w:t>2023</w:t>
            </w:r>
          </w:p>
        </w:tc>
        <w:tc>
          <w:tcPr>
            <w:tcW w:w="2480" w:type="dxa"/>
            <w:vAlign w:val="bottom"/>
            <w:tcBorders>
              <w:bottom w:val="single" w:sz="8" w:color="auto"/>
            </w:tcBorders>
            <w:gridSpan w:val="5"/>
            <w:shd w:val="clear" w:color="auto" w:fill="98B0CF"/>
          </w:tcPr>
          <w:p>
            <w:pPr>
              <w:jc w:val="right"/>
              <w:ind w:right="1051"/>
              <w:spacing w:after="0"/>
              <w:rPr>
                <w:sz w:val="20"/>
                <w:szCs w:val="20"/>
                <w:color w:val="auto"/>
              </w:rPr>
            </w:pPr>
            <w:r>
              <w:rPr>
                <w:rFonts w:ascii="Arial" w:cs="Arial" w:eastAsia="Arial" w:hAnsi="Arial"/>
                <w:sz w:val="13"/>
                <w:szCs w:val="13"/>
                <w:b w:val="1"/>
                <w:bCs w:val="1"/>
                <w:color w:val="auto"/>
              </w:rPr>
              <w:t>2024</w:t>
            </w:r>
          </w:p>
        </w:tc>
        <w:tc>
          <w:tcPr>
            <w:tcW w:w="980" w:type="dxa"/>
            <w:vAlign w:val="bottom"/>
            <w:tcBorders>
              <w:bottom w:val="single" w:sz="8" w:color="auto"/>
            </w:tcBorders>
            <w:shd w:val="clear" w:color="auto" w:fill="98B0CF"/>
          </w:tcPr>
          <w:p>
            <w:pPr>
              <w:jc w:val="right"/>
              <w:ind w:right="571"/>
              <w:spacing w:after="0"/>
              <w:rPr>
                <w:sz w:val="20"/>
                <w:szCs w:val="20"/>
                <w:color w:val="auto"/>
              </w:rPr>
            </w:pPr>
            <w:r>
              <w:rPr>
                <w:rFonts w:ascii="Arial" w:cs="Arial" w:eastAsia="Arial" w:hAnsi="Arial"/>
                <w:sz w:val="13"/>
                <w:szCs w:val="13"/>
                <w:b w:val="1"/>
                <w:bCs w:val="1"/>
                <w:color w:val="auto"/>
              </w:rPr>
              <w:t>2023</w:t>
            </w:r>
          </w:p>
        </w:tc>
      </w:tr>
      <w:tr>
        <w:trPr>
          <w:trHeight w:val="166"/>
        </w:trPr>
        <w:tc>
          <w:tcPr>
            <w:tcW w:w="4420" w:type="dxa"/>
            <w:vAlign w:val="bottom"/>
            <w:shd w:val="clear" w:color="auto" w:fill="E2E8F1"/>
          </w:tcPr>
          <w:p>
            <w:pPr>
              <w:ind w:left="80"/>
              <w:spacing w:after="0"/>
              <w:rPr>
                <w:sz w:val="20"/>
                <w:szCs w:val="20"/>
                <w:color w:val="auto"/>
              </w:rPr>
            </w:pPr>
            <w:r>
              <w:rPr>
                <w:rFonts w:ascii="Arial" w:cs="Arial" w:eastAsia="Arial" w:hAnsi="Arial"/>
                <w:sz w:val="14"/>
                <w:szCs w:val="14"/>
                <w:color w:val="auto"/>
              </w:rPr>
              <w:t>Discount rate</w:t>
            </w:r>
          </w:p>
        </w:tc>
        <w:tc>
          <w:tcPr>
            <w:tcW w:w="90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400" w:type="dxa"/>
            <w:vAlign w:val="bottom"/>
            <w:shd w:val="clear" w:color="auto" w:fill="E2E8F1"/>
          </w:tcPr>
          <w:p>
            <w:pPr>
              <w:jc w:val="right"/>
              <w:ind w:right="32"/>
              <w:spacing w:after="0"/>
              <w:rPr>
                <w:sz w:val="20"/>
                <w:szCs w:val="20"/>
                <w:color w:val="auto"/>
              </w:rPr>
            </w:pPr>
            <w:r>
              <w:rPr>
                <w:rFonts w:ascii="Arial" w:cs="Arial" w:eastAsia="Arial" w:hAnsi="Arial"/>
                <w:sz w:val="14"/>
                <w:szCs w:val="14"/>
                <w:color w:val="auto"/>
              </w:rPr>
              <w:t>5.5 %</w:t>
            </w:r>
          </w:p>
        </w:tc>
        <w:tc>
          <w:tcPr>
            <w:tcW w:w="840" w:type="dxa"/>
            <w:vAlign w:val="bottom"/>
            <w:shd w:val="clear" w:color="auto" w:fill="E2E8F1"/>
          </w:tcPr>
          <w:p>
            <w:pPr>
              <w:spacing w:after="0"/>
              <w:rPr>
                <w:sz w:val="14"/>
                <w:szCs w:val="14"/>
                <w:color w:val="auto"/>
              </w:rPr>
            </w:pPr>
          </w:p>
        </w:tc>
        <w:tc>
          <w:tcPr>
            <w:tcW w:w="52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5.2 %</w:t>
            </w:r>
          </w:p>
        </w:tc>
        <w:tc>
          <w:tcPr>
            <w:tcW w:w="10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280" w:type="dxa"/>
            <w:vAlign w:val="bottom"/>
            <w:shd w:val="clear" w:color="auto" w:fill="E2E8F1"/>
          </w:tcPr>
          <w:p>
            <w:pPr>
              <w:jc w:val="right"/>
              <w:ind w:right="471"/>
              <w:spacing w:after="0"/>
              <w:rPr>
                <w:sz w:val="20"/>
                <w:szCs w:val="20"/>
                <w:color w:val="auto"/>
              </w:rPr>
            </w:pPr>
            <w:r>
              <w:rPr>
                <w:rFonts w:ascii="Arial" w:cs="Arial" w:eastAsia="Arial" w:hAnsi="Arial"/>
                <w:sz w:val="14"/>
                <w:szCs w:val="14"/>
                <w:color w:val="auto"/>
              </w:rPr>
              <w:t>2.7 %</w:t>
            </w:r>
          </w:p>
        </w:tc>
        <w:tc>
          <w:tcPr>
            <w:tcW w:w="9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2.7 %</w:t>
            </w:r>
          </w:p>
        </w:tc>
      </w:tr>
      <w:tr>
        <w:trPr>
          <w:trHeight w:val="166"/>
        </w:trPr>
        <w:tc>
          <w:tcPr>
            <w:tcW w:w="44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Rate of compensation increase</w:t>
            </w: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1.4 %</w:t>
            </w: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1.4 %</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1.5 %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r>
      <w:tr>
        <w:trPr>
          <w:trHeight w:val="290"/>
        </w:trPr>
        <w:tc>
          <w:tcPr>
            <w:tcW w:w="7800" w:type="dxa"/>
            <w:vAlign w:val="bottom"/>
            <w:gridSpan w:val="5"/>
          </w:tcPr>
          <w:p>
            <w:pPr>
              <w:jc w:val="right"/>
              <w:ind w:right="112"/>
              <w:spacing w:after="0"/>
              <w:rPr>
                <w:sz w:val="20"/>
                <w:szCs w:val="20"/>
                <w:color w:val="auto"/>
              </w:rPr>
            </w:pPr>
            <w:r>
              <w:rPr>
                <w:rFonts w:ascii="Arial" w:cs="Arial" w:eastAsia="Arial" w:hAnsi="Arial"/>
                <w:sz w:val="16"/>
                <w:szCs w:val="16"/>
                <w:color w:val="231F20"/>
                <w:w w:val="98"/>
              </w:rPr>
              <w:t>The weighted-average assumptions used in the measurement of the net periodic benefit cost were as follows: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92"/>
        </w:trPr>
        <w:tc>
          <w:tcPr>
            <w:tcW w:w="44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gridSpan w:val="2"/>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gridSpan w:val="2"/>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r>
      <w:tr>
        <w:trPr>
          <w:trHeight w:val="140"/>
        </w:trPr>
        <w:tc>
          <w:tcPr>
            <w:tcW w:w="4420" w:type="dxa"/>
            <w:vAlign w:val="bottom"/>
            <w:tcBorders>
              <w:bottom w:val="single" w:sz="8" w:color="98B0CF"/>
            </w:tcBorders>
            <w:shd w:val="clear" w:color="auto" w:fill="98B0CF"/>
          </w:tcPr>
          <w:p>
            <w:pPr>
              <w:spacing w:after="0"/>
              <w:rPr>
                <w:sz w:val="12"/>
                <w:szCs w:val="12"/>
                <w:color w:val="auto"/>
              </w:rPr>
            </w:pPr>
          </w:p>
        </w:tc>
        <w:tc>
          <w:tcPr>
            <w:tcW w:w="900" w:type="dxa"/>
            <w:vAlign w:val="bottom"/>
            <w:tcBorders>
              <w:bottom w:val="single" w:sz="8" w:color="auto"/>
            </w:tcBorders>
            <w:shd w:val="clear" w:color="auto" w:fill="98B0CF"/>
          </w:tcPr>
          <w:p>
            <w:pPr>
              <w:spacing w:after="0"/>
              <w:rPr>
                <w:sz w:val="12"/>
                <w:szCs w:val="12"/>
                <w:color w:val="auto"/>
              </w:rPr>
            </w:pPr>
          </w:p>
        </w:tc>
        <w:tc>
          <w:tcPr>
            <w:tcW w:w="1640" w:type="dxa"/>
            <w:vAlign w:val="bottom"/>
            <w:tcBorders>
              <w:bottom w:val="single" w:sz="8" w:color="auto"/>
            </w:tcBorders>
            <w:gridSpan w:val="2"/>
            <w:shd w:val="clear" w:color="auto" w:fill="98B0CF"/>
          </w:tcPr>
          <w:p>
            <w:pPr>
              <w:jc w:val="right"/>
              <w:ind w:right="272"/>
              <w:spacing w:after="0" w:line="140" w:lineRule="exact"/>
              <w:rPr>
                <w:sz w:val="20"/>
                <w:szCs w:val="20"/>
                <w:color w:val="auto"/>
              </w:rPr>
            </w:pPr>
            <w:r>
              <w:rPr>
                <w:rFonts w:ascii="Arial" w:cs="Arial" w:eastAsia="Arial" w:hAnsi="Arial"/>
                <w:sz w:val="13"/>
                <w:szCs w:val="13"/>
                <w:b w:val="1"/>
                <w:bCs w:val="1"/>
                <w:color w:val="auto"/>
              </w:rPr>
              <w:t>United States Plans</w:t>
            </w:r>
          </w:p>
        </w:tc>
        <w:tc>
          <w:tcPr>
            <w:tcW w:w="840" w:type="dxa"/>
            <w:vAlign w:val="bottom"/>
            <w:tcBorders>
              <w:bottom w:val="single" w:sz="8" w:color="auto"/>
            </w:tcBorders>
            <w:shd w:val="clear" w:color="auto" w:fill="98B0CF"/>
          </w:tcPr>
          <w:p>
            <w:pPr>
              <w:spacing w:after="0"/>
              <w:rPr>
                <w:sz w:val="12"/>
                <w:szCs w:val="12"/>
                <w:color w:val="auto"/>
              </w:rPr>
            </w:pPr>
          </w:p>
        </w:tc>
        <w:tc>
          <w:tcPr>
            <w:tcW w:w="100" w:type="dxa"/>
            <w:vAlign w:val="bottom"/>
            <w:tcBorders>
              <w:bottom w:val="single" w:sz="8" w:color="98B0CF"/>
            </w:tcBorders>
            <w:shd w:val="clear" w:color="auto" w:fill="98B0CF"/>
          </w:tcPr>
          <w:p>
            <w:pPr>
              <w:spacing w:after="0"/>
              <w:rPr>
                <w:sz w:val="12"/>
                <w:szCs w:val="12"/>
                <w:color w:val="auto"/>
              </w:rPr>
            </w:pPr>
          </w:p>
        </w:tc>
        <w:tc>
          <w:tcPr>
            <w:tcW w:w="420" w:type="dxa"/>
            <w:vAlign w:val="bottom"/>
            <w:tcBorders>
              <w:bottom w:val="single" w:sz="8" w:color="auto"/>
            </w:tcBorders>
            <w:shd w:val="clear" w:color="auto" w:fill="98B0CF"/>
          </w:tcPr>
          <w:p>
            <w:pPr>
              <w:spacing w:after="0"/>
              <w:rPr>
                <w:sz w:val="12"/>
                <w:szCs w:val="12"/>
                <w:color w:val="auto"/>
              </w:rPr>
            </w:pPr>
          </w:p>
        </w:tc>
        <w:tc>
          <w:tcPr>
            <w:tcW w:w="100" w:type="dxa"/>
            <w:vAlign w:val="bottom"/>
            <w:tcBorders>
              <w:bottom w:val="single" w:sz="8" w:color="auto"/>
            </w:tcBorders>
            <w:shd w:val="clear" w:color="auto" w:fill="98B0CF"/>
          </w:tcPr>
          <w:p>
            <w:pPr>
              <w:spacing w:after="0"/>
              <w:rPr>
                <w:sz w:val="12"/>
                <w:szCs w:val="12"/>
                <w:color w:val="auto"/>
              </w:rPr>
            </w:pPr>
          </w:p>
        </w:tc>
        <w:tc>
          <w:tcPr>
            <w:tcW w:w="1860" w:type="dxa"/>
            <w:vAlign w:val="bottom"/>
            <w:tcBorders>
              <w:bottom w:val="single" w:sz="8" w:color="auto"/>
            </w:tcBorders>
            <w:gridSpan w:val="2"/>
            <w:shd w:val="clear" w:color="auto" w:fill="98B0CF"/>
          </w:tcPr>
          <w:p>
            <w:pPr>
              <w:jc w:val="right"/>
              <w:spacing w:after="0" w:line="140" w:lineRule="exact"/>
              <w:rPr>
                <w:sz w:val="20"/>
                <w:szCs w:val="20"/>
                <w:color w:val="auto"/>
              </w:rPr>
            </w:pPr>
            <w:r>
              <w:rPr>
                <w:rFonts w:ascii="Arial" w:cs="Arial" w:eastAsia="Arial" w:hAnsi="Arial"/>
                <w:sz w:val="13"/>
                <w:szCs w:val="13"/>
                <w:b w:val="1"/>
                <w:bCs w:val="1"/>
                <w:color w:val="auto"/>
              </w:rPr>
              <w:t>Non-United States Plans</w:t>
            </w:r>
          </w:p>
        </w:tc>
        <w:tc>
          <w:tcPr>
            <w:tcW w:w="980" w:type="dxa"/>
            <w:vAlign w:val="bottom"/>
            <w:tcBorders>
              <w:bottom w:val="single" w:sz="8" w:color="auto"/>
            </w:tcBorders>
            <w:shd w:val="clear" w:color="auto" w:fill="98B0CF"/>
          </w:tcPr>
          <w:p>
            <w:pPr>
              <w:spacing w:after="0"/>
              <w:rPr>
                <w:sz w:val="12"/>
                <w:szCs w:val="12"/>
                <w:color w:val="auto"/>
              </w:rPr>
            </w:pPr>
          </w:p>
        </w:tc>
      </w:tr>
      <w:tr>
        <w:trPr>
          <w:trHeight w:val="155"/>
        </w:trPr>
        <w:tc>
          <w:tcPr>
            <w:tcW w:w="4420" w:type="dxa"/>
            <w:vAlign w:val="bottom"/>
            <w:tcBorders>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900" w:type="dxa"/>
            <w:vAlign w:val="bottom"/>
            <w:tcBorders>
              <w:bottom w:val="single" w:sz="8" w:color="auto"/>
            </w:tcBorders>
            <w:shd w:val="clear" w:color="auto" w:fill="98B0CF"/>
          </w:tcPr>
          <w:p>
            <w:pPr>
              <w:jc w:val="right"/>
              <w:ind w:right="231"/>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bottom w:val="single" w:sz="8" w:color="auto"/>
            </w:tcBorders>
            <w:shd w:val="clear" w:color="auto" w:fill="98B0CF"/>
          </w:tcPr>
          <w:p>
            <w:pPr>
              <w:spacing w:after="0"/>
              <w:rPr>
                <w:sz w:val="13"/>
                <w:szCs w:val="13"/>
                <w:color w:val="auto"/>
              </w:rPr>
            </w:pPr>
          </w:p>
        </w:tc>
        <w:tc>
          <w:tcPr>
            <w:tcW w:w="1400" w:type="dxa"/>
            <w:vAlign w:val="bottom"/>
            <w:tcBorders>
              <w:bottom w:val="single" w:sz="8" w:color="auto"/>
            </w:tcBorders>
            <w:shd w:val="clear" w:color="auto" w:fill="98B0CF"/>
          </w:tcPr>
          <w:p>
            <w:pPr>
              <w:jc w:val="right"/>
              <w:ind w:right="712"/>
              <w:spacing w:after="0"/>
              <w:rPr>
                <w:sz w:val="20"/>
                <w:szCs w:val="20"/>
                <w:color w:val="auto"/>
              </w:rPr>
            </w:pPr>
            <w:r>
              <w:rPr>
                <w:rFonts w:ascii="Arial" w:cs="Arial" w:eastAsia="Arial" w:hAnsi="Arial"/>
                <w:sz w:val="13"/>
                <w:szCs w:val="13"/>
                <w:b w:val="1"/>
                <w:bCs w:val="1"/>
                <w:color w:val="auto"/>
              </w:rPr>
              <w:t>2023</w:t>
            </w:r>
          </w:p>
        </w:tc>
        <w:tc>
          <w:tcPr>
            <w:tcW w:w="840" w:type="dxa"/>
            <w:vAlign w:val="bottom"/>
            <w:tcBorders>
              <w:bottom w:val="single" w:sz="8" w:color="auto"/>
            </w:tcBorders>
            <w:shd w:val="clear" w:color="auto" w:fill="98B0CF"/>
          </w:tcPr>
          <w:p>
            <w:pPr>
              <w:jc w:val="right"/>
              <w:ind w:right="392"/>
              <w:spacing w:after="0"/>
              <w:rPr>
                <w:sz w:val="20"/>
                <w:szCs w:val="20"/>
                <w:color w:val="auto"/>
              </w:rPr>
            </w:pPr>
            <w:r>
              <w:rPr>
                <w:rFonts w:ascii="Arial" w:cs="Arial" w:eastAsia="Arial" w:hAnsi="Arial"/>
                <w:sz w:val="13"/>
                <w:szCs w:val="13"/>
                <w:b w:val="1"/>
                <w:bCs w:val="1"/>
                <w:color w:val="auto"/>
              </w:rPr>
              <w:t>2022</w:t>
            </w:r>
          </w:p>
        </w:tc>
        <w:tc>
          <w:tcPr>
            <w:tcW w:w="1200" w:type="dxa"/>
            <w:vAlign w:val="bottom"/>
            <w:tcBorders>
              <w:bottom w:val="single" w:sz="8" w:color="auto"/>
            </w:tcBorders>
            <w:gridSpan w:val="4"/>
            <w:shd w:val="clear" w:color="auto" w:fill="98B0CF"/>
          </w:tcPr>
          <w:p>
            <w:pPr>
              <w:jc w:val="right"/>
              <w:ind w:right="437"/>
              <w:spacing w:after="0"/>
              <w:rPr>
                <w:sz w:val="20"/>
                <w:szCs w:val="20"/>
                <w:color w:val="auto"/>
              </w:rPr>
            </w:pPr>
            <w:r>
              <w:rPr>
                <w:rFonts w:ascii="Arial" w:cs="Arial" w:eastAsia="Arial" w:hAnsi="Arial"/>
                <w:sz w:val="13"/>
                <w:szCs w:val="13"/>
                <w:b w:val="1"/>
                <w:bCs w:val="1"/>
                <w:color w:val="auto"/>
              </w:rPr>
              <w:t>2024</w:t>
            </w:r>
          </w:p>
        </w:tc>
        <w:tc>
          <w:tcPr>
            <w:tcW w:w="1280" w:type="dxa"/>
            <w:vAlign w:val="bottom"/>
            <w:tcBorders>
              <w:bottom w:val="single" w:sz="8" w:color="auto"/>
            </w:tcBorders>
            <w:shd w:val="clear" w:color="auto" w:fill="98B0CF"/>
          </w:tcPr>
          <w:p>
            <w:pPr>
              <w:jc w:val="right"/>
              <w:ind w:right="571"/>
              <w:spacing w:after="0"/>
              <w:rPr>
                <w:sz w:val="20"/>
                <w:szCs w:val="20"/>
                <w:color w:val="auto"/>
              </w:rPr>
            </w:pPr>
            <w:r>
              <w:rPr>
                <w:rFonts w:ascii="Arial" w:cs="Arial" w:eastAsia="Arial" w:hAnsi="Arial"/>
                <w:sz w:val="13"/>
                <w:szCs w:val="13"/>
                <w:b w:val="1"/>
                <w:bCs w:val="1"/>
                <w:color w:val="auto"/>
              </w:rPr>
              <w:t>2023</w:t>
            </w:r>
          </w:p>
        </w:tc>
        <w:tc>
          <w:tcPr>
            <w:tcW w:w="980" w:type="dxa"/>
            <w:vAlign w:val="bottom"/>
            <w:tcBorders>
              <w:bottom w:val="single" w:sz="8" w:color="auto"/>
            </w:tcBorders>
            <w:shd w:val="clear" w:color="auto" w:fill="98B0CF"/>
          </w:tcPr>
          <w:p>
            <w:pPr>
              <w:jc w:val="right"/>
              <w:ind w:right="411"/>
              <w:spacing w:after="0"/>
              <w:rPr>
                <w:sz w:val="20"/>
                <w:szCs w:val="20"/>
                <w:color w:val="auto"/>
              </w:rPr>
            </w:pPr>
            <w:r>
              <w:rPr>
                <w:rFonts w:ascii="Arial" w:cs="Arial" w:eastAsia="Arial" w:hAnsi="Arial"/>
                <w:sz w:val="13"/>
                <w:szCs w:val="13"/>
                <w:b w:val="1"/>
                <w:bCs w:val="1"/>
                <w:color w:val="auto"/>
              </w:rPr>
              <w:t>2022</w:t>
            </w:r>
          </w:p>
        </w:tc>
      </w:tr>
      <w:tr>
        <w:trPr>
          <w:trHeight w:val="166"/>
        </w:trPr>
        <w:tc>
          <w:tcPr>
            <w:tcW w:w="4420" w:type="dxa"/>
            <w:vAlign w:val="bottom"/>
            <w:shd w:val="clear" w:color="auto" w:fill="E2E8F1"/>
          </w:tcPr>
          <w:p>
            <w:pPr>
              <w:ind w:left="80"/>
              <w:spacing w:after="0"/>
              <w:rPr>
                <w:sz w:val="20"/>
                <w:szCs w:val="20"/>
                <w:color w:val="auto"/>
              </w:rPr>
            </w:pPr>
            <w:r>
              <w:rPr>
                <w:rFonts w:ascii="Arial" w:cs="Arial" w:eastAsia="Arial" w:hAnsi="Arial"/>
                <w:sz w:val="14"/>
                <w:szCs w:val="14"/>
                <w:color w:val="auto"/>
              </w:rPr>
              <w:t>Discount rate</w:t>
            </w:r>
          </w:p>
        </w:tc>
        <w:tc>
          <w:tcPr>
            <w:tcW w:w="1140" w:type="dxa"/>
            <w:vAlign w:val="bottom"/>
            <w:gridSpan w:val="2"/>
            <w:shd w:val="clear" w:color="auto" w:fill="E2E8F1"/>
          </w:tcPr>
          <w:p>
            <w:pPr>
              <w:jc w:val="right"/>
              <w:ind w:right="37"/>
              <w:spacing w:after="0"/>
              <w:rPr>
                <w:sz w:val="20"/>
                <w:szCs w:val="20"/>
                <w:color w:val="auto"/>
              </w:rPr>
            </w:pPr>
            <w:r>
              <w:rPr>
                <w:rFonts w:ascii="Arial" w:cs="Arial" w:eastAsia="Arial" w:hAnsi="Arial"/>
                <w:sz w:val="14"/>
                <w:szCs w:val="14"/>
                <w:color w:val="auto"/>
              </w:rPr>
              <w:t>5.2 %</w:t>
            </w:r>
          </w:p>
        </w:tc>
        <w:tc>
          <w:tcPr>
            <w:tcW w:w="1400" w:type="dxa"/>
            <w:vAlign w:val="bottom"/>
            <w:shd w:val="clear" w:color="auto" w:fill="E2E8F1"/>
          </w:tcPr>
          <w:p>
            <w:pPr>
              <w:jc w:val="right"/>
              <w:ind w:right="272"/>
              <w:spacing w:after="0"/>
              <w:rPr>
                <w:sz w:val="20"/>
                <w:szCs w:val="20"/>
                <w:color w:val="auto"/>
              </w:rPr>
            </w:pPr>
            <w:r>
              <w:rPr>
                <w:rFonts w:ascii="Arial" w:cs="Arial" w:eastAsia="Arial" w:hAnsi="Arial"/>
                <w:sz w:val="14"/>
                <w:szCs w:val="14"/>
                <w:color w:val="auto"/>
              </w:rPr>
              <w:t>5.4 %</w:t>
            </w:r>
          </w:p>
        </w:tc>
        <w:tc>
          <w:tcPr>
            <w:tcW w:w="840" w:type="dxa"/>
            <w:vAlign w:val="bottom"/>
            <w:shd w:val="clear" w:color="auto" w:fill="E2E8F1"/>
          </w:tcPr>
          <w:p>
            <w:pPr>
              <w:ind w:left="460"/>
              <w:spacing w:after="0"/>
              <w:rPr>
                <w:sz w:val="20"/>
                <w:szCs w:val="20"/>
                <w:color w:val="auto"/>
              </w:rPr>
            </w:pPr>
            <w:r>
              <w:rPr>
                <w:rFonts w:ascii="Arial" w:cs="Arial" w:eastAsia="Arial" w:hAnsi="Arial"/>
                <w:sz w:val="14"/>
                <w:szCs w:val="14"/>
                <w:color w:val="auto"/>
              </w:rPr>
              <w:t>2.6 %</w:t>
            </w:r>
          </w:p>
        </w:tc>
        <w:tc>
          <w:tcPr>
            <w:tcW w:w="1200" w:type="dxa"/>
            <w:vAlign w:val="bottom"/>
            <w:gridSpan w:val="4"/>
            <w:shd w:val="clear" w:color="auto" w:fill="E2E8F1"/>
          </w:tcPr>
          <w:p>
            <w:pPr>
              <w:jc w:val="right"/>
              <w:spacing w:after="0"/>
              <w:rPr>
                <w:sz w:val="20"/>
                <w:szCs w:val="20"/>
                <w:color w:val="auto"/>
              </w:rPr>
            </w:pPr>
            <w:r>
              <w:rPr>
                <w:rFonts w:ascii="Arial" w:cs="Arial" w:eastAsia="Arial" w:hAnsi="Arial"/>
                <w:sz w:val="14"/>
                <w:szCs w:val="14"/>
                <w:color w:val="auto"/>
              </w:rPr>
              <w:t>2.7 %</w:t>
            </w:r>
          </w:p>
        </w:tc>
        <w:tc>
          <w:tcPr>
            <w:tcW w:w="1280" w:type="dxa"/>
            <w:vAlign w:val="bottom"/>
            <w:shd w:val="clear" w:color="auto" w:fill="E2E8F1"/>
          </w:tcPr>
          <w:p>
            <w:pPr>
              <w:jc w:val="right"/>
              <w:ind w:right="151"/>
              <w:spacing w:after="0"/>
              <w:rPr>
                <w:sz w:val="20"/>
                <w:szCs w:val="20"/>
                <w:color w:val="auto"/>
              </w:rPr>
            </w:pPr>
            <w:r>
              <w:rPr>
                <w:rFonts w:ascii="Arial" w:cs="Arial" w:eastAsia="Arial" w:hAnsi="Arial"/>
                <w:sz w:val="14"/>
                <w:szCs w:val="14"/>
                <w:color w:val="auto"/>
              </w:rPr>
              <w:t>3.2 %</w:t>
            </w:r>
          </w:p>
        </w:tc>
        <w:tc>
          <w:tcPr>
            <w:tcW w:w="9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1.0 %</w:t>
            </w:r>
          </w:p>
        </w:tc>
      </w:tr>
      <w:tr>
        <w:trPr>
          <w:trHeight w:val="166"/>
        </w:trPr>
        <w:tc>
          <w:tcPr>
            <w:tcW w:w="4420" w:type="dxa"/>
            <w:vAlign w:val="bottom"/>
          </w:tcPr>
          <w:p>
            <w:pPr>
              <w:ind w:left="80"/>
              <w:spacing w:after="0"/>
              <w:rPr>
                <w:sz w:val="20"/>
                <w:szCs w:val="20"/>
                <w:color w:val="auto"/>
              </w:rPr>
            </w:pPr>
            <w:r>
              <w:rPr>
                <w:rFonts w:ascii="Arial" w:cs="Arial" w:eastAsia="Arial" w:hAnsi="Arial"/>
                <w:sz w:val="14"/>
                <w:szCs w:val="14"/>
                <w:color w:val="auto"/>
              </w:rPr>
              <w:t>Expected long-term return on plan assets</w:t>
            </w:r>
          </w:p>
        </w:tc>
        <w:tc>
          <w:tcPr>
            <w:tcW w:w="1140" w:type="dxa"/>
            <w:vAlign w:val="bottom"/>
            <w:gridSpan w:val="2"/>
          </w:tcPr>
          <w:p>
            <w:pPr>
              <w:jc w:val="right"/>
              <w:ind w:right="197"/>
              <w:spacing w:after="0"/>
              <w:rPr>
                <w:sz w:val="20"/>
                <w:szCs w:val="20"/>
                <w:color w:val="auto"/>
              </w:rPr>
            </w:pPr>
            <w:r>
              <w:rPr>
                <w:rFonts w:ascii="Arial" w:cs="Arial" w:eastAsia="Arial" w:hAnsi="Arial"/>
                <w:sz w:val="14"/>
                <w:szCs w:val="14"/>
                <w:color w:val="auto"/>
              </w:rPr>
              <w:t>N/A</w:t>
            </w:r>
          </w:p>
        </w:tc>
        <w:tc>
          <w:tcPr>
            <w:tcW w:w="1400" w:type="dxa"/>
            <w:vAlign w:val="bottom"/>
          </w:tcPr>
          <w:p>
            <w:pPr>
              <w:jc w:val="right"/>
              <w:ind w:right="432"/>
              <w:spacing w:after="0"/>
              <w:rPr>
                <w:sz w:val="20"/>
                <w:szCs w:val="20"/>
                <w:color w:val="auto"/>
              </w:rPr>
            </w:pPr>
            <w:r>
              <w:rPr>
                <w:rFonts w:ascii="Arial" w:cs="Arial" w:eastAsia="Arial" w:hAnsi="Arial"/>
                <w:sz w:val="14"/>
                <w:szCs w:val="14"/>
                <w:color w:val="auto"/>
              </w:rPr>
              <w:t>N/A</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N/A</w:t>
            </w:r>
          </w:p>
        </w:tc>
        <w:tc>
          <w:tcPr>
            <w:tcW w:w="1200" w:type="dxa"/>
            <w:vAlign w:val="bottom"/>
            <w:gridSpan w:val="4"/>
          </w:tcPr>
          <w:p>
            <w:pPr>
              <w:jc w:val="right"/>
              <w:spacing w:after="0"/>
              <w:rPr>
                <w:sz w:val="20"/>
                <w:szCs w:val="20"/>
                <w:color w:val="auto"/>
              </w:rPr>
            </w:pPr>
            <w:r>
              <w:rPr>
                <w:rFonts w:ascii="Arial" w:cs="Arial" w:eastAsia="Arial" w:hAnsi="Arial"/>
                <w:sz w:val="14"/>
                <w:szCs w:val="14"/>
                <w:color w:val="auto"/>
              </w:rPr>
              <w:t>3.4 %</w:t>
            </w:r>
          </w:p>
        </w:tc>
        <w:tc>
          <w:tcPr>
            <w:tcW w:w="1280" w:type="dxa"/>
            <w:vAlign w:val="bottom"/>
          </w:tcPr>
          <w:p>
            <w:pPr>
              <w:jc w:val="right"/>
              <w:ind w:right="151"/>
              <w:spacing w:after="0"/>
              <w:rPr>
                <w:sz w:val="20"/>
                <w:szCs w:val="20"/>
                <w:color w:val="auto"/>
              </w:rPr>
            </w:pPr>
            <w:r>
              <w:rPr>
                <w:rFonts w:ascii="Arial" w:cs="Arial" w:eastAsia="Arial" w:hAnsi="Arial"/>
                <w:sz w:val="14"/>
                <w:szCs w:val="14"/>
                <w:color w:val="auto"/>
              </w:rPr>
              <w:t>3.5 %</w:t>
            </w:r>
          </w:p>
        </w:tc>
        <w:tc>
          <w:tcPr>
            <w:tcW w:w="98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166"/>
        </w:trPr>
        <w:tc>
          <w:tcPr>
            <w:tcW w:w="4420" w:type="dxa"/>
            <w:vAlign w:val="bottom"/>
            <w:shd w:val="clear" w:color="auto" w:fill="E2E8F1"/>
          </w:tcPr>
          <w:p>
            <w:pPr>
              <w:ind w:left="80"/>
              <w:spacing w:after="0"/>
              <w:rPr>
                <w:sz w:val="20"/>
                <w:szCs w:val="20"/>
                <w:color w:val="auto"/>
              </w:rPr>
            </w:pPr>
            <w:r>
              <w:rPr>
                <w:rFonts w:ascii="Arial" w:cs="Arial" w:eastAsia="Arial" w:hAnsi="Arial"/>
                <w:sz w:val="14"/>
                <w:szCs w:val="14"/>
                <w:color w:val="auto"/>
              </w:rPr>
              <w:t>Rate of compensation increase</w:t>
            </w:r>
          </w:p>
        </w:tc>
        <w:tc>
          <w:tcPr>
            <w:tcW w:w="1140" w:type="dxa"/>
            <w:vAlign w:val="bottom"/>
            <w:gridSpan w:val="2"/>
            <w:shd w:val="clear" w:color="auto" w:fill="E2E8F1"/>
          </w:tcPr>
          <w:p>
            <w:pPr>
              <w:jc w:val="right"/>
              <w:ind w:right="37"/>
              <w:spacing w:after="0"/>
              <w:rPr>
                <w:sz w:val="20"/>
                <w:szCs w:val="20"/>
                <w:color w:val="auto"/>
              </w:rPr>
            </w:pPr>
            <w:r>
              <w:rPr>
                <w:rFonts w:ascii="Arial" w:cs="Arial" w:eastAsia="Arial" w:hAnsi="Arial"/>
                <w:sz w:val="14"/>
                <w:szCs w:val="14"/>
                <w:color w:val="auto"/>
              </w:rPr>
              <w:t>1.4 %</w:t>
            </w:r>
          </w:p>
        </w:tc>
        <w:tc>
          <w:tcPr>
            <w:tcW w:w="1400" w:type="dxa"/>
            <w:vAlign w:val="bottom"/>
            <w:shd w:val="clear" w:color="auto" w:fill="E2E8F1"/>
          </w:tcPr>
          <w:p>
            <w:pPr>
              <w:jc w:val="right"/>
              <w:ind w:right="272"/>
              <w:spacing w:after="0"/>
              <w:rPr>
                <w:sz w:val="20"/>
                <w:szCs w:val="20"/>
                <w:color w:val="auto"/>
              </w:rPr>
            </w:pPr>
            <w:r>
              <w:rPr>
                <w:rFonts w:ascii="Arial" w:cs="Arial" w:eastAsia="Arial" w:hAnsi="Arial"/>
                <w:sz w:val="14"/>
                <w:szCs w:val="14"/>
                <w:color w:val="auto"/>
              </w:rPr>
              <w:t>1.3 %</w:t>
            </w:r>
          </w:p>
        </w:tc>
        <w:tc>
          <w:tcPr>
            <w:tcW w:w="840" w:type="dxa"/>
            <w:vAlign w:val="bottom"/>
            <w:shd w:val="clear" w:color="auto" w:fill="E2E8F1"/>
          </w:tcPr>
          <w:p>
            <w:pPr>
              <w:ind w:left="460"/>
              <w:spacing w:after="0"/>
              <w:rPr>
                <w:sz w:val="20"/>
                <w:szCs w:val="20"/>
                <w:color w:val="auto"/>
              </w:rPr>
            </w:pPr>
            <w:r>
              <w:rPr>
                <w:rFonts w:ascii="Arial" w:cs="Arial" w:eastAsia="Arial" w:hAnsi="Arial"/>
                <w:sz w:val="14"/>
                <w:szCs w:val="14"/>
                <w:color w:val="auto"/>
              </w:rPr>
              <w:t>1.3 %</w:t>
            </w:r>
          </w:p>
        </w:tc>
        <w:tc>
          <w:tcPr>
            <w:tcW w:w="1200" w:type="dxa"/>
            <w:vAlign w:val="bottom"/>
            <w:gridSpan w:val="4"/>
            <w:shd w:val="clear" w:color="auto" w:fill="E2E8F1"/>
          </w:tcPr>
          <w:p>
            <w:pPr>
              <w:jc w:val="right"/>
              <w:spacing w:after="0"/>
              <w:rPr>
                <w:sz w:val="20"/>
                <w:szCs w:val="20"/>
                <w:color w:val="auto"/>
              </w:rPr>
            </w:pPr>
            <w:r>
              <w:rPr>
                <w:rFonts w:ascii="Arial" w:cs="Arial" w:eastAsia="Arial" w:hAnsi="Arial"/>
                <w:sz w:val="14"/>
                <w:szCs w:val="14"/>
                <w:color w:val="auto"/>
              </w:rPr>
              <w:t>1.9 %</w:t>
            </w:r>
          </w:p>
        </w:tc>
        <w:tc>
          <w:tcPr>
            <w:tcW w:w="1280" w:type="dxa"/>
            <w:vAlign w:val="bottom"/>
            <w:shd w:val="clear" w:color="auto" w:fill="E2E8F1"/>
          </w:tcPr>
          <w:p>
            <w:pPr>
              <w:jc w:val="right"/>
              <w:ind w:right="151"/>
              <w:spacing w:after="0"/>
              <w:rPr>
                <w:sz w:val="20"/>
                <w:szCs w:val="20"/>
                <w:color w:val="auto"/>
              </w:rPr>
            </w:pPr>
            <w:r>
              <w:rPr>
                <w:rFonts w:ascii="Arial" w:cs="Arial" w:eastAsia="Arial" w:hAnsi="Arial"/>
                <w:sz w:val="14"/>
                <w:szCs w:val="14"/>
                <w:color w:val="auto"/>
              </w:rPr>
              <w:t>1.9 %</w:t>
            </w:r>
          </w:p>
        </w:tc>
        <w:tc>
          <w:tcPr>
            <w:tcW w:w="9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1.7 %</w:t>
            </w:r>
          </w:p>
        </w:tc>
      </w:tr>
      <w:tr>
        <w:trPr>
          <w:trHeight w:val="166"/>
        </w:trPr>
        <w:tc>
          <w:tcPr>
            <w:tcW w:w="44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Interest crediting rates for cash balance plans</w:t>
            </w:r>
          </w:p>
        </w:tc>
        <w:tc>
          <w:tcPr>
            <w:tcW w:w="1140" w:type="dxa"/>
            <w:vAlign w:val="bottom"/>
            <w:tcBorders>
              <w:bottom w:val="single" w:sz="8" w:color="auto"/>
            </w:tcBorders>
            <w:gridSpan w:val="2"/>
          </w:tcPr>
          <w:p>
            <w:pPr>
              <w:jc w:val="right"/>
              <w:ind w:right="197"/>
              <w:spacing w:after="0"/>
              <w:rPr>
                <w:sz w:val="20"/>
                <w:szCs w:val="20"/>
                <w:color w:val="auto"/>
              </w:rPr>
            </w:pPr>
            <w:r>
              <w:rPr>
                <w:rFonts w:ascii="Arial" w:cs="Arial" w:eastAsia="Arial" w:hAnsi="Arial"/>
                <w:sz w:val="14"/>
                <w:szCs w:val="14"/>
                <w:color w:val="auto"/>
              </w:rPr>
              <w:t>N/A</w:t>
            </w:r>
          </w:p>
        </w:tc>
        <w:tc>
          <w:tcPr>
            <w:tcW w:w="14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N/A</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N/A</w:t>
            </w: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2.6 %</w:t>
            </w: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2.6 %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5283200</wp:posOffset>
            </wp:positionH>
            <wp:positionV relativeFrom="paragraph">
              <wp:posOffset>-1238250</wp:posOffset>
            </wp:positionV>
            <wp:extent cx="6731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-547370</wp:posOffset>
            </wp:positionV>
            <wp:extent cx="6731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We determine our assumption for the discount rate based on an index of high-quality corporate bond yields and matched-funding yield curve analysis as of the end of each fiscal year.</w:t>
      </w:r>
    </w:p>
    <w:p>
      <w:pPr>
        <w:spacing w:after="0" w:line="5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Our overall expected long-term rate of return used in the measurement of the 2024 net periodic benefit cost on non-United States plans varied by country and ranged from 2.3% to 5.0%.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five of our foreign plans. Peer data and historical returns are reviewed to check for reasonableness and appropriateness of our expected rate of return. None of our United States plans has plan assets.</w:t>
      </w:r>
    </w:p>
    <w:p>
      <w:pPr>
        <w:spacing w:after="0" w:line="7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Projected salary levels utilized in the determination of the projected benefit obligation for the pension plans are based upon historical experience and the future expectations for each respective country.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76" w:name="page77"/>
    <w:bookmarkEnd w:id="76"/>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2024 allocations, are determined based on the favorable risk tolerance characteristics of the plan and, at times, may be adjusted within a specified range to advance our overall objective.</w:t>
      </w:r>
    </w:p>
    <w:p>
      <w:pPr>
        <w:spacing w:after="0" w:line="66"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231F20"/>
        </w:rPr>
        <w:t>The fair values of our Level 1 and Level 2 pension plan assets are primarily determined by using market quotes and other relevant information that is generated by market transactions involving identical or comparable assets. Insurance contracts and annuity contracts are measured at the present value of expected future benefit payments primarily using associated interest curves. Hedge funds consist of a number of diversified funds including those investing in international securities, equity and private partnership interests valued using market available data and various models and assumptions.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231F20"/>
        </w:rPr>
        <w:t>The fair value of our pension plan assets by asset category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560" w:type="dxa"/>
            <w:vAlign w:val="bottom"/>
            <w:tcBorders>
              <w:top w:val="single" w:sz="8" w:color="auto"/>
              <w:bottom w:val="single" w:sz="8" w:color="98B0CF"/>
            </w:tcBorders>
            <w:shd w:val="clear" w:color="auto" w:fill="98B0CF"/>
          </w:tcPr>
          <w:p>
            <w:pPr>
              <w:spacing w:after="0"/>
              <w:rPr>
                <w:sz w:val="13"/>
                <w:szCs w:val="13"/>
                <w:color w:val="auto"/>
              </w:rPr>
            </w:pPr>
          </w:p>
        </w:tc>
        <w:tc>
          <w:tcPr>
            <w:tcW w:w="140" w:type="dxa"/>
            <w:vAlign w:val="bottom"/>
            <w:tcBorders>
              <w:top w:val="single" w:sz="8" w:color="auto"/>
              <w:bottom w:val="single" w:sz="8" w:color="98B0CF"/>
            </w:tcBorders>
            <w:shd w:val="clear" w:color="auto" w:fill="98B0CF"/>
          </w:tcPr>
          <w:p>
            <w:pPr>
              <w:spacing w:after="0"/>
              <w:rPr>
                <w:sz w:val="13"/>
                <w:szCs w:val="13"/>
                <w:color w:val="auto"/>
              </w:rPr>
            </w:pPr>
          </w:p>
        </w:tc>
        <w:tc>
          <w:tcPr>
            <w:tcW w:w="80" w:type="dxa"/>
            <w:vAlign w:val="bottom"/>
            <w:tcBorders>
              <w:top w:val="single" w:sz="8" w:color="auto"/>
              <w:bottom w:val="single" w:sz="8" w:color="98B0CF"/>
            </w:tcBorders>
            <w:shd w:val="clear" w:color="auto" w:fill="98B0CF"/>
          </w:tcPr>
          <w:p>
            <w:pPr>
              <w:spacing w:after="0"/>
              <w:rPr>
                <w:sz w:val="13"/>
                <w:szCs w:val="13"/>
                <w:color w:val="auto"/>
              </w:rPr>
            </w:pPr>
          </w:p>
        </w:tc>
        <w:tc>
          <w:tcPr>
            <w:tcW w:w="420" w:type="dxa"/>
            <w:vAlign w:val="bottom"/>
            <w:tcBorders>
              <w:top w:val="single" w:sz="8" w:color="auto"/>
              <w:bottom w:val="single" w:sz="8" w:color="auto"/>
            </w:tcBorders>
            <w:shd w:val="clear" w:color="auto" w:fill="98B0CF"/>
          </w:tcPr>
          <w:p>
            <w:pPr>
              <w:spacing w:after="0"/>
              <w:rPr>
                <w:sz w:val="13"/>
                <w:szCs w:val="13"/>
                <w:color w:val="auto"/>
              </w:rPr>
            </w:pPr>
          </w:p>
        </w:tc>
        <w:tc>
          <w:tcPr>
            <w:tcW w:w="760" w:type="dxa"/>
            <w:vAlign w:val="bottom"/>
            <w:tcBorders>
              <w:top w:val="single" w:sz="8" w:color="auto"/>
              <w:bottom w:val="single" w:sz="8" w:color="auto"/>
            </w:tcBorders>
            <w:shd w:val="clear" w:color="auto" w:fill="98B0CF"/>
          </w:tcPr>
          <w:p>
            <w:pPr>
              <w:spacing w:after="0"/>
              <w:rPr>
                <w:sz w:val="13"/>
                <w:szCs w:val="13"/>
                <w:color w:val="auto"/>
              </w:rPr>
            </w:pPr>
          </w:p>
        </w:tc>
        <w:tc>
          <w:tcPr>
            <w:tcW w:w="320" w:type="dxa"/>
            <w:vAlign w:val="bottom"/>
            <w:tcBorders>
              <w:top w:val="single" w:sz="8" w:color="auto"/>
              <w:bottom w:val="single" w:sz="8" w:color="auto"/>
            </w:tcBorders>
            <w:shd w:val="clear" w:color="auto" w:fill="98B0CF"/>
          </w:tcPr>
          <w:p>
            <w:pPr>
              <w:spacing w:after="0"/>
              <w:rPr>
                <w:sz w:val="13"/>
                <w:szCs w:val="13"/>
                <w:color w:val="auto"/>
              </w:rPr>
            </w:pPr>
          </w:p>
        </w:tc>
        <w:tc>
          <w:tcPr>
            <w:tcW w:w="2580" w:type="dxa"/>
            <w:vAlign w:val="bottom"/>
            <w:tcBorders>
              <w:top w:val="single" w:sz="8" w:color="auto"/>
              <w:bottom w:val="single" w:sz="8" w:color="auto"/>
            </w:tcBorders>
            <w:gridSpan w:val="3"/>
            <w:shd w:val="clear" w:color="auto" w:fill="98B0CF"/>
          </w:tcPr>
          <w:p>
            <w:pPr>
              <w:jc w:val="right"/>
              <w:ind w:right="372"/>
              <w:spacing w:after="0"/>
              <w:rPr>
                <w:sz w:val="20"/>
                <w:szCs w:val="20"/>
                <w:color w:val="auto"/>
              </w:rPr>
            </w:pPr>
            <w:r>
              <w:rPr>
                <w:rFonts w:ascii="Arial" w:cs="Arial" w:eastAsia="Arial" w:hAnsi="Arial"/>
                <w:sz w:val="13"/>
                <w:szCs w:val="13"/>
                <w:b w:val="1"/>
                <w:bCs w:val="1"/>
                <w:color w:val="auto"/>
              </w:rPr>
              <w:t>Fair Value Measurements Using</w:t>
            </w:r>
          </w:p>
        </w:tc>
        <w:tc>
          <w:tcPr>
            <w:tcW w:w="240" w:type="dxa"/>
            <w:vAlign w:val="bottom"/>
            <w:tcBorders>
              <w:top w:val="single" w:sz="8" w:color="auto"/>
              <w:bottom w:val="single" w:sz="8" w:color="auto"/>
            </w:tcBorders>
            <w:shd w:val="clear" w:color="auto" w:fill="98B0CF"/>
          </w:tcPr>
          <w:p>
            <w:pPr>
              <w:spacing w:after="0"/>
              <w:rPr>
                <w:sz w:val="13"/>
                <w:szCs w:val="13"/>
                <w:color w:val="auto"/>
              </w:rPr>
            </w:pPr>
          </w:p>
        </w:tc>
        <w:tc>
          <w:tcPr>
            <w:tcW w:w="1160" w:type="dxa"/>
            <w:vAlign w:val="bottom"/>
            <w:tcBorders>
              <w:top w:val="single" w:sz="8" w:color="auto"/>
              <w:bottom w:val="single" w:sz="8" w:color="auto"/>
            </w:tcBorders>
            <w:shd w:val="clear" w:color="auto" w:fill="98B0CF"/>
          </w:tcPr>
          <w:p>
            <w:pPr>
              <w:spacing w:after="0"/>
              <w:rPr>
                <w:sz w:val="13"/>
                <w:szCs w:val="13"/>
                <w:color w:val="auto"/>
              </w:rPr>
            </w:pPr>
          </w:p>
        </w:tc>
      </w:tr>
      <w:tr>
        <w:trPr>
          <w:trHeight w:val="144"/>
        </w:trPr>
        <w:tc>
          <w:tcPr>
            <w:tcW w:w="556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80" w:type="dxa"/>
            <w:vAlign w:val="bottom"/>
            <w:shd w:val="clear" w:color="auto" w:fill="98B0CF"/>
          </w:tcPr>
          <w:p>
            <w:pPr>
              <w:spacing w:after="0"/>
              <w:rPr>
                <w:sz w:val="12"/>
                <w:szCs w:val="12"/>
                <w:color w:val="auto"/>
              </w:rPr>
            </w:pPr>
          </w:p>
        </w:tc>
        <w:tc>
          <w:tcPr>
            <w:tcW w:w="420" w:type="dxa"/>
            <w:vAlign w:val="bottom"/>
            <w:shd w:val="clear" w:color="auto" w:fill="98B0CF"/>
          </w:tcPr>
          <w:p>
            <w:pPr>
              <w:spacing w:after="0"/>
              <w:rPr>
                <w:sz w:val="12"/>
                <w:szCs w:val="12"/>
                <w:color w:val="auto"/>
              </w:rPr>
            </w:pPr>
          </w:p>
        </w:tc>
        <w:tc>
          <w:tcPr>
            <w:tcW w:w="760" w:type="dxa"/>
            <w:vAlign w:val="bottom"/>
            <w:shd w:val="clear" w:color="auto" w:fill="98B0CF"/>
          </w:tcPr>
          <w:p>
            <w:pPr>
              <w:spacing w:after="0"/>
              <w:rPr>
                <w:sz w:val="12"/>
                <w:szCs w:val="12"/>
                <w:color w:val="auto"/>
              </w:rPr>
            </w:pPr>
          </w:p>
        </w:tc>
        <w:tc>
          <w:tcPr>
            <w:tcW w:w="320" w:type="dxa"/>
            <w:vAlign w:val="bottom"/>
            <w:shd w:val="clear" w:color="auto" w:fill="98B0CF"/>
          </w:tcPr>
          <w:p>
            <w:pPr>
              <w:spacing w:after="0"/>
              <w:rPr>
                <w:sz w:val="12"/>
                <w:szCs w:val="12"/>
                <w:color w:val="auto"/>
              </w:rPr>
            </w:pPr>
          </w:p>
        </w:tc>
        <w:tc>
          <w:tcPr>
            <w:tcW w:w="1180" w:type="dxa"/>
            <w:vAlign w:val="bottom"/>
            <w:shd w:val="clear" w:color="auto" w:fill="98B0CF"/>
          </w:tcPr>
          <w:p>
            <w:pPr>
              <w:jc w:val="center"/>
              <w:ind w:right="132"/>
              <w:spacing w:after="0" w:line="144" w:lineRule="exact"/>
              <w:rPr>
                <w:sz w:val="20"/>
                <w:szCs w:val="20"/>
                <w:color w:val="auto"/>
              </w:rPr>
            </w:pPr>
            <w:r>
              <w:rPr>
                <w:rFonts w:ascii="Arial" w:cs="Arial" w:eastAsia="Arial" w:hAnsi="Arial"/>
                <w:sz w:val="13"/>
                <w:szCs w:val="13"/>
                <w:b w:val="1"/>
                <w:bCs w:val="1"/>
                <w:color w:val="auto"/>
                <w:w w:val="97"/>
              </w:rPr>
              <w:t>Quoted Prices</w:t>
            </w:r>
          </w:p>
        </w:tc>
        <w:tc>
          <w:tcPr>
            <w:tcW w:w="280" w:type="dxa"/>
            <w:vAlign w:val="bottom"/>
            <w:shd w:val="clear" w:color="auto" w:fill="98B0CF"/>
          </w:tcPr>
          <w:p>
            <w:pPr>
              <w:spacing w:after="0"/>
              <w:rPr>
                <w:sz w:val="12"/>
                <w:szCs w:val="12"/>
                <w:color w:val="auto"/>
              </w:rPr>
            </w:pPr>
          </w:p>
        </w:tc>
        <w:tc>
          <w:tcPr>
            <w:tcW w:w="112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1160" w:type="dxa"/>
            <w:vAlign w:val="bottom"/>
            <w:shd w:val="clear" w:color="auto" w:fill="98B0CF"/>
          </w:tcPr>
          <w:p>
            <w:pPr>
              <w:spacing w:after="0"/>
              <w:rPr>
                <w:sz w:val="12"/>
                <w:szCs w:val="12"/>
                <w:color w:val="auto"/>
              </w:rPr>
            </w:pPr>
          </w:p>
        </w:tc>
      </w:tr>
      <w:tr>
        <w:trPr>
          <w:trHeight w:val="142"/>
        </w:trPr>
        <w:tc>
          <w:tcPr>
            <w:tcW w:w="556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80" w:type="dxa"/>
            <w:vAlign w:val="bottom"/>
            <w:shd w:val="clear" w:color="auto" w:fill="98B0CF"/>
          </w:tcPr>
          <w:p>
            <w:pPr>
              <w:spacing w:after="0"/>
              <w:rPr>
                <w:sz w:val="12"/>
                <w:szCs w:val="12"/>
                <w:color w:val="auto"/>
              </w:rPr>
            </w:pPr>
          </w:p>
        </w:tc>
        <w:tc>
          <w:tcPr>
            <w:tcW w:w="420" w:type="dxa"/>
            <w:vAlign w:val="bottom"/>
            <w:shd w:val="clear" w:color="auto" w:fill="98B0CF"/>
          </w:tcPr>
          <w:p>
            <w:pPr>
              <w:spacing w:after="0"/>
              <w:rPr>
                <w:sz w:val="12"/>
                <w:szCs w:val="12"/>
                <w:color w:val="auto"/>
              </w:rPr>
            </w:pPr>
          </w:p>
        </w:tc>
        <w:tc>
          <w:tcPr>
            <w:tcW w:w="760" w:type="dxa"/>
            <w:vAlign w:val="bottom"/>
            <w:shd w:val="clear" w:color="auto" w:fill="98B0CF"/>
          </w:tcPr>
          <w:p>
            <w:pPr>
              <w:spacing w:after="0"/>
              <w:rPr>
                <w:sz w:val="12"/>
                <w:szCs w:val="12"/>
                <w:color w:val="auto"/>
              </w:rPr>
            </w:pPr>
          </w:p>
        </w:tc>
        <w:tc>
          <w:tcPr>
            <w:tcW w:w="320" w:type="dxa"/>
            <w:vAlign w:val="bottom"/>
            <w:shd w:val="clear" w:color="auto" w:fill="98B0CF"/>
          </w:tcPr>
          <w:p>
            <w:pPr>
              <w:spacing w:after="0"/>
              <w:rPr>
                <w:sz w:val="12"/>
                <w:szCs w:val="12"/>
                <w:color w:val="auto"/>
              </w:rPr>
            </w:pPr>
          </w:p>
        </w:tc>
        <w:tc>
          <w:tcPr>
            <w:tcW w:w="1180" w:type="dxa"/>
            <w:vAlign w:val="bottom"/>
            <w:shd w:val="clear" w:color="auto" w:fill="98B0CF"/>
          </w:tcPr>
          <w:p>
            <w:pPr>
              <w:jc w:val="center"/>
              <w:ind w:right="152"/>
              <w:spacing w:after="0" w:line="142" w:lineRule="exact"/>
              <w:rPr>
                <w:sz w:val="20"/>
                <w:szCs w:val="20"/>
                <w:color w:val="auto"/>
              </w:rPr>
            </w:pPr>
            <w:r>
              <w:rPr>
                <w:rFonts w:ascii="Arial" w:cs="Arial" w:eastAsia="Arial" w:hAnsi="Arial"/>
                <w:sz w:val="13"/>
                <w:szCs w:val="13"/>
                <w:b w:val="1"/>
                <w:bCs w:val="1"/>
                <w:color w:val="auto"/>
                <w:w w:val="95"/>
              </w:rPr>
              <w:t>in Active</w:t>
            </w:r>
          </w:p>
        </w:tc>
        <w:tc>
          <w:tcPr>
            <w:tcW w:w="280" w:type="dxa"/>
            <w:vAlign w:val="bottom"/>
            <w:shd w:val="clear" w:color="auto" w:fill="98B0CF"/>
          </w:tcPr>
          <w:p>
            <w:pPr>
              <w:spacing w:after="0"/>
              <w:rPr>
                <w:sz w:val="12"/>
                <w:szCs w:val="12"/>
                <w:color w:val="auto"/>
              </w:rPr>
            </w:pPr>
          </w:p>
        </w:tc>
        <w:tc>
          <w:tcPr>
            <w:tcW w:w="1120" w:type="dxa"/>
            <w:vAlign w:val="bottom"/>
            <w:shd w:val="clear" w:color="auto" w:fill="98B0CF"/>
          </w:tcPr>
          <w:p>
            <w:pPr>
              <w:jc w:val="center"/>
              <w:ind w:right="212"/>
              <w:spacing w:after="0" w:line="142" w:lineRule="exact"/>
              <w:rPr>
                <w:sz w:val="20"/>
                <w:szCs w:val="20"/>
                <w:color w:val="auto"/>
              </w:rPr>
            </w:pPr>
            <w:r>
              <w:rPr>
                <w:rFonts w:ascii="Arial" w:cs="Arial" w:eastAsia="Arial" w:hAnsi="Arial"/>
                <w:sz w:val="13"/>
                <w:szCs w:val="13"/>
                <w:b w:val="1"/>
                <w:bCs w:val="1"/>
                <w:color w:val="auto"/>
                <w:w w:val="96"/>
              </w:rPr>
              <w:t>Significant</w:t>
            </w:r>
          </w:p>
        </w:tc>
        <w:tc>
          <w:tcPr>
            <w:tcW w:w="240" w:type="dxa"/>
            <w:vAlign w:val="bottom"/>
            <w:shd w:val="clear" w:color="auto" w:fill="98B0CF"/>
          </w:tcPr>
          <w:p>
            <w:pPr>
              <w:spacing w:after="0"/>
              <w:rPr>
                <w:sz w:val="12"/>
                <w:szCs w:val="12"/>
                <w:color w:val="auto"/>
              </w:rPr>
            </w:pPr>
          </w:p>
        </w:tc>
        <w:tc>
          <w:tcPr>
            <w:tcW w:w="1160" w:type="dxa"/>
            <w:vAlign w:val="bottom"/>
            <w:shd w:val="clear" w:color="auto" w:fill="98B0CF"/>
          </w:tcPr>
          <w:p>
            <w:pPr>
              <w:spacing w:after="0"/>
              <w:rPr>
                <w:sz w:val="12"/>
                <w:szCs w:val="12"/>
                <w:color w:val="auto"/>
              </w:rPr>
            </w:pPr>
          </w:p>
        </w:tc>
      </w:tr>
      <w:tr>
        <w:trPr>
          <w:trHeight w:val="142"/>
        </w:trPr>
        <w:tc>
          <w:tcPr>
            <w:tcW w:w="556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80" w:type="dxa"/>
            <w:vAlign w:val="bottom"/>
            <w:shd w:val="clear" w:color="auto" w:fill="98B0CF"/>
          </w:tcPr>
          <w:p>
            <w:pPr>
              <w:spacing w:after="0"/>
              <w:rPr>
                <w:sz w:val="12"/>
                <w:szCs w:val="12"/>
                <w:color w:val="auto"/>
              </w:rPr>
            </w:pPr>
          </w:p>
        </w:tc>
        <w:tc>
          <w:tcPr>
            <w:tcW w:w="420" w:type="dxa"/>
            <w:vAlign w:val="bottom"/>
            <w:shd w:val="clear" w:color="auto" w:fill="98B0CF"/>
          </w:tcPr>
          <w:p>
            <w:pPr>
              <w:spacing w:after="0"/>
              <w:rPr>
                <w:sz w:val="12"/>
                <w:szCs w:val="12"/>
                <w:color w:val="auto"/>
              </w:rPr>
            </w:pPr>
          </w:p>
        </w:tc>
        <w:tc>
          <w:tcPr>
            <w:tcW w:w="760" w:type="dxa"/>
            <w:vAlign w:val="bottom"/>
            <w:shd w:val="clear" w:color="auto" w:fill="98B0CF"/>
          </w:tcPr>
          <w:p>
            <w:pPr>
              <w:spacing w:after="0"/>
              <w:rPr>
                <w:sz w:val="12"/>
                <w:szCs w:val="12"/>
                <w:color w:val="auto"/>
              </w:rPr>
            </w:pPr>
          </w:p>
        </w:tc>
        <w:tc>
          <w:tcPr>
            <w:tcW w:w="320" w:type="dxa"/>
            <w:vAlign w:val="bottom"/>
            <w:shd w:val="clear" w:color="auto" w:fill="98B0CF"/>
          </w:tcPr>
          <w:p>
            <w:pPr>
              <w:spacing w:after="0"/>
              <w:rPr>
                <w:sz w:val="12"/>
                <w:szCs w:val="12"/>
                <w:color w:val="auto"/>
              </w:rPr>
            </w:pPr>
          </w:p>
        </w:tc>
        <w:tc>
          <w:tcPr>
            <w:tcW w:w="1180" w:type="dxa"/>
            <w:vAlign w:val="bottom"/>
            <w:shd w:val="clear" w:color="auto" w:fill="98B0CF"/>
          </w:tcPr>
          <w:p>
            <w:pPr>
              <w:jc w:val="center"/>
              <w:ind w:right="152"/>
              <w:spacing w:after="0" w:line="142" w:lineRule="exact"/>
              <w:rPr>
                <w:sz w:val="20"/>
                <w:szCs w:val="20"/>
                <w:color w:val="auto"/>
              </w:rPr>
            </w:pPr>
            <w:r>
              <w:rPr>
                <w:rFonts w:ascii="Arial" w:cs="Arial" w:eastAsia="Arial" w:hAnsi="Arial"/>
                <w:sz w:val="13"/>
                <w:szCs w:val="13"/>
                <w:b w:val="1"/>
                <w:bCs w:val="1"/>
                <w:color w:val="auto"/>
                <w:w w:val="96"/>
              </w:rPr>
              <w:t>Markets for</w:t>
            </w:r>
          </w:p>
        </w:tc>
        <w:tc>
          <w:tcPr>
            <w:tcW w:w="280" w:type="dxa"/>
            <w:vAlign w:val="bottom"/>
            <w:shd w:val="clear" w:color="auto" w:fill="98B0CF"/>
          </w:tcPr>
          <w:p>
            <w:pPr>
              <w:spacing w:after="0"/>
              <w:rPr>
                <w:sz w:val="12"/>
                <w:szCs w:val="12"/>
                <w:color w:val="auto"/>
              </w:rPr>
            </w:pPr>
          </w:p>
        </w:tc>
        <w:tc>
          <w:tcPr>
            <w:tcW w:w="1120" w:type="dxa"/>
            <w:vAlign w:val="bottom"/>
            <w:shd w:val="clear" w:color="auto" w:fill="98B0CF"/>
          </w:tcPr>
          <w:p>
            <w:pPr>
              <w:jc w:val="center"/>
              <w:ind w:right="212"/>
              <w:spacing w:after="0" w:line="142"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shd w:val="clear" w:color="auto" w:fill="98B0CF"/>
          </w:tcPr>
          <w:p>
            <w:pPr>
              <w:spacing w:after="0"/>
              <w:rPr>
                <w:sz w:val="12"/>
                <w:szCs w:val="12"/>
                <w:color w:val="auto"/>
              </w:rPr>
            </w:pPr>
          </w:p>
        </w:tc>
        <w:tc>
          <w:tcPr>
            <w:tcW w:w="1160" w:type="dxa"/>
            <w:vAlign w:val="bottom"/>
            <w:shd w:val="clear" w:color="auto" w:fill="98B0CF"/>
          </w:tcPr>
          <w:p>
            <w:pPr>
              <w:jc w:val="center"/>
              <w:ind w:right="171"/>
              <w:spacing w:after="0" w:line="142" w:lineRule="exact"/>
              <w:rPr>
                <w:sz w:val="20"/>
                <w:szCs w:val="20"/>
                <w:color w:val="auto"/>
              </w:rPr>
            </w:pPr>
            <w:r>
              <w:rPr>
                <w:rFonts w:ascii="Arial" w:cs="Arial" w:eastAsia="Arial" w:hAnsi="Arial"/>
                <w:sz w:val="13"/>
                <w:szCs w:val="13"/>
                <w:b w:val="1"/>
                <w:bCs w:val="1"/>
                <w:color w:val="auto"/>
                <w:w w:val="96"/>
              </w:rPr>
              <w:t>Significant</w:t>
            </w:r>
          </w:p>
        </w:tc>
      </w:tr>
      <w:tr>
        <w:trPr>
          <w:trHeight w:val="142"/>
        </w:trPr>
        <w:tc>
          <w:tcPr>
            <w:tcW w:w="556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80" w:type="dxa"/>
            <w:vAlign w:val="bottom"/>
            <w:shd w:val="clear" w:color="auto" w:fill="98B0CF"/>
          </w:tcPr>
          <w:p>
            <w:pPr>
              <w:spacing w:after="0"/>
              <w:rPr>
                <w:sz w:val="12"/>
                <w:szCs w:val="12"/>
                <w:color w:val="auto"/>
              </w:rPr>
            </w:pPr>
          </w:p>
        </w:tc>
        <w:tc>
          <w:tcPr>
            <w:tcW w:w="420" w:type="dxa"/>
            <w:vAlign w:val="bottom"/>
            <w:shd w:val="clear" w:color="auto" w:fill="98B0CF"/>
          </w:tcPr>
          <w:p>
            <w:pPr>
              <w:spacing w:after="0"/>
              <w:rPr>
                <w:sz w:val="12"/>
                <w:szCs w:val="12"/>
                <w:color w:val="auto"/>
              </w:rPr>
            </w:pPr>
          </w:p>
        </w:tc>
        <w:tc>
          <w:tcPr>
            <w:tcW w:w="760" w:type="dxa"/>
            <w:vAlign w:val="bottom"/>
            <w:shd w:val="clear" w:color="auto" w:fill="98B0CF"/>
          </w:tcPr>
          <w:p>
            <w:pPr>
              <w:spacing w:after="0"/>
              <w:rPr>
                <w:sz w:val="12"/>
                <w:szCs w:val="12"/>
                <w:color w:val="auto"/>
              </w:rPr>
            </w:pPr>
          </w:p>
        </w:tc>
        <w:tc>
          <w:tcPr>
            <w:tcW w:w="320" w:type="dxa"/>
            <w:vAlign w:val="bottom"/>
            <w:shd w:val="clear" w:color="auto" w:fill="98B0CF"/>
          </w:tcPr>
          <w:p>
            <w:pPr>
              <w:spacing w:after="0"/>
              <w:rPr>
                <w:sz w:val="12"/>
                <w:szCs w:val="12"/>
                <w:color w:val="auto"/>
              </w:rPr>
            </w:pPr>
          </w:p>
        </w:tc>
        <w:tc>
          <w:tcPr>
            <w:tcW w:w="1180" w:type="dxa"/>
            <w:vAlign w:val="bottom"/>
            <w:shd w:val="clear" w:color="auto" w:fill="98B0CF"/>
          </w:tcPr>
          <w:p>
            <w:pPr>
              <w:jc w:val="center"/>
              <w:ind w:right="152"/>
              <w:spacing w:after="0" w:line="142" w:lineRule="exact"/>
              <w:rPr>
                <w:sz w:val="20"/>
                <w:szCs w:val="20"/>
                <w:color w:val="auto"/>
              </w:rPr>
            </w:pPr>
            <w:r>
              <w:rPr>
                <w:rFonts w:ascii="Arial" w:cs="Arial" w:eastAsia="Arial" w:hAnsi="Arial"/>
                <w:sz w:val="13"/>
                <w:szCs w:val="13"/>
                <w:b w:val="1"/>
                <w:bCs w:val="1"/>
                <w:color w:val="auto"/>
                <w:w w:val="98"/>
              </w:rPr>
              <w:t>Identical</w:t>
            </w:r>
          </w:p>
        </w:tc>
        <w:tc>
          <w:tcPr>
            <w:tcW w:w="280" w:type="dxa"/>
            <w:vAlign w:val="bottom"/>
            <w:shd w:val="clear" w:color="auto" w:fill="98B0CF"/>
          </w:tcPr>
          <w:p>
            <w:pPr>
              <w:spacing w:after="0"/>
              <w:rPr>
                <w:sz w:val="12"/>
                <w:szCs w:val="12"/>
                <w:color w:val="auto"/>
              </w:rPr>
            </w:pPr>
          </w:p>
        </w:tc>
        <w:tc>
          <w:tcPr>
            <w:tcW w:w="1120" w:type="dxa"/>
            <w:vAlign w:val="bottom"/>
            <w:shd w:val="clear" w:color="auto" w:fill="98B0CF"/>
          </w:tcPr>
          <w:p>
            <w:pPr>
              <w:jc w:val="center"/>
              <w:ind w:right="212"/>
              <w:spacing w:after="0" w:line="142" w:lineRule="exact"/>
              <w:rPr>
                <w:sz w:val="20"/>
                <w:szCs w:val="20"/>
                <w:color w:val="auto"/>
              </w:rPr>
            </w:pPr>
            <w:r>
              <w:rPr>
                <w:rFonts w:ascii="Arial" w:cs="Arial" w:eastAsia="Arial" w:hAnsi="Arial"/>
                <w:sz w:val="13"/>
                <w:szCs w:val="13"/>
                <w:b w:val="1"/>
                <w:bCs w:val="1"/>
                <w:color w:val="auto"/>
                <w:w w:val="95"/>
              </w:rPr>
              <w:t>Observable</w:t>
            </w:r>
          </w:p>
        </w:tc>
        <w:tc>
          <w:tcPr>
            <w:tcW w:w="240" w:type="dxa"/>
            <w:vAlign w:val="bottom"/>
            <w:shd w:val="clear" w:color="auto" w:fill="98B0CF"/>
          </w:tcPr>
          <w:p>
            <w:pPr>
              <w:spacing w:after="0"/>
              <w:rPr>
                <w:sz w:val="12"/>
                <w:szCs w:val="12"/>
                <w:color w:val="auto"/>
              </w:rPr>
            </w:pPr>
          </w:p>
        </w:tc>
        <w:tc>
          <w:tcPr>
            <w:tcW w:w="1160" w:type="dxa"/>
            <w:vAlign w:val="bottom"/>
            <w:shd w:val="clear" w:color="auto" w:fill="98B0CF"/>
          </w:tcPr>
          <w:p>
            <w:pPr>
              <w:jc w:val="center"/>
              <w:ind w:right="171"/>
              <w:spacing w:after="0" w:line="142" w:lineRule="exact"/>
              <w:rPr>
                <w:sz w:val="20"/>
                <w:szCs w:val="20"/>
                <w:color w:val="auto"/>
              </w:rPr>
            </w:pPr>
            <w:r>
              <w:rPr>
                <w:rFonts w:ascii="Arial" w:cs="Arial" w:eastAsia="Arial" w:hAnsi="Arial"/>
                <w:sz w:val="13"/>
                <w:szCs w:val="13"/>
                <w:b w:val="1"/>
                <w:bCs w:val="1"/>
                <w:color w:val="auto"/>
                <w:w w:val="97"/>
              </w:rPr>
              <w:t>Unobservable</w:t>
            </w:r>
          </w:p>
        </w:tc>
      </w:tr>
      <w:tr>
        <w:trPr>
          <w:trHeight w:val="142"/>
        </w:trPr>
        <w:tc>
          <w:tcPr>
            <w:tcW w:w="556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80" w:type="dxa"/>
            <w:vAlign w:val="bottom"/>
            <w:shd w:val="clear" w:color="auto" w:fill="98B0CF"/>
          </w:tcPr>
          <w:p>
            <w:pPr>
              <w:spacing w:after="0"/>
              <w:rPr>
                <w:sz w:val="12"/>
                <w:szCs w:val="12"/>
                <w:color w:val="auto"/>
              </w:rPr>
            </w:pPr>
          </w:p>
        </w:tc>
        <w:tc>
          <w:tcPr>
            <w:tcW w:w="420" w:type="dxa"/>
            <w:vAlign w:val="bottom"/>
            <w:shd w:val="clear" w:color="auto" w:fill="98B0CF"/>
          </w:tcPr>
          <w:p>
            <w:pPr>
              <w:spacing w:after="0"/>
              <w:rPr>
                <w:sz w:val="12"/>
                <w:szCs w:val="12"/>
                <w:color w:val="auto"/>
              </w:rPr>
            </w:pPr>
          </w:p>
        </w:tc>
        <w:tc>
          <w:tcPr>
            <w:tcW w:w="760" w:type="dxa"/>
            <w:vAlign w:val="bottom"/>
            <w:shd w:val="clear" w:color="auto" w:fill="98B0CF"/>
          </w:tcPr>
          <w:p>
            <w:pPr>
              <w:spacing w:after="0"/>
              <w:rPr>
                <w:sz w:val="12"/>
                <w:szCs w:val="12"/>
                <w:color w:val="auto"/>
              </w:rPr>
            </w:pPr>
          </w:p>
        </w:tc>
        <w:tc>
          <w:tcPr>
            <w:tcW w:w="320" w:type="dxa"/>
            <w:vAlign w:val="bottom"/>
            <w:shd w:val="clear" w:color="auto" w:fill="98B0CF"/>
          </w:tcPr>
          <w:p>
            <w:pPr>
              <w:spacing w:after="0"/>
              <w:rPr>
                <w:sz w:val="12"/>
                <w:szCs w:val="12"/>
                <w:color w:val="auto"/>
              </w:rPr>
            </w:pPr>
          </w:p>
        </w:tc>
        <w:tc>
          <w:tcPr>
            <w:tcW w:w="1180" w:type="dxa"/>
            <w:vAlign w:val="bottom"/>
            <w:shd w:val="clear" w:color="auto" w:fill="98B0CF"/>
          </w:tcPr>
          <w:p>
            <w:pPr>
              <w:jc w:val="center"/>
              <w:ind w:right="132"/>
              <w:spacing w:after="0" w:line="142" w:lineRule="exact"/>
              <w:rPr>
                <w:sz w:val="20"/>
                <w:szCs w:val="20"/>
                <w:color w:val="auto"/>
              </w:rPr>
            </w:pPr>
            <w:r>
              <w:rPr>
                <w:rFonts w:ascii="Arial" w:cs="Arial" w:eastAsia="Arial" w:hAnsi="Arial"/>
                <w:sz w:val="13"/>
                <w:szCs w:val="13"/>
                <w:b w:val="1"/>
                <w:bCs w:val="1"/>
                <w:color w:val="auto"/>
                <w:w w:val="98"/>
              </w:rPr>
              <w:t>Assets</w:t>
            </w:r>
          </w:p>
        </w:tc>
        <w:tc>
          <w:tcPr>
            <w:tcW w:w="280" w:type="dxa"/>
            <w:vAlign w:val="bottom"/>
            <w:shd w:val="clear" w:color="auto" w:fill="98B0CF"/>
          </w:tcPr>
          <w:p>
            <w:pPr>
              <w:spacing w:after="0"/>
              <w:rPr>
                <w:sz w:val="12"/>
                <w:szCs w:val="12"/>
                <w:color w:val="auto"/>
              </w:rPr>
            </w:pPr>
          </w:p>
        </w:tc>
        <w:tc>
          <w:tcPr>
            <w:tcW w:w="1120" w:type="dxa"/>
            <w:vAlign w:val="bottom"/>
            <w:shd w:val="clear" w:color="auto" w:fill="98B0CF"/>
          </w:tcPr>
          <w:p>
            <w:pPr>
              <w:jc w:val="center"/>
              <w:ind w:right="212"/>
              <w:spacing w:after="0" w:line="142" w:lineRule="exact"/>
              <w:rPr>
                <w:sz w:val="20"/>
                <w:szCs w:val="20"/>
                <w:color w:val="auto"/>
              </w:rPr>
            </w:pPr>
            <w:r>
              <w:rPr>
                <w:rFonts w:ascii="Arial" w:cs="Arial" w:eastAsia="Arial" w:hAnsi="Arial"/>
                <w:sz w:val="13"/>
                <w:szCs w:val="13"/>
                <w:b w:val="1"/>
                <w:bCs w:val="1"/>
                <w:color w:val="auto"/>
                <w:w w:val="92"/>
              </w:rPr>
              <w:t>Inputs</w:t>
            </w:r>
          </w:p>
        </w:tc>
        <w:tc>
          <w:tcPr>
            <w:tcW w:w="240" w:type="dxa"/>
            <w:vAlign w:val="bottom"/>
            <w:shd w:val="clear" w:color="auto" w:fill="98B0CF"/>
          </w:tcPr>
          <w:p>
            <w:pPr>
              <w:spacing w:after="0"/>
              <w:rPr>
                <w:sz w:val="12"/>
                <w:szCs w:val="12"/>
                <w:color w:val="auto"/>
              </w:rPr>
            </w:pPr>
          </w:p>
        </w:tc>
        <w:tc>
          <w:tcPr>
            <w:tcW w:w="1160" w:type="dxa"/>
            <w:vAlign w:val="bottom"/>
            <w:shd w:val="clear" w:color="auto" w:fill="98B0CF"/>
          </w:tcPr>
          <w:p>
            <w:pPr>
              <w:jc w:val="center"/>
              <w:ind w:right="191"/>
              <w:spacing w:after="0" w:line="142" w:lineRule="exact"/>
              <w:rPr>
                <w:sz w:val="20"/>
                <w:szCs w:val="20"/>
                <w:color w:val="auto"/>
              </w:rPr>
            </w:pPr>
            <w:r>
              <w:rPr>
                <w:rFonts w:ascii="Arial" w:cs="Arial" w:eastAsia="Arial" w:hAnsi="Arial"/>
                <w:sz w:val="13"/>
                <w:szCs w:val="13"/>
                <w:b w:val="1"/>
                <w:bCs w:val="1"/>
                <w:color w:val="auto"/>
                <w:w w:val="97"/>
              </w:rPr>
              <w:t>Inputs</w:t>
            </w:r>
          </w:p>
        </w:tc>
      </w:tr>
      <w:tr>
        <w:trPr>
          <w:trHeight w:val="156"/>
        </w:trPr>
        <w:tc>
          <w:tcPr>
            <w:tcW w:w="5560" w:type="dxa"/>
            <w:vAlign w:val="bottom"/>
            <w:tcBorders>
              <w:bottom w:val="single" w:sz="8" w:color="auto"/>
            </w:tcBorders>
            <w:shd w:val="clear" w:color="auto" w:fill="98B0CF"/>
          </w:tcPr>
          <w:p>
            <w:pPr>
              <w:spacing w:after="0"/>
              <w:rPr>
                <w:sz w:val="13"/>
                <w:szCs w:val="13"/>
                <w:color w:val="auto"/>
              </w:rPr>
            </w:pPr>
          </w:p>
        </w:tc>
        <w:tc>
          <w:tcPr>
            <w:tcW w:w="140" w:type="dxa"/>
            <w:vAlign w:val="bottom"/>
            <w:tcBorders>
              <w:bottom w:val="single" w:sz="8" w:color="auto"/>
            </w:tcBorders>
            <w:shd w:val="clear" w:color="auto" w:fill="98B0CF"/>
          </w:tcPr>
          <w:p>
            <w:pPr>
              <w:spacing w:after="0"/>
              <w:rPr>
                <w:sz w:val="13"/>
                <w:szCs w:val="13"/>
                <w:color w:val="auto"/>
              </w:rPr>
            </w:pPr>
          </w:p>
        </w:tc>
        <w:tc>
          <w:tcPr>
            <w:tcW w:w="80" w:type="dxa"/>
            <w:vAlign w:val="bottom"/>
            <w:tcBorders>
              <w:bottom w:val="single" w:sz="8" w:color="auto"/>
            </w:tcBorders>
            <w:shd w:val="clear" w:color="auto" w:fill="98B0CF"/>
          </w:tcPr>
          <w:p>
            <w:pPr>
              <w:spacing w:after="0"/>
              <w:rPr>
                <w:sz w:val="13"/>
                <w:szCs w:val="13"/>
                <w:color w:val="auto"/>
              </w:rPr>
            </w:pPr>
          </w:p>
        </w:tc>
        <w:tc>
          <w:tcPr>
            <w:tcW w:w="1180" w:type="dxa"/>
            <w:vAlign w:val="bottom"/>
            <w:tcBorders>
              <w:bottom w:val="single" w:sz="8" w:color="auto"/>
            </w:tcBorders>
            <w:gridSpan w:val="2"/>
            <w:shd w:val="clear" w:color="auto" w:fill="98B0CF"/>
          </w:tcPr>
          <w:p>
            <w:pPr>
              <w:ind w:left="20"/>
              <w:spacing w:after="0"/>
              <w:rPr>
                <w:sz w:val="20"/>
                <w:szCs w:val="20"/>
                <w:color w:val="auto"/>
              </w:rPr>
            </w:pPr>
            <w:r>
              <w:rPr>
                <w:rFonts w:ascii="Arial" w:cs="Arial" w:eastAsia="Arial" w:hAnsi="Arial"/>
                <w:sz w:val="13"/>
                <w:szCs w:val="13"/>
                <w:b w:val="1"/>
                <w:bCs w:val="1"/>
                <w:color w:val="auto"/>
                <w:w w:val="97"/>
              </w:rPr>
              <w:t>December 31, 2024</w:t>
            </w:r>
          </w:p>
        </w:tc>
        <w:tc>
          <w:tcPr>
            <w:tcW w:w="320" w:type="dxa"/>
            <w:vAlign w:val="bottom"/>
            <w:tcBorders>
              <w:bottom w:val="single" w:sz="8" w:color="auto"/>
            </w:tcBorders>
            <w:shd w:val="clear" w:color="auto" w:fill="98B0CF"/>
          </w:tcPr>
          <w:p>
            <w:pPr>
              <w:spacing w:after="0"/>
              <w:rPr>
                <w:sz w:val="13"/>
                <w:szCs w:val="13"/>
                <w:color w:val="auto"/>
              </w:rPr>
            </w:pPr>
          </w:p>
        </w:tc>
        <w:tc>
          <w:tcPr>
            <w:tcW w:w="1180" w:type="dxa"/>
            <w:vAlign w:val="bottom"/>
            <w:tcBorders>
              <w:bottom w:val="single" w:sz="8" w:color="auto"/>
            </w:tcBorders>
            <w:shd w:val="clear" w:color="auto" w:fill="98B0CF"/>
          </w:tcPr>
          <w:p>
            <w:pPr>
              <w:jc w:val="center"/>
              <w:ind w:right="152"/>
              <w:spacing w:after="0"/>
              <w:rPr>
                <w:sz w:val="20"/>
                <w:szCs w:val="20"/>
                <w:color w:val="auto"/>
              </w:rPr>
            </w:pPr>
            <w:r>
              <w:rPr>
                <w:rFonts w:ascii="Arial" w:cs="Arial" w:eastAsia="Arial" w:hAnsi="Arial"/>
                <w:sz w:val="13"/>
                <w:szCs w:val="13"/>
                <w:b w:val="1"/>
                <w:bCs w:val="1"/>
                <w:color w:val="auto"/>
                <w:w w:val="98"/>
              </w:rPr>
              <w:t>(Level 1)</w:t>
            </w:r>
          </w:p>
        </w:tc>
        <w:tc>
          <w:tcPr>
            <w:tcW w:w="280" w:type="dxa"/>
            <w:vAlign w:val="bottom"/>
            <w:tcBorders>
              <w:bottom w:val="single" w:sz="8" w:color="auto"/>
            </w:tcBorders>
            <w:shd w:val="clear" w:color="auto" w:fill="98B0CF"/>
          </w:tcPr>
          <w:p>
            <w:pPr>
              <w:spacing w:after="0"/>
              <w:rPr>
                <w:sz w:val="13"/>
                <w:szCs w:val="13"/>
                <w:color w:val="auto"/>
              </w:rPr>
            </w:pPr>
          </w:p>
        </w:tc>
        <w:tc>
          <w:tcPr>
            <w:tcW w:w="1120" w:type="dxa"/>
            <w:vAlign w:val="bottom"/>
            <w:tcBorders>
              <w:bottom w:val="single" w:sz="8" w:color="auto"/>
            </w:tcBorders>
            <w:shd w:val="clear" w:color="auto" w:fill="98B0CF"/>
          </w:tcPr>
          <w:p>
            <w:pPr>
              <w:jc w:val="center"/>
              <w:ind w:right="212"/>
              <w:spacing w:after="0"/>
              <w:rPr>
                <w:sz w:val="20"/>
                <w:szCs w:val="20"/>
                <w:color w:val="auto"/>
              </w:rPr>
            </w:pPr>
            <w:r>
              <w:rPr>
                <w:rFonts w:ascii="Arial" w:cs="Arial" w:eastAsia="Arial" w:hAnsi="Arial"/>
                <w:sz w:val="13"/>
                <w:szCs w:val="13"/>
                <w:b w:val="1"/>
                <w:bCs w:val="1"/>
                <w:color w:val="auto"/>
                <w:w w:val="98"/>
              </w:rPr>
              <w:t>(Level 2)</w:t>
            </w:r>
          </w:p>
        </w:tc>
        <w:tc>
          <w:tcPr>
            <w:tcW w:w="240" w:type="dxa"/>
            <w:vAlign w:val="bottom"/>
            <w:tcBorders>
              <w:bottom w:val="single" w:sz="8" w:color="auto"/>
            </w:tcBorders>
            <w:shd w:val="clear" w:color="auto" w:fill="98B0CF"/>
          </w:tcPr>
          <w:p>
            <w:pPr>
              <w:spacing w:after="0"/>
              <w:rPr>
                <w:sz w:val="13"/>
                <w:szCs w:val="13"/>
                <w:color w:val="auto"/>
              </w:rPr>
            </w:pPr>
          </w:p>
        </w:tc>
        <w:tc>
          <w:tcPr>
            <w:tcW w:w="1160" w:type="dxa"/>
            <w:vAlign w:val="bottom"/>
            <w:tcBorders>
              <w:bottom w:val="single" w:sz="8" w:color="auto"/>
            </w:tcBorders>
            <w:shd w:val="clear" w:color="auto" w:fill="98B0CF"/>
          </w:tcPr>
          <w:p>
            <w:pPr>
              <w:jc w:val="center"/>
              <w:ind w:right="171"/>
              <w:spacing w:after="0"/>
              <w:rPr>
                <w:sz w:val="20"/>
                <w:szCs w:val="20"/>
                <w:color w:val="auto"/>
              </w:rPr>
            </w:pPr>
            <w:r>
              <w:rPr>
                <w:rFonts w:ascii="Arial" w:cs="Arial" w:eastAsia="Arial" w:hAnsi="Arial"/>
                <w:sz w:val="13"/>
                <w:szCs w:val="13"/>
                <w:b w:val="1"/>
                <w:bCs w:val="1"/>
                <w:color w:val="auto"/>
                <w:w w:val="98"/>
              </w:rPr>
              <w:t>(Level 3)</w:t>
            </w:r>
          </w:p>
        </w:tc>
      </w:tr>
      <w:tr>
        <w:trPr>
          <w:trHeight w:val="163"/>
        </w:trPr>
        <w:tc>
          <w:tcPr>
            <w:tcW w:w="556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420" w:type="dxa"/>
            <w:vAlign w:val="bottom"/>
            <w:shd w:val="clear" w:color="auto" w:fill="E2E8F1"/>
          </w:tcPr>
          <w:p>
            <w:pPr>
              <w:spacing w:after="0"/>
              <w:rPr>
                <w:sz w:val="14"/>
                <w:szCs w:val="14"/>
                <w:color w:val="auto"/>
              </w:rPr>
            </w:pPr>
          </w:p>
        </w:tc>
        <w:tc>
          <w:tcPr>
            <w:tcW w:w="76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12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160" w:type="dxa"/>
            <w:vAlign w:val="bottom"/>
            <w:shd w:val="clear" w:color="auto" w:fill="E2E8F1"/>
          </w:tcPr>
          <w:p>
            <w:pPr>
              <w:spacing w:after="0"/>
              <w:rPr>
                <w:sz w:val="14"/>
                <w:szCs w:val="14"/>
                <w:color w:val="auto"/>
              </w:rPr>
            </w:pPr>
          </w:p>
        </w:tc>
      </w:tr>
      <w:tr>
        <w:trPr>
          <w:trHeight w:val="166"/>
        </w:trPr>
        <w:tc>
          <w:tcPr>
            <w:tcW w:w="5560" w:type="dxa"/>
            <w:vAlign w:val="bottom"/>
          </w:tcPr>
          <w:p>
            <w:pPr>
              <w:ind w:left="80"/>
              <w:spacing w:after="0"/>
              <w:rPr>
                <w:sz w:val="20"/>
                <w:szCs w:val="20"/>
                <w:color w:val="auto"/>
              </w:rPr>
            </w:pPr>
            <w:r>
              <w:rPr>
                <w:rFonts w:ascii="Arial" w:cs="Arial" w:eastAsia="Arial" w:hAnsi="Arial"/>
                <w:sz w:val="14"/>
                <w:szCs w:val="14"/>
                <w:color w:val="auto"/>
              </w:rPr>
              <w:t>Cash and cash equivalents</w:t>
            </w:r>
          </w:p>
        </w:tc>
        <w:tc>
          <w:tcPr>
            <w:tcW w:w="640" w:type="dxa"/>
            <w:vAlign w:val="bottom"/>
            <w:gridSpan w:val="3"/>
          </w:tcPr>
          <w:p>
            <w:pPr>
              <w:ind w:lef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3.0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w:t>
            </w:r>
          </w:p>
        </w:tc>
      </w:tr>
      <w:tr>
        <w:trPr>
          <w:trHeight w:val="166"/>
        </w:trPr>
        <w:tc>
          <w:tcPr>
            <w:tcW w:w="5560" w:type="dxa"/>
            <w:vAlign w:val="bottom"/>
            <w:shd w:val="clear" w:color="auto" w:fill="E2E8F1"/>
          </w:tcPr>
          <w:p>
            <w:pPr>
              <w:ind w:left="80"/>
              <w:spacing w:after="0"/>
              <w:rPr>
                <w:sz w:val="20"/>
                <w:szCs w:val="20"/>
                <w:color w:val="auto"/>
              </w:rPr>
            </w:pPr>
            <w:r>
              <w:rPr>
                <w:rFonts w:ascii="Arial" w:cs="Arial" w:eastAsia="Arial" w:hAnsi="Arial"/>
                <w:sz w:val="14"/>
                <w:szCs w:val="14"/>
                <w:color w:val="auto"/>
              </w:rPr>
              <w:t>Equity securities:</w:t>
            </w:r>
          </w:p>
        </w:tc>
        <w:tc>
          <w:tcPr>
            <w:tcW w:w="14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420" w:type="dxa"/>
            <w:vAlign w:val="bottom"/>
            <w:shd w:val="clear" w:color="auto" w:fill="E2E8F1"/>
          </w:tcPr>
          <w:p>
            <w:pPr>
              <w:spacing w:after="0"/>
              <w:rPr>
                <w:sz w:val="14"/>
                <w:szCs w:val="14"/>
                <w:color w:val="auto"/>
              </w:rPr>
            </w:pPr>
          </w:p>
        </w:tc>
        <w:tc>
          <w:tcPr>
            <w:tcW w:w="76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12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160" w:type="dxa"/>
            <w:vAlign w:val="bottom"/>
            <w:shd w:val="clear" w:color="auto" w:fill="E2E8F1"/>
          </w:tcPr>
          <w:p>
            <w:pPr>
              <w:spacing w:after="0"/>
              <w:rPr>
                <w:sz w:val="14"/>
                <w:szCs w:val="14"/>
                <w:color w:val="auto"/>
              </w:rPr>
            </w:pPr>
          </w:p>
        </w:tc>
      </w:tr>
      <w:tr>
        <w:trPr>
          <w:trHeight w:val="166"/>
        </w:trPr>
        <w:tc>
          <w:tcPr>
            <w:tcW w:w="5560" w:type="dxa"/>
            <w:vAlign w:val="bottom"/>
          </w:tcPr>
          <w:p>
            <w:pPr>
              <w:ind w:left="160"/>
              <w:spacing w:after="0"/>
              <w:rPr>
                <w:sz w:val="20"/>
                <w:szCs w:val="20"/>
                <w:color w:val="auto"/>
              </w:rPr>
            </w:pPr>
            <w:r>
              <w:rPr>
                <w:rFonts w:ascii="Arial" w:cs="Arial" w:eastAsia="Arial" w:hAnsi="Arial"/>
                <w:sz w:val="14"/>
                <w:szCs w:val="14"/>
                <w:color w:val="auto"/>
              </w:rPr>
              <w:t>Mutual funds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142.7</w:t>
            </w:r>
          </w:p>
        </w:tc>
        <w:tc>
          <w:tcPr>
            <w:tcW w:w="320" w:type="dxa"/>
            <w:vAlign w:val="bottom"/>
          </w:tcPr>
          <w:p>
            <w:pPr>
              <w:spacing w:after="0"/>
              <w:rPr>
                <w:sz w:val="14"/>
                <w:szCs w:val="14"/>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142.7</w:t>
            </w:r>
          </w:p>
        </w:tc>
        <w:tc>
          <w:tcPr>
            <w:tcW w:w="280" w:type="dxa"/>
            <w:vAlign w:val="bottom"/>
          </w:tcPr>
          <w:p>
            <w:pPr>
              <w:spacing w:after="0"/>
              <w:rPr>
                <w:sz w:val="14"/>
                <w:szCs w:val="14"/>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w:t>
            </w:r>
          </w:p>
        </w:tc>
      </w:tr>
      <w:tr>
        <w:trPr>
          <w:trHeight w:val="166"/>
        </w:trPr>
        <w:tc>
          <w:tcPr>
            <w:tcW w:w="5560" w:type="dxa"/>
            <w:vAlign w:val="bottom"/>
            <w:shd w:val="clear" w:color="auto" w:fill="E2E8F1"/>
          </w:tcPr>
          <w:p>
            <w:pPr>
              <w:ind w:left="160"/>
              <w:spacing w:after="0"/>
              <w:rPr>
                <w:sz w:val="20"/>
                <w:szCs w:val="20"/>
                <w:color w:val="auto"/>
              </w:rPr>
            </w:pPr>
            <w:r>
              <w:rPr>
                <w:rFonts w:ascii="Arial" w:cs="Arial" w:eastAsia="Arial" w:hAnsi="Arial"/>
                <w:sz w:val="14"/>
                <w:szCs w:val="14"/>
                <w:color w:val="auto"/>
              </w:rPr>
              <w:t>Common stock</w:t>
            </w:r>
          </w:p>
        </w:tc>
        <w:tc>
          <w:tcPr>
            <w:tcW w:w="14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420" w:type="dxa"/>
            <w:vAlign w:val="bottom"/>
            <w:shd w:val="clear" w:color="auto" w:fill="E2E8F1"/>
          </w:tcPr>
          <w:p>
            <w:pPr>
              <w:spacing w:after="0"/>
              <w:rPr>
                <w:sz w:val="14"/>
                <w:szCs w:val="14"/>
                <w:color w:val="auto"/>
              </w:rPr>
            </w:pPr>
          </w:p>
        </w:tc>
        <w:tc>
          <w:tcPr>
            <w:tcW w:w="7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30.1</w:t>
            </w:r>
          </w:p>
        </w:tc>
        <w:tc>
          <w:tcPr>
            <w:tcW w:w="320" w:type="dxa"/>
            <w:vAlign w:val="bottom"/>
            <w:shd w:val="clear" w:color="auto" w:fill="E2E8F1"/>
          </w:tcPr>
          <w:p>
            <w:pPr>
              <w:spacing w:after="0"/>
              <w:rPr>
                <w:sz w:val="14"/>
                <w:szCs w:val="14"/>
                <w:color w:val="auto"/>
              </w:rPr>
            </w:pPr>
          </w:p>
        </w:tc>
        <w:tc>
          <w:tcPr>
            <w:tcW w:w="1180" w:type="dxa"/>
            <w:vAlign w:val="bottom"/>
            <w:shd w:val="clear" w:color="auto" w:fill="E2E8F1"/>
          </w:tcPr>
          <w:p>
            <w:pPr>
              <w:jc w:val="right"/>
              <w:ind w:right="52"/>
              <w:spacing w:after="0"/>
              <w:rPr>
                <w:sz w:val="20"/>
                <w:szCs w:val="20"/>
                <w:color w:val="auto"/>
              </w:rPr>
            </w:pPr>
            <w:r>
              <w:rPr>
                <w:rFonts w:ascii="Arial" w:cs="Arial" w:eastAsia="Arial" w:hAnsi="Arial"/>
                <w:sz w:val="14"/>
                <w:szCs w:val="14"/>
                <w:color w:val="auto"/>
              </w:rPr>
              <w:t>30.1</w:t>
            </w:r>
          </w:p>
        </w:tc>
        <w:tc>
          <w:tcPr>
            <w:tcW w:w="280" w:type="dxa"/>
            <w:vAlign w:val="bottom"/>
            <w:shd w:val="clear" w:color="auto" w:fill="E2E8F1"/>
          </w:tcPr>
          <w:p>
            <w:pPr>
              <w:spacing w:after="0"/>
              <w:rPr>
                <w:sz w:val="14"/>
                <w:szCs w:val="14"/>
                <w:color w:val="auto"/>
              </w:rPr>
            </w:pPr>
          </w:p>
        </w:tc>
        <w:tc>
          <w:tcPr>
            <w:tcW w:w="112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shd w:val="clear" w:color="auto" w:fill="E2E8F1"/>
          </w:tcPr>
          <w:p>
            <w:pPr>
              <w:spacing w:after="0"/>
              <w:rPr>
                <w:sz w:val="14"/>
                <w:szCs w:val="14"/>
                <w:color w:val="auto"/>
              </w:rPr>
            </w:pPr>
          </w:p>
        </w:tc>
        <w:tc>
          <w:tcPr>
            <w:tcW w:w="116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w:t>
            </w:r>
          </w:p>
        </w:tc>
      </w:tr>
      <w:tr>
        <w:trPr>
          <w:trHeight w:val="166"/>
        </w:trPr>
        <w:tc>
          <w:tcPr>
            <w:tcW w:w="5560" w:type="dxa"/>
            <w:vAlign w:val="bottom"/>
          </w:tcPr>
          <w:p>
            <w:pPr>
              <w:ind w:left="80"/>
              <w:spacing w:after="0"/>
              <w:rPr>
                <w:sz w:val="20"/>
                <w:szCs w:val="20"/>
                <w:color w:val="auto"/>
              </w:rPr>
            </w:pPr>
            <w:r>
              <w:rPr>
                <w:rFonts w:ascii="Arial" w:cs="Arial" w:eastAsia="Arial" w:hAnsi="Arial"/>
                <w:sz w:val="14"/>
                <w:szCs w:val="14"/>
                <w:color w:val="auto"/>
              </w:rPr>
              <w:t>Fixed income instruments: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560" w:type="dxa"/>
            <w:vAlign w:val="bottom"/>
            <w:shd w:val="clear" w:color="auto" w:fill="E2E8F1"/>
          </w:tcPr>
          <w:p>
            <w:pPr>
              <w:ind w:left="160"/>
              <w:spacing w:after="0"/>
              <w:rPr>
                <w:sz w:val="20"/>
                <w:szCs w:val="20"/>
                <w:color w:val="auto"/>
              </w:rPr>
            </w:pPr>
            <w:r>
              <w:rPr>
                <w:rFonts w:ascii="Arial" w:cs="Arial" w:eastAsia="Arial" w:hAnsi="Arial"/>
                <w:sz w:val="14"/>
                <w:szCs w:val="14"/>
                <w:color w:val="auto"/>
              </w:rPr>
              <w:t>Fixed income funds</w:t>
            </w:r>
          </w:p>
        </w:tc>
        <w:tc>
          <w:tcPr>
            <w:tcW w:w="14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420" w:type="dxa"/>
            <w:vAlign w:val="bottom"/>
            <w:shd w:val="clear" w:color="auto" w:fill="E2E8F1"/>
          </w:tcPr>
          <w:p>
            <w:pPr>
              <w:spacing w:after="0"/>
              <w:rPr>
                <w:sz w:val="14"/>
                <w:szCs w:val="14"/>
                <w:color w:val="auto"/>
              </w:rPr>
            </w:pPr>
          </w:p>
        </w:tc>
        <w:tc>
          <w:tcPr>
            <w:tcW w:w="7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123.8</w:t>
            </w:r>
          </w:p>
        </w:tc>
        <w:tc>
          <w:tcPr>
            <w:tcW w:w="320" w:type="dxa"/>
            <w:vAlign w:val="bottom"/>
            <w:shd w:val="clear" w:color="auto" w:fill="E2E8F1"/>
          </w:tcPr>
          <w:p>
            <w:pPr>
              <w:spacing w:after="0"/>
              <w:rPr>
                <w:sz w:val="14"/>
                <w:szCs w:val="14"/>
                <w:color w:val="auto"/>
              </w:rPr>
            </w:pPr>
          </w:p>
        </w:tc>
        <w:tc>
          <w:tcPr>
            <w:tcW w:w="1180" w:type="dxa"/>
            <w:vAlign w:val="bottom"/>
            <w:shd w:val="clear" w:color="auto" w:fill="E2E8F1"/>
          </w:tcPr>
          <w:p>
            <w:pPr>
              <w:jc w:val="right"/>
              <w:ind w:right="52"/>
              <w:spacing w:after="0"/>
              <w:rPr>
                <w:sz w:val="20"/>
                <w:szCs w:val="20"/>
                <w:color w:val="auto"/>
              </w:rPr>
            </w:pPr>
            <w:r>
              <w:rPr>
                <w:rFonts w:ascii="Arial" w:cs="Arial" w:eastAsia="Arial" w:hAnsi="Arial"/>
                <w:sz w:val="14"/>
                <w:szCs w:val="14"/>
                <w:color w:val="auto"/>
              </w:rPr>
              <w:t>—</w:t>
            </w:r>
          </w:p>
        </w:tc>
        <w:tc>
          <w:tcPr>
            <w:tcW w:w="280" w:type="dxa"/>
            <w:vAlign w:val="bottom"/>
            <w:shd w:val="clear" w:color="auto" w:fill="E2E8F1"/>
          </w:tcPr>
          <w:p>
            <w:pPr>
              <w:spacing w:after="0"/>
              <w:rPr>
                <w:sz w:val="14"/>
                <w:szCs w:val="14"/>
                <w:color w:val="auto"/>
              </w:rPr>
            </w:pPr>
          </w:p>
        </w:tc>
        <w:tc>
          <w:tcPr>
            <w:tcW w:w="112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auto"/>
              </w:rPr>
              <w:t>123.8</w:t>
            </w:r>
          </w:p>
        </w:tc>
        <w:tc>
          <w:tcPr>
            <w:tcW w:w="240" w:type="dxa"/>
            <w:vAlign w:val="bottom"/>
            <w:shd w:val="clear" w:color="auto" w:fill="E2E8F1"/>
          </w:tcPr>
          <w:p>
            <w:pPr>
              <w:spacing w:after="0"/>
              <w:rPr>
                <w:sz w:val="14"/>
                <w:szCs w:val="14"/>
                <w:color w:val="auto"/>
              </w:rPr>
            </w:pPr>
          </w:p>
        </w:tc>
        <w:tc>
          <w:tcPr>
            <w:tcW w:w="116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w:t>
            </w:r>
          </w:p>
        </w:tc>
      </w:tr>
      <w:tr>
        <w:trPr>
          <w:trHeight w:val="166"/>
        </w:trPr>
        <w:tc>
          <w:tcPr>
            <w:tcW w:w="5560" w:type="dxa"/>
            <w:vAlign w:val="bottom"/>
          </w:tcPr>
          <w:p>
            <w:pPr>
              <w:ind w:left="160"/>
              <w:spacing w:after="0"/>
              <w:rPr>
                <w:sz w:val="20"/>
                <w:szCs w:val="20"/>
                <w:color w:val="auto"/>
              </w:rPr>
            </w:pPr>
            <w:r>
              <w:rPr>
                <w:rFonts w:ascii="Arial" w:cs="Arial" w:eastAsia="Arial" w:hAnsi="Arial"/>
                <w:sz w:val="14"/>
                <w:szCs w:val="14"/>
                <w:color w:val="auto"/>
              </w:rPr>
              <w:t>Annuity contract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31.4</w:t>
            </w:r>
          </w:p>
        </w:tc>
        <w:tc>
          <w:tcPr>
            <w:tcW w:w="320" w:type="dxa"/>
            <w:vAlign w:val="bottom"/>
          </w:tcPr>
          <w:p>
            <w:pPr>
              <w:spacing w:after="0"/>
              <w:rPr>
                <w:sz w:val="14"/>
                <w:szCs w:val="14"/>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31.4</w:t>
            </w:r>
          </w:p>
        </w:tc>
      </w:tr>
      <w:tr>
        <w:trPr>
          <w:trHeight w:val="166"/>
        </w:trPr>
        <w:tc>
          <w:tcPr>
            <w:tcW w:w="5560" w:type="dxa"/>
            <w:vAlign w:val="bottom"/>
            <w:shd w:val="clear" w:color="auto" w:fill="E2E8F1"/>
          </w:tcPr>
          <w:p>
            <w:pPr>
              <w:ind w:left="160"/>
              <w:spacing w:after="0"/>
              <w:rPr>
                <w:sz w:val="20"/>
                <w:szCs w:val="20"/>
                <w:color w:val="auto"/>
              </w:rPr>
            </w:pPr>
            <w:r>
              <w:rPr>
                <w:rFonts w:ascii="Arial" w:cs="Arial" w:eastAsia="Arial" w:hAnsi="Arial"/>
                <w:sz w:val="14"/>
                <w:szCs w:val="14"/>
                <w:color w:val="auto"/>
              </w:rPr>
              <w:t>Guaranteed insurance contracts</w:t>
            </w:r>
          </w:p>
        </w:tc>
        <w:tc>
          <w:tcPr>
            <w:tcW w:w="14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420" w:type="dxa"/>
            <w:vAlign w:val="bottom"/>
            <w:shd w:val="clear" w:color="auto" w:fill="E2E8F1"/>
          </w:tcPr>
          <w:p>
            <w:pPr>
              <w:spacing w:after="0"/>
              <w:rPr>
                <w:sz w:val="14"/>
                <w:szCs w:val="14"/>
                <w:color w:val="auto"/>
              </w:rPr>
            </w:pPr>
          </w:p>
        </w:tc>
        <w:tc>
          <w:tcPr>
            <w:tcW w:w="7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25.6</w:t>
            </w:r>
          </w:p>
        </w:tc>
        <w:tc>
          <w:tcPr>
            <w:tcW w:w="320" w:type="dxa"/>
            <w:vAlign w:val="bottom"/>
            <w:shd w:val="clear" w:color="auto" w:fill="E2E8F1"/>
          </w:tcPr>
          <w:p>
            <w:pPr>
              <w:spacing w:after="0"/>
              <w:rPr>
                <w:sz w:val="14"/>
                <w:szCs w:val="14"/>
                <w:color w:val="auto"/>
              </w:rPr>
            </w:pPr>
          </w:p>
        </w:tc>
        <w:tc>
          <w:tcPr>
            <w:tcW w:w="1180" w:type="dxa"/>
            <w:vAlign w:val="bottom"/>
            <w:shd w:val="clear" w:color="auto" w:fill="E2E8F1"/>
          </w:tcPr>
          <w:p>
            <w:pPr>
              <w:jc w:val="right"/>
              <w:ind w:right="52"/>
              <w:spacing w:after="0"/>
              <w:rPr>
                <w:sz w:val="20"/>
                <w:szCs w:val="20"/>
                <w:color w:val="auto"/>
              </w:rPr>
            </w:pPr>
            <w:r>
              <w:rPr>
                <w:rFonts w:ascii="Arial" w:cs="Arial" w:eastAsia="Arial" w:hAnsi="Arial"/>
                <w:sz w:val="14"/>
                <w:szCs w:val="14"/>
                <w:color w:val="auto"/>
              </w:rPr>
              <w:t>—</w:t>
            </w:r>
          </w:p>
        </w:tc>
        <w:tc>
          <w:tcPr>
            <w:tcW w:w="280" w:type="dxa"/>
            <w:vAlign w:val="bottom"/>
            <w:shd w:val="clear" w:color="auto" w:fill="E2E8F1"/>
          </w:tcPr>
          <w:p>
            <w:pPr>
              <w:spacing w:after="0"/>
              <w:rPr>
                <w:sz w:val="14"/>
                <w:szCs w:val="14"/>
                <w:color w:val="auto"/>
              </w:rPr>
            </w:pPr>
          </w:p>
        </w:tc>
        <w:tc>
          <w:tcPr>
            <w:tcW w:w="112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auto"/>
              </w:rPr>
              <w:t>25.6</w:t>
            </w:r>
          </w:p>
        </w:tc>
        <w:tc>
          <w:tcPr>
            <w:tcW w:w="240" w:type="dxa"/>
            <w:vAlign w:val="bottom"/>
            <w:shd w:val="clear" w:color="auto" w:fill="E2E8F1"/>
          </w:tcPr>
          <w:p>
            <w:pPr>
              <w:spacing w:after="0"/>
              <w:rPr>
                <w:sz w:val="14"/>
                <w:szCs w:val="14"/>
                <w:color w:val="auto"/>
              </w:rPr>
            </w:pPr>
          </w:p>
        </w:tc>
        <w:tc>
          <w:tcPr>
            <w:tcW w:w="116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w:t>
            </w:r>
          </w:p>
        </w:tc>
      </w:tr>
      <w:tr>
        <w:trPr>
          <w:trHeight w:val="166"/>
        </w:trPr>
        <w:tc>
          <w:tcPr>
            <w:tcW w:w="5560" w:type="dxa"/>
            <w:vAlign w:val="bottom"/>
          </w:tcPr>
          <w:p>
            <w:pPr>
              <w:ind w:left="80"/>
              <w:spacing w:after="0"/>
              <w:rPr>
                <w:sz w:val="20"/>
                <w:szCs w:val="20"/>
                <w:color w:val="auto"/>
              </w:rPr>
            </w:pPr>
            <w:r>
              <w:rPr>
                <w:rFonts w:ascii="Arial" w:cs="Arial" w:eastAsia="Arial" w:hAnsi="Arial"/>
                <w:sz w:val="14"/>
                <w:szCs w:val="14"/>
                <w:color w:val="auto"/>
              </w:rPr>
              <w:t>Other types of investments: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560" w:type="dxa"/>
            <w:vAlign w:val="bottom"/>
            <w:shd w:val="clear" w:color="auto" w:fill="E2E8F1"/>
          </w:tcPr>
          <w:p>
            <w:pPr>
              <w:ind w:left="160"/>
              <w:spacing w:after="0"/>
              <w:rPr>
                <w:sz w:val="20"/>
                <w:szCs w:val="20"/>
                <w:color w:val="auto"/>
              </w:rPr>
            </w:pPr>
            <w:r>
              <w:rPr>
                <w:rFonts w:ascii="Arial" w:cs="Arial" w:eastAsia="Arial" w:hAnsi="Arial"/>
                <w:sz w:val="14"/>
                <w:szCs w:val="14"/>
                <w:color w:val="auto"/>
              </w:rPr>
              <w:t>Real estate funds</w:t>
            </w:r>
          </w:p>
        </w:tc>
        <w:tc>
          <w:tcPr>
            <w:tcW w:w="14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420" w:type="dxa"/>
            <w:vAlign w:val="bottom"/>
            <w:shd w:val="clear" w:color="auto" w:fill="E2E8F1"/>
          </w:tcPr>
          <w:p>
            <w:pPr>
              <w:spacing w:after="0"/>
              <w:rPr>
                <w:sz w:val="14"/>
                <w:szCs w:val="14"/>
                <w:color w:val="auto"/>
              </w:rPr>
            </w:pPr>
          </w:p>
        </w:tc>
        <w:tc>
          <w:tcPr>
            <w:tcW w:w="7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96.4</w:t>
            </w:r>
          </w:p>
        </w:tc>
        <w:tc>
          <w:tcPr>
            <w:tcW w:w="320" w:type="dxa"/>
            <w:vAlign w:val="bottom"/>
            <w:shd w:val="clear" w:color="auto" w:fill="E2E8F1"/>
          </w:tcPr>
          <w:p>
            <w:pPr>
              <w:spacing w:after="0"/>
              <w:rPr>
                <w:sz w:val="14"/>
                <w:szCs w:val="14"/>
                <w:color w:val="auto"/>
              </w:rPr>
            </w:pPr>
          </w:p>
        </w:tc>
        <w:tc>
          <w:tcPr>
            <w:tcW w:w="1180" w:type="dxa"/>
            <w:vAlign w:val="bottom"/>
            <w:shd w:val="clear" w:color="auto" w:fill="E2E8F1"/>
          </w:tcPr>
          <w:p>
            <w:pPr>
              <w:jc w:val="right"/>
              <w:ind w:right="52"/>
              <w:spacing w:after="0"/>
              <w:rPr>
                <w:sz w:val="20"/>
                <w:szCs w:val="20"/>
                <w:color w:val="auto"/>
              </w:rPr>
            </w:pPr>
            <w:r>
              <w:rPr>
                <w:rFonts w:ascii="Arial" w:cs="Arial" w:eastAsia="Arial" w:hAnsi="Arial"/>
                <w:sz w:val="14"/>
                <w:szCs w:val="14"/>
                <w:color w:val="auto"/>
              </w:rPr>
              <w:t>—</w:t>
            </w:r>
          </w:p>
        </w:tc>
        <w:tc>
          <w:tcPr>
            <w:tcW w:w="280" w:type="dxa"/>
            <w:vAlign w:val="bottom"/>
            <w:shd w:val="clear" w:color="auto" w:fill="E2E8F1"/>
          </w:tcPr>
          <w:p>
            <w:pPr>
              <w:spacing w:after="0"/>
              <w:rPr>
                <w:sz w:val="14"/>
                <w:szCs w:val="14"/>
                <w:color w:val="auto"/>
              </w:rPr>
            </w:pPr>
          </w:p>
        </w:tc>
        <w:tc>
          <w:tcPr>
            <w:tcW w:w="112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auto"/>
              </w:rPr>
              <w:t>95.1</w:t>
            </w:r>
          </w:p>
        </w:tc>
        <w:tc>
          <w:tcPr>
            <w:tcW w:w="240" w:type="dxa"/>
            <w:vAlign w:val="bottom"/>
            <w:shd w:val="clear" w:color="auto" w:fill="E2E8F1"/>
          </w:tcPr>
          <w:p>
            <w:pPr>
              <w:spacing w:after="0"/>
              <w:rPr>
                <w:sz w:val="14"/>
                <w:szCs w:val="14"/>
                <w:color w:val="auto"/>
              </w:rPr>
            </w:pPr>
          </w:p>
        </w:tc>
        <w:tc>
          <w:tcPr>
            <w:tcW w:w="116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1.3</w:t>
            </w:r>
          </w:p>
        </w:tc>
      </w:tr>
      <w:tr>
        <w:trPr>
          <w:trHeight w:val="166"/>
        </w:trPr>
        <w:tc>
          <w:tcPr>
            <w:tcW w:w="5560" w:type="dxa"/>
            <w:vAlign w:val="bottom"/>
          </w:tcPr>
          <w:p>
            <w:pPr>
              <w:ind w:left="160"/>
              <w:spacing w:after="0"/>
              <w:rPr>
                <w:sz w:val="20"/>
                <w:szCs w:val="20"/>
                <w:color w:val="auto"/>
              </w:rPr>
            </w:pPr>
            <w:r>
              <w:rPr>
                <w:rFonts w:ascii="Arial" w:cs="Arial" w:eastAsia="Arial" w:hAnsi="Arial"/>
                <w:sz w:val="14"/>
                <w:szCs w:val="14"/>
                <w:color w:val="auto"/>
              </w:rPr>
              <w:t>Insurance contracts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80.9</w:t>
            </w:r>
          </w:p>
        </w:tc>
        <w:tc>
          <w:tcPr>
            <w:tcW w:w="320" w:type="dxa"/>
            <w:vAlign w:val="bottom"/>
          </w:tcPr>
          <w:p>
            <w:pPr>
              <w:spacing w:after="0"/>
              <w:rPr>
                <w:sz w:val="14"/>
                <w:szCs w:val="14"/>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80.9</w:t>
            </w:r>
          </w:p>
        </w:tc>
      </w:tr>
      <w:tr>
        <w:trPr>
          <w:trHeight w:val="166"/>
        </w:trPr>
        <w:tc>
          <w:tcPr>
            <w:tcW w:w="5560" w:type="dxa"/>
            <w:vAlign w:val="bottom"/>
            <w:shd w:val="clear" w:color="auto" w:fill="E2E8F1"/>
          </w:tcPr>
          <w:p>
            <w:pPr>
              <w:ind w:left="160"/>
              <w:spacing w:after="0"/>
              <w:rPr>
                <w:sz w:val="20"/>
                <w:szCs w:val="20"/>
                <w:color w:val="auto"/>
              </w:rPr>
            </w:pPr>
            <w:r>
              <w:rPr>
                <w:rFonts w:ascii="Arial" w:cs="Arial" w:eastAsia="Arial" w:hAnsi="Arial"/>
                <w:sz w:val="14"/>
                <w:szCs w:val="14"/>
                <w:color w:val="auto"/>
              </w:rPr>
              <w:t>Hedge funds</w:t>
            </w:r>
          </w:p>
        </w:tc>
        <w:tc>
          <w:tcPr>
            <w:tcW w:w="14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420" w:type="dxa"/>
            <w:vAlign w:val="bottom"/>
            <w:shd w:val="clear" w:color="auto" w:fill="E2E8F1"/>
          </w:tcPr>
          <w:p>
            <w:pPr>
              <w:spacing w:after="0"/>
              <w:rPr>
                <w:sz w:val="14"/>
                <w:szCs w:val="14"/>
                <w:color w:val="auto"/>
              </w:rPr>
            </w:pPr>
          </w:p>
        </w:tc>
        <w:tc>
          <w:tcPr>
            <w:tcW w:w="7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29.0</w:t>
            </w:r>
          </w:p>
        </w:tc>
        <w:tc>
          <w:tcPr>
            <w:tcW w:w="320" w:type="dxa"/>
            <w:vAlign w:val="bottom"/>
            <w:shd w:val="clear" w:color="auto" w:fill="E2E8F1"/>
          </w:tcPr>
          <w:p>
            <w:pPr>
              <w:spacing w:after="0"/>
              <w:rPr>
                <w:sz w:val="14"/>
                <w:szCs w:val="14"/>
                <w:color w:val="auto"/>
              </w:rPr>
            </w:pPr>
          </w:p>
        </w:tc>
        <w:tc>
          <w:tcPr>
            <w:tcW w:w="1180" w:type="dxa"/>
            <w:vAlign w:val="bottom"/>
            <w:shd w:val="clear" w:color="auto" w:fill="E2E8F1"/>
          </w:tcPr>
          <w:p>
            <w:pPr>
              <w:jc w:val="right"/>
              <w:ind w:right="52"/>
              <w:spacing w:after="0"/>
              <w:rPr>
                <w:sz w:val="20"/>
                <w:szCs w:val="20"/>
                <w:color w:val="auto"/>
              </w:rPr>
            </w:pPr>
            <w:r>
              <w:rPr>
                <w:rFonts w:ascii="Arial" w:cs="Arial" w:eastAsia="Arial" w:hAnsi="Arial"/>
                <w:sz w:val="14"/>
                <w:szCs w:val="14"/>
                <w:color w:val="auto"/>
              </w:rPr>
              <w:t>—</w:t>
            </w:r>
          </w:p>
        </w:tc>
        <w:tc>
          <w:tcPr>
            <w:tcW w:w="280" w:type="dxa"/>
            <w:vAlign w:val="bottom"/>
            <w:shd w:val="clear" w:color="auto" w:fill="E2E8F1"/>
          </w:tcPr>
          <w:p>
            <w:pPr>
              <w:spacing w:after="0"/>
              <w:rPr>
                <w:sz w:val="14"/>
                <w:szCs w:val="14"/>
                <w:color w:val="auto"/>
              </w:rPr>
            </w:pPr>
          </w:p>
        </w:tc>
        <w:tc>
          <w:tcPr>
            <w:tcW w:w="112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auto"/>
              </w:rPr>
              <w:t>11.5</w:t>
            </w:r>
          </w:p>
        </w:tc>
        <w:tc>
          <w:tcPr>
            <w:tcW w:w="240" w:type="dxa"/>
            <w:vAlign w:val="bottom"/>
            <w:shd w:val="clear" w:color="auto" w:fill="E2E8F1"/>
          </w:tcPr>
          <w:p>
            <w:pPr>
              <w:spacing w:after="0"/>
              <w:rPr>
                <w:sz w:val="14"/>
                <w:szCs w:val="14"/>
                <w:color w:val="auto"/>
              </w:rPr>
            </w:pPr>
          </w:p>
        </w:tc>
        <w:tc>
          <w:tcPr>
            <w:tcW w:w="116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17.5</w:t>
            </w:r>
          </w:p>
        </w:tc>
      </w:tr>
      <w:tr>
        <w:trPr>
          <w:trHeight w:val="166"/>
        </w:trPr>
        <w:tc>
          <w:tcPr>
            <w:tcW w:w="55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3.6</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19.6</w:t>
            </w:r>
          </w:p>
        </w:tc>
      </w:tr>
      <w:tr>
        <w:trPr>
          <w:trHeight w:val="157"/>
        </w:trPr>
        <w:tc>
          <w:tcPr>
            <w:tcW w:w="5560" w:type="dxa"/>
            <w:vAlign w:val="bottom"/>
            <w:tcBorders>
              <w:bottom w:val="single" w:sz="8" w:color="auto"/>
            </w:tcBorders>
            <w:shd w:val="clear" w:color="auto" w:fill="E2E8F1"/>
          </w:tcPr>
          <w:p>
            <w:pPr>
              <w:spacing w:after="0"/>
              <w:rPr>
                <w:sz w:val="13"/>
                <w:szCs w:val="13"/>
                <w:color w:val="auto"/>
              </w:rPr>
            </w:pPr>
          </w:p>
        </w:tc>
        <w:tc>
          <w:tcPr>
            <w:tcW w:w="640" w:type="dxa"/>
            <w:vAlign w:val="bottom"/>
            <w:tcBorders>
              <w:bottom w:val="single" w:sz="8" w:color="auto"/>
            </w:tcBorders>
            <w:gridSpan w:val="3"/>
            <w:shd w:val="clear" w:color="auto" w:fill="E2E8F1"/>
          </w:tcPr>
          <w:p>
            <w:pPr>
              <w:ind w:left="240"/>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586.1</w:t>
            </w:r>
          </w:p>
        </w:tc>
        <w:tc>
          <w:tcPr>
            <w:tcW w:w="3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2E8F1"/>
          </w:tcPr>
          <w:p>
            <w:pPr>
              <w:jc w:val="right"/>
              <w:ind w:right="52"/>
              <w:spacing w:after="0" w:line="157" w:lineRule="exact"/>
              <w:rPr>
                <w:sz w:val="20"/>
                <w:szCs w:val="20"/>
                <w:color w:val="auto"/>
              </w:rPr>
            </w:pPr>
            <w:r>
              <w:rPr>
                <w:rFonts w:ascii="Arial" w:cs="Arial" w:eastAsia="Arial" w:hAnsi="Arial"/>
                <w:sz w:val="14"/>
                <w:szCs w:val="14"/>
                <w:color w:val="auto"/>
              </w:rPr>
              <w:t>175.8</w:t>
            </w:r>
          </w:p>
        </w:tc>
        <w:tc>
          <w:tcPr>
            <w:tcW w:w="2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2E8F1"/>
          </w:tcPr>
          <w:p>
            <w:pPr>
              <w:jc w:val="right"/>
              <w:ind w:right="72"/>
              <w:spacing w:after="0" w:line="157" w:lineRule="exact"/>
              <w:rPr>
                <w:sz w:val="20"/>
                <w:szCs w:val="20"/>
                <w:color w:val="auto"/>
              </w:rPr>
            </w:pPr>
            <w:r>
              <w:rPr>
                <w:rFonts w:ascii="Arial" w:cs="Arial" w:eastAsia="Arial" w:hAnsi="Arial"/>
                <w:sz w:val="14"/>
                <w:szCs w:val="14"/>
                <w:color w:val="auto"/>
              </w:rPr>
              <w:t>259.6</w:t>
            </w:r>
          </w:p>
        </w:tc>
        <w:tc>
          <w:tcPr>
            <w:tcW w:w="2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2E8F1"/>
          </w:tcPr>
          <w:p>
            <w:pPr>
              <w:jc w:val="right"/>
              <w:ind w:right="71"/>
              <w:spacing w:after="0" w:line="157" w:lineRule="exact"/>
              <w:rPr>
                <w:sz w:val="20"/>
                <w:szCs w:val="20"/>
                <w:color w:val="auto"/>
              </w:rPr>
            </w:pPr>
            <w:r>
              <w:rPr>
                <w:rFonts w:ascii="Arial" w:cs="Arial" w:eastAsia="Arial" w:hAnsi="Arial"/>
                <w:sz w:val="14"/>
                <w:szCs w:val="14"/>
                <w:color w:val="auto"/>
              </w:rPr>
              <w:t>150.7</w:t>
            </w:r>
          </w:p>
        </w:tc>
      </w:tr>
      <w:tr>
        <w:trPr>
          <w:trHeight w:val="98"/>
        </w:trPr>
        <w:tc>
          <w:tcPr>
            <w:tcW w:w="5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gridSpan w:val="3"/>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r>
        <w:trPr>
          <w:trHeight w:val="140"/>
        </w:trPr>
        <w:tc>
          <w:tcPr>
            <w:tcW w:w="5560" w:type="dxa"/>
            <w:vAlign w:val="bottom"/>
            <w:tcBorders>
              <w:bottom w:val="single" w:sz="8" w:color="98B0CF"/>
            </w:tcBorders>
            <w:shd w:val="clear" w:color="auto" w:fill="98B0CF"/>
          </w:tcPr>
          <w:p>
            <w:pPr>
              <w:spacing w:after="0"/>
              <w:rPr>
                <w:sz w:val="12"/>
                <w:szCs w:val="12"/>
                <w:color w:val="auto"/>
              </w:rPr>
            </w:pPr>
          </w:p>
        </w:tc>
        <w:tc>
          <w:tcPr>
            <w:tcW w:w="140" w:type="dxa"/>
            <w:vAlign w:val="bottom"/>
            <w:tcBorders>
              <w:bottom w:val="single" w:sz="8" w:color="98B0CF"/>
            </w:tcBorders>
            <w:shd w:val="clear" w:color="auto" w:fill="98B0CF"/>
          </w:tcPr>
          <w:p>
            <w:pPr>
              <w:spacing w:after="0"/>
              <w:rPr>
                <w:sz w:val="12"/>
                <w:szCs w:val="12"/>
                <w:color w:val="auto"/>
              </w:rPr>
            </w:pPr>
          </w:p>
        </w:tc>
        <w:tc>
          <w:tcPr>
            <w:tcW w:w="80" w:type="dxa"/>
            <w:vAlign w:val="bottom"/>
            <w:tcBorders>
              <w:bottom w:val="single" w:sz="8" w:color="auto"/>
            </w:tcBorders>
            <w:shd w:val="clear" w:color="auto" w:fill="98B0CF"/>
          </w:tcPr>
          <w:p>
            <w:pPr>
              <w:spacing w:after="0"/>
              <w:rPr>
                <w:sz w:val="12"/>
                <w:szCs w:val="12"/>
                <w:color w:val="auto"/>
              </w:rPr>
            </w:pPr>
          </w:p>
        </w:tc>
        <w:tc>
          <w:tcPr>
            <w:tcW w:w="420" w:type="dxa"/>
            <w:vAlign w:val="bottom"/>
            <w:tcBorders>
              <w:bottom w:val="single" w:sz="8" w:color="auto"/>
            </w:tcBorders>
            <w:shd w:val="clear" w:color="auto" w:fill="98B0CF"/>
          </w:tcPr>
          <w:p>
            <w:pPr>
              <w:spacing w:after="0"/>
              <w:rPr>
                <w:sz w:val="12"/>
                <w:szCs w:val="12"/>
                <w:color w:val="auto"/>
              </w:rPr>
            </w:pPr>
          </w:p>
        </w:tc>
        <w:tc>
          <w:tcPr>
            <w:tcW w:w="760" w:type="dxa"/>
            <w:vAlign w:val="bottom"/>
            <w:tcBorders>
              <w:bottom w:val="single" w:sz="8" w:color="auto"/>
            </w:tcBorders>
            <w:shd w:val="clear" w:color="auto" w:fill="98B0CF"/>
          </w:tcPr>
          <w:p>
            <w:pPr>
              <w:spacing w:after="0"/>
              <w:rPr>
                <w:sz w:val="12"/>
                <w:szCs w:val="12"/>
                <w:color w:val="auto"/>
              </w:rPr>
            </w:pPr>
          </w:p>
        </w:tc>
        <w:tc>
          <w:tcPr>
            <w:tcW w:w="320" w:type="dxa"/>
            <w:vAlign w:val="bottom"/>
            <w:tcBorders>
              <w:bottom w:val="single" w:sz="8" w:color="auto"/>
            </w:tcBorders>
            <w:shd w:val="clear" w:color="auto" w:fill="98B0CF"/>
          </w:tcPr>
          <w:p>
            <w:pPr>
              <w:spacing w:after="0"/>
              <w:rPr>
                <w:sz w:val="12"/>
                <w:szCs w:val="12"/>
                <w:color w:val="auto"/>
              </w:rPr>
            </w:pPr>
          </w:p>
        </w:tc>
        <w:tc>
          <w:tcPr>
            <w:tcW w:w="2580" w:type="dxa"/>
            <w:vAlign w:val="bottom"/>
            <w:tcBorders>
              <w:bottom w:val="single" w:sz="8" w:color="auto"/>
            </w:tcBorders>
            <w:gridSpan w:val="3"/>
            <w:shd w:val="clear" w:color="auto" w:fill="98B0CF"/>
          </w:tcPr>
          <w:p>
            <w:pPr>
              <w:jc w:val="right"/>
              <w:ind w:right="432"/>
              <w:spacing w:after="0" w:line="140" w:lineRule="exact"/>
              <w:rPr>
                <w:sz w:val="20"/>
                <w:szCs w:val="20"/>
                <w:color w:val="auto"/>
              </w:rPr>
            </w:pPr>
            <w:r>
              <w:rPr>
                <w:rFonts w:ascii="Arial" w:cs="Arial" w:eastAsia="Arial" w:hAnsi="Arial"/>
                <w:sz w:val="13"/>
                <w:szCs w:val="13"/>
                <w:b w:val="1"/>
                <w:bCs w:val="1"/>
                <w:color w:val="auto"/>
              </w:rPr>
              <w:t>Fair Value Measurements Using</w:t>
            </w:r>
          </w:p>
        </w:tc>
        <w:tc>
          <w:tcPr>
            <w:tcW w:w="240" w:type="dxa"/>
            <w:vAlign w:val="bottom"/>
            <w:tcBorders>
              <w:bottom w:val="single" w:sz="8" w:color="auto"/>
            </w:tcBorders>
            <w:shd w:val="clear" w:color="auto" w:fill="98B0CF"/>
          </w:tcPr>
          <w:p>
            <w:pPr>
              <w:spacing w:after="0"/>
              <w:rPr>
                <w:sz w:val="12"/>
                <w:szCs w:val="12"/>
                <w:color w:val="auto"/>
              </w:rPr>
            </w:pPr>
          </w:p>
        </w:tc>
        <w:tc>
          <w:tcPr>
            <w:tcW w:w="1160" w:type="dxa"/>
            <w:vAlign w:val="bottom"/>
            <w:tcBorders>
              <w:bottom w:val="single" w:sz="8" w:color="auto"/>
            </w:tcBorders>
            <w:shd w:val="clear" w:color="auto" w:fill="98B0CF"/>
          </w:tcPr>
          <w:p>
            <w:pPr>
              <w:spacing w:after="0"/>
              <w:rPr>
                <w:sz w:val="12"/>
                <w:szCs w:val="12"/>
                <w:color w:val="auto"/>
              </w:rPr>
            </w:pPr>
          </w:p>
        </w:tc>
      </w:tr>
      <w:tr>
        <w:trPr>
          <w:trHeight w:val="144"/>
        </w:trPr>
        <w:tc>
          <w:tcPr>
            <w:tcW w:w="556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80" w:type="dxa"/>
            <w:vAlign w:val="bottom"/>
            <w:shd w:val="clear" w:color="auto" w:fill="98B0CF"/>
          </w:tcPr>
          <w:p>
            <w:pPr>
              <w:spacing w:after="0"/>
              <w:rPr>
                <w:sz w:val="12"/>
                <w:szCs w:val="12"/>
                <w:color w:val="auto"/>
              </w:rPr>
            </w:pPr>
          </w:p>
        </w:tc>
        <w:tc>
          <w:tcPr>
            <w:tcW w:w="420" w:type="dxa"/>
            <w:vAlign w:val="bottom"/>
            <w:shd w:val="clear" w:color="auto" w:fill="98B0CF"/>
          </w:tcPr>
          <w:p>
            <w:pPr>
              <w:spacing w:after="0"/>
              <w:rPr>
                <w:sz w:val="12"/>
                <w:szCs w:val="12"/>
                <w:color w:val="auto"/>
              </w:rPr>
            </w:pPr>
          </w:p>
        </w:tc>
        <w:tc>
          <w:tcPr>
            <w:tcW w:w="760" w:type="dxa"/>
            <w:vAlign w:val="bottom"/>
            <w:shd w:val="clear" w:color="auto" w:fill="98B0CF"/>
          </w:tcPr>
          <w:p>
            <w:pPr>
              <w:spacing w:after="0"/>
              <w:rPr>
                <w:sz w:val="12"/>
                <w:szCs w:val="12"/>
                <w:color w:val="auto"/>
              </w:rPr>
            </w:pPr>
          </w:p>
        </w:tc>
        <w:tc>
          <w:tcPr>
            <w:tcW w:w="320" w:type="dxa"/>
            <w:vAlign w:val="bottom"/>
            <w:shd w:val="clear" w:color="auto" w:fill="98B0CF"/>
          </w:tcPr>
          <w:p>
            <w:pPr>
              <w:spacing w:after="0"/>
              <w:rPr>
                <w:sz w:val="12"/>
                <w:szCs w:val="12"/>
                <w:color w:val="auto"/>
              </w:rPr>
            </w:pPr>
          </w:p>
        </w:tc>
        <w:tc>
          <w:tcPr>
            <w:tcW w:w="1180" w:type="dxa"/>
            <w:vAlign w:val="bottom"/>
            <w:shd w:val="clear" w:color="auto" w:fill="98B0CF"/>
          </w:tcPr>
          <w:p>
            <w:pPr>
              <w:jc w:val="center"/>
              <w:ind w:right="252"/>
              <w:spacing w:after="0" w:line="144" w:lineRule="exact"/>
              <w:rPr>
                <w:sz w:val="20"/>
                <w:szCs w:val="20"/>
                <w:color w:val="auto"/>
              </w:rPr>
            </w:pPr>
            <w:r>
              <w:rPr>
                <w:rFonts w:ascii="Arial" w:cs="Arial" w:eastAsia="Arial" w:hAnsi="Arial"/>
                <w:sz w:val="13"/>
                <w:szCs w:val="13"/>
                <w:b w:val="1"/>
                <w:bCs w:val="1"/>
                <w:color w:val="auto"/>
                <w:w w:val="97"/>
              </w:rPr>
              <w:t>Quoted Prices</w:t>
            </w:r>
          </w:p>
        </w:tc>
        <w:tc>
          <w:tcPr>
            <w:tcW w:w="280" w:type="dxa"/>
            <w:vAlign w:val="bottom"/>
            <w:shd w:val="clear" w:color="auto" w:fill="98B0CF"/>
          </w:tcPr>
          <w:p>
            <w:pPr>
              <w:spacing w:after="0"/>
              <w:rPr>
                <w:sz w:val="12"/>
                <w:szCs w:val="12"/>
                <w:color w:val="auto"/>
              </w:rPr>
            </w:pPr>
          </w:p>
        </w:tc>
        <w:tc>
          <w:tcPr>
            <w:tcW w:w="112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1160" w:type="dxa"/>
            <w:vAlign w:val="bottom"/>
            <w:shd w:val="clear" w:color="auto" w:fill="98B0CF"/>
          </w:tcPr>
          <w:p>
            <w:pPr>
              <w:spacing w:after="0"/>
              <w:rPr>
                <w:sz w:val="12"/>
                <w:szCs w:val="12"/>
                <w:color w:val="auto"/>
              </w:rPr>
            </w:pPr>
          </w:p>
        </w:tc>
      </w:tr>
      <w:tr>
        <w:trPr>
          <w:trHeight w:val="142"/>
        </w:trPr>
        <w:tc>
          <w:tcPr>
            <w:tcW w:w="556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80" w:type="dxa"/>
            <w:vAlign w:val="bottom"/>
            <w:shd w:val="clear" w:color="auto" w:fill="98B0CF"/>
          </w:tcPr>
          <w:p>
            <w:pPr>
              <w:spacing w:after="0"/>
              <w:rPr>
                <w:sz w:val="12"/>
                <w:szCs w:val="12"/>
                <w:color w:val="auto"/>
              </w:rPr>
            </w:pPr>
          </w:p>
        </w:tc>
        <w:tc>
          <w:tcPr>
            <w:tcW w:w="420" w:type="dxa"/>
            <w:vAlign w:val="bottom"/>
            <w:shd w:val="clear" w:color="auto" w:fill="98B0CF"/>
          </w:tcPr>
          <w:p>
            <w:pPr>
              <w:spacing w:after="0"/>
              <w:rPr>
                <w:sz w:val="12"/>
                <w:szCs w:val="12"/>
                <w:color w:val="auto"/>
              </w:rPr>
            </w:pPr>
          </w:p>
        </w:tc>
        <w:tc>
          <w:tcPr>
            <w:tcW w:w="760" w:type="dxa"/>
            <w:vAlign w:val="bottom"/>
            <w:shd w:val="clear" w:color="auto" w:fill="98B0CF"/>
          </w:tcPr>
          <w:p>
            <w:pPr>
              <w:spacing w:after="0"/>
              <w:rPr>
                <w:sz w:val="12"/>
                <w:szCs w:val="12"/>
                <w:color w:val="auto"/>
              </w:rPr>
            </w:pPr>
          </w:p>
        </w:tc>
        <w:tc>
          <w:tcPr>
            <w:tcW w:w="320" w:type="dxa"/>
            <w:vAlign w:val="bottom"/>
            <w:shd w:val="clear" w:color="auto" w:fill="98B0CF"/>
          </w:tcPr>
          <w:p>
            <w:pPr>
              <w:spacing w:after="0"/>
              <w:rPr>
                <w:sz w:val="12"/>
                <w:szCs w:val="12"/>
                <w:color w:val="auto"/>
              </w:rPr>
            </w:pPr>
          </w:p>
        </w:tc>
        <w:tc>
          <w:tcPr>
            <w:tcW w:w="1180" w:type="dxa"/>
            <w:vAlign w:val="bottom"/>
            <w:shd w:val="clear" w:color="auto" w:fill="98B0CF"/>
          </w:tcPr>
          <w:p>
            <w:pPr>
              <w:jc w:val="center"/>
              <w:ind w:right="212"/>
              <w:spacing w:after="0" w:line="142" w:lineRule="exact"/>
              <w:rPr>
                <w:sz w:val="20"/>
                <w:szCs w:val="20"/>
                <w:color w:val="auto"/>
              </w:rPr>
            </w:pPr>
            <w:r>
              <w:rPr>
                <w:rFonts w:ascii="Arial" w:cs="Arial" w:eastAsia="Arial" w:hAnsi="Arial"/>
                <w:sz w:val="13"/>
                <w:szCs w:val="13"/>
                <w:b w:val="1"/>
                <w:bCs w:val="1"/>
                <w:color w:val="auto"/>
                <w:w w:val="99"/>
              </w:rPr>
              <w:t>in Active</w:t>
            </w:r>
          </w:p>
        </w:tc>
        <w:tc>
          <w:tcPr>
            <w:tcW w:w="280" w:type="dxa"/>
            <w:vAlign w:val="bottom"/>
            <w:shd w:val="clear" w:color="auto" w:fill="98B0CF"/>
          </w:tcPr>
          <w:p>
            <w:pPr>
              <w:spacing w:after="0"/>
              <w:rPr>
                <w:sz w:val="12"/>
                <w:szCs w:val="12"/>
                <w:color w:val="auto"/>
              </w:rPr>
            </w:pPr>
          </w:p>
        </w:tc>
        <w:tc>
          <w:tcPr>
            <w:tcW w:w="1120" w:type="dxa"/>
            <w:vAlign w:val="bottom"/>
            <w:shd w:val="clear" w:color="auto" w:fill="98B0CF"/>
          </w:tcPr>
          <w:p>
            <w:pPr>
              <w:jc w:val="center"/>
              <w:ind w:right="212"/>
              <w:spacing w:after="0" w:line="142" w:lineRule="exact"/>
              <w:rPr>
                <w:sz w:val="20"/>
                <w:szCs w:val="20"/>
                <w:color w:val="auto"/>
              </w:rPr>
            </w:pPr>
            <w:r>
              <w:rPr>
                <w:rFonts w:ascii="Arial" w:cs="Arial" w:eastAsia="Arial" w:hAnsi="Arial"/>
                <w:sz w:val="13"/>
                <w:szCs w:val="13"/>
                <w:b w:val="1"/>
                <w:bCs w:val="1"/>
                <w:color w:val="auto"/>
                <w:w w:val="96"/>
              </w:rPr>
              <w:t>Significant</w:t>
            </w:r>
          </w:p>
        </w:tc>
        <w:tc>
          <w:tcPr>
            <w:tcW w:w="240" w:type="dxa"/>
            <w:vAlign w:val="bottom"/>
            <w:shd w:val="clear" w:color="auto" w:fill="98B0CF"/>
          </w:tcPr>
          <w:p>
            <w:pPr>
              <w:spacing w:after="0"/>
              <w:rPr>
                <w:sz w:val="12"/>
                <w:szCs w:val="12"/>
                <w:color w:val="auto"/>
              </w:rPr>
            </w:pPr>
          </w:p>
        </w:tc>
        <w:tc>
          <w:tcPr>
            <w:tcW w:w="1160" w:type="dxa"/>
            <w:vAlign w:val="bottom"/>
            <w:shd w:val="clear" w:color="auto" w:fill="98B0CF"/>
          </w:tcPr>
          <w:p>
            <w:pPr>
              <w:spacing w:after="0"/>
              <w:rPr>
                <w:sz w:val="12"/>
                <w:szCs w:val="12"/>
                <w:color w:val="auto"/>
              </w:rPr>
            </w:pPr>
          </w:p>
        </w:tc>
      </w:tr>
      <w:tr>
        <w:trPr>
          <w:trHeight w:val="142"/>
        </w:trPr>
        <w:tc>
          <w:tcPr>
            <w:tcW w:w="556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80" w:type="dxa"/>
            <w:vAlign w:val="bottom"/>
            <w:shd w:val="clear" w:color="auto" w:fill="98B0CF"/>
          </w:tcPr>
          <w:p>
            <w:pPr>
              <w:spacing w:after="0"/>
              <w:rPr>
                <w:sz w:val="12"/>
                <w:szCs w:val="12"/>
                <w:color w:val="auto"/>
              </w:rPr>
            </w:pPr>
          </w:p>
        </w:tc>
        <w:tc>
          <w:tcPr>
            <w:tcW w:w="420" w:type="dxa"/>
            <w:vAlign w:val="bottom"/>
            <w:shd w:val="clear" w:color="auto" w:fill="98B0CF"/>
          </w:tcPr>
          <w:p>
            <w:pPr>
              <w:spacing w:after="0"/>
              <w:rPr>
                <w:sz w:val="12"/>
                <w:szCs w:val="12"/>
                <w:color w:val="auto"/>
              </w:rPr>
            </w:pPr>
          </w:p>
        </w:tc>
        <w:tc>
          <w:tcPr>
            <w:tcW w:w="760" w:type="dxa"/>
            <w:vAlign w:val="bottom"/>
            <w:shd w:val="clear" w:color="auto" w:fill="98B0CF"/>
          </w:tcPr>
          <w:p>
            <w:pPr>
              <w:spacing w:after="0"/>
              <w:rPr>
                <w:sz w:val="12"/>
                <w:szCs w:val="12"/>
                <w:color w:val="auto"/>
              </w:rPr>
            </w:pPr>
          </w:p>
        </w:tc>
        <w:tc>
          <w:tcPr>
            <w:tcW w:w="320" w:type="dxa"/>
            <w:vAlign w:val="bottom"/>
            <w:shd w:val="clear" w:color="auto" w:fill="98B0CF"/>
          </w:tcPr>
          <w:p>
            <w:pPr>
              <w:spacing w:after="0"/>
              <w:rPr>
                <w:sz w:val="12"/>
                <w:szCs w:val="12"/>
                <w:color w:val="auto"/>
              </w:rPr>
            </w:pPr>
          </w:p>
        </w:tc>
        <w:tc>
          <w:tcPr>
            <w:tcW w:w="1180" w:type="dxa"/>
            <w:vAlign w:val="bottom"/>
            <w:shd w:val="clear" w:color="auto" w:fill="98B0CF"/>
          </w:tcPr>
          <w:p>
            <w:pPr>
              <w:jc w:val="center"/>
              <w:ind w:right="232"/>
              <w:spacing w:after="0" w:line="142" w:lineRule="exact"/>
              <w:rPr>
                <w:sz w:val="20"/>
                <w:szCs w:val="20"/>
                <w:color w:val="auto"/>
              </w:rPr>
            </w:pPr>
            <w:r>
              <w:rPr>
                <w:rFonts w:ascii="Arial" w:cs="Arial" w:eastAsia="Arial" w:hAnsi="Arial"/>
                <w:sz w:val="13"/>
                <w:szCs w:val="13"/>
                <w:b w:val="1"/>
                <w:bCs w:val="1"/>
                <w:color w:val="auto"/>
                <w:w w:val="96"/>
              </w:rPr>
              <w:t>Markets for</w:t>
            </w:r>
          </w:p>
        </w:tc>
        <w:tc>
          <w:tcPr>
            <w:tcW w:w="280" w:type="dxa"/>
            <w:vAlign w:val="bottom"/>
            <w:shd w:val="clear" w:color="auto" w:fill="98B0CF"/>
          </w:tcPr>
          <w:p>
            <w:pPr>
              <w:spacing w:after="0"/>
              <w:rPr>
                <w:sz w:val="12"/>
                <w:szCs w:val="12"/>
                <w:color w:val="auto"/>
              </w:rPr>
            </w:pPr>
          </w:p>
        </w:tc>
        <w:tc>
          <w:tcPr>
            <w:tcW w:w="1120" w:type="dxa"/>
            <w:vAlign w:val="bottom"/>
            <w:shd w:val="clear" w:color="auto" w:fill="98B0CF"/>
          </w:tcPr>
          <w:p>
            <w:pPr>
              <w:jc w:val="center"/>
              <w:ind w:right="232"/>
              <w:spacing w:after="0" w:line="142" w:lineRule="exact"/>
              <w:rPr>
                <w:sz w:val="20"/>
                <w:szCs w:val="20"/>
                <w:color w:val="auto"/>
              </w:rPr>
            </w:pPr>
            <w:r>
              <w:rPr>
                <w:rFonts w:ascii="Arial" w:cs="Arial" w:eastAsia="Arial" w:hAnsi="Arial"/>
                <w:sz w:val="13"/>
                <w:szCs w:val="13"/>
                <w:b w:val="1"/>
                <w:bCs w:val="1"/>
                <w:color w:val="auto"/>
                <w:w w:val="97"/>
              </w:rPr>
              <w:t>Other</w:t>
            </w:r>
          </w:p>
        </w:tc>
        <w:tc>
          <w:tcPr>
            <w:tcW w:w="240" w:type="dxa"/>
            <w:vAlign w:val="bottom"/>
            <w:shd w:val="clear" w:color="auto" w:fill="98B0CF"/>
          </w:tcPr>
          <w:p>
            <w:pPr>
              <w:spacing w:after="0"/>
              <w:rPr>
                <w:sz w:val="12"/>
                <w:szCs w:val="12"/>
                <w:color w:val="auto"/>
              </w:rPr>
            </w:pPr>
          </w:p>
        </w:tc>
        <w:tc>
          <w:tcPr>
            <w:tcW w:w="1160" w:type="dxa"/>
            <w:vAlign w:val="bottom"/>
            <w:shd w:val="clear" w:color="auto" w:fill="98B0CF"/>
          </w:tcPr>
          <w:p>
            <w:pPr>
              <w:jc w:val="center"/>
              <w:ind w:right="171"/>
              <w:spacing w:after="0" w:line="142" w:lineRule="exact"/>
              <w:rPr>
                <w:sz w:val="20"/>
                <w:szCs w:val="20"/>
                <w:color w:val="auto"/>
              </w:rPr>
            </w:pPr>
            <w:r>
              <w:rPr>
                <w:rFonts w:ascii="Arial" w:cs="Arial" w:eastAsia="Arial" w:hAnsi="Arial"/>
                <w:sz w:val="13"/>
                <w:szCs w:val="13"/>
                <w:b w:val="1"/>
                <w:bCs w:val="1"/>
                <w:color w:val="auto"/>
                <w:w w:val="96"/>
              </w:rPr>
              <w:t>Significant</w:t>
            </w:r>
          </w:p>
        </w:tc>
      </w:tr>
      <w:tr>
        <w:trPr>
          <w:trHeight w:val="142"/>
        </w:trPr>
        <w:tc>
          <w:tcPr>
            <w:tcW w:w="556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80" w:type="dxa"/>
            <w:vAlign w:val="bottom"/>
            <w:shd w:val="clear" w:color="auto" w:fill="98B0CF"/>
          </w:tcPr>
          <w:p>
            <w:pPr>
              <w:spacing w:after="0"/>
              <w:rPr>
                <w:sz w:val="12"/>
                <w:szCs w:val="12"/>
                <w:color w:val="auto"/>
              </w:rPr>
            </w:pPr>
          </w:p>
        </w:tc>
        <w:tc>
          <w:tcPr>
            <w:tcW w:w="420" w:type="dxa"/>
            <w:vAlign w:val="bottom"/>
            <w:shd w:val="clear" w:color="auto" w:fill="98B0CF"/>
          </w:tcPr>
          <w:p>
            <w:pPr>
              <w:spacing w:after="0"/>
              <w:rPr>
                <w:sz w:val="12"/>
                <w:szCs w:val="12"/>
                <w:color w:val="auto"/>
              </w:rPr>
            </w:pPr>
          </w:p>
        </w:tc>
        <w:tc>
          <w:tcPr>
            <w:tcW w:w="760" w:type="dxa"/>
            <w:vAlign w:val="bottom"/>
            <w:shd w:val="clear" w:color="auto" w:fill="98B0CF"/>
          </w:tcPr>
          <w:p>
            <w:pPr>
              <w:spacing w:after="0"/>
              <w:rPr>
                <w:sz w:val="12"/>
                <w:szCs w:val="12"/>
                <w:color w:val="auto"/>
              </w:rPr>
            </w:pPr>
          </w:p>
        </w:tc>
        <w:tc>
          <w:tcPr>
            <w:tcW w:w="320" w:type="dxa"/>
            <w:vAlign w:val="bottom"/>
            <w:shd w:val="clear" w:color="auto" w:fill="98B0CF"/>
          </w:tcPr>
          <w:p>
            <w:pPr>
              <w:spacing w:after="0"/>
              <w:rPr>
                <w:sz w:val="12"/>
                <w:szCs w:val="12"/>
                <w:color w:val="auto"/>
              </w:rPr>
            </w:pPr>
          </w:p>
        </w:tc>
        <w:tc>
          <w:tcPr>
            <w:tcW w:w="1180" w:type="dxa"/>
            <w:vAlign w:val="bottom"/>
            <w:shd w:val="clear" w:color="auto" w:fill="98B0CF"/>
          </w:tcPr>
          <w:p>
            <w:pPr>
              <w:jc w:val="center"/>
              <w:ind w:right="212"/>
              <w:spacing w:after="0" w:line="142" w:lineRule="exact"/>
              <w:rPr>
                <w:sz w:val="20"/>
                <w:szCs w:val="20"/>
                <w:color w:val="auto"/>
              </w:rPr>
            </w:pPr>
            <w:r>
              <w:rPr>
                <w:rFonts w:ascii="Arial" w:cs="Arial" w:eastAsia="Arial" w:hAnsi="Arial"/>
                <w:sz w:val="13"/>
                <w:szCs w:val="13"/>
                <w:b w:val="1"/>
                <w:bCs w:val="1"/>
                <w:color w:val="auto"/>
                <w:w w:val="94"/>
              </w:rPr>
              <w:t>Identical</w:t>
            </w:r>
          </w:p>
        </w:tc>
        <w:tc>
          <w:tcPr>
            <w:tcW w:w="280" w:type="dxa"/>
            <w:vAlign w:val="bottom"/>
            <w:shd w:val="clear" w:color="auto" w:fill="98B0CF"/>
          </w:tcPr>
          <w:p>
            <w:pPr>
              <w:spacing w:after="0"/>
              <w:rPr>
                <w:sz w:val="12"/>
                <w:szCs w:val="12"/>
                <w:color w:val="auto"/>
              </w:rPr>
            </w:pPr>
          </w:p>
        </w:tc>
        <w:tc>
          <w:tcPr>
            <w:tcW w:w="1120" w:type="dxa"/>
            <w:vAlign w:val="bottom"/>
            <w:shd w:val="clear" w:color="auto" w:fill="98B0CF"/>
          </w:tcPr>
          <w:p>
            <w:pPr>
              <w:jc w:val="center"/>
              <w:ind w:right="212"/>
              <w:spacing w:after="0" w:line="142" w:lineRule="exact"/>
              <w:rPr>
                <w:sz w:val="20"/>
                <w:szCs w:val="20"/>
                <w:color w:val="auto"/>
              </w:rPr>
            </w:pPr>
            <w:r>
              <w:rPr>
                <w:rFonts w:ascii="Arial" w:cs="Arial" w:eastAsia="Arial" w:hAnsi="Arial"/>
                <w:sz w:val="13"/>
                <w:szCs w:val="13"/>
                <w:b w:val="1"/>
                <w:bCs w:val="1"/>
                <w:color w:val="auto"/>
                <w:w w:val="95"/>
              </w:rPr>
              <w:t>Observable</w:t>
            </w:r>
          </w:p>
        </w:tc>
        <w:tc>
          <w:tcPr>
            <w:tcW w:w="240" w:type="dxa"/>
            <w:vAlign w:val="bottom"/>
            <w:shd w:val="clear" w:color="auto" w:fill="98B0CF"/>
          </w:tcPr>
          <w:p>
            <w:pPr>
              <w:spacing w:after="0"/>
              <w:rPr>
                <w:sz w:val="12"/>
                <w:szCs w:val="12"/>
                <w:color w:val="auto"/>
              </w:rPr>
            </w:pPr>
          </w:p>
        </w:tc>
        <w:tc>
          <w:tcPr>
            <w:tcW w:w="1160" w:type="dxa"/>
            <w:vAlign w:val="bottom"/>
            <w:shd w:val="clear" w:color="auto" w:fill="98B0CF"/>
          </w:tcPr>
          <w:p>
            <w:pPr>
              <w:jc w:val="center"/>
              <w:ind w:right="211"/>
              <w:spacing w:after="0" w:line="142" w:lineRule="exact"/>
              <w:rPr>
                <w:sz w:val="20"/>
                <w:szCs w:val="20"/>
                <w:color w:val="auto"/>
              </w:rPr>
            </w:pPr>
            <w:r>
              <w:rPr>
                <w:rFonts w:ascii="Arial" w:cs="Arial" w:eastAsia="Arial" w:hAnsi="Arial"/>
                <w:sz w:val="13"/>
                <w:szCs w:val="13"/>
                <w:b w:val="1"/>
                <w:bCs w:val="1"/>
                <w:color w:val="auto"/>
                <w:w w:val="97"/>
              </w:rPr>
              <w:t>Unobservable</w:t>
            </w:r>
          </w:p>
        </w:tc>
      </w:tr>
      <w:tr>
        <w:trPr>
          <w:trHeight w:val="142"/>
        </w:trPr>
        <w:tc>
          <w:tcPr>
            <w:tcW w:w="556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80" w:type="dxa"/>
            <w:vAlign w:val="bottom"/>
            <w:shd w:val="clear" w:color="auto" w:fill="98B0CF"/>
          </w:tcPr>
          <w:p>
            <w:pPr>
              <w:spacing w:after="0"/>
              <w:rPr>
                <w:sz w:val="12"/>
                <w:szCs w:val="12"/>
                <w:color w:val="auto"/>
              </w:rPr>
            </w:pPr>
          </w:p>
        </w:tc>
        <w:tc>
          <w:tcPr>
            <w:tcW w:w="420" w:type="dxa"/>
            <w:vAlign w:val="bottom"/>
            <w:shd w:val="clear" w:color="auto" w:fill="98B0CF"/>
          </w:tcPr>
          <w:p>
            <w:pPr>
              <w:spacing w:after="0"/>
              <w:rPr>
                <w:sz w:val="12"/>
                <w:szCs w:val="12"/>
                <w:color w:val="auto"/>
              </w:rPr>
            </w:pPr>
          </w:p>
        </w:tc>
        <w:tc>
          <w:tcPr>
            <w:tcW w:w="760" w:type="dxa"/>
            <w:vAlign w:val="bottom"/>
            <w:shd w:val="clear" w:color="auto" w:fill="98B0CF"/>
          </w:tcPr>
          <w:p>
            <w:pPr>
              <w:spacing w:after="0"/>
              <w:rPr>
                <w:sz w:val="12"/>
                <w:szCs w:val="12"/>
                <w:color w:val="auto"/>
              </w:rPr>
            </w:pPr>
          </w:p>
        </w:tc>
        <w:tc>
          <w:tcPr>
            <w:tcW w:w="320" w:type="dxa"/>
            <w:vAlign w:val="bottom"/>
            <w:shd w:val="clear" w:color="auto" w:fill="98B0CF"/>
          </w:tcPr>
          <w:p>
            <w:pPr>
              <w:spacing w:after="0"/>
              <w:rPr>
                <w:sz w:val="12"/>
                <w:szCs w:val="12"/>
                <w:color w:val="auto"/>
              </w:rPr>
            </w:pPr>
          </w:p>
        </w:tc>
        <w:tc>
          <w:tcPr>
            <w:tcW w:w="1180" w:type="dxa"/>
            <w:vAlign w:val="bottom"/>
            <w:shd w:val="clear" w:color="auto" w:fill="98B0CF"/>
          </w:tcPr>
          <w:p>
            <w:pPr>
              <w:jc w:val="center"/>
              <w:ind w:right="212"/>
              <w:spacing w:after="0" w:line="142" w:lineRule="exact"/>
              <w:rPr>
                <w:sz w:val="20"/>
                <w:szCs w:val="20"/>
                <w:color w:val="auto"/>
              </w:rPr>
            </w:pPr>
            <w:r>
              <w:rPr>
                <w:rFonts w:ascii="Arial" w:cs="Arial" w:eastAsia="Arial" w:hAnsi="Arial"/>
                <w:sz w:val="13"/>
                <w:szCs w:val="13"/>
                <w:b w:val="1"/>
                <w:bCs w:val="1"/>
                <w:color w:val="auto"/>
                <w:w w:val="98"/>
              </w:rPr>
              <w:t>Assets</w:t>
            </w:r>
          </w:p>
        </w:tc>
        <w:tc>
          <w:tcPr>
            <w:tcW w:w="280" w:type="dxa"/>
            <w:vAlign w:val="bottom"/>
            <w:shd w:val="clear" w:color="auto" w:fill="98B0CF"/>
          </w:tcPr>
          <w:p>
            <w:pPr>
              <w:spacing w:after="0"/>
              <w:rPr>
                <w:sz w:val="12"/>
                <w:szCs w:val="12"/>
                <w:color w:val="auto"/>
              </w:rPr>
            </w:pPr>
          </w:p>
        </w:tc>
        <w:tc>
          <w:tcPr>
            <w:tcW w:w="1120" w:type="dxa"/>
            <w:vAlign w:val="bottom"/>
            <w:shd w:val="clear" w:color="auto" w:fill="98B0CF"/>
          </w:tcPr>
          <w:p>
            <w:pPr>
              <w:jc w:val="center"/>
              <w:ind w:right="212"/>
              <w:spacing w:after="0" w:line="142" w:lineRule="exact"/>
              <w:rPr>
                <w:sz w:val="20"/>
                <w:szCs w:val="20"/>
                <w:color w:val="auto"/>
              </w:rPr>
            </w:pPr>
            <w:r>
              <w:rPr>
                <w:rFonts w:ascii="Arial" w:cs="Arial" w:eastAsia="Arial" w:hAnsi="Arial"/>
                <w:sz w:val="13"/>
                <w:szCs w:val="13"/>
                <w:b w:val="1"/>
                <w:bCs w:val="1"/>
                <w:color w:val="auto"/>
                <w:w w:val="92"/>
              </w:rPr>
              <w:t>Inputs</w:t>
            </w:r>
          </w:p>
        </w:tc>
        <w:tc>
          <w:tcPr>
            <w:tcW w:w="240" w:type="dxa"/>
            <w:vAlign w:val="bottom"/>
            <w:shd w:val="clear" w:color="auto" w:fill="98B0CF"/>
          </w:tcPr>
          <w:p>
            <w:pPr>
              <w:spacing w:after="0"/>
              <w:rPr>
                <w:sz w:val="12"/>
                <w:szCs w:val="12"/>
                <w:color w:val="auto"/>
              </w:rPr>
            </w:pPr>
          </w:p>
        </w:tc>
        <w:tc>
          <w:tcPr>
            <w:tcW w:w="1160" w:type="dxa"/>
            <w:vAlign w:val="bottom"/>
            <w:shd w:val="clear" w:color="auto" w:fill="98B0CF"/>
          </w:tcPr>
          <w:p>
            <w:pPr>
              <w:jc w:val="center"/>
              <w:ind w:right="191"/>
              <w:spacing w:after="0" w:line="142" w:lineRule="exact"/>
              <w:rPr>
                <w:sz w:val="20"/>
                <w:szCs w:val="20"/>
                <w:color w:val="auto"/>
              </w:rPr>
            </w:pPr>
            <w:r>
              <w:rPr>
                <w:rFonts w:ascii="Arial" w:cs="Arial" w:eastAsia="Arial" w:hAnsi="Arial"/>
                <w:sz w:val="13"/>
                <w:szCs w:val="13"/>
                <w:b w:val="1"/>
                <w:bCs w:val="1"/>
                <w:color w:val="auto"/>
                <w:w w:val="97"/>
              </w:rPr>
              <w:t>Inputs</w:t>
            </w:r>
          </w:p>
        </w:tc>
      </w:tr>
      <w:tr>
        <w:trPr>
          <w:trHeight w:val="156"/>
        </w:trPr>
        <w:tc>
          <w:tcPr>
            <w:tcW w:w="5560" w:type="dxa"/>
            <w:vAlign w:val="bottom"/>
            <w:tcBorders>
              <w:bottom w:val="single" w:sz="8" w:color="auto"/>
            </w:tcBorders>
            <w:shd w:val="clear" w:color="auto" w:fill="98B0CF"/>
          </w:tcPr>
          <w:p>
            <w:pPr>
              <w:spacing w:after="0"/>
              <w:rPr>
                <w:sz w:val="13"/>
                <w:szCs w:val="13"/>
                <w:color w:val="auto"/>
              </w:rPr>
            </w:pPr>
          </w:p>
        </w:tc>
        <w:tc>
          <w:tcPr>
            <w:tcW w:w="140" w:type="dxa"/>
            <w:vAlign w:val="bottom"/>
            <w:tcBorders>
              <w:bottom w:val="single" w:sz="8" w:color="auto"/>
            </w:tcBorders>
            <w:shd w:val="clear" w:color="auto" w:fill="98B0CF"/>
          </w:tcPr>
          <w:p>
            <w:pPr>
              <w:spacing w:after="0"/>
              <w:rPr>
                <w:sz w:val="13"/>
                <w:szCs w:val="13"/>
                <w:color w:val="auto"/>
              </w:rPr>
            </w:pPr>
          </w:p>
        </w:tc>
        <w:tc>
          <w:tcPr>
            <w:tcW w:w="1260" w:type="dxa"/>
            <w:vAlign w:val="bottom"/>
            <w:tcBorders>
              <w:bottom w:val="single" w:sz="8" w:color="auto"/>
            </w:tcBorders>
            <w:gridSpan w:val="3"/>
            <w:shd w:val="clear" w:color="auto" w:fill="98B0CF"/>
          </w:tcPr>
          <w:p>
            <w:pPr>
              <w:ind w:left="20"/>
              <w:spacing w:after="0"/>
              <w:rPr>
                <w:sz w:val="20"/>
                <w:szCs w:val="20"/>
                <w:color w:val="auto"/>
              </w:rPr>
            </w:pPr>
            <w:r>
              <w:rPr>
                <w:rFonts w:ascii="Arial" w:cs="Arial" w:eastAsia="Arial" w:hAnsi="Arial"/>
                <w:sz w:val="13"/>
                <w:szCs w:val="13"/>
                <w:b w:val="1"/>
                <w:bCs w:val="1"/>
                <w:color w:val="auto"/>
              </w:rPr>
              <w:t>December 31, 2023</w:t>
            </w:r>
          </w:p>
        </w:tc>
        <w:tc>
          <w:tcPr>
            <w:tcW w:w="320" w:type="dxa"/>
            <w:vAlign w:val="bottom"/>
            <w:tcBorders>
              <w:bottom w:val="single" w:sz="8" w:color="auto"/>
            </w:tcBorders>
            <w:shd w:val="clear" w:color="auto" w:fill="98B0CF"/>
          </w:tcPr>
          <w:p>
            <w:pPr>
              <w:spacing w:after="0"/>
              <w:rPr>
                <w:sz w:val="13"/>
                <w:szCs w:val="13"/>
                <w:color w:val="auto"/>
              </w:rPr>
            </w:pPr>
          </w:p>
        </w:tc>
        <w:tc>
          <w:tcPr>
            <w:tcW w:w="1180" w:type="dxa"/>
            <w:vAlign w:val="bottom"/>
            <w:tcBorders>
              <w:bottom w:val="single" w:sz="8" w:color="auto"/>
            </w:tcBorders>
            <w:shd w:val="clear" w:color="auto" w:fill="98B0CF"/>
          </w:tcPr>
          <w:p>
            <w:pPr>
              <w:jc w:val="center"/>
              <w:ind w:right="212"/>
              <w:spacing w:after="0"/>
              <w:rPr>
                <w:sz w:val="20"/>
                <w:szCs w:val="20"/>
                <w:color w:val="auto"/>
              </w:rPr>
            </w:pPr>
            <w:r>
              <w:rPr>
                <w:rFonts w:ascii="Arial" w:cs="Arial" w:eastAsia="Arial" w:hAnsi="Arial"/>
                <w:sz w:val="13"/>
                <w:szCs w:val="13"/>
                <w:b w:val="1"/>
                <w:bCs w:val="1"/>
                <w:color w:val="auto"/>
                <w:w w:val="94"/>
              </w:rPr>
              <w:t>(Level 1)</w:t>
            </w:r>
          </w:p>
        </w:tc>
        <w:tc>
          <w:tcPr>
            <w:tcW w:w="280" w:type="dxa"/>
            <w:vAlign w:val="bottom"/>
            <w:tcBorders>
              <w:bottom w:val="single" w:sz="8" w:color="auto"/>
            </w:tcBorders>
            <w:shd w:val="clear" w:color="auto" w:fill="98B0CF"/>
          </w:tcPr>
          <w:p>
            <w:pPr>
              <w:spacing w:after="0"/>
              <w:rPr>
                <w:sz w:val="13"/>
                <w:szCs w:val="13"/>
                <w:color w:val="auto"/>
              </w:rPr>
            </w:pPr>
          </w:p>
        </w:tc>
        <w:tc>
          <w:tcPr>
            <w:tcW w:w="1120" w:type="dxa"/>
            <w:vAlign w:val="bottom"/>
            <w:tcBorders>
              <w:bottom w:val="single" w:sz="8" w:color="auto"/>
            </w:tcBorders>
            <w:shd w:val="clear" w:color="auto" w:fill="98B0CF"/>
          </w:tcPr>
          <w:p>
            <w:pPr>
              <w:jc w:val="center"/>
              <w:ind w:right="212"/>
              <w:spacing w:after="0"/>
              <w:rPr>
                <w:sz w:val="20"/>
                <w:szCs w:val="20"/>
                <w:color w:val="auto"/>
              </w:rPr>
            </w:pPr>
            <w:r>
              <w:rPr>
                <w:rFonts w:ascii="Arial" w:cs="Arial" w:eastAsia="Arial" w:hAnsi="Arial"/>
                <w:sz w:val="13"/>
                <w:szCs w:val="13"/>
                <w:b w:val="1"/>
                <w:bCs w:val="1"/>
                <w:color w:val="auto"/>
                <w:w w:val="98"/>
              </w:rPr>
              <w:t>(Level 2)</w:t>
            </w:r>
          </w:p>
        </w:tc>
        <w:tc>
          <w:tcPr>
            <w:tcW w:w="240" w:type="dxa"/>
            <w:vAlign w:val="bottom"/>
            <w:tcBorders>
              <w:bottom w:val="single" w:sz="8" w:color="auto"/>
            </w:tcBorders>
            <w:shd w:val="clear" w:color="auto" w:fill="98B0CF"/>
          </w:tcPr>
          <w:p>
            <w:pPr>
              <w:spacing w:after="0"/>
              <w:rPr>
                <w:sz w:val="13"/>
                <w:szCs w:val="13"/>
                <w:color w:val="auto"/>
              </w:rPr>
            </w:pPr>
          </w:p>
        </w:tc>
        <w:tc>
          <w:tcPr>
            <w:tcW w:w="1160" w:type="dxa"/>
            <w:vAlign w:val="bottom"/>
            <w:tcBorders>
              <w:bottom w:val="single" w:sz="8" w:color="auto"/>
            </w:tcBorders>
            <w:shd w:val="clear" w:color="auto" w:fill="98B0CF"/>
          </w:tcPr>
          <w:p>
            <w:pPr>
              <w:jc w:val="center"/>
              <w:ind w:right="171"/>
              <w:spacing w:after="0"/>
              <w:rPr>
                <w:sz w:val="20"/>
                <w:szCs w:val="20"/>
                <w:color w:val="auto"/>
              </w:rPr>
            </w:pPr>
            <w:r>
              <w:rPr>
                <w:rFonts w:ascii="Arial" w:cs="Arial" w:eastAsia="Arial" w:hAnsi="Arial"/>
                <w:sz w:val="13"/>
                <w:szCs w:val="13"/>
                <w:b w:val="1"/>
                <w:bCs w:val="1"/>
                <w:color w:val="auto"/>
                <w:w w:val="98"/>
              </w:rPr>
              <w:t>(Level 3)</w:t>
            </w:r>
          </w:p>
        </w:tc>
      </w:tr>
      <w:tr>
        <w:trPr>
          <w:trHeight w:val="163"/>
        </w:trPr>
        <w:tc>
          <w:tcPr>
            <w:tcW w:w="556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420" w:type="dxa"/>
            <w:vAlign w:val="bottom"/>
            <w:shd w:val="clear" w:color="auto" w:fill="E2E8F1"/>
          </w:tcPr>
          <w:p>
            <w:pPr>
              <w:spacing w:after="0"/>
              <w:rPr>
                <w:sz w:val="14"/>
                <w:szCs w:val="14"/>
                <w:color w:val="auto"/>
              </w:rPr>
            </w:pPr>
          </w:p>
        </w:tc>
        <w:tc>
          <w:tcPr>
            <w:tcW w:w="76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12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160" w:type="dxa"/>
            <w:vAlign w:val="bottom"/>
            <w:shd w:val="clear" w:color="auto" w:fill="E2E8F1"/>
          </w:tcPr>
          <w:p>
            <w:pPr>
              <w:spacing w:after="0"/>
              <w:rPr>
                <w:sz w:val="14"/>
                <w:szCs w:val="14"/>
                <w:color w:val="auto"/>
              </w:rPr>
            </w:pPr>
          </w:p>
        </w:tc>
      </w:tr>
      <w:tr>
        <w:trPr>
          <w:trHeight w:val="166"/>
        </w:trPr>
        <w:tc>
          <w:tcPr>
            <w:tcW w:w="5560" w:type="dxa"/>
            <w:vAlign w:val="bottom"/>
          </w:tcPr>
          <w:p>
            <w:pPr>
              <w:ind w:left="80"/>
              <w:spacing w:after="0"/>
              <w:rPr>
                <w:sz w:val="20"/>
                <w:szCs w:val="20"/>
                <w:color w:val="auto"/>
              </w:rPr>
            </w:pPr>
            <w:r>
              <w:rPr>
                <w:rFonts w:ascii="Arial" w:cs="Arial" w:eastAsia="Arial" w:hAnsi="Arial"/>
                <w:sz w:val="14"/>
                <w:szCs w:val="14"/>
                <w:color w:val="auto"/>
              </w:rPr>
              <w:t>Cash and cash equivalents</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42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6.9</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6.9</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w:t>
            </w:r>
          </w:p>
        </w:tc>
      </w:tr>
      <w:tr>
        <w:trPr>
          <w:trHeight w:val="166"/>
        </w:trPr>
        <w:tc>
          <w:tcPr>
            <w:tcW w:w="5560" w:type="dxa"/>
            <w:vAlign w:val="bottom"/>
            <w:shd w:val="clear" w:color="auto" w:fill="E2E8F1"/>
          </w:tcPr>
          <w:p>
            <w:pPr>
              <w:ind w:left="80"/>
              <w:spacing w:after="0"/>
              <w:rPr>
                <w:sz w:val="20"/>
                <w:szCs w:val="20"/>
                <w:color w:val="auto"/>
              </w:rPr>
            </w:pPr>
            <w:r>
              <w:rPr>
                <w:rFonts w:ascii="Arial" w:cs="Arial" w:eastAsia="Arial" w:hAnsi="Arial"/>
                <w:sz w:val="14"/>
                <w:szCs w:val="14"/>
                <w:color w:val="auto"/>
              </w:rPr>
              <w:t>Equity securities:</w:t>
            </w:r>
          </w:p>
        </w:tc>
        <w:tc>
          <w:tcPr>
            <w:tcW w:w="14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420" w:type="dxa"/>
            <w:vAlign w:val="bottom"/>
            <w:shd w:val="clear" w:color="auto" w:fill="E2E8F1"/>
          </w:tcPr>
          <w:p>
            <w:pPr>
              <w:spacing w:after="0"/>
              <w:rPr>
                <w:sz w:val="14"/>
                <w:szCs w:val="14"/>
                <w:color w:val="auto"/>
              </w:rPr>
            </w:pPr>
          </w:p>
        </w:tc>
        <w:tc>
          <w:tcPr>
            <w:tcW w:w="76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12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160" w:type="dxa"/>
            <w:vAlign w:val="bottom"/>
            <w:shd w:val="clear" w:color="auto" w:fill="E2E8F1"/>
          </w:tcPr>
          <w:p>
            <w:pPr>
              <w:spacing w:after="0"/>
              <w:rPr>
                <w:sz w:val="14"/>
                <w:szCs w:val="14"/>
                <w:color w:val="auto"/>
              </w:rPr>
            </w:pPr>
          </w:p>
        </w:tc>
      </w:tr>
      <w:tr>
        <w:trPr>
          <w:trHeight w:val="166"/>
        </w:trPr>
        <w:tc>
          <w:tcPr>
            <w:tcW w:w="5560" w:type="dxa"/>
            <w:vAlign w:val="bottom"/>
          </w:tcPr>
          <w:p>
            <w:pPr>
              <w:ind w:left="160"/>
              <w:spacing w:after="0"/>
              <w:rPr>
                <w:sz w:val="20"/>
                <w:szCs w:val="20"/>
                <w:color w:val="auto"/>
              </w:rPr>
            </w:pPr>
            <w:r>
              <w:rPr>
                <w:rFonts w:ascii="Arial" w:cs="Arial" w:eastAsia="Arial" w:hAnsi="Arial"/>
                <w:sz w:val="14"/>
                <w:szCs w:val="14"/>
                <w:color w:val="auto"/>
              </w:rPr>
              <w:t>Mutual funds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137.6</w:t>
            </w:r>
          </w:p>
        </w:tc>
        <w:tc>
          <w:tcPr>
            <w:tcW w:w="320" w:type="dxa"/>
            <w:vAlign w:val="bottom"/>
          </w:tcPr>
          <w:p>
            <w:pPr>
              <w:spacing w:after="0"/>
              <w:rPr>
                <w:sz w:val="14"/>
                <w:szCs w:val="1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137.6</w:t>
            </w:r>
          </w:p>
        </w:tc>
        <w:tc>
          <w:tcPr>
            <w:tcW w:w="280" w:type="dxa"/>
            <w:vAlign w:val="bottom"/>
          </w:tcPr>
          <w:p>
            <w:pPr>
              <w:spacing w:after="0"/>
              <w:rPr>
                <w:sz w:val="14"/>
                <w:szCs w:val="14"/>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w:t>
            </w:r>
          </w:p>
        </w:tc>
      </w:tr>
      <w:tr>
        <w:trPr>
          <w:trHeight w:val="166"/>
        </w:trPr>
        <w:tc>
          <w:tcPr>
            <w:tcW w:w="5560" w:type="dxa"/>
            <w:vAlign w:val="bottom"/>
            <w:shd w:val="clear" w:color="auto" w:fill="E2E8F1"/>
          </w:tcPr>
          <w:p>
            <w:pPr>
              <w:ind w:left="160"/>
              <w:spacing w:after="0"/>
              <w:rPr>
                <w:sz w:val="20"/>
                <w:szCs w:val="20"/>
                <w:color w:val="auto"/>
              </w:rPr>
            </w:pPr>
            <w:r>
              <w:rPr>
                <w:rFonts w:ascii="Arial" w:cs="Arial" w:eastAsia="Arial" w:hAnsi="Arial"/>
                <w:sz w:val="14"/>
                <w:szCs w:val="14"/>
                <w:color w:val="auto"/>
              </w:rPr>
              <w:t>Common stock</w:t>
            </w:r>
          </w:p>
        </w:tc>
        <w:tc>
          <w:tcPr>
            <w:tcW w:w="14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420" w:type="dxa"/>
            <w:vAlign w:val="bottom"/>
            <w:shd w:val="clear" w:color="auto" w:fill="E2E8F1"/>
          </w:tcPr>
          <w:p>
            <w:pPr>
              <w:spacing w:after="0"/>
              <w:rPr>
                <w:sz w:val="14"/>
                <w:szCs w:val="14"/>
                <w:color w:val="auto"/>
              </w:rPr>
            </w:pPr>
          </w:p>
        </w:tc>
        <w:tc>
          <w:tcPr>
            <w:tcW w:w="76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auto"/>
              </w:rPr>
              <w:t>34.0</w:t>
            </w:r>
          </w:p>
        </w:tc>
        <w:tc>
          <w:tcPr>
            <w:tcW w:w="320" w:type="dxa"/>
            <w:vAlign w:val="bottom"/>
            <w:shd w:val="clear" w:color="auto" w:fill="E2E8F1"/>
          </w:tcPr>
          <w:p>
            <w:pPr>
              <w:spacing w:after="0"/>
              <w:rPr>
                <w:sz w:val="14"/>
                <w:szCs w:val="14"/>
                <w:color w:val="auto"/>
              </w:rPr>
            </w:pPr>
          </w:p>
        </w:tc>
        <w:tc>
          <w:tcPr>
            <w:tcW w:w="1180" w:type="dxa"/>
            <w:vAlign w:val="bottom"/>
            <w:shd w:val="clear" w:color="auto" w:fill="E2E8F1"/>
          </w:tcPr>
          <w:p>
            <w:pPr>
              <w:jc w:val="right"/>
              <w:ind w:right="92"/>
              <w:spacing w:after="0"/>
              <w:rPr>
                <w:sz w:val="20"/>
                <w:szCs w:val="20"/>
                <w:color w:val="auto"/>
              </w:rPr>
            </w:pPr>
            <w:r>
              <w:rPr>
                <w:rFonts w:ascii="Arial" w:cs="Arial" w:eastAsia="Arial" w:hAnsi="Arial"/>
                <w:sz w:val="14"/>
                <w:szCs w:val="14"/>
                <w:color w:val="auto"/>
              </w:rPr>
              <w:t>34.0</w:t>
            </w:r>
          </w:p>
        </w:tc>
        <w:tc>
          <w:tcPr>
            <w:tcW w:w="280" w:type="dxa"/>
            <w:vAlign w:val="bottom"/>
            <w:shd w:val="clear" w:color="auto" w:fill="E2E8F1"/>
          </w:tcPr>
          <w:p>
            <w:pPr>
              <w:spacing w:after="0"/>
              <w:rPr>
                <w:sz w:val="14"/>
                <w:szCs w:val="14"/>
                <w:color w:val="auto"/>
              </w:rPr>
            </w:pPr>
          </w:p>
        </w:tc>
        <w:tc>
          <w:tcPr>
            <w:tcW w:w="112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shd w:val="clear" w:color="auto" w:fill="E2E8F1"/>
          </w:tcPr>
          <w:p>
            <w:pPr>
              <w:spacing w:after="0"/>
              <w:rPr>
                <w:sz w:val="14"/>
                <w:szCs w:val="14"/>
                <w:color w:val="auto"/>
              </w:rPr>
            </w:pPr>
          </w:p>
        </w:tc>
        <w:tc>
          <w:tcPr>
            <w:tcW w:w="116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w:t>
            </w:r>
          </w:p>
        </w:tc>
      </w:tr>
      <w:tr>
        <w:trPr>
          <w:trHeight w:val="166"/>
        </w:trPr>
        <w:tc>
          <w:tcPr>
            <w:tcW w:w="5560" w:type="dxa"/>
            <w:vAlign w:val="bottom"/>
          </w:tcPr>
          <w:p>
            <w:pPr>
              <w:ind w:left="80"/>
              <w:spacing w:after="0"/>
              <w:rPr>
                <w:sz w:val="20"/>
                <w:szCs w:val="20"/>
                <w:color w:val="auto"/>
              </w:rPr>
            </w:pPr>
            <w:r>
              <w:rPr>
                <w:rFonts w:ascii="Arial" w:cs="Arial" w:eastAsia="Arial" w:hAnsi="Arial"/>
                <w:sz w:val="14"/>
                <w:szCs w:val="14"/>
                <w:color w:val="auto"/>
              </w:rPr>
              <w:t>Fixed income instruments: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560" w:type="dxa"/>
            <w:vAlign w:val="bottom"/>
            <w:shd w:val="clear" w:color="auto" w:fill="E2E8F1"/>
          </w:tcPr>
          <w:p>
            <w:pPr>
              <w:ind w:left="160"/>
              <w:spacing w:after="0"/>
              <w:rPr>
                <w:sz w:val="20"/>
                <w:szCs w:val="20"/>
                <w:color w:val="auto"/>
              </w:rPr>
            </w:pPr>
            <w:r>
              <w:rPr>
                <w:rFonts w:ascii="Arial" w:cs="Arial" w:eastAsia="Arial" w:hAnsi="Arial"/>
                <w:sz w:val="14"/>
                <w:szCs w:val="14"/>
                <w:color w:val="auto"/>
              </w:rPr>
              <w:t>Fixed income funds</w:t>
            </w:r>
          </w:p>
        </w:tc>
        <w:tc>
          <w:tcPr>
            <w:tcW w:w="14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420" w:type="dxa"/>
            <w:vAlign w:val="bottom"/>
            <w:shd w:val="clear" w:color="auto" w:fill="E2E8F1"/>
          </w:tcPr>
          <w:p>
            <w:pPr>
              <w:spacing w:after="0"/>
              <w:rPr>
                <w:sz w:val="14"/>
                <w:szCs w:val="14"/>
                <w:color w:val="auto"/>
              </w:rPr>
            </w:pPr>
          </w:p>
        </w:tc>
        <w:tc>
          <w:tcPr>
            <w:tcW w:w="76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auto"/>
              </w:rPr>
              <w:t>125.6</w:t>
            </w:r>
          </w:p>
        </w:tc>
        <w:tc>
          <w:tcPr>
            <w:tcW w:w="320" w:type="dxa"/>
            <w:vAlign w:val="bottom"/>
            <w:shd w:val="clear" w:color="auto" w:fill="E2E8F1"/>
          </w:tcPr>
          <w:p>
            <w:pPr>
              <w:spacing w:after="0"/>
              <w:rPr>
                <w:sz w:val="14"/>
                <w:szCs w:val="14"/>
                <w:color w:val="auto"/>
              </w:rPr>
            </w:pPr>
          </w:p>
        </w:tc>
        <w:tc>
          <w:tcPr>
            <w:tcW w:w="1180" w:type="dxa"/>
            <w:vAlign w:val="bottom"/>
            <w:shd w:val="clear" w:color="auto" w:fill="E2E8F1"/>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shd w:val="clear" w:color="auto" w:fill="E2E8F1"/>
          </w:tcPr>
          <w:p>
            <w:pPr>
              <w:spacing w:after="0"/>
              <w:rPr>
                <w:sz w:val="14"/>
                <w:szCs w:val="14"/>
                <w:color w:val="auto"/>
              </w:rPr>
            </w:pPr>
          </w:p>
        </w:tc>
        <w:tc>
          <w:tcPr>
            <w:tcW w:w="112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auto"/>
              </w:rPr>
              <w:t>125.6</w:t>
            </w:r>
          </w:p>
        </w:tc>
        <w:tc>
          <w:tcPr>
            <w:tcW w:w="240" w:type="dxa"/>
            <w:vAlign w:val="bottom"/>
            <w:shd w:val="clear" w:color="auto" w:fill="E2E8F1"/>
          </w:tcPr>
          <w:p>
            <w:pPr>
              <w:spacing w:after="0"/>
              <w:rPr>
                <w:sz w:val="14"/>
                <w:szCs w:val="14"/>
                <w:color w:val="auto"/>
              </w:rPr>
            </w:pPr>
          </w:p>
        </w:tc>
        <w:tc>
          <w:tcPr>
            <w:tcW w:w="116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w:t>
            </w:r>
          </w:p>
        </w:tc>
      </w:tr>
      <w:tr>
        <w:trPr>
          <w:trHeight w:val="166"/>
        </w:trPr>
        <w:tc>
          <w:tcPr>
            <w:tcW w:w="5560" w:type="dxa"/>
            <w:vAlign w:val="bottom"/>
          </w:tcPr>
          <w:p>
            <w:pPr>
              <w:ind w:left="160"/>
              <w:spacing w:after="0"/>
              <w:rPr>
                <w:sz w:val="20"/>
                <w:szCs w:val="20"/>
                <w:color w:val="auto"/>
              </w:rPr>
            </w:pPr>
            <w:r>
              <w:rPr>
                <w:rFonts w:ascii="Arial" w:cs="Arial" w:eastAsia="Arial" w:hAnsi="Arial"/>
                <w:sz w:val="14"/>
                <w:szCs w:val="14"/>
                <w:color w:val="auto"/>
              </w:rPr>
              <w:t>Annuity contract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35.4</w:t>
            </w:r>
          </w:p>
        </w:tc>
        <w:tc>
          <w:tcPr>
            <w:tcW w:w="320" w:type="dxa"/>
            <w:vAlign w:val="bottom"/>
          </w:tcPr>
          <w:p>
            <w:pPr>
              <w:spacing w:after="0"/>
              <w:rPr>
                <w:sz w:val="14"/>
                <w:szCs w:val="1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35.4</w:t>
            </w:r>
          </w:p>
        </w:tc>
      </w:tr>
      <w:tr>
        <w:trPr>
          <w:trHeight w:val="166"/>
        </w:trPr>
        <w:tc>
          <w:tcPr>
            <w:tcW w:w="5560" w:type="dxa"/>
            <w:vAlign w:val="bottom"/>
            <w:shd w:val="clear" w:color="auto" w:fill="E2E8F1"/>
          </w:tcPr>
          <w:p>
            <w:pPr>
              <w:ind w:left="160"/>
              <w:spacing w:after="0"/>
              <w:rPr>
                <w:sz w:val="20"/>
                <w:szCs w:val="20"/>
                <w:color w:val="auto"/>
              </w:rPr>
            </w:pPr>
            <w:r>
              <w:rPr>
                <w:rFonts w:ascii="Arial" w:cs="Arial" w:eastAsia="Arial" w:hAnsi="Arial"/>
                <w:sz w:val="14"/>
                <w:szCs w:val="14"/>
                <w:color w:val="auto"/>
              </w:rPr>
              <w:t>Guaranteed insurance contracts</w:t>
            </w:r>
          </w:p>
        </w:tc>
        <w:tc>
          <w:tcPr>
            <w:tcW w:w="14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420" w:type="dxa"/>
            <w:vAlign w:val="bottom"/>
            <w:shd w:val="clear" w:color="auto" w:fill="E2E8F1"/>
          </w:tcPr>
          <w:p>
            <w:pPr>
              <w:spacing w:after="0"/>
              <w:rPr>
                <w:sz w:val="14"/>
                <w:szCs w:val="14"/>
                <w:color w:val="auto"/>
              </w:rPr>
            </w:pPr>
          </w:p>
        </w:tc>
        <w:tc>
          <w:tcPr>
            <w:tcW w:w="76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auto"/>
              </w:rPr>
              <w:t>23.4</w:t>
            </w:r>
          </w:p>
        </w:tc>
        <w:tc>
          <w:tcPr>
            <w:tcW w:w="320" w:type="dxa"/>
            <w:vAlign w:val="bottom"/>
            <w:shd w:val="clear" w:color="auto" w:fill="E2E8F1"/>
          </w:tcPr>
          <w:p>
            <w:pPr>
              <w:spacing w:after="0"/>
              <w:rPr>
                <w:sz w:val="14"/>
                <w:szCs w:val="14"/>
                <w:color w:val="auto"/>
              </w:rPr>
            </w:pPr>
          </w:p>
        </w:tc>
        <w:tc>
          <w:tcPr>
            <w:tcW w:w="1180" w:type="dxa"/>
            <w:vAlign w:val="bottom"/>
            <w:shd w:val="clear" w:color="auto" w:fill="E2E8F1"/>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shd w:val="clear" w:color="auto" w:fill="E2E8F1"/>
          </w:tcPr>
          <w:p>
            <w:pPr>
              <w:spacing w:after="0"/>
              <w:rPr>
                <w:sz w:val="14"/>
                <w:szCs w:val="14"/>
                <w:color w:val="auto"/>
              </w:rPr>
            </w:pPr>
          </w:p>
        </w:tc>
        <w:tc>
          <w:tcPr>
            <w:tcW w:w="112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auto"/>
              </w:rPr>
              <w:t>23.4</w:t>
            </w:r>
          </w:p>
        </w:tc>
        <w:tc>
          <w:tcPr>
            <w:tcW w:w="240" w:type="dxa"/>
            <w:vAlign w:val="bottom"/>
            <w:shd w:val="clear" w:color="auto" w:fill="E2E8F1"/>
          </w:tcPr>
          <w:p>
            <w:pPr>
              <w:spacing w:after="0"/>
              <w:rPr>
                <w:sz w:val="14"/>
                <w:szCs w:val="14"/>
                <w:color w:val="auto"/>
              </w:rPr>
            </w:pPr>
          </w:p>
        </w:tc>
        <w:tc>
          <w:tcPr>
            <w:tcW w:w="116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w:t>
            </w:r>
          </w:p>
        </w:tc>
      </w:tr>
      <w:tr>
        <w:trPr>
          <w:trHeight w:val="166"/>
        </w:trPr>
        <w:tc>
          <w:tcPr>
            <w:tcW w:w="5560" w:type="dxa"/>
            <w:vAlign w:val="bottom"/>
          </w:tcPr>
          <w:p>
            <w:pPr>
              <w:ind w:left="80"/>
              <w:spacing w:after="0"/>
              <w:rPr>
                <w:sz w:val="20"/>
                <w:szCs w:val="20"/>
                <w:color w:val="auto"/>
              </w:rPr>
            </w:pPr>
            <w:r>
              <w:rPr>
                <w:rFonts w:ascii="Arial" w:cs="Arial" w:eastAsia="Arial" w:hAnsi="Arial"/>
                <w:sz w:val="14"/>
                <w:szCs w:val="14"/>
                <w:color w:val="auto"/>
              </w:rPr>
              <w:t>Other types of investments: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560" w:type="dxa"/>
            <w:vAlign w:val="bottom"/>
            <w:shd w:val="clear" w:color="auto" w:fill="E2E8F1"/>
          </w:tcPr>
          <w:p>
            <w:pPr>
              <w:ind w:left="160"/>
              <w:spacing w:after="0"/>
              <w:rPr>
                <w:sz w:val="20"/>
                <w:szCs w:val="20"/>
                <w:color w:val="auto"/>
              </w:rPr>
            </w:pPr>
            <w:r>
              <w:rPr>
                <w:rFonts w:ascii="Arial" w:cs="Arial" w:eastAsia="Arial" w:hAnsi="Arial"/>
                <w:sz w:val="14"/>
                <w:szCs w:val="14"/>
                <w:color w:val="auto"/>
              </w:rPr>
              <w:t>Real estate funds</w:t>
            </w:r>
          </w:p>
        </w:tc>
        <w:tc>
          <w:tcPr>
            <w:tcW w:w="14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420" w:type="dxa"/>
            <w:vAlign w:val="bottom"/>
            <w:shd w:val="clear" w:color="auto" w:fill="E2E8F1"/>
          </w:tcPr>
          <w:p>
            <w:pPr>
              <w:spacing w:after="0"/>
              <w:rPr>
                <w:sz w:val="14"/>
                <w:szCs w:val="14"/>
                <w:color w:val="auto"/>
              </w:rPr>
            </w:pPr>
          </w:p>
        </w:tc>
        <w:tc>
          <w:tcPr>
            <w:tcW w:w="76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auto"/>
              </w:rPr>
              <w:t>99.6</w:t>
            </w:r>
          </w:p>
        </w:tc>
        <w:tc>
          <w:tcPr>
            <w:tcW w:w="320" w:type="dxa"/>
            <w:vAlign w:val="bottom"/>
            <w:shd w:val="clear" w:color="auto" w:fill="E2E8F1"/>
          </w:tcPr>
          <w:p>
            <w:pPr>
              <w:spacing w:after="0"/>
              <w:rPr>
                <w:sz w:val="14"/>
                <w:szCs w:val="14"/>
                <w:color w:val="auto"/>
              </w:rPr>
            </w:pPr>
          </w:p>
        </w:tc>
        <w:tc>
          <w:tcPr>
            <w:tcW w:w="1180" w:type="dxa"/>
            <w:vAlign w:val="bottom"/>
            <w:shd w:val="clear" w:color="auto" w:fill="E2E8F1"/>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shd w:val="clear" w:color="auto" w:fill="E2E8F1"/>
          </w:tcPr>
          <w:p>
            <w:pPr>
              <w:spacing w:after="0"/>
              <w:rPr>
                <w:sz w:val="14"/>
                <w:szCs w:val="14"/>
                <w:color w:val="auto"/>
              </w:rPr>
            </w:pPr>
          </w:p>
        </w:tc>
        <w:tc>
          <w:tcPr>
            <w:tcW w:w="112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auto"/>
              </w:rPr>
              <w:t>98.2</w:t>
            </w:r>
          </w:p>
        </w:tc>
        <w:tc>
          <w:tcPr>
            <w:tcW w:w="240" w:type="dxa"/>
            <w:vAlign w:val="bottom"/>
            <w:shd w:val="clear" w:color="auto" w:fill="E2E8F1"/>
          </w:tcPr>
          <w:p>
            <w:pPr>
              <w:spacing w:after="0"/>
              <w:rPr>
                <w:sz w:val="14"/>
                <w:szCs w:val="14"/>
                <w:color w:val="auto"/>
              </w:rPr>
            </w:pPr>
          </w:p>
        </w:tc>
        <w:tc>
          <w:tcPr>
            <w:tcW w:w="116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1.4</w:t>
            </w:r>
          </w:p>
        </w:tc>
      </w:tr>
      <w:tr>
        <w:trPr>
          <w:trHeight w:val="166"/>
        </w:trPr>
        <w:tc>
          <w:tcPr>
            <w:tcW w:w="5560" w:type="dxa"/>
            <w:vAlign w:val="bottom"/>
          </w:tcPr>
          <w:p>
            <w:pPr>
              <w:ind w:left="160"/>
              <w:spacing w:after="0"/>
              <w:rPr>
                <w:sz w:val="20"/>
                <w:szCs w:val="20"/>
                <w:color w:val="auto"/>
              </w:rPr>
            </w:pPr>
            <w:r>
              <w:rPr>
                <w:rFonts w:ascii="Arial" w:cs="Arial" w:eastAsia="Arial" w:hAnsi="Arial"/>
                <w:sz w:val="14"/>
                <w:szCs w:val="14"/>
                <w:color w:val="auto"/>
              </w:rPr>
              <w:t>Insurance contracts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82.6</w:t>
            </w:r>
          </w:p>
        </w:tc>
        <w:tc>
          <w:tcPr>
            <w:tcW w:w="320" w:type="dxa"/>
            <w:vAlign w:val="bottom"/>
          </w:tcPr>
          <w:p>
            <w:pPr>
              <w:spacing w:after="0"/>
              <w:rPr>
                <w:sz w:val="14"/>
                <w:szCs w:val="1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82.6</w:t>
            </w:r>
          </w:p>
        </w:tc>
      </w:tr>
      <w:tr>
        <w:trPr>
          <w:trHeight w:val="166"/>
        </w:trPr>
        <w:tc>
          <w:tcPr>
            <w:tcW w:w="5560" w:type="dxa"/>
            <w:vAlign w:val="bottom"/>
            <w:shd w:val="clear" w:color="auto" w:fill="E2E8F1"/>
          </w:tcPr>
          <w:p>
            <w:pPr>
              <w:ind w:left="160"/>
              <w:spacing w:after="0"/>
              <w:rPr>
                <w:sz w:val="20"/>
                <w:szCs w:val="20"/>
                <w:color w:val="auto"/>
              </w:rPr>
            </w:pPr>
            <w:r>
              <w:rPr>
                <w:rFonts w:ascii="Arial" w:cs="Arial" w:eastAsia="Arial" w:hAnsi="Arial"/>
                <w:sz w:val="14"/>
                <w:szCs w:val="14"/>
                <w:color w:val="auto"/>
              </w:rPr>
              <w:t>Hedge funds</w:t>
            </w:r>
          </w:p>
        </w:tc>
        <w:tc>
          <w:tcPr>
            <w:tcW w:w="14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420" w:type="dxa"/>
            <w:vAlign w:val="bottom"/>
            <w:shd w:val="clear" w:color="auto" w:fill="E2E8F1"/>
          </w:tcPr>
          <w:p>
            <w:pPr>
              <w:spacing w:after="0"/>
              <w:rPr>
                <w:sz w:val="14"/>
                <w:szCs w:val="14"/>
                <w:color w:val="auto"/>
              </w:rPr>
            </w:pPr>
          </w:p>
        </w:tc>
        <w:tc>
          <w:tcPr>
            <w:tcW w:w="76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auto"/>
              </w:rPr>
              <w:t>29.1</w:t>
            </w:r>
          </w:p>
        </w:tc>
        <w:tc>
          <w:tcPr>
            <w:tcW w:w="320" w:type="dxa"/>
            <w:vAlign w:val="bottom"/>
            <w:shd w:val="clear" w:color="auto" w:fill="E2E8F1"/>
          </w:tcPr>
          <w:p>
            <w:pPr>
              <w:spacing w:after="0"/>
              <w:rPr>
                <w:sz w:val="14"/>
                <w:szCs w:val="14"/>
                <w:color w:val="auto"/>
              </w:rPr>
            </w:pPr>
          </w:p>
        </w:tc>
        <w:tc>
          <w:tcPr>
            <w:tcW w:w="1180" w:type="dxa"/>
            <w:vAlign w:val="bottom"/>
            <w:shd w:val="clear" w:color="auto" w:fill="E2E8F1"/>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shd w:val="clear" w:color="auto" w:fill="E2E8F1"/>
          </w:tcPr>
          <w:p>
            <w:pPr>
              <w:spacing w:after="0"/>
              <w:rPr>
                <w:sz w:val="14"/>
                <w:szCs w:val="14"/>
                <w:color w:val="auto"/>
              </w:rPr>
            </w:pPr>
          </w:p>
        </w:tc>
        <w:tc>
          <w:tcPr>
            <w:tcW w:w="1120" w:type="dxa"/>
            <w:vAlign w:val="bottom"/>
            <w:shd w:val="clear" w:color="auto" w:fill="E2E8F1"/>
          </w:tcPr>
          <w:p>
            <w:pPr>
              <w:jc w:val="right"/>
              <w:ind w:right="72"/>
              <w:spacing w:after="0"/>
              <w:rPr>
                <w:sz w:val="20"/>
                <w:szCs w:val="20"/>
                <w:color w:val="auto"/>
              </w:rPr>
            </w:pPr>
            <w:r>
              <w:rPr>
                <w:rFonts w:ascii="Arial" w:cs="Arial" w:eastAsia="Arial" w:hAnsi="Arial"/>
                <w:sz w:val="14"/>
                <w:szCs w:val="14"/>
                <w:color w:val="auto"/>
              </w:rPr>
              <w:t>12.4</w:t>
            </w:r>
          </w:p>
        </w:tc>
        <w:tc>
          <w:tcPr>
            <w:tcW w:w="240" w:type="dxa"/>
            <w:vAlign w:val="bottom"/>
            <w:shd w:val="clear" w:color="auto" w:fill="E2E8F1"/>
          </w:tcPr>
          <w:p>
            <w:pPr>
              <w:spacing w:after="0"/>
              <w:rPr>
                <w:sz w:val="14"/>
                <w:szCs w:val="14"/>
                <w:color w:val="auto"/>
              </w:rPr>
            </w:pPr>
          </w:p>
        </w:tc>
        <w:tc>
          <w:tcPr>
            <w:tcW w:w="116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16.7</w:t>
            </w:r>
          </w:p>
        </w:tc>
      </w:tr>
      <w:tr>
        <w:trPr>
          <w:trHeight w:val="166"/>
        </w:trPr>
        <w:tc>
          <w:tcPr>
            <w:tcW w:w="55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22.1</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3.9</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18.2</w:t>
            </w:r>
          </w:p>
        </w:tc>
      </w:tr>
      <w:tr>
        <w:trPr>
          <w:trHeight w:val="157"/>
        </w:trPr>
        <w:tc>
          <w:tcPr>
            <w:tcW w:w="5560" w:type="dxa"/>
            <w:vAlign w:val="bottom"/>
            <w:tcBorders>
              <w:bottom w:val="single" w:sz="8" w:color="auto"/>
            </w:tcBorders>
            <w:shd w:val="clear" w:color="auto" w:fill="E2E8F1"/>
          </w:tcPr>
          <w:p>
            <w:pPr>
              <w:spacing w:after="0"/>
              <w:rPr>
                <w:sz w:val="13"/>
                <w:szCs w:val="13"/>
                <w:color w:val="auto"/>
              </w:rPr>
            </w:pPr>
          </w:p>
        </w:tc>
        <w:tc>
          <w:tcPr>
            <w:tcW w:w="220" w:type="dxa"/>
            <w:vAlign w:val="bottom"/>
            <w:tcBorders>
              <w:bottom w:val="single" w:sz="8" w:color="auto"/>
            </w:tcBorders>
            <w:gridSpan w:val="2"/>
            <w:shd w:val="clear" w:color="auto" w:fill="E2E8F1"/>
          </w:tcPr>
          <w:p>
            <w:pPr>
              <w:ind w:left="140"/>
              <w:spacing w:after="0" w:line="157"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E2E8F1"/>
          </w:tcPr>
          <w:p>
            <w:pPr>
              <w:spacing w:after="0"/>
              <w:rPr>
                <w:sz w:val="13"/>
                <w:szCs w:val="13"/>
                <w:color w:val="auto"/>
              </w:rPr>
            </w:pPr>
          </w:p>
        </w:tc>
        <w:tc>
          <w:tcPr>
            <w:tcW w:w="760" w:type="dxa"/>
            <w:vAlign w:val="bottom"/>
            <w:tcBorders>
              <w:bottom w:val="single" w:sz="8" w:color="auto"/>
            </w:tcBorders>
            <w:shd w:val="clear" w:color="auto" w:fill="E2E8F1"/>
          </w:tcPr>
          <w:p>
            <w:pPr>
              <w:jc w:val="right"/>
              <w:ind w:right="29"/>
              <w:spacing w:after="0" w:line="157" w:lineRule="exact"/>
              <w:rPr>
                <w:sz w:val="20"/>
                <w:szCs w:val="20"/>
                <w:color w:val="auto"/>
              </w:rPr>
            </w:pPr>
            <w:r>
              <w:rPr>
                <w:rFonts w:ascii="Arial" w:cs="Arial" w:eastAsia="Arial" w:hAnsi="Arial"/>
                <w:sz w:val="14"/>
                <w:szCs w:val="14"/>
                <w:color w:val="auto"/>
              </w:rPr>
              <w:t>596.3</w:t>
            </w:r>
          </w:p>
        </w:tc>
        <w:tc>
          <w:tcPr>
            <w:tcW w:w="3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2E8F1"/>
          </w:tcPr>
          <w:p>
            <w:pPr>
              <w:jc w:val="right"/>
              <w:ind w:right="92"/>
              <w:spacing w:after="0" w:line="157" w:lineRule="exact"/>
              <w:rPr>
                <w:sz w:val="20"/>
                <w:szCs w:val="20"/>
                <w:color w:val="auto"/>
              </w:rPr>
            </w:pPr>
            <w:r>
              <w:rPr>
                <w:rFonts w:ascii="Arial" w:cs="Arial" w:eastAsia="Arial" w:hAnsi="Arial"/>
                <w:sz w:val="14"/>
                <w:szCs w:val="14"/>
                <w:color w:val="auto"/>
              </w:rPr>
              <w:t>178.5</w:t>
            </w:r>
          </w:p>
        </w:tc>
        <w:tc>
          <w:tcPr>
            <w:tcW w:w="2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2E8F1"/>
          </w:tcPr>
          <w:p>
            <w:pPr>
              <w:jc w:val="right"/>
              <w:ind w:right="72"/>
              <w:spacing w:after="0" w:line="157" w:lineRule="exact"/>
              <w:rPr>
                <w:sz w:val="20"/>
                <w:szCs w:val="20"/>
                <w:color w:val="auto"/>
              </w:rPr>
            </w:pPr>
            <w:r>
              <w:rPr>
                <w:rFonts w:ascii="Arial" w:cs="Arial" w:eastAsia="Arial" w:hAnsi="Arial"/>
                <w:sz w:val="14"/>
                <w:szCs w:val="14"/>
                <w:color w:val="auto"/>
              </w:rPr>
              <w:t>263.5</w:t>
            </w:r>
          </w:p>
        </w:tc>
        <w:tc>
          <w:tcPr>
            <w:tcW w:w="2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2E8F1"/>
          </w:tcPr>
          <w:p>
            <w:pPr>
              <w:jc w:val="right"/>
              <w:ind w:right="71"/>
              <w:spacing w:after="0" w:line="157" w:lineRule="exact"/>
              <w:rPr>
                <w:sz w:val="20"/>
                <w:szCs w:val="20"/>
                <w:color w:val="auto"/>
              </w:rPr>
            </w:pPr>
            <w:r>
              <w:rPr>
                <w:rFonts w:ascii="Arial" w:cs="Arial" w:eastAsia="Arial" w:hAnsi="Arial"/>
                <w:sz w:val="14"/>
                <w:szCs w:val="14"/>
                <w:color w:val="auto"/>
              </w:rPr>
              <w:t>154.3</w:t>
            </w:r>
          </w:p>
        </w:tc>
      </w:tr>
    </w:tbl>
    <w:p>
      <w:pPr>
        <w:spacing w:after="0" w:line="9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following table summarizes the changes in fair value of the pension assets that are measured using Level 3 inputs. We determined that transfers between fair-value-measurement levels occurred on the date of the event that caused the transfer.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77" w:name="page78"/>
    <w:bookmarkEnd w:id="77"/>
    <w:p>
      <w:pPr>
        <w:ind w:left="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440" w:type="dxa"/>
            <w:vAlign w:val="bottom"/>
            <w:tcBorders>
              <w:top w:val="single" w:sz="8" w:color="auto"/>
              <w:bottom w:val="single" w:sz="8" w:color="auto"/>
            </w:tcBorders>
            <w:shd w:val="clear" w:color="auto" w:fill="98B0CE"/>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560" w:type="dxa"/>
            <w:vAlign w:val="bottom"/>
            <w:tcBorders>
              <w:top w:val="single" w:sz="8" w:color="auto"/>
              <w:bottom w:val="single" w:sz="8" w:color="auto"/>
            </w:tcBorders>
            <w:shd w:val="clear" w:color="auto" w:fill="98B0CE"/>
          </w:tcPr>
          <w:p>
            <w:pPr>
              <w:spacing w:after="0"/>
              <w:rPr>
                <w:sz w:val="13"/>
                <w:szCs w:val="13"/>
                <w:color w:val="auto"/>
              </w:rPr>
            </w:pPr>
          </w:p>
        </w:tc>
        <w:tc>
          <w:tcPr>
            <w:tcW w:w="1440" w:type="dxa"/>
            <w:vAlign w:val="bottom"/>
            <w:tcBorders>
              <w:top w:val="single" w:sz="8" w:color="auto"/>
              <w:bottom w:val="single" w:sz="8" w:color="auto"/>
            </w:tcBorders>
            <w:shd w:val="clear" w:color="auto" w:fill="98B0CE"/>
          </w:tcPr>
          <w:p>
            <w:pPr>
              <w:jc w:val="right"/>
              <w:ind w:right="790"/>
              <w:spacing w:after="0"/>
              <w:rPr>
                <w:sz w:val="20"/>
                <w:szCs w:val="20"/>
                <w:color w:val="auto"/>
              </w:rPr>
            </w:pPr>
            <w:r>
              <w:rPr>
                <w:rFonts w:ascii="Arial" w:cs="Arial" w:eastAsia="Arial" w:hAnsi="Arial"/>
                <w:sz w:val="13"/>
                <w:szCs w:val="13"/>
                <w:b w:val="1"/>
                <w:bCs w:val="1"/>
                <w:color w:val="auto"/>
              </w:rPr>
              <w:t>2024</w:t>
            </w:r>
          </w:p>
        </w:tc>
        <w:tc>
          <w:tcPr>
            <w:tcW w:w="480" w:type="dxa"/>
            <w:vAlign w:val="bottom"/>
            <w:tcBorders>
              <w:top w:val="single" w:sz="8" w:color="auto"/>
              <w:bottom w:val="single" w:sz="8" w:color="auto"/>
            </w:tcBorders>
            <w:shd w:val="clear" w:color="auto" w:fill="98B0CE"/>
          </w:tcPr>
          <w:p>
            <w:pPr>
              <w:spacing w:after="0"/>
              <w:rPr>
                <w:sz w:val="13"/>
                <w:szCs w:val="13"/>
                <w:color w:val="auto"/>
              </w:rPr>
            </w:pPr>
          </w:p>
        </w:tc>
        <w:tc>
          <w:tcPr>
            <w:tcW w:w="1340" w:type="dxa"/>
            <w:vAlign w:val="bottom"/>
            <w:tcBorders>
              <w:top w:val="single" w:sz="8" w:color="auto"/>
              <w:bottom w:val="single" w:sz="8" w:color="auto"/>
            </w:tcBorders>
            <w:shd w:val="clear" w:color="auto" w:fill="98B0CE"/>
          </w:tcPr>
          <w:p>
            <w:pPr>
              <w:jc w:val="right"/>
              <w:ind w:right="710"/>
              <w:spacing w:after="0"/>
              <w:rPr>
                <w:sz w:val="20"/>
                <w:szCs w:val="20"/>
                <w:color w:val="auto"/>
              </w:rPr>
            </w:pPr>
            <w:r>
              <w:rPr>
                <w:rFonts w:ascii="Arial" w:cs="Arial" w:eastAsia="Arial" w:hAnsi="Arial"/>
                <w:sz w:val="13"/>
                <w:szCs w:val="13"/>
                <w:b w:val="1"/>
                <w:bCs w:val="1"/>
                <w:color w:val="auto"/>
              </w:rPr>
              <w:t>2023</w:t>
            </w:r>
          </w:p>
        </w:tc>
      </w:tr>
      <w:tr>
        <w:trPr>
          <w:trHeight w:val="163"/>
        </w:trPr>
        <w:tc>
          <w:tcPr>
            <w:tcW w:w="7440" w:type="dxa"/>
            <w:vAlign w:val="bottom"/>
            <w:shd w:val="clear" w:color="auto" w:fill="E2E8F1"/>
          </w:tcPr>
          <w:p>
            <w:pPr>
              <w:ind w:left="80"/>
              <w:spacing w:after="0"/>
              <w:rPr>
                <w:sz w:val="20"/>
                <w:szCs w:val="20"/>
                <w:color w:val="auto"/>
              </w:rPr>
            </w:pPr>
            <w:r>
              <w:rPr>
                <w:rFonts w:ascii="Arial" w:cs="Arial" w:eastAsia="Arial" w:hAnsi="Arial"/>
                <w:sz w:val="14"/>
                <w:szCs w:val="14"/>
                <w:color w:val="auto"/>
              </w:rPr>
              <w:t>Balance, beginning of year</w:t>
            </w:r>
          </w:p>
        </w:tc>
        <w:tc>
          <w:tcPr>
            <w:tcW w:w="560" w:type="dxa"/>
            <w:vAlign w:val="bottom"/>
            <w:shd w:val="clear" w:color="auto" w:fill="E2E8F1"/>
          </w:tcPr>
          <w:p>
            <w:pPr>
              <w:jc w:val="right"/>
              <w:ind w:right="209"/>
              <w:spacing w:after="0"/>
              <w:rPr>
                <w:sz w:val="20"/>
                <w:szCs w:val="20"/>
                <w:color w:val="auto"/>
              </w:rPr>
            </w:pPr>
            <w:r>
              <w:rPr>
                <w:rFonts w:ascii="Arial" w:cs="Arial" w:eastAsia="Arial" w:hAnsi="Arial"/>
                <w:sz w:val="14"/>
                <w:szCs w:val="14"/>
                <w:color w:val="auto"/>
              </w:rPr>
              <w:t>$</w:t>
            </w:r>
          </w:p>
        </w:tc>
        <w:tc>
          <w:tcPr>
            <w:tcW w:w="144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154.3</w:t>
            </w:r>
          </w:p>
        </w:tc>
        <w:tc>
          <w:tcPr>
            <w:tcW w:w="480" w:type="dxa"/>
            <w:vAlign w:val="bottom"/>
            <w:shd w:val="clear" w:color="auto" w:fill="E2E8F1"/>
          </w:tcPr>
          <w:p>
            <w:pPr>
              <w:jc w:val="right"/>
              <w:ind w:right="229"/>
              <w:spacing w:after="0"/>
              <w:rPr>
                <w:sz w:val="20"/>
                <w:szCs w:val="20"/>
                <w:color w:val="auto"/>
              </w:rPr>
            </w:pPr>
            <w:r>
              <w:rPr>
                <w:rFonts w:ascii="Arial" w:cs="Arial" w:eastAsia="Arial" w:hAnsi="Arial"/>
                <w:sz w:val="14"/>
                <w:szCs w:val="14"/>
                <w:color w:val="auto"/>
              </w:rPr>
              <w:t>$</w:t>
            </w:r>
          </w:p>
        </w:tc>
        <w:tc>
          <w:tcPr>
            <w:tcW w:w="13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142.2</w:t>
            </w:r>
          </w:p>
        </w:tc>
      </w:tr>
      <w:tr>
        <w:trPr>
          <w:trHeight w:val="166"/>
        </w:trPr>
        <w:tc>
          <w:tcPr>
            <w:tcW w:w="7440" w:type="dxa"/>
            <w:vAlign w:val="bottom"/>
          </w:tcPr>
          <w:p>
            <w:pPr>
              <w:ind w:left="160"/>
              <w:spacing w:after="0"/>
              <w:rPr>
                <w:sz w:val="20"/>
                <w:szCs w:val="20"/>
                <w:color w:val="auto"/>
              </w:rPr>
            </w:pPr>
            <w:r>
              <w:rPr>
                <w:rFonts w:ascii="Arial" w:cs="Arial" w:eastAsia="Arial" w:hAnsi="Arial"/>
                <w:sz w:val="14"/>
                <w:szCs w:val="14"/>
                <w:color w:val="auto"/>
              </w:rPr>
              <w:t>Actual return on plan assets</w:t>
            </w:r>
          </w:p>
        </w:tc>
        <w:tc>
          <w:tcPr>
            <w:tcW w:w="560" w:type="dxa"/>
            <w:vAlign w:val="bottom"/>
          </w:tcPr>
          <w:p>
            <w:pPr>
              <w:spacing w:after="0"/>
              <w:rPr>
                <w:sz w:val="14"/>
                <w:szCs w:val="14"/>
                <w:color w:val="auto"/>
              </w:rPr>
            </w:pPr>
          </w:p>
        </w:tc>
        <w:tc>
          <w:tcPr>
            <w:tcW w:w="1440" w:type="dxa"/>
            <w:vAlign w:val="bottom"/>
          </w:tcPr>
          <w:p>
            <w:pPr>
              <w:jc w:val="right"/>
              <w:ind w:right="130"/>
              <w:spacing w:after="0"/>
              <w:rPr>
                <w:sz w:val="20"/>
                <w:szCs w:val="20"/>
                <w:color w:val="auto"/>
              </w:rPr>
            </w:pPr>
            <w:r>
              <w:rPr>
                <w:rFonts w:ascii="Arial" w:cs="Arial" w:eastAsia="Arial" w:hAnsi="Arial"/>
                <w:sz w:val="14"/>
                <w:szCs w:val="14"/>
                <w:color w:val="auto"/>
              </w:rPr>
              <w:t>4.4</w:t>
            </w:r>
          </w:p>
        </w:tc>
        <w:tc>
          <w:tcPr>
            <w:tcW w:w="480" w:type="dxa"/>
            <w:vAlign w:val="bottom"/>
          </w:tcPr>
          <w:p>
            <w:pPr>
              <w:spacing w:after="0"/>
              <w:rPr>
                <w:sz w:val="14"/>
                <w:szCs w:val="14"/>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5.6</w:t>
            </w:r>
          </w:p>
        </w:tc>
      </w:tr>
      <w:tr>
        <w:trPr>
          <w:trHeight w:val="166"/>
        </w:trPr>
        <w:tc>
          <w:tcPr>
            <w:tcW w:w="7440" w:type="dxa"/>
            <w:vAlign w:val="bottom"/>
            <w:shd w:val="clear" w:color="auto" w:fill="E2E8F1"/>
          </w:tcPr>
          <w:p>
            <w:pPr>
              <w:ind w:left="160"/>
              <w:spacing w:after="0"/>
              <w:rPr>
                <w:sz w:val="20"/>
                <w:szCs w:val="20"/>
                <w:color w:val="auto"/>
              </w:rPr>
            </w:pPr>
            <w:r>
              <w:rPr>
                <w:rFonts w:ascii="Arial" w:cs="Arial" w:eastAsia="Arial" w:hAnsi="Arial"/>
                <w:sz w:val="14"/>
                <w:szCs w:val="14"/>
                <w:color w:val="auto"/>
              </w:rPr>
              <w:t>Purchases, sales and settlements, net</w:t>
            </w:r>
          </w:p>
        </w:tc>
        <w:tc>
          <w:tcPr>
            <w:tcW w:w="560" w:type="dxa"/>
            <w:vAlign w:val="bottom"/>
            <w:shd w:val="clear" w:color="auto" w:fill="E2E8F1"/>
          </w:tcPr>
          <w:p>
            <w:pPr>
              <w:spacing w:after="0"/>
              <w:rPr>
                <w:sz w:val="14"/>
                <w:szCs w:val="14"/>
                <w:color w:val="auto"/>
              </w:rPr>
            </w:pPr>
          </w:p>
        </w:tc>
        <w:tc>
          <w:tcPr>
            <w:tcW w:w="144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w:t>
            </w:r>
          </w:p>
        </w:tc>
        <w:tc>
          <w:tcPr>
            <w:tcW w:w="480" w:type="dxa"/>
            <w:vAlign w:val="bottom"/>
            <w:shd w:val="clear" w:color="auto" w:fill="E2E8F1"/>
          </w:tcPr>
          <w:p>
            <w:pPr>
              <w:spacing w:after="0"/>
              <w:rPr>
                <w:sz w:val="14"/>
                <w:szCs w:val="14"/>
                <w:color w:val="auto"/>
              </w:rPr>
            </w:pPr>
          </w:p>
        </w:tc>
        <w:tc>
          <w:tcPr>
            <w:tcW w:w="13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(0.7 )</w:t>
            </w:r>
          </w:p>
        </w:tc>
      </w:tr>
      <w:tr>
        <w:trPr>
          <w:trHeight w:val="166"/>
        </w:trPr>
        <w:tc>
          <w:tcPr>
            <w:tcW w:w="74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Currency exchange rate changes</w:t>
            </w: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(8.0 )</w:t>
            </w: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7.2</w:t>
            </w:r>
          </w:p>
        </w:tc>
      </w:tr>
      <w:tr>
        <w:trPr>
          <w:trHeight w:val="157"/>
        </w:trPr>
        <w:tc>
          <w:tcPr>
            <w:tcW w:w="7440" w:type="dxa"/>
            <w:vAlign w:val="bottom"/>
            <w:tcBorders>
              <w:bottom w:val="single" w:sz="8" w:color="auto"/>
            </w:tcBorders>
            <w:shd w:val="clear" w:color="auto" w:fill="E2E8F1"/>
          </w:tcPr>
          <w:p>
            <w:pPr>
              <w:ind w:left="80"/>
              <w:spacing w:after="0" w:line="157" w:lineRule="exact"/>
              <w:rPr>
                <w:sz w:val="20"/>
                <w:szCs w:val="20"/>
                <w:color w:val="auto"/>
              </w:rPr>
            </w:pPr>
            <w:r>
              <w:rPr>
                <w:rFonts w:ascii="Arial" w:cs="Arial" w:eastAsia="Arial" w:hAnsi="Arial"/>
                <w:sz w:val="14"/>
                <w:szCs w:val="14"/>
                <w:color w:val="auto"/>
              </w:rPr>
              <w:t>Balance, end of year</w:t>
            </w:r>
          </w:p>
        </w:tc>
        <w:tc>
          <w:tcPr>
            <w:tcW w:w="560" w:type="dxa"/>
            <w:vAlign w:val="bottom"/>
            <w:tcBorders>
              <w:bottom w:val="single" w:sz="8" w:color="auto"/>
            </w:tcBorders>
            <w:shd w:val="clear" w:color="auto" w:fill="E2E8F1"/>
          </w:tcPr>
          <w:p>
            <w:pPr>
              <w:jc w:val="right"/>
              <w:ind w:right="209"/>
              <w:spacing w:after="0" w:line="157"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E2E8F1"/>
          </w:tcPr>
          <w:p>
            <w:pPr>
              <w:jc w:val="right"/>
              <w:ind w:right="130"/>
              <w:spacing w:after="0" w:line="157" w:lineRule="exact"/>
              <w:rPr>
                <w:sz w:val="20"/>
                <w:szCs w:val="20"/>
                <w:color w:val="auto"/>
              </w:rPr>
            </w:pPr>
            <w:r>
              <w:rPr>
                <w:rFonts w:ascii="Arial" w:cs="Arial" w:eastAsia="Arial" w:hAnsi="Arial"/>
                <w:sz w:val="14"/>
                <w:szCs w:val="14"/>
                <w:color w:val="auto"/>
              </w:rPr>
              <w:t>150.7</w:t>
            </w:r>
          </w:p>
        </w:tc>
        <w:tc>
          <w:tcPr>
            <w:tcW w:w="480" w:type="dxa"/>
            <w:vAlign w:val="bottom"/>
            <w:tcBorders>
              <w:bottom w:val="single" w:sz="8" w:color="auto"/>
            </w:tcBorders>
            <w:shd w:val="clear" w:color="auto" w:fill="E2E8F1"/>
          </w:tcPr>
          <w:p>
            <w:pPr>
              <w:jc w:val="right"/>
              <w:ind w:right="229"/>
              <w:spacing w:after="0" w:line="157"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E2E8F1"/>
          </w:tcPr>
          <w:p>
            <w:pPr>
              <w:jc w:val="right"/>
              <w:ind w:right="70"/>
              <w:spacing w:after="0" w:line="157" w:lineRule="exact"/>
              <w:rPr>
                <w:sz w:val="20"/>
                <w:szCs w:val="20"/>
                <w:color w:val="auto"/>
              </w:rPr>
            </w:pPr>
            <w:r>
              <w:rPr>
                <w:rFonts w:ascii="Arial" w:cs="Arial" w:eastAsia="Arial" w:hAnsi="Arial"/>
                <w:sz w:val="14"/>
                <w:szCs w:val="14"/>
                <w:color w:val="auto"/>
              </w:rPr>
              <w:t>154.3</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5B89B4"/>
        </w:rPr>
        <w:t>Retiree Health Care Plan</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We provide medical and dental benefits to certain eligible retired employees in the United States. Due to the nature of the plan, there are no plan assets. The reconciliation of the changes in the plan’s benefit obligation and the statement of the funded status of the plan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980" w:type="dxa"/>
            <w:vAlign w:val="bottom"/>
            <w:tcBorders>
              <w:top w:val="single" w:sz="8" w:color="auto"/>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3020" w:type="dxa"/>
            <w:vAlign w:val="bottom"/>
            <w:tcBorders>
              <w:top w:val="single" w:sz="8" w:color="auto"/>
              <w:bottom w:val="single" w:sz="8" w:color="auto"/>
            </w:tcBorders>
            <w:shd w:val="clear" w:color="auto" w:fill="98B0CF"/>
          </w:tcPr>
          <w:p>
            <w:pPr>
              <w:spacing w:after="0"/>
              <w:rPr>
                <w:sz w:val="13"/>
                <w:szCs w:val="13"/>
                <w:color w:val="auto"/>
              </w:rPr>
            </w:pPr>
          </w:p>
        </w:tc>
        <w:tc>
          <w:tcPr>
            <w:tcW w:w="1440" w:type="dxa"/>
            <w:vAlign w:val="bottom"/>
            <w:tcBorders>
              <w:top w:val="single" w:sz="8" w:color="auto"/>
              <w:bottom w:val="single" w:sz="8" w:color="auto"/>
            </w:tcBorders>
            <w:shd w:val="clear" w:color="auto" w:fill="98B0CF"/>
          </w:tcPr>
          <w:p>
            <w:pPr>
              <w:jc w:val="right"/>
              <w:ind w:right="790"/>
              <w:spacing w:after="0"/>
              <w:rPr>
                <w:sz w:val="20"/>
                <w:szCs w:val="20"/>
                <w:color w:val="auto"/>
              </w:rPr>
            </w:pPr>
            <w:r>
              <w:rPr>
                <w:rFonts w:ascii="Arial" w:cs="Arial" w:eastAsia="Arial" w:hAnsi="Arial"/>
                <w:sz w:val="13"/>
                <w:szCs w:val="13"/>
                <w:b w:val="1"/>
                <w:bCs w:val="1"/>
                <w:color w:val="auto"/>
              </w:rPr>
              <w:t>2024</w:t>
            </w:r>
          </w:p>
        </w:tc>
        <w:tc>
          <w:tcPr>
            <w:tcW w:w="480" w:type="dxa"/>
            <w:vAlign w:val="bottom"/>
            <w:tcBorders>
              <w:top w:val="single" w:sz="8" w:color="auto"/>
              <w:bottom w:val="single" w:sz="8" w:color="auto"/>
            </w:tcBorders>
            <w:shd w:val="clear" w:color="auto" w:fill="98B0CF"/>
          </w:tcPr>
          <w:p>
            <w:pPr>
              <w:spacing w:after="0"/>
              <w:rPr>
                <w:sz w:val="13"/>
                <w:szCs w:val="13"/>
                <w:color w:val="auto"/>
              </w:rPr>
            </w:pPr>
          </w:p>
        </w:tc>
        <w:tc>
          <w:tcPr>
            <w:tcW w:w="1340" w:type="dxa"/>
            <w:vAlign w:val="bottom"/>
            <w:tcBorders>
              <w:top w:val="single" w:sz="8" w:color="auto"/>
              <w:bottom w:val="single" w:sz="8" w:color="auto"/>
            </w:tcBorders>
            <w:shd w:val="clear" w:color="auto" w:fill="98B0CF"/>
          </w:tcPr>
          <w:p>
            <w:pPr>
              <w:jc w:val="right"/>
              <w:ind w:right="710"/>
              <w:spacing w:after="0"/>
              <w:rPr>
                <w:sz w:val="20"/>
                <w:szCs w:val="20"/>
                <w:color w:val="auto"/>
              </w:rPr>
            </w:pPr>
            <w:r>
              <w:rPr>
                <w:rFonts w:ascii="Arial" w:cs="Arial" w:eastAsia="Arial" w:hAnsi="Arial"/>
                <w:sz w:val="13"/>
                <w:szCs w:val="13"/>
                <w:b w:val="1"/>
                <w:bCs w:val="1"/>
                <w:color w:val="auto"/>
              </w:rPr>
              <w:t>2023</w:t>
            </w:r>
          </w:p>
        </w:tc>
      </w:tr>
      <w:tr>
        <w:trPr>
          <w:trHeight w:val="166"/>
        </w:trPr>
        <w:tc>
          <w:tcPr>
            <w:tcW w:w="498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auto"/>
              </w:rPr>
              <w:t>Change in Benefit Obligation</w:t>
            </w:r>
          </w:p>
        </w:tc>
        <w:tc>
          <w:tcPr>
            <w:tcW w:w="3020" w:type="dxa"/>
            <w:vAlign w:val="bottom"/>
            <w:shd w:val="clear" w:color="auto" w:fill="E2E8F1"/>
          </w:tcPr>
          <w:p>
            <w:pPr>
              <w:spacing w:after="0"/>
              <w:rPr>
                <w:sz w:val="14"/>
                <w:szCs w:val="14"/>
                <w:color w:val="auto"/>
              </w:rPr>
            </w:pPr>
          </w:p>
        </w:tc>
        <w:tc>
          <w:tcPr>
            <w:tcW w:w="1440" w:type="dxa"/>
            <w:vAlign w:val="bottom"/>
            <w:shd w:val="clear" w:color="auto" w:fill="E2E8F1"/>
          </w:tcPr>
          <w:p>
            <w:pPr>
              <w:spacing w:after="0"/>
              <w:rPr>
                <w:sz w:val="14"/>
                <w:szCs w:val="14"/>
                <w:color w:val="auto"/>
              </w:rPr>
            </w:pPr>
          </w:p>
        </w:tc>
        <w:tc>
          <w:tcPr>
            <w:tcW w:w="480" w:type="dxa"/>
            <w:vAlign w:val="bottom"/>
            <w:shd w:val="clear" w:color="auto" w:fill="E2E8F1"/>
          </w:tcPr>
          <w:p>
            <w:pPr>
              <w:spacing w:after="0"/>
              <w:rPr>
                <w:sz w:val="14"/>
                <w:szCs w:val="14"/>
                <w:color w:val="auto"/>
              </w:rPr>
            </w:pPr>
          </w:p>
        </w:tc>
        <w:tc>
          <w:tcPr>
            <w:tcW w:w="1340" w:type="dxa"/>
            <w:vAlign w:val="bottom"/>
            <w:shd w:val="clear" w:color="auto" w:fill="E2E8F1"/>
          </w:tcPr>
          <w:p>
            <w:pPr>
              <w:spacing w:after="0"/>
              <w:rPr>
                <w:sz w:val="14"/>
                <w:szCs w:val="14"/>
                <w:color w:val="auto"/>
              </w:rPr>
            </w:pPr>
          </w:p>
        </w:tc>
      </w:tr>
      <w:tr>
        <w:trPr>
          <w:trHeight w:val="166"/>
        </w:trPr>
        <w:tc>
          <w:tcPr>
            <w:tcW w:w="4980" w:type="dxa"/>
            <w:vAlign w:val="bottom"/>
          </w:tcPr>
          <w:p>
            <w:pPr>
              <w:ind w:left="80"/>
              <w:spacing w:after="0"/>
              <w:rPr>
                <w:sz w:val="20"/>
                <w:szCs w:val="20"/>
                <w:color w:val="auto"/>
              </w:rPr>
            </w:pPr>
            <w:r>
              <w:rPr>
                <w:rFonts w:ascii="Arial" w:cs="Arial" w:eastAsia="Arial" w:hAnsi="Arial"/>
                <w:sz w:val="14"/>
                <w:szCs w:val="14"/>
                <w:color w:val="auto"/>
              </w:rPr>
              <w:t>Benefit obligation, beginning of year</w:t>
            </w:r>
          </w:p>
        </w:tc>
        <w:tc>
          <w:tcPr>
            <w:tcW w:w="30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30"/>
              <w:spacing w:after="0"/>
              <w:rPr>
                <w:sz w:val="20"/>
                <w:szCs w:val="20"/>
                <w:color w:val="auto"/>
              </w:rPr>
            </w:pPr>
            <w:r>
              <w:rPr>
                <w:rFonts w:ascii="Arial" w:cs="Arial" w:eastAsia="Arial" w:hAnsi="Arial"/>
                <w:sz w:val="14"/>
                <w:szCs w:val="14"/>
                <w:color w:val="auto"/>
              </w:rPr>
              <w:t>10.2</w:t>
            </w:r>
          </w:p>
        </w:tc>
        <w:tc>
          <w:tcPr>
            <w:tcW w:w="4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11.5</w:t>
            </w:r>
          </w:p>
        </w:tc>
      </w:tr>
      <w:tr>
        <w:trPr>
          <w:trHeight w:val="166"/>
        </w:trPr>
        <w:tc>
          <w:tcPr>
            <w:tcW w:w="4980" w:type="dxa"/>
            <w:vAlign w:val="bottom"/>
            <w:shd w:val="clear" w:color="auto" w:fill="E2E8F1"/>
          </w:tcPr>
          <w:p>
            <w:pPr>
              <w:ind w:left="160"/>
              <w:spacing w:after="0"/>
              <w:rPr>
                <w:sz w:val="20"/>
                <w:szCs w:val="20"/>
                <w:color w:val="auto"/>
              </w:rPr>
            </w:pPr>
            <w:r>
              <w:rPr>
                <w:rFonts w:ascii="Arial" w:cs="Arial" w:eastAsia="Arial" w:hAnsi="Arial"/>
                <w:sz w:val="14"/>
                <w:szCs w:val="14"/>
                <w:color w:val="auto"/>
              </w:rPr>
              <w:t>Interest cost</w:t>
            </w:r>
          </w:p>
        </w:tc>
        <w:tc>
          <w:tcPr>
            <w:tcW w:w="3020" w:type="dxa"/>
            <w:vAlign w:val="bottom"/>
            <w:shd w:val="clear" w:color="auto" w:fill="E2E8F1"/>
          </w:tcPr>
          <w:p>
            <w:pPr>
              <w:spacing w:after="0"/>
              <w:rPr>
                <w:sz w:val="14"/>
                <w:szCs w:val="14"/>
                <w:color w:val="auto"/>
              </w:rPr>
            </w:pPr>
          </w:p>
        </w:tc>
        <w:tc>
          <w:tcPr>
            <w:tcW w:w="144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0.5</w:t>
            </w:r>
          </w:p>
        </w:tc>
        <w:tc>
          <w:tcPr>
            <w:tcW w:w="480" w:type="dxa"/>
            <w:vAlign w:val="bottom"/>
            <w:shd w:val="clear" w:color="auto" w:fill="E2E8F1"/>
          </w:tcPr>
          <w:p>
            <w:pPr>
              <w:spacing w:after="0"/>
              <w:rPr>
                <w:sz w:val="14"/>
                <w:szCs w:val="14"/>
                <w:color w:val="auto"/>
              </w:rPr>
            </w:pPr>
          </w:p>
        </w:tc>
        <w:tc>
          <w:tcPr>
            <w:tcW w:w="13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0.5</w:t>
            </w:r>
          </w:p>
        </w:tc>
      </w:tr>
      <w:tr>
        <w:trPr>
          <w:trHeight w:val="166"/>
        </w:trPr>
        <w:tc>
          <w:tcPr>
            <w:tcW w:w="4980" w:type="dxa"/>
            <w:vAlign w:val="bottom"/>
          </w:tcPr>
          <w:p>
            <w:pPr>
              <w:ind w:left="160"/>
              <w:spacing w:after="0"/>
              <w:rPr>
                <w:sz w:val="20"/>
                <w:szCs w:val="20"/>
                <w:color w:val="auto"/>
              </w:rPr>
            </w:pPr>
            <w:r>
              <w:rPr>
                <w:rFonts w:ascii="Arial" w:cs="Arial" w:eastAsia="Arial" w:hAnsi="Arial"/>
                <w:sz w:val="14"/>
                <w:szCs w:val="14"/>
                <w:color w:val="auto"/>
              </w:rPr>
              <w:t>Actuarial gain</w:t>
            </w:r>
          </w:p>
        </w:tc>
        <w:tc>
          <w:tcPr>
            <w:tcW w:w="3020" w:type="dxa"/>
            <w:vAlign w:val="bottom"/>
          </w:tcPr>
          <w:p>
            <w:pPr>
              <w:spacing w:after="0"/>
              <w:rPr>
                <w:sz w:val="14"/>
                <w:szCs w:val="14"/>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(1.1 )</w:t>
            </w:r>
          </w:p>
        </w:tc>
        <w:tc>
          <w:tcPr>
            <w:tcW w:w="4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166"/>
        </w:trPr>
        <w:tc>
          <w:tcPr>
            <w:tcW w:w="4980" w:type="dxa"/>
            <w:vAlign w:val="bottom"/>
            <w:tcBorders>
              <w:bottom w:val="single" w:sz="8" w:color="auto"/>
            </w:tcBorders>
            <w:shd w:val="clear" w:color="auto" w:fill="E2E8F1"/>
          </w:tcPr>
          <w:p>
            <w:pPr>
              <w:ind w:left="160"/>
              <w:spacing w:after="0"/>
              <w:rPr>
                <w:sz w:val="20"/>
                <w:szCs w:val="20"/>
                <w:color w:val="auto"/>
              </w:rPr>
            </w:pPr>
            <w:r>
              <w:rPr>
                <w:rFonts w:ascii="Arial" w:cs="Arial" w:eastAsia="Arial" w:hAnsi="Arial"/>
                <w:sz w:val="14"/>
                <w:szCs w:val="14"/>
                <w:color w:val="auto"/>
              </w:rPr>
              <w:t>Benefits paid</w:t>
            </w:r>
          </w:p>
        </w:tc>
        <w:tc>
          <w:tcPr>
            <w:tcW w:w="3020" w:type="dxa"/>
            <w:vAlign w:val="bottom"/>
            <w:tcBorders>
              <w:bottom w:val="single" w:sz="8" w:color="auto"/>
            </w:tcBorders>
            <w:shd w:val="clear" w:color="auto" w:fill="E2E8F1"/>
          </w:tcPr>
          <w:p>
            <w:pPr>
              <w:spacing w:after="0"/>
              <w:rPr>
                <w:sz w:val="14"/>
                <w:szCs w:val="14"/>
                <w:color w:val="auto"/>
              </w:rPr>
            </w:pPr>
          </w:p>
        </w:tc>
        <w:tc>
          <w:tcPr>
            <w:tcW w:w="1440" w:type="dxa"/>
            <w:vAlign w:val="bottom"/>
            <w:tcBorders>
              <w:bottom w:val="single" w:sz="8" w:color="auto"/>
            </w:tcBorders>
            <w:shd w:val="clear" w:color="auto" w:fill="E2E8F1"/>
          </w:tcPr>
          <w:p>
            <w:pPr>
              <w:jc w:val="right"/>
              <w:ind w:right="50"/>
              <w:spacing w:after="0"/>
              <w:rPr>
                <w:sz w:val="20"/>
                <w:szCs w:val="20"/>
                <w:color w:val="auto"/>
              </w:rPr>
            </w:pPr>
            <w:r>
              <w:rPr>
                <w:rFonts w:ascii="Arial" w:cs="Arial" w:eastAsia="Arial" w:hAnsi="Arial"/>
                <w:sz w:val="14"/>
                <w:szCs w:val="14"/>
                <w:color w:val="auto"/>
              </w:rPr>
              <w:t>(0.8 )</w:t>
            </w:r>
          </w:p>
        </w:tc>
        <w:tc>
          <w:tcPr>
            <w:tcW w:w="480" w:type="dxa"/>
            <w:vAlign w:val="bottom"/>
            <w:tcBorders>
              <w:bottom w:val="single" w:sz="8" w:color="auto"/>
            </w:tcBorders>
            <w:shd w:val="clear" w:color="auto" w:fill="E2E8F1"/>
          </w:tcPr>
          <w:p>
            <w:pPr>
              <w:spacing w:after="0"/>
              <w:rPr>
                <w:sz w:val="14"/>
                <w:szCs w:val="14"/>
                <w:color w:val="auto"/>
              </w:rPr>
            </w:pPr>
          </w:p>
        </w:tc>
        <w:tc>
          <w:tcPr>
            <w:tcW w:w="13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(0.8 )</w:t>
            </w:r>
          </w:p>
        </w:tc>
      </w:tr>
      <w:tr>
        <w:trPr>
          <w:trHeight w:val="157"/>
        </w:trPr>
        <w:tc>
          <w:tcPr>
            <w:tcW w:w="4980" w:type="dxa"/>
            <w:vAlign w:val="bottom"/>
            <w:tcBorders>
              <w:bottom w:val="single" w:sz="8" w:color="auto"/>
            </w:tcBorders>
          </w:tcPr>
          <w:p>
            <w:pPr>
              <w:ind w:left="80"/>
              <w:spacing w:after="0" w:line="157" w:lineRule="exact"/>
              <w:rPr>
                <w:sz w:val="20"/>
                <w:szCs w:val="20"/>
                <w:color w:val="auto"/>
              </w:rPr>
            </w:pPr>
            <w:r>
              <w:rPr>
                <w:rFonts w:ascii="Arial" w:cs="Arial" w:eastAsia="Arial" w:hAnsi="Arial"/>
                <w:sz w:val="14"/>
                <w:szCs w:val="14"/>
                <w:color w:val="auto"/>
              </w:rPr>
              <w:t>Benefit obligation, end of year</w:t>
            </w:r>
          </w:p>
        </w:tc>
        <w:tc>
          <w:tcPr>
            <w:tcW w:w="302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30"/>
              <w:spacing w:after="0" w:line="157" w:lineRule="exact"/>
              <w:rPr>
                <w:sz w:val="20"/>
                <w:szCs w:val="20"/>
                <w:color w:val="auto"/>
              </w:rPr>
            </w:pPr>
            <w:r>
              <w:rPr>
                <w:rFonts w:ascii="Arial" w:cs="Arial" w:eastAsia="Arial" w:hAnsi="Arial"/>
                <w:sz w:val="14"/>
                <w:szCs w:val="14"/>
                <w:color w:val="auto"/>
              </w:rPr>
              <w:t>8.8</w:t>
            </w:r>
          </w:p>
        </w:tc>
        <w:tc>
          <w:tcPr>
            <w:tcW w:w="480" w:type="dxa"/>
            <w:vAlign w:val="bottom"/>
            <w:tcBorders>
              <w:bottom w:val="single" w:sz="8" w:color="auto"/>
            </w:tcBorders>
          </w:tcPr>
          <w:p>
            <w:pPr>
              <w:jc w:val="right"/>
              <w:ind w:right="229"/>
              <w:spacing w:after="0" w:line="157"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10.2</w:t>
            </w:r>
          </w:p>
        </w:tc>
      </w:tr>
      <w:tr>
        <w:trPr>
          <w:trHeight w:val="157"/>
        </w:trPr>
        <w:tc>
          <w:tcPr>
            <w:tcW w:w="498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b w:val="1"/>
                <w:bCs w:val="1"/>
                <w:color w:val="auto"/>
              </w:rPr>
              <w:t>Funded Status at End of Year</w:t>
            </w:r>
          </w:p>
        </w:tc>
        <w:tc>
          <w:tcPr>
            <w:tcW w:w="3020" w:type="dxa"/>
            <w:vAlign w:val="bottom"/>
            <w:shd w:val="clear" w:color="auto" w:fill="E2E8F1"/>
          </w:tcPr>
          <w:p>
            <w:pPr>
              <w:spacing w:after="0"/>
              <w:rPr>
                <w:sz w:val="13"/>
                <w:szCs w:val="13"/>
                <w:color w:val="auto"/>
              </w:rPr>
            </w:pPr>
          </w:p>
        </w:tc>
        <w:tc>
          <w:tcPr>
            <w:tcW w:w="1440" w:type="dxa"/>
            <w:vAlign w:val="bottom"/>
            <w:shd w:val="clear" w:color="auto" w:fill="E2E8F1"/>
          </w:tcPr>
          <w:p>
            <w:pPr>
              <w:spacing w:after="0"/>
              <w:rPr>
                <w:sz w:val="13"/>
                <w:szCs w:val="13"/>
                <w:color w:val="auto"/>
              </w:rPr>
            </w:pPr>
          </w:p>
        </w:tc>
        <w:tc>
          <w:tcPr>
            <w:tcW w:w="480" w:type="dxa"/>
            <w:vAlign w:val="bottom"/>
            <w:shd w:val="clear" w:color="auto" w:fill="E2E8F1"/>
          </w:tcPr>
          <w:p>
            <w:pPr>
              <w:spacing w:after="0"/>
              <w:rPr>
                <w:sz w:val="13"/>
                <w:szCs w:val="13"/>
                <w:color w:val="auto"/>
              </w:rPr>
            </w:pPr>
          </w:p>
        </w:tc>
        <w:tc>
          <w:tcPr>
            <w:tcW w:w="1340" w:type="dxa"/>
            <w:vAlign w:val="bottom"/>
            <w:shd w:val="clear" w:color="auto" w:fill="E2E8F1"/>
          </w:tcPr>
          <w:p>
            <w:pPr>
              <w:spacing w:after="0"/>
              <w:rPr>
                <w:sz w:val="13"/>
                <w:szCs w:val="13"/>
                <w:color w:val="auto"/>
              </w:rPr>
            </w:pPr>
          </w:p>
        </w:tc>
      </w:tr>
      <w:tr>
        <w:trPr>
          <w:trHeight w:val="166"/>
        </w:trPr>
        <w:tc>
          <w:tcPr>
            <w:tcW w:w="49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Funded status, end of year</w:t>
            </w:r>
          </w:p>
        </w:tc>
        <w:tc>
          <w:tcPr>
            <w:tcW w:w="30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(8.8 )</w:t>
            </w:r>
          </w:p>
        </w:tc>
        <w:tc>
          <w:tcPr>
            <w:tcW w:w="4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(10.2 )</w:t>
            </w:r>
          </w:p>
        </w:tc>
      </w:tr>
      <w:tr>
        <w:trPr>
          <w:trHeight w:val="157"/>
        </w:trPr>
        <w:tc>
          <w:tcPr>
            <w:tcW w:w="498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b w:val="1"/>
                <w:bCs w:val="1"/>
                <w:color w:val="auto"/>
              </w:rPr>
              <w:t>Amounts Recognized</w:t>
            </w:r>
          </w:p>
        </w:tc>
        <w:tc>
          <w:tcPr>
            <w:tcW w:w="3020" w:type="dxa"/>
            <w:vAlign w:val="bottom"/>
            <w:shd w:val="clear" w:color="auto" w:fill="E2E8F1"/>
          </w:tcPr>
          <w:p>
            <w:pPr>
              <w:spacing w:after="0"/>
              <w:rPr>
                <w:sz w:val="13"/>
                <w:szCs w:val="13"/>
                <w:color w:val="auto"/>
              </w:rPr>
            </w:pPr>
          </w:p>
        </w:tc>
        <w:tc>
          <w:tcPr>
            <w:tcW w:w="1440" w:type="dxa"/>
            <w:vAlign w:val="bottom"/>
            <w:shd w:val="clear" w:color="auto" w:fill="E2E8F1"/>
          </w:tcPr>
          <w:p>
            <w:pPr>
              <w:spacing w:after="0"/>
              <w:rPr>
                <w:sz w:val="13"/>
                <w:szCs w:val="13"/>
                <w:color w:val="auto"/>
              </w:rPr>
            </w:pPr>
          </w:p>
        </w:tc>
        <w:tc>
          <w:tcPr>
            <w:tcW w:w="480" w:type="dxa"/>
            <w:vAlign w:val="bottom"/>
            <w:shd w:val="clear" w:color="auto" w:fill="E2E8F1"/>
          </w:tcPr>
          <w:p>
            <w:pPr>
              <w:spacing w:after="0"/>
              <w:rPr>
                <w:sz w:val="13"/>
                <w:szCs w:val="13"/>
                <w:color w:val="auto"/>
              </w:rPr>
            </w:pPr>
          </w:p>
        </w:tc>
        <w:tc>
          <w:tcPr>
            <w:tcW w:w="1340" w:type="dxa"/>
            <w:vAlign w:val="bottom"/>
            <w:shd w:val="clear" w:color="auto" w:fill="E2E8F1"/>
          </w:tcPr>
          <w:p>
            <w:pPr>
              <w:spacing w:after="0"/>
              <w:rPr>
                <w:sz w:val="13"/>
                <w:szCs w:val="13"/>
                <w:color w:val="auto"/>
              </w:rPr>
            </w:pPr>
          </w:p>
        </w:tc>
      </w:tr>
      <w:tr>
        <w:trPr>
          <w:trHeight w:val="166"/>
        </w:trPr>
        <w:tc>
          <w:tcPr>
            <w:tcW w:w="4980" w:type="dxa"/>
            <w:vAlign w:val="bottom"/>
          </w:tcPr>
          <w:p>
            <w:pPr>
              <w:ind w:left="80"/>
              <w:spacing w:after="0"/>
              <w:rPr>
                <w:sz w:val="20"/>
                <w:szCs w:val="20"/>
                <w:color w:val="auto"/>
              </w:rPr>
            </w:pPr>
            <w:r>
              <w:rPr>
                <w:rFonts w:ascii="Arial" w:cs="Arial" w:eastAsia="Arial" w:hAnsi="Arial"/>
                <w:sz w:val="14"/>
                <w:szCs w:val="14"/>
                <w:color w:val="auto"/>
              </w:rPr>
              <w:t>Current liabilities</w:t>
            </w:r>
          </w:p>
        </w:tc>
        <w:tc>
          <w:tcPr>
            <w:tcW w:w="30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(1.0 )</w:t>
            </w:r>
          </w:p>
        </w:tc>
        <w:tc>
          <w:tcPr>
            <w:tcW w:w="4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(1.1 )</w:t>
            </w:r>
          </w:p>
        </w:tc>
      </w:tr>
      <w:tr>
        <w:trPr>
          <w:trHeight w:val="166"/>
        </w:trPr>
        <w:tc>
          <w:tcPr>
            <w:tcW w:w="498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auto"/>
              </w:rPr>
              <w:t>Noncurrent liabilities</w:t>
            </w:r>
          </w:p>
        </w:tc>
        <w:tc>
          <w:tcPr>
            <w:tcW w:w="3020" w:type="dxa"/>
            <w:vAlign w:val="bottom"/>
            <w:tcBorders>
              <w:bottom w:val="single" w:sz="8" w:color="auto"/>
            </w:tcBorders>
            <w:shd w:val="clear" w:color="auto" w:fill="E2E8F1"/>
          </w:tcPr>
          <w:p>
            <w:pPr>
              <w:spacing w:after="0"/>
              <w:rPr>
                <w:sz w:val="14"/>
                <w:szCs w:val="14"/>
                <w:color w:val="auto"/>
              </w:rPr>
            </w:pPr>
          </w:p>
        </w:tc>
        <w:tc>
          <w:tcPr>
            <w:tcW w:w="1440" w:type="dxa"/>
            <w:vAlign w:val="bottom"/>
            <w:tcBorders>
              <w:bottom w:val="single" w:sz="8" w:color="auto"/>
            </w:tcBorders>
            <w:shd w:val="clear" w:color="auto" w:fill="E2E8F1"/>
          </w:tcPr>
          <w:p>
            <w:pPr>
              <w:jc w:val="right"/>
              <w:ind w:right="50"/>
              <w:spacing w:after="0"/>
              <w:rPr>
                <w:sz w:val="20"/>
                <w:szCs w:val="20"/>
                <w:color w:val="auto"/>
              </w:rPr>
            </w:pPr>
            <w:r>
              <w:rPr>
                <w:rFonts w:ascii="Arial" w:cs="Arial" w:eastAsia="Arial" w:hAnsi="Arial"/>
                <w:sz w:val="14"/>
                <w:szCs w:val="14"/>
                <w:color w:val="auto"/>
              </w:rPr>
              <w:t>(7.8 )</w:t>
            </w:r>
          </w:p>
        </w:tc>
        <w:tc>
          <w:tcPr>
            <w:tcW w:w="480" w:type="dxa"/>
            <w:vAlign w:val="bottom"/>
            <w:tcBorders>
              <w:bottom w:val="single" w:sz="8" w:color="auto"/>
            </w:tcBorders>
            <w:shd w:val="clear" w:color="auto" w:fill="E2E8F1"/>
          </w:tcPr>
          <w:p>
            <w:pPr>
              <w:spacing w:after="0"/>
              <w:rPr>
                <w:sz w:val="14"/>
                <w:szCs w:val="14"/>
                <w:color w:val="auto"/>
              </w:rPr>
            </w:pPr>
          </w:p>
        </w:tc>
        <w:tc>
          <w:tcPr>
            <w:tcW w:w="13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(9.1 )</w:t>
            </w:r>
          </w:p>
        </w:tc>
      </w:tr>
      <w:tr>
        <w:trPr>
          <w:trHeight w:val="157"/>
        </w:trPr>
        <w:tc>
          <w:tcPr>
            <w:tcW w:w="4980" w:type="dxa"/>
            <w:vAlign w:val="bottom"/>
            <w:tcBorders>
              <w:bottom w:val="single" w:sz="8" w:color="auto"/>
            </w:tcBorders>
          </w:tcPr>
          <w:p>
            <w:pPr>
              <w:ind w:left="80"/>
              <w:spacing w:after="0" w:line="157" w:lineRule="exact"/>
              <w:rPr>
                <w:sz w:val="20"/>
                <w:szCs w:val="20"/>
                <w:color w:val="auto"/>
              </w:rPr>
            </w:pPr>
            <w:r>
              <w:rPr>
                <w:rFonts w:ascii="Arial" w:cs="Arial" w:eastAsia="Arial" w:hAnsi="Arial"/>
                <w:sz w:val="14"/>
                <w:szCs w:val="14"/>
                <w:color w:val="auto"/>
              </w:rPr>
              <w:t>Net amount recognized</w:t>
            </w:r>
          </w:p>
        </w:tc>
        <w:tc>
          <w:tcPr>
            <w:tcW w:w="302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(8.8 )</w:t>
            </w:r>
          </w:p>
        </w:tc>
        <w:tc>
          <w:tcPr>
            <w:tcW w:w="480" w:type="dxa"/>
            <w:vAlign w:val="bottom"/>
            <w:tcBorders>
              <w:bottom w:val="single" w:sz="8" w:color="auto"/>
            </w:tcBorders>
          </w:tcPr>
          <w:p>
            <w:pPr>
              <w:jc w:val="right"/>
              <w:ind w:right="229"/>
              <w:spacing w:after="0" w:line="157"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(10.2 )</w:t>
            </w:r>
          </w:p>
        </w:tc>
      </w:tr>
    </w:tbl>
    <w:p>
      <w:pPr>
        <w:spacing w:after="0" w:line="9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amount recognized in accumulated other comprehensive loss, net of tax, consists of a net gain of $1.1 and $0.3 as of December 31, 2024 and 2023, respectively, and a prior service credit of $0.4 and $1.0 as of December 31, 2024 and 2023, respectively.</w:t>
      </w:r>
    </w:p>
    <w:p>
      <w:pPr>
        <w:spacing w:after="0" w:line="5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discount rate used in the measurement of the benefit obligation was 5.5% and 4.9% in 2024 and 2023, respectively. The discount rate used in the measurement of net periodic benefit cost was 4.9%, 5.1% and 2.6% in 2024, 2023 and 2022,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231F20"/>
        </w:rPr>
        <w:t>The components of net periodic benefit cost and other amounts recognized in other comprehensive income/loss for this plan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00" w:type="dxa"/>
            <w:vAlign w:val="bottom"/>
            <w:tcBorders>
              <w:top w:val="single" w:sz="8" w:color="auto"/>
              <w:bottom w:val="single" w:sz="8" w:color="auto"/>
            </w:tcBorders>
            <w:shd w:val="clear" w:color="auto" w:fill="98B0CE"/>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1080" w:type="dxa"/>
            <w:vAlign w:val="bottom"/>
            <w:tcBorders>
              <w:top w:val="single" w:sz="8" w:color="auto"/>
              <w:bottom w:val="single" w:sz="8" w:color="auto"/>
            </w:tcBorders>
            <w:shd w:val="clear" w:color="auto" w:fill="98B0CE"/>
          </w:tcPr>
          <w:p>
            <w:pPr>
              <w:jc w:val="right"/>
              <w:ind w:right="71"/>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top w:val="single" w:sz="8" w:color="auto"/>
              <w:bottom w:val="single" w:sz="8" w:color="auto"/>
            </w:tcBorders>
            <w:shd w:val="clear" w:color="auto" w:fill="98B0CE"/>
          </w:tcPr>
          <w:p>
            <w:pPr>
              <w:spacing w:after="0"/>
              <w:rPr>
                <w:sz w:val="13"/>
                <w:szCs w:val="13"/>
                <w:color w:val="auto"/>
              </w:rPr>
            </w:pPr>
          </w:p>
        </w:tc>
        <w:tc>
          <w:tcPr>
            <w:tcW w:w="1040" w:type="dxa"/>
            <w:vAlign w:val="bottom"/>
            <w:tcBorders>
              <w:top w:val="single" w:sz="8" w:color="auto"/>
              <w:bottom w:val="single" w:sz="8" w:color="auto"/>
            </w:tcBorders>
            <w:shd w:val="clear" w:color="auto" w:fill="98B0CE"/>
          </w:tcPr>
          <w:p>
            <w:pPr>
              <w:jc w:val="right"/>
              <w:ind w:right="71"/>
              <w:spacing w:after="0"/>
              <w:rPr>
                <w:sz w:val="20"/>
                <w:szCs w:val="20"/>
                <w:color w:val="auto"/>
              </w:rPr>
            </w:pPr>
            <w:r>
              <w:rPr>
                <w:rFonts w:ascii="Arial" w:cs="Arial" w:eastAsia="Arial" w:hAnsi="Arial"/>
                <w:sz w:val="13"/>
                <w:szCs w:val="13"/>
                <w:b w:val="1"/>
                <w:bCs w:val="1"/>
                <w:color w:val="auto"/>
              </w:rPr>
              <w:t>2023</w:t>
            </w:r>
          </w:p>
        </w:tc>
        <w:tc>
          <w:tcPr>
            <w:tcW w:w="580" w:type="dxa"/>
            <w:vAlign w:val="bottom"/>
            <w:tcBorders>
              <w:top w:val="single" w:sz="8" w:color="auto"/>
              <w:bottom w:val="single" w:sz="8" w:color="auto"/>
            </w:tcBorders>
            <w:shd w:val="clear" w:color="auto" w:fill="98B0CE"/>
          </w:tcPr>
          <w:p>
            <w:pPr>
              <w:spacing w:after="0"/>
              <w:rPr>
                <w:sz w:val="13"/>
                <w:szCs w:val="13"/>
                <w:color w:val="auto"/>
              </w:rPr>
            </w:pPr>
          </w:p>
        </w:tc>
        <w:tc>
          <w:tcPr>
            <w:tcW w:w="400" w:type="dxa"/>
            <w:vAlign w:val="bottom"/>
            <w:tcBorders>
              <w:top w:val="single" w:sz="8" w:color="auto"/>
              <w:bottom w:val="single" w:sz="8" w:color="auto"/>
            </w:tcBorders>
            <w:shd w:val="clear" w:color="auto" w:fill="98B0CE"/>
          </w:tcPr>
          <w:p>
            <w:pPr>
              <w:spacing w:after="0"/>
              <w:rPr>
                <w:sz w:val="13"/>
                <w:szCs w:val="13"/>
                <w:color w:val="auto"/>
              </w:rPr>
            </w:pPr>
          </w:p>
        </w:tc>
        <w:tc>
          <w:tcPr>
            <w:tcW w:w="1180" w:type="dxa"/>
            <w:vAlign w:val="bottom"/>
            <w:tcBorders>
              <w:top w:val="single" w:sz="8" w:color="auto"/>
              <w:bottom w:val="single" w:sz="8" w:color="auto"/>
            </w:tcBorders>
            <w:shd w:val="clear" w:color="auto" w:fill="98B0CE"/>
          </w:tcPr>
          <w:p>
            <w:pPr>
              <w:jc w:val="right"/>
              <w:ind w:right="610"/>
              <w:spacing w:after="0"/>
              <w:rPr>
                <w:sz w:val="20"/>
                <w:szCs w:val="20"/>
                <w:color w:val="auto"/>
              </w:rPr>
            </w:pPr>
            <w:r>
              <w:rPr>
                <w:rFonts w:ascii="Arial" w:cs="Arial" w:eastAsia="Arial" w:hAnsi="Arial"/>
                <w:sz w:val="13"/>
                <w:szCs w:val="13"/>
                <w:b w:val="1"/>
                <w:bCs w:val="1"/>
                <w:color w:val="auto"/>
              </w:rPr>
              <w:t>2022</w:t>
            </w:r>
          </w:p>
        </w:tc>
      </w:tr>
      <w:tr>
        <w:trPr>
          <w:trHeight w:val="163"/>
        </w:trPr>
        <w:tc>
          <w:tcPr>
            <w:tcW w:w="6400" w:type="dxa"/>
            <w:vAlign w:val="bottom"/>
            <w:shd w:val="clear" w:color="auto" w:fill="E2E8F1"/>
          </w:tcPr>
          <w:p>
            <w:pPr>
              <w:ind w:left="80"/>
              <w:spacing w:after="0"/>
              <w:rPr>
                <w:sz w:val="20"/>
                <w:szCs w:val="20"/>
                <w:color w:val="auto"/>
              </w:rPr>
            </w:pPr>
            <w:r>
              <w:rPr>
                <w:rFonts w:ascii="Arial" w:cs="Arial" w:eastAsia="Arial" w:hAnsi="Arial"/>
                <w:sz w:val="14"/>
                <w:szCs w:val="14"/>
                <w:b w:val="1"/>
                <w:bCs w:val="1"/>
                <w:color w:val="auto"/>
              </w:rPr>
              <w:t>Net Periodic Benefit Credit</w:t>
            </w:r>
          </w:p>
        </w:tc>
        <w:tc>
          <w:tcPr>
            <w:tcW w:w="10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180" w:type="dxa"/>
            <w:vAlign w:val="bottom"/>
            <w:shd w:val="clear" w:color="auto" w:fill="E2E8F1"/>
          </w:tcPr>
          <w:p>
            <w:pPr>
              <w:spacing w:after="0"/>
              <w:rPr>
                <w:sz w:val="14"/>
                <w:szCs w:val="14"/>
                <w:color w:val="auto"/>
              </w:rPr>
            </w:pPr>
          </w:p>
        </w:tc>
      </w:tr>
      <w:tr>
        <w:trPr>
          <w:trHeight w:val="166"/>
        </w:trPr>
        <w:tc>
          <w:tcPr>
            <w:tcW w:w="6400" w:type="dxa"/>
            <w:vAlign w:val="bottom"/>
          </w:tcPr>
          <w:p>
            <w:pPr>
              <w:ind w:left="80"/>
              <w:spacing w:after="0"/>
              <w:rPr>
                <w:sz w:val="20"/>
                <w:szCs w:val="20"/>
                <w:color w:val="auto"/>
              </w:rPr>
            </w:pPr>
            <w:r>
              <w:rPr>
                <w:rFonts w:ascii="Arial" w:cs="Arial" w:eastAsia="Arial" w:hAnsi="Arial"/>
                <w:sz w:val="14"/>
                <w:szCs w:val="14"/>
                <w:color w:val="auto"/>
              </w:rPr>
              <w:t>Interest cost</w:t>
            </w:r>
          </w:p>
        </w:tc>
        <w:tc>
          <w:tcPr>
            <w:tcW w:w="1080" w:type="dxa"/>
            <w:vAlign w:val="bottom"/>
          </w:tcPr>
          <w:p>
            <w:pPr>
              <w:jc w:val="right"/>
              <w:ind w:right="791"/>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0.5</w:t>
            </w:r>
          </w:p>
        </w:tc>
        <w:tc>
          <w:tcPr>
            <w:tcW w:w="1040" w:type="dxa"/>
            <w:vAlign w:val="bottom"/>
          </w:tcPr>
          <w:p>
            <w:pPr>
              <w:jc w:val="right"/>
              <w:ind w:right="791"/>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0.5</w:t>
            </w:r>
          </w:p>
        </w:tc>
        <w:tc>
          <w:tcPr>
            <w:tcW w:w="4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70"/>
              <w:spacing w:after="0"/>
              <w:rPr>
                <w:sz w:val="20"/>
                <w:szCs w:val="20"/>
                <w:color w:val="auto"/>
              </w:rPr>
            </w:pPr>
            <w:r>
              <w:rPr>
                <w:rFonts w:ascii="Arial" w:cs="Arial" w:eastAsia="Arial" w:hAnsi="Arial"/>
                <w:sz w:val="14"/>
                <w:szCs w:val="14"/>
                <w:color w:val="auto"/>
              </w:rPr>
              <w:t>0.3</w:t>
            </w:r>
          </w:p>
        </w:tc>
      </w:tr>
      <w:tr>
        <w:trPr>
          <w:trHeight w:val="166"/>
        </w:trPr>
        <w:tc>
          <w:tcPr>
            <w:tcW w:w="6400" w:type="dxa"/>
            <w:vAlign w:val="bottom"/>
            <w:shd w:val="clear" w:color="auto" w:fill="E2E8F1"/>
          </w:tcPr>
          <w:p>
            <w:pPr>
              <w:ind w:left="80"/>
              <w:spacing w:after="0"/>
              <w:rPr>
                <w:sz w:val="20"/>
                <w:szCs w:val="20"/>
                <w:color w:val="auto"/>
              </w:rPr>
            </w:pPr>
            <w:r>
              <w:rPr>
                <w:rFonts w:ascii="Arial" w:cs="Arial" w:eastAsia="Arial" w:hAnsi="Arial"/>
                <w:sz w:val="14"/>
                <w:szCs w:val="14"/>
                <w:color w:val="auto"/>
              </w:rPr>
              <w:t>Net loss</w:t>
            </w:r>
          </w:p>
        </w:tc>
        <w:tc>
          <w:tcPr>
            <w:tcW w:w="1080" w:type="dxa"/>
            <w:vAlign w:val="bottom"/>
            <w:shd w:val="clear" w:color="auto" w:fill="E2E8F1"/>
          </w:tcPr>
          <w:p>
            <w:pPr>
              <w:spacing w:after="0"/>
              <w:rPr>
                <w:sz w:val="14"/>
                <w:szCs w:val="14"/>
                <w:color w:val="auto"/>
              </w:rPr>
            </w:pPr>
          </w:p>
        </w:tc>
        <w:tc>
          <w:tcPr>
            <w:tcW w:w="58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shd w:val="clear" w:color="auto" w:fill="E2E8F1"/>
          </w:tcPr>
          <w:p>
            <w:pPr>
              <w:spacing w:after="0"/>
              <w:rPr>
                <w:sz w:val="14"/>
                <w:szCs w:val="14"/>
                <w:color w:val="auto"/>
              </w:rPr>
            </w:pPr>
          </w:p>
        </w:tc>
        <w:tc>
          <w:tcPr>
            <w:tcW w:w="580" w:type="dxa"/>
            <w:vAlign w:val="bottom"/>
            <w:shd w:val="clear" w:color="auto" w:fill="E2E8F1"/>
          </w:tcPr>
          <w:p>
            <w:pPr>
              <w:jc w:val="right"/>
              <w:ind w:right="109"/>
              <w:spacing w:after="0"/>
              <w:rPr>
                <w:sz w:val="20"/>
                <w:szCs w:val="20"/>
                <w:color w:val="auto"/>
              </w:rPr>
            </w:pPr>
            <w:r>
              <w:rPr>
                <w:rFonts w:ascii="Arial" w:cs="Arial" w:eastAsia="Arial" w:hAnsi="Arial"/>
                <w:sz w:val="14"/>
                <w:szCs w:val="14"/>
                <w:color w:val="auto"/>
              </w:rPr>
              <w:t>—</w:t>
            </w:r>
          </w:p>
        </w:tc>
        <w:tc>
          <w:tcPr>
            <w:tcW w:w="400" w:type="dxa"/>
            <w:vAlign w:val="bottom"/>
            <w:shd w:val="clear" w:color="auto" w:fill="E2E8F1"/>
          </w:tcPr>
          <w:p>
            <w:pPr>
              <w:spacing w:after="0"/>
              <w:rPr>
                <w:sz w:val="14"/>
                <w:szCs w:val="14"/>
                <w:color w:val="auto"/>
              </w:rPr>
            </w:pPr>
          </w:p>
        </w:tc>
        <w:tc>
          <w:tcPr>
            <w:tcW w:w="118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0.2</w:t>
            </w:r>
          </w:p>
        </w:tc>
      </w:tr>
      <w:tr>
        <w:trPr>
          <w:trHeight w:val="166"/>
        </w:trPr>
        <w:tc>
          <w:tcPr>
            <w:tcW w:w="64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Prior service credit</w:t>
            </w:r>
          </w:p>
        </w:tc>
        <w:tc>
          <w:tcPr>
            <w:tcW w:w="10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(0.8 )</w:t>
            </w: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(0.8 )</w:t>
            </w: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(0.8 )</w:t>
            </w:r>
          </w:p>
        </w:tc>
      </w:tr>
      <w:tr>
        <w:trPr>
          <w:trHeight w:val="157"/>
        </w:trPr>
        <w:tc>
          <w:tcPr>
            <w:tcW w:w="6400" w:type="dxa"/>
            <w:vAlign w:val="bottom"/>
            <w:tcBorders>
              <w:bottom w:val="single" w:sz="8" w:color="auto"/>
            </w:tcBorders>
            <w:shd w:val="clear" w:color="auto" w:fill="E2E8F1"/>
          </w:tcPr>
          <w:p>
            <w:pPr>
              <w:ind w:left="80"/>
              <w:spacing w:after="0" w:line="157" w:lineRule="exact"/>
              <w:rPr>
                <w:sz w:val="20"/>
                <w:szCs w:val="20"/>
                <w:color w:val="auto"/>
              </w:rPr>
            </w:pPr>
            <w:r>
              <w:rPr>
                <w:rFonts w:ascii="Arial" w:cs="Arial" w:eastAsia="Arial" w:hAnsi="Arial"/>
                <w:sz w:val="14"/>
                <w:szCs w:val="14"/>
                <w:color w:val="auto"/>
              </w:rPr>
              <w:t>Net periodic benefit credit</w:t>
            </w:r>
          </w:p>
        </w:tc>
        <w:tc>
          <w:tcPr>
            <w:tcW w:w="1080" w:type="dxa"/>
            <w:vAlign w:val="bottom"/>
            <w:tcBorders>
              <w:bottom w:val="single" w:sz="8" w:color="auto"/>
            </w:tcBorders>
            <w:shd w:val="clear" w:color="auto" w:fill="E2E8F1"/>
          </w:tcPr>
          <w:p>
            <w:pPr>
              <w:jc w:val="right"/>
              <w:ind w:right="791"/>
              <w:spacing w:after="0" w:line="157"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E2E8F1"/>
          </w:tcPr>
          <w:p>
            <w:pPr>
              <w:jc w:val="right"/>
              <w:ind w:right="29"/>
              <w:spacing w:after="0" w:line="157" w:lineRule="exact"/>
              <w:rPr>
                <w:sz w:val="20"/>
                <w:szCs w:val="20"/>
                <w:color w:val="auto"/>
              </w:rPr>
            </w:pPr>
            <w:r>
              <w:rPr>
                <w:rFonts w:ascii="Arial" w:cs="Arial" w:eastAsia="Arial" w:hAnsi="Arial"/>
                <w:sz w:val="14"/>
                <w:szCs w:val="14"/>
                <w:color w:val="auto"/>
              </w:rPr>
              <w:t>(0.3 )</w:t>
            </w:r>
          </w:p>
        </w:tc>
        <w:tc>
          <w:tcPr>
            <w:tcW w:w="1040" w:type="dxa"/>
            <w:vAlign w:val="bottom"/>
            <w:tcBorders>
              <w:bottom w:val="single" w:sz="8" w:color="auto"/>
            </w:tcBorders>
            <w:shd w:val="clear" w:color="auto" w:fill="E2E8F1"/>
          </w:tcPr>
          <w:p>
            <w:pPr>
              <w:jc w:val="right"/>
              <w:ind w:right="791"/>
              <w:spacing w:after="0" w:line="157"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E2E8F1"/>
          </w:tcPr>
          <w:p>
            <w:pPr>
              <w:jc w:val="right"/>
              <w:ind w:right="29"/>
              <w:spacing w:after="0" w:line="157" w:lineRule="exact"/>
              <w:rPr>
                <w:sz w:val="20"/>
                <w:szCs w:val="20"/>
                <w:color w:val="auto"/>
              </w:rPr>
            </w:pPr>
            <w:r>
              <w:rPr>
                <w:rFonts w:ascii="Arial" w:cs="Arial" w:eastAsia="Arial" w:hAnsi="Arial"/>
                <w:sz w:val="14"/>
                <w:szCs w:val="14"/>
                <w:color w:val="auto"/>
              </w:rPr>
              <w:t>(0.3 )</w:t>
            </w:r>
          </w:p>
        </w:tc>
        <w:tc>
          <w:tcPr>
            <w:tcW w:w="400" w:type="dxa"/>
            <w:vAlign w:val="bottom"/>
            <w:tcBorders>
              <w:bottom w:val="single" w:sz="8" w:color="auto"/>
            </w:tcBorders>
            <w:shd w:val="clear" w:color="auto" w:fill="E2E8F1"/>
          </w:tcPr>
          <w:p>
            <w:pPr>
              <w:jc w:val="right"/>
              <w:ind w:right="149"/>
              <w:spacing w:after="0" w:line="157"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(0.3 )</w:t>
            </w:r>
          </w:p>
        </w:tc>
      </w:tr>
      <w:tr>
        <w:trPr>
          <w:trHeight w:val="145"/>
        </w:trPr>
        <w:tc>
          <w:tcPr>
            <w:tcW w:w="64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Other Changes in Plan Assets and Benefit Obligations Recognized</w:t>
            </w: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8"/>
        </w:trPr>
        <w:tc>
          <w:tcPr>
            <w:tcW w:w="6400" w:type="dxa"/>
            <w:vAlign w:val="bottom"/>
          </w:tcPr>
          <w:p>
            <w:pPr>
              <w:ind w:left="200"/>
              <w:spacing w:after="0"/>
              <w:rPr>
                <w:sz w:val="20"/>
                <w:szCs w:val="20"/>
                <w:color w:val="auto"/>
              </w:rPr>
            </w:pPr>
            <w:r>
              <w:rPr>
                <w:rFonts w:ascii="Arial" w:cs="Arial" w:eastAsia="Arial" w:hAnsi="Arial"/>
                <w:sz w:val="14"/>
                <w:szCs w:val="14"/>
                <w:b w:val="1"/>
                <w:bCs w:val="1"/>
                <w:color w:val="auto"/>
              </w:rPr>
              <w:t>in Other Comprehensive Income/Loss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66"/>
        </w:trPr>
        <w:tc>
          <w:tcPr>
            <w:tcW w:w="6400" w:type="dxa"/>
            <w:vAlign w:val="bottom"/>
            <w:shd w:val="clear" w:color="auto" w:fill="E2E8F1"/>
          </w:tcPr>
          <w:p>
            <w:pPr>
              <w:ind w:left="80"/>
              <w:spacing w:after="0"/>
              <w:rPr>
                <w:sz w:val="20"/>
                <w:szCs w:val="20"/>
                <w:color w:val="auto"/>
              </w:rPr>
            </w:pPr>
            <w:r>
              <w:rPr>
                <w:rFonts w:ascii="Arial" w:cs="Arial" w:eastAsia="Arial" w:hAnsi="Arial"/>
                <w:sz w:val="14"/>
                <w:szCs w:val="14"/>
                <w:color w:val="auto"/>
              </w:rPr>
              <w:t>Net gain</w:t>
            </w:r>
          </w:p>
        </w:tc>
        <w:tc>
          <w:tcPr>
            <w:tcW w:w="1080" w:type="dxa"/>
            <w:vAlign w:val="bottom"/>
            <w:shd w:val="clear" w:color="auto" w:fill="E2E8F1"/>
          </w:tcPr>
          <w:p>
            <w:pPr>
              <w:jc w:val="right"/>
              <w:ind w:right="791"/>
              <w:spacing w:after="0"/>
              <w:rPr>
                <w:sz w:val="20"/>
                <w:szCs w:val="20"/>
                <w:color w:val="auto"/>
              </w:rPr>
            </w:pPr>
            <w:r>
              <w:rPr>
                <w:rFonts w:ascii="Arial" w:cs="Arial" w:eastAsia="Arial" w:hAnsi="Arial"/>
                <w:sz w:val="14"/>
                <w:szCs w:val="14"/>
                <w:color w:val="auto"/>
              </w:rPr>
              <w:t>$</w:t>
            </w:r>
          </w:p>
        </w:tc>
        <w:tc>
          <w:tcPr>
            <w:tcW w:w="58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auto"/>
              </w:rPr>
              <w:t>(1.1 )</w:t>
            </w:r>
          </w:p>
        </w:tc>
        <w:tc>
          <w:tcPr>
            <w:tcW w:w="1040" w:type="dxa"/>
            <w:vAlign w:val="bottom"/>
            <w:shd w:val="clear" w:color="auto" w:fill="E2E8F1"/>
          </w:tcPr>
          <w:p>
            <w:pPr>
              <w:jc w:val="right"/>
              <w:ind w:right="791"/>
              <w:spacing w:after="0"/>
              <w:rPr>
                <w:sz w:val="20"/>
                <w:szCs w:val="20"/>
                <w:color w:val="auto"/>
              </w:rPr>
            </w:pPr>
            <w:r>
              <w:rPr>
                <w:rFonts w:ascii="Arial" w:cs="Arial" w:eastAsia="Arial" w:hAnsi="Arial"/>
                <w:sz w:val="14"/>
                <w:szCs w:val="14"/>
                <w:color w:val="auto"/>
              </w:rPr>
              <w:t>$</w:t>
            </w:r>
          </w:p>
        </w:tc>
        <w:tc>
          <w:tcPr>
            <w:tcW w:w="58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auto"/>
              </w:rPr>
              <w:t>(1.0 )</w:t>
            </w:r>
          </w:p>
        </w:tc>
        <w:tc>
          <w:tcPr>
            <w:tcW w:w="400" w:type="dxa"/>
            <w:vAlign w:val="bottom"/>
            <w:shd w:val="clear" w:color="auto" w:fill="E2E8F1"/>
          </w:tcPr>
          <w:p>
            <w:pPr>
              <w:jc w:val="right"/>
              <w:ind w:right="149"/>
              <w:spacing w:after="0"/>
              <w:rPr>
                <w:sz w:val="20"/>
                <w:szCs w:val="20"/>
                <w:color w:val="auto"/>
              </w:rPr>
            </w:pPr>
            <w:r>
              <w:rPr>
                <w:rFonts w:ascii="Arial" w:cs="Arial" w:eastAsia="Arial" w:hAnsi="Arial"/>
                <w:sz w:val="14"/>
                <w:szCs w:val="14"/>
                <w:color w:val="auto"/>
              </w:rPr>
              <w:t>$</w:t>
            </w:r>
          </w:p>
        </w:tc>
        <w:tc>
          <w:tcPr>
            <w:tcW w:w="11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(2.0 )</w:t>
            </w:r>
          </w:p>
        </w:tc>
      </w:tr>
      <w:tr>
        <w:trPr>
          <w:trHeight w:val="166"/>
        </w:trPr>
        <w:tc>
          <w:tcPr>
            <w:tcW w:w="6400" w:type="dxa"/>
            <w:vAlign w:val="bottom"/>
          </w:tcPr>
          <w:p>
            <w:pPr>
              <w:ind w:left="80"/>
              <w:spacing w:after="0"/>
              <w:rPr>
                <w:sz w:val="20"/>
                <w:szCs w:val="20"/>
                <w:color w:val="auto"/>
              </w:rPr>
            </w:pPr>
            <w:r>
              <w:rPr>
                <w:rFonts w:ascii="Arial" w:cs="Arial" w:eastAsia="Arial" w:hAnsi="Arial"/>
                <w:sz w:val="14"/>
                <w:szCs w:val="14"/>
                <w:color w:val="auto"/>
              </w:rPr>
              <w:t>Amortization of net loss</w:t>
            </w:r>
          </w:p>
        </w:tc>
        <w:tc>
          <w:tcPr>
            <w:tcW w:w="1080" w:type="dxa"/>
            <w:vAlign w:val="bottom"/>
          </w:tcPr>
          <w:p>
            <w:pPr>
              <w:spacing w:after="0"/>
              <w:rPr>
                <w:sz w:val="14"/>
                <w:szCs w:val="14"/>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(0.2 )</w:t>
            </w:r>
          </w:p>
        </w:tc>
      </w:tr>
      <w:tr>
        <w:trPr>
          <w:trHeight w:val="166"/>
        </w:trPr>
        <w:tc>
          <w:tcPr>
            <w:tcW w:w="640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auto"/>
              </w:rPr>
              <w:t>Amortization of prior service credit</w:t>
            </w:r>
          </w:p>
        </w:tc>
        <w:tc>
          <w:tcPr>
            <w:tcW w:w="1080" w:type="dxa"/>
            <w:vAlign w:val="bottom"/>
            <w:tcBorders>
              <w:bottom w:val="single" w:sz="8" w:color="auto"/>
            </w:tcBorders>
            <w:shd w:val="clear" w:color="auto" w:fill="E2E8F1"/>
          </w:tcPr>
          <w:p>
            <w:pPr>
              <w:spacing w:after="0"/>
              <w:rPr>
                <w:sz w:val="14"/>
                <w:szCs w:val="14"/>
                <w:color w:val="auto"/>
              </w:rPr>
            </w:pPr>
          </w:p>
        </w:tc>
        <w:tc>
          <w:tcPr>
            <w:tcW w:w="580" w:type="dxa"/>
            <w:vAlign w:val="bottom"/>
            <w:tcBorders>
              <w:bottom w:val="single" w:sz="8" w:color="auto"/>
            </w:tcBorders>
            <w:shd w:val="clear" w:color="auto" w:fill="E2E8F1"/>
          </w:tcPr>
          <w:p>
            <w:pPr>
              <w:jc w:val="right"/>
              <w:ind w:right="109"/>
              <w:spacing w:after="0"/>
              <w:rPr>
                <w:sz w:val="20"/>
                <w:szCs w:val="20"/>
                <w:color w:val="auto"/>
              </w:rPr>
            </w:pPr>
            <w:r>
              <w:rPr>
                <w:rFonts w:ascii="Arial" w:cs="Arial" w:eastAsia="Arial" w:hAnsi="Arial"/>
                <w:sz w:val="14"/>
                <w:szCs w:val="14"/>
                <w:color w:val="auto"/>
              </w:rPr>
              <w:t>0.8</w:t>
            </w:r>
          </w:p>
        </w:tc>
        <w:tc>
          <w:tcPr>
            <w:tcW w:w="1040" w:type="dxa"/>
            <w:vAlign w:val="bottom"/>
            <w:tcBorders>
              <w:bottom w:val="single" w:sz="8" w:color="auto"/>
            </w:tcBorders>
            <w:shd w:val="clear" w:color="auto" w:fill="E2E8F1"/>
          </w:tcPr>
          <w:p>
            <w:pPr>
              <w:spacing w:after="0"/>
              <w:rPr>
                <w:sz w:val="14"/>
                <w:szCs w:val="14"/>
                <w:color w:val="auto"/>
              </w:rPr>
            </w:pPr>
          </w:p>
        </w:tc>
        <w:tc>
          <w:tcPr>
            <w:tcW w:w="580" w:type="dxa"/>
            <w:vAlign w:val="bottom"/>
            <w:tcBorders>
              <w:bottom w:val="single" w:sz="8" w:color="auto"/>
            </w:tcBorders>
            <w:shd w:val="clear" w:color="auto" w:fill="E2E8F1"/>
          </w:tcPr>
          <w:p>
            <w:pPr>
              <w:jc w:val="right"/>
              <w:ind w:right="109"/>
              <w:spacing w:after="0"/>
              <w:rPr>
                <w:sz w:val="20"/>
                <w:szCs w:val="20"/>
                <w:color w:val="auto"/>
              </w:rPr>
            </w:pPr>
            <w:r>
              <w:rPr>
                <w:rFonts w:ascii="Arial" w:cs="Arial" w:eastAsia="Arial" w:hAnsi="Arial"/>
                <w:sz w:val="14"/>
                <w:szCs w:val="14"/>
                <w:color w:val="auto"/>
              </w:rPr>
              <w:t>0.8</w:t>
            </w:r>
          </w:p>
        </w:tc>
        <w:tc>
          <w:tcPr>
            <w:tcW w:w="400" w:type="dxa"/>
            <w:vAlign w:val="bottom"/>
            <w:tcBorders>
              <w:bottom w:val="single" w:sz="8" w:color="auto"/>
            </w:tcBorders>
            <w:shd w:val="clear" w:color="auto" w:fill="E2E8F1"/>
          </w:tcPr>
          <w:p>
            <w:pPr>
              <w:spacing w:after="0"/>
              <w:rPr>
                <w:sz w:val="14"/>
                <w:szCs w:val="14"/>
                <w:color w:val="auto"/>
              </w:rPr>
            </w:pPr>
          </w:p>
        </w:tc>
        <w:tc>
          <w:tcPr>
            <w:tcW w:w="1180" w:type="dxa"/>
            <w:vAlign w:val="bottom"/>
            <w:tcBorders>
              <w:bottom w:val="single" w:sz="8" w:color="auto"/>
            </w:tcBorders>
            <w:shd w:val="clear" w:color="auto" w:fill="E2E8F1"/>
          </w:tcPr>
          <w:p>
            <w:pPr>
              <w:jc w:val="right"/>
              <w:ind w:right="70"/>
              <w:spacing w:after="0"/>
              <w:rPr>
                <w:sz w:val="20"/>
                <w:szCs w:val="20"/>
                <w:color w:val="auto"/>
              </w:rPr>
            </w:pPr>
            <w:r>
              <w:rPr>
                <w:rFonts w:ascii="Arial" w:cs="Arial" w:eastAsia="Arial" w:hAnsi="Arial"/>
                <w:sz w:val="14"/>
                <w:szCs w:val="14"/>
                <w:color w:val="auto"/>
              </w:rPr>
              <w:t>0.8</w:t>
            </w:r>
          </w:p>
        </w:tc>
      </w:tr>
      <w:tr>
        <w:trPr>
          <w:trHeight w:val="157"/>
        </w:trPr>
        <w:tc>
          <w:tcPr>
            <w:tcW w:w="6400" w:type="dxa"/>
            <w:vAlign w:val="bottom"/>
            <w:tcBorders>
              <w:bottom w:val="single" w:sz="8" w:color="auto"/>
            </w:tcBorders>
          </w:tcPr>
          <w:p>
            <w:pPr>
              <w:ind w:left="80"/>
              <w:spacing w:after="0" w:line="157" w:lineRule="exact"/>
              <w:rPr>
                <w:sz w:val="20"/>
                <w:szCs w:val="20"/>
                <w:color w:val="auto"/>
              </w:rPr>
            </w:pPr>
            <w:r>
              <w:rPr>
                <w:rFonts w:ascii="Arial" w:cs="Arial" w:eastAsia="Arial" w:hAnsi="Arial"/>
                <w:sz w:val="14"/>
                <w:szCs w:val="14"/>
                <w:color w:val="auto"/>
              </w:rPr>
              <w:t>Total recognized in other comprehensive income/loss</w:t>
            </w:r>
          </w:p>
        </w:tc>
        <w:tc>
          <w:tcPr>
            <w:tcW w:w="10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(0.3 )</w:t>
            </w:r>
          </w:p>
        </w:tc>
        <w:tc>
          <w:tcPr>
            <w:tcW w:w="10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(0.2 )</w:t>
            </w:r>
          </w:p>
        </w:tc>
        <w:tc>
          <w:tcPr>
            <w:tcW w:w="4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(1.4 )</w:t>
            </w:r>
          </w:p>
        </w:tc>
      </w:tr>
      <w:tr>
        <w:trPr>
          <w:trHeight w:val="145"/>
        </w:trPr>
        <w:tc>
          <w:tcPr>
            <w:tcW w:w="6400" w:type="dxa"/>
            <w:vAlign w:val="bottom"/>
            <w:shd w:val="clear" w:color="auto" w:fill="E2E8F1"/>
          </w:tcPr>
          <w:p>
            <w:pPr>
              <w:ind w:left="80"/>
              <w:spacing w:after="0" w:line="145" w:lineRule="exact"/>
              <w:rPr>
                <w:sz w:val="20"/>
                <w:szCs w:val="20"/>
                <w:color w:val="auto"/>
              </w:rPr>
            </w:pPr>
            <w:r>
              <w:rPr>
                <w:rFonts w:ascii="Arial" w:cs="Arial" w:eastAsia="Arial" w:hAnsi="Arial"/>
                <w:sz w:val="14"/>
                <w:szCs w:val="14"/>
                <w:color w:val="auto"/>
              </w:rPr>
              <w:t>Total recognized in net periodic benefit cost and other comprehensive</w:t>
            </w:r>
          </w:p>
        </w:tc>
        <w:tc>
          <w:tcPr>
            <w:tcW w:w="1080" w:type="dxa"/>
            <w:vAlign w:val="bottom"/>
            <w:shd w:val="clear" w:color="auto" w:fill="E2E8F1"/>
          </w:tcPr>
          <w:p>
            <w:pPr>
              <w:spacing w:after="0"/>
              <w:rPr>
                <w:sz w:val="12"/>
                <w:szCs w:val="12"/>
                <w:color w:val="auto"/>
              </w:rPr>
            </w:pPr>
          </w:p>
        </w:tc>
        <w:tc>
          <w:tcPr>
            <w:tcW w:w="580" w:type="dxa"/>
            <w:vAlign w:val="bottom"/>
            <w:shd w:val="clear" w:color="auto" w:fill="E2E8F1"/>
          </w:tcPr>
          <w:p>
            <w:pPr>
              <w:spacing w:after="0"/>
              <w:rPr>
                <w:sz w:val="12"/>
                <w:szCs w:val="12"/>
                <w:color w:val="auto"/>
              </w:rPr>
            </w:pPr>
          </w:p>
        </w:tc>
        <w:tc>
          <w:tcPr>
            <w:tcW w:w="1040" w:type="dxa"/>
            <w:vAlign w:val="bottom"/>
            <w:shd w:val="clear" w:color="auto" w:fill="E2E8F1"/>
          </w:tcPr>
          <w:p>
            <w:pPr>
              <w:spacing w:after="0"/>
              <w:rPr>
                <w:sz w:val="12"/>
                <w:szCs w:val="12"/>
                <w:color w:val="auto"/>
              </w:rPr>
            </w:pPr>
          </w:p>
        </w:tc>
        <w:tc>
          <w:tcPr>
            <w:tcW w:w="580" w:type="dxa"/>
            <w:vAlign w:val="bottom"/>
            <w:shd w:val="clear" w:color="auto" w:fill="E2E8F1"/>
          </w:tcPr>
          <w:p>
            <w:pPr>
              <w:spacing w:after="0"/>
              <w:rPr>
                <w:sz w:val="12"/>
                <w:szCs w:val="12"/>
                <w:color w:val="auto"/>
              </w:rPr>
            </w:pPr>
          </w:p>
        </w:tc>
        <w:tc>
          <w:tcPr>
            <w:tcW w:w="400" w:type="dxa"/>
            <w:vAlign w:val="bottom"/>
            <w:shd w:val="clear" w:color="auto" w:fill="E2E8F1"/>
          </w:tcPr>
          <w:p>
            <w:pPr>
              <w:spacing w:after="0"/>
              <w:rPr>
                <w:sz w:val="12"/>
                <w:szCs w:val="12"/>
                <w:color w:val="auto"/>
              </w:rPr>
            </w:pPr>
          </w:p>
        </w:tc>
        <w:tc>
          <w:tcPr>
            <w:tcW w:w="1180" w:type="dxa"/>
            <w:vAlign w:val="bottom"/>
            <w:shd w:val="clear" w:color="auto" w:fill="E2E8F1"/>
          </w:tcPr>
          <w:p>
            <w:pPr>
              <w:spacing w:after="0"/>
              <w:rPr>
                <w:sz w:val="12"/>
                <w:szCs w:val="12"/>
                <w:color w:val="auto"/>
              </w:rPr>
            </w:pPr>
          </w:p>
        </w:tc>
      </w:tr>
      <w:tr>
        <w:trPr>
          <w:trHeight w:val="178"/>
        </w:trPr>
        <w:tc>
          <w:tcPr>
            <w:tcW w:w="6400" w:type="dxa"/>
            <w:vAlign w:val="bottom"/>
            <w:tcBorders>
              <w:bottom w:val="single" w:sz="8" w:color="auto"/>
            </w:tcBorders>
            <w:shd w:val="clear" w:color="auto" w:fill="E2E8F1"/>
          </w:tcPr>
          <w:p>
            <w:pPr>
              <w:ind w:left="200"/>
              <w:spacing w:after="0"/>
              <w:rPr>
                <w:sz w:val="20"/>
                <w:szCs w:val="20"/>
                <w:color w:val="auto"/>
              </w:rPr>
            </w:pPr>
            <w:r>
              <w:rPr>
                <w:rFonts w:ascii="Arial" w:cs="Arial" w:eastAsia="Arial" w:hAnsi="Arial"/>
                <w:sz w:val="14"/>
                <w:szCs w:val="14"/>
                <w:color w:val="auto"/>
              </w:rPr>
              <w:t>income/loss</w:t>
            </w:r>
          </w:p>
        </w:tc>
        <w:tc>
          <w:tcPr>
            <w:tcW w:w="1080" w:type="dxa"/>
            <w:vAlign w:val="bottom"/>
            <w:tcBorders>
              <w:bottom w:val="single" w:sz="8" w:color="auto"/>
            </w:tcBorders>
            <w:shd w:val="clear" w:color="auto" w:fill="E2E8F1"/>
          </w:tcPr>
          <w:p>
            <w:pPr>
              <w:jc w:val="right"/>
              <w:ind w:right="79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E2E8F1"/>
          </w:tcPr>
          <w:p>
            <w:pPr>
              <w:jc w:val="right"/>
              <w:ind w:right="29"/>
              <w:spacing w:after="0"/>
              <w:rPr>
                <w:sz w:val="20"/>
                <w:szCs w:val="20"/>
                <w:color w:val="auto"/>
              </w:rPr>
            </w:pPr>
            <w:r>
              <w:rPr>
                <w:rFonts w:ascii="Arial" w:cs="Arial" w:eastAsia="Arial" w:hAnsi="Arial"/>
                <w:sz w:val="14"/>
                <w:szCs w:val="14"/>
                <w:color w:val="auto"/>
              </w:rPr>
              <w:t>(0.6 )</w:t>
            </w:r>
          </w:p>
        </w:tc>
        <w:tc>
          <w:tcPr>
            <w:tcW w:w="1040" w:type="dxa"/>
            <w:vAlign w:val="bottom"/>
            <w:tcBorders>
              <w:bottom w:val="single" w:sz="8" w:color="auto"/>
            </w:tcBorders>
            <w:shd w:val="clear" w:color="auto" w:fill="E2E8F1"/>
          </w:tcPr>
          <w:p>
            <w:pPr>
              <w:jc w:val="right"/>
              <w:ind w:right="79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E2E8F1"/>
          </w:tcPr>
          <w:p>
            <w:pPr>
              <w:jc w:val="right"/>
              <w:ind w:right="29"/>
              <w:spacing w:after="0"/>
              <w:rPr>
                <w:sz w:val="20"/>
                <w:szCs w:val="20"/>
                <w:color w:val="auto"/>
              </w:rPr>
            </w:pPr>
            <w:r>
              <w:rPr>
                <w:rFonts w:ascii="Arial" w:cs="Arial" w:eastAsia="Arial" w:hAnsi="Arial"/>
                <w:sz w:val="14"/>
                <w:szCs w:val="14"/>
                <w:color w:val="auto"/>
              </w:rPr>
              <w:t>(0.5 )</w:t>
            </w:r>
          </w:p>
        </w:tc>
        <w:tc>
          <w:tcPr>
            <w:tcW w:w="400" w:type="dxa"/>
            <w:vAlign w:val="bottom"/>
            <w:tcBorders>
              <w:bottom w:val="single" w:sz="8" w:color="auto"/>
            </w:tcBorders>
            <w:shd w:val="clear" w:color="auto" w:fill="E2E8F1"/>
          </w:tcPr>
          <w:p>
            <w:pPr>
              <w:jc w:val="right"/>
              <w:ind w:right="14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(1.7 )</w:t>
            </w:r>
          </w:p>
        </w:tc>
      </w:tr>
    </w:tbl>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estimated prior service credit for the retiree health care plan that will be amortized from accumulated other comprehensive income/loss into net periodic benefit cost during 2025 is $0.8. No net gain/loss is estimated to be amortized in 2025.</w:t>
      </w:r>
    </w:p>
    <w:p>
      <w:pPr>
        <w:spacing w:after="0" w:line="5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health care cost trend rate is assumed to be 8.3% in 2025, decreasing gradually to an ultimate rate of 4.5% in 2035. Assumed health care cost trend rates are not expected to have a material effect on the amounts reported.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78" w:name="page79"/>
    <w:bookmarkEnd w:id="78"/>
    <w:p>
      <w:pPr>
        <w:ind w:left="107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3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Future Contributions and Payments</w:t>
      </w:r>
    </w:p>
    <w:p>
      <w:pPr>
        <w:spacing w:after="0" w:line="88"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231F20"/>
        </w:rPr>
        <w:t>During 2025, we plan to contribute approximately $16.0 to our pension plans and to fund our retiree health care payments as incurred. Projected benefit payments from the plans as of December 31, 2024 were estimated as follows:</w:t>
      </w:r>
    </w:p>
    <w:p>
      <w:pPr>
        <w:spacing w:after="0" w:line="57" w:lineRule="exact"/>
        <w:rPr>
          <w:sz w:val="20"/>
          <w:szCs w:val="20"/>
          <w:color w:val="auto"/>
        </w:rPr>
      </w:pPr>
    </w:p>
    <w:tbl>
      <w:tblPr>
        <w:tblLayout w:type="fixed"/>
        <w:tblInd w:w="5" w:type="dxa"/>
        <w:tblCellMar>
          <w:top w:w="0" w:type="dxa"/>
          <w:left w:w="0" w:type="dxa"/>
          <w:bottom w:w="0" w:type="dxa"/>
          <w:right w:w="0" w:type="dxa"/>
        </w:tblCellMar>
      </w:tblPr>
      <w:tr>
        <w:trPr>
          <w:trHeight w:val="146"/>
        </w:trPr>
        <w:tc>
          <w:tcPr>
            <w:tcW w:w="7440" w:type="dxa"/>
            <w:vAlign w:val="bottom"/>
            <w:tcBorders>
              <w:top w:val="single" w:sz="8" w:color="auto"/>
            </w:tcBorders>
            <w:shd w:val="clear" w:color="auto" w:fill="98B0CE"/>
          </w:tcPr>
          <w:p>
            <w:pPr>
              <w:spacing w:after="0"/>
              <w:rPr>
                <w:sz w:val="12"/>
                <w:szCs w:val="12"/>
                <w:color w:val="auto"/>
              </w:rPr>
            </w:pPr>
          </w:p>
        </w:tc>
        <w:tc>
          <w:tcPr>
            <w:tcW w:w="420" w:type="dxa"/>
            <w:vAlign w:val="bottom"/>
            <w:tcBorders>
              <w:top w:val="single" w:sz="8" w:color="auto"/>
            </w:tcBorders>
            <w:shd w:val="clear" w:color="auto" w:fill="98B0CE"/>
          </w:tcPr>
          <w:p>
            <w:pPr>
              <w:spacing w:after="0"/>
              <w:rPr>
                <w:sz w:val="12"/>
                <w:szCs w:val="12"/>
                <w:color w:val="auto"/>
              </w:rPr>
            </w:pPr>
          </w:p>
        </w:tc>
        <w:tc>
          <w:tcPr>
            <w:tcW w:w="1540" w:type="dxa"/>
            <w:vAlign w:val="bottom"/>
            <w:tcBorders>
              <w:top w:val="single" w:sz="8" w:color="auto"/>
            </w:tcBorders>
            <w:shd w:val="clear" w:color="auto" w:fill="98B0CE"/>
          </w:tcPr>
          <w:p>
            <w:pPr>
              <w:spacing w:after="0"/>
              <w:rPr>
                <w:sz w:val="12"/>
                <w:szCs w:val="12"/>
                <w:color w:val="auto"/>
              </w:rPr>
            </w:pPr>
          </w:p>
        </w:tc>
        <w:tc>
          <w:tcPr>
            <w:tcW w:w="380" w:type="dxa"/>
            <w:vAlign w:val="bottom"/>
            <w:tcBorders>
              <w:top w:val="single" w:sz="8" w:color="auto"/>
            </w:tcBorders>
            <w:shd w:val="clear" w:color="auto" w:fill="98B0CE"/>
          </w:tcPr>
          <w:p>
            <w:pPr>
              <w:spacing w:after="0"/>
              <w:rPr>
                <w:sz w:val="12"/>
                <w:szCs w:val="12"/>
                <w:color w:val="auto"/>
              </w:rPr>
            </w:pPr>
          </w:p>
        </w:tc>
        <w:tc>
          <w:tcPr>
            <w:tcW w:w="1480" w:type="dxa"/>
            <w:vAlign w:val="bottom"/>
            <w:tcBorders>
              <w:top w:val="single" w:sz="8" w:color="auto"/>
            </w:tcBorders>
            <w:shd w:val="clear" w:color="auto" w:fill="98B0CE"/>
          </w:tcPr>
          <w:p>
            <w:pPr>
              <w:jc w:val="right"/>
              <w:ind w:right="431"/>
              <w:spacing w:after="0" w:line="146" w:lineRule="exact"/>
              <w:rPr>
                <w:sz w:val="20"/>
                <w:szCs w:val="20"/>
                <w:color w:val="auto"/>
              </w:rPr>
            </w:pPr>
            <w:r>
              <w:rPr>
                <w:rFonts w:ascii="Arial" w:cs="Arial" w:eastAsia="Arial" w:hAnsi="Arial"/>
                <w:sz w:val="13"/>
                <w:szCs w:val="13"/>
                <w:b w:val="1"/>
                <w:bCs w:val="1"/>
                <w:color w:val="auto"/>
              </w:rPr>
              <w:t>Retiree Health</w:t>
            </w:r>
          </w:p>
        </w:tc>
      </w:tr>
      <w:tr>
        <w:trPr>
          <w:trHeight w:val="156"/>
        </w:trPr>
        <w:tc>
          <w:tcPr>
            <w:tcW w:w="7440" w:type="dxa"/>
            <w:vAlign w:val="bottom"/>
            <w:tcBorders>
              <w:bottom w:val="single" w:sz="8" w:color="auto"/>
            </w:tcBorders>
            <w:shd w:val="clear" w:color="auto" w:fill="98B0CE"/>
          </w:tcPr>
          <w:p>
            <w:pPr>
              <w:ind w:left="80"/>
              <w:spacing w:after="0"/>
              <w:rPr>
                <w:sz w:val="20"/>
                <w:szCs w:val="20"/>
                <w:color w:val="auto"/>
              </w:rPr>
            </w:pPr>
            <w:r>
              <w:rPr>
                <w:rFonts w:ascii="Arial" w:cs="Arial" w:eastAsia="Arial" w:hAnsi="Arial"/>
                <w:sz w:val="13"/>
                <w:szCs w:val="13"/>
                <w:b w:val="1"/>
                <w:bCs w:val="1"/>
                <w:color w:val="auto"/>
              </w:rPr>
              <w:t>Year</w:t>
            </w:r>
          </w:p>
        </w:tc>
        <w:tc>
          <w:tcPr>
            <w:tcW w:w="420" w:type="dxa"/>
            <w:vAlign w:val="bottom"/>
            <w:tcBorders>
              <w:bottom w:val="single" w:sz="8" w:color="auto"/>
            </w:tcBorders>
            <w:shd w:val="clear" w:color="auto" w:fill="98B0CE"/>
          </w:tcPr>
          <w:p>
            <w:pPr>
              <w:spacing w:after="0"/>
              <w:rPr>
                <w:sz w:val="13"/>
                <w:szCs w:val="13"/>
                <w:color w:val="auto"/>
              </w:rPr>
            </w:pPr>
          </w:p>
        </w:tc>
        <w:tc>
          <w:tcPr>
            <w:tcW w:w="1540" w:type="dxa"/>
            <w:vAlign w:val="bottom"/>
            <w:tcBorders>
              <w:bottom w:val="single" w:sz="8" w:color="auto"/>
            </w:tcBorders>
            <w:shd w:val="clear" w:color="auto" w:fill="98B0CE"/>
          </w:tcPr>
          <w:p>
            <w:pPr>
              <w:jc w:val="right"/>
              <w:ind w:right="470"/>
              <w:spacing w:after="0"/>
              <w:rPr>
                <w:sz w:val="20"/>
                <w:szCs w:val="20"/>
                <w:color w:val="auto"/>
              </w:rPr>
            </w:pPr>
            <w:r>
              <w:rPr>
                <w:rFonts w:ascii="Arial" w:cs="Arial" w:eastAsia="Arial" w:hAnsi="Arial"/>
                <w:sz w:val="13"/>
                <w:szCs w:val="13"/>
                <w:b w:val="1"/>
                <w:bCs w:val="1"/>
                <w:color w:val="auto"/>
              </w:rPr>
              <w:t>Pension Plans</w:t>
            </w:r>
          </w:p>
        </w:tc>
        <w:tc>
          <w:tcPr>
            <w:tcW w:w="380" w:type="dxa"/>
            <w:vAlign w:val="bottom"/>
            <w:tcBorders>
              <w:bottom w:val="single" w:sz="8" w:color="auto"/>
            </w:tcBorders>
            <w:shd w:val="clear" w:color="auto" w:fill="98B0CE"/>
          </w:tcPr>
          <w:p>
            <w:pPr>
              <w:spacing w:after="0"/>
              <w:rPr>
                <w:sz w:val="13"/>
                <w:szCs w:val="13"/>
                <w:color w:val="auto"/>
              </w:rPr>
            </w:pPr>
          </w:p>
        </w:tc>
        <w:tc>
          <w:tcPr>
            <w:tcW w:w="1480" w:type="dxa"/>
            <w:vAlign w:val="bottom"/>
            <w:tcBorders>
              <w:bottom w:val="single" w:sz="8" w:color="auto"/>
            </w:tcBorders>
            <w:shd w:val="clear" w:color="auto" w:fill="98B0CE"/>
          </w:tcPr>
          <w:p>
            <w:pPr>
              <w:jc w:val="right"/>
              <w:ind w:right="571"/>
              <w:spacing w:after="0"/>
              <w:rPr>
                <w:sz w:val="20"/>
                <w:szCs w:val="20"/>
                <w:color w:val="auto"/>
              </w:rPr>
            </w:pPr>
            <w:r>
              <w:rPr>
                <w:rFonts w:ascii="Arial" w:cs="Arial" w:eastAsia="Arial" w:hAnsi="Arial"/>
                <w:sz w:val="13"/>
                <w:szCs w:val="13"/>
                <w:b w:val="1"/>
                <w:bCs w:val="1"/>
                <w:color w:val="auto"/>
              </w:rPr>
              <w:t>Care Plan</w:t>
            </w:r>
          </w:p>
        </w:tc>
      </w:tr>
      <w:tr>
        <w:trPr>
          <w:trHeight w:val="163"/>
        </w:trPr>
        <w:tc>
          <w:tcPr>
            <w:tcW w:w="7440" w:type="dxa"/>
            <w:vAlign w:val="bottom"/>
            <w:shd w:val="clear" w:color="auto" w:fill="E2E8F1"/>
          </w:tcPr>
          <w:p>
            <w:pPr>
              <w:ind w:left="80"/>
              <w:spacing w:after="0"/>
              <w:rPr>
                <w:sz w:val="20"/>
                <w:szCs w:val="20"/>
                <w:color w:val="auto"/>
              </w:rPr>
            </w:pPr>
            <w:r>
              <w:rPr>
                <w:rFonts w:ascii="Arial" w:cs="Arial" w:eastAsia="Arial" w:hAnsi="Arial"/>
                <w:sz w:val="14"/>
                <w:szCs w:val="14"/>
                <w:color w:val="auto"/>
              </w:rPr>
              <w:t>2025</w:t>
            </w:r>
          </w:p>
        </w:tc>
        <w:tc>
          <w:tcPr>
            <w:tcW w:w="42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auto"/>
              </w:rPr>
              <w:t>$</w:t>
            </w:r>
          </w:p>
        </w:tc>
        <w:tc>
          <w:tcPr>
            <w:tcW w:w="154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62.1</w:t>
            </w:r>
          </w:p>
        </w:tc>
        <w:tc>
          <w:tcPr>
            <w:tcW w:w="38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148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1.0</w:t>
            </w:r>
          </w:p>
        </w:tc>
      </w:tr>
      <w:tr>
        <w:trPr>
          <w:trHeight w:val="166"/>
        </w:trPr>
        <w:tc>
          <w:tcPr>
            <w:tcW w:w="7440" w:type="dxa"/>
            <w:vAlign w:val="bottom"/>
          </w:tcPr>
          <w:p>
            <w:pPr>
              <w:ind w:left="80"/>
              <w:spacing w:after="0"/>
              <w:rPr>
                <w:sz w:val="20"/>
                <w:szCs w:val="20"/>
                <w:color w:val="auto"/>
              </w:rPr>
            </w:pPr>
            <w:r>
              <w:rPr>
                <w:rFonts w:ascii="Arial" w:cs="Arial" w:eastAsia="Arial" w:hAnsi="Arial"/>
                <w:sz w:val="14"/>
                <w:szCs w:val="14"/>
                <w:color w:val="auto"/>
              </w:rPr>
              <w:t>2026</w:t>
            </w:r>
          </w:p>
        </w:tc>
        <w:tc>
          <w:tcPr>
            <w:tcW w:w="420" w:type="dxa"/>
            <w:vAlign w:val="bottom"/>
          </w:tcPr>
          <w:p>
            <w:pPr>
              <w:spacing w:after="0"/>
              <w:rPr>
                <w:sz w:val="14"/>
                <w:szCs w:val="14"/>
                <w:color w:val="auto"/>
              </w:rPr>
            </w:pPr>
          </w:p>
        </w:tc>
        <w:tc>
          <w:tcPr>
            <w:tcW w:w="1540" w:type="dxa"/>
            <w:vAlign w:val="bottom"/>
          </w:tcPr>
          <w:p>
            <w:pPr>
              <w:jc w:val="right"/>
              <w:ind w:right="90"/>
              <w:spacing w:after="0"/>
              <w:rPr>
                <w:sz w:val="20"/>
                <w:szCs w:val="20"/>
                <w:color w:val="auto"/>
              </w:rPr>
            </w:pPr>
            <w:r>
              <w:rPr>
                <w:rFonts w:ascii="Arial" w:cs="Arial" w:eastAsia="Arial" w:hAnsi="Arial"/>
                <w:sz w:val="14"/>
                <w:szCs w:val="14"/>
                <w:color w:val="auto"/>
              </w:rPr>
              <w:t>42.2</w:t>
            </w:r>
          </w:p>
        </w:tc>
        <w:tc>
          <w:tcPr>
            <w:tcW w:w="380" w:type="dxa"/>
            <w:vAlign w:val="bottom"/>
          </w:tcPr>
          <w:p>
            <w:pPr>
              <w:spacing w:after="0"/>
              <w:rPr>
                <w:sz w:val="14"/>
                <w:szCs w:val="14"/>
                <w:color w:val="auto"/>
              </w:rPr>
            </w:pPr>
          </w:p>
        </w:tc>
        <w:tc>
          <w:tcPr>
            <w:tcW w:w="1480" w:type="dxa"/>
            <w:vAlign w:val="bottom"/>
          </w:tcPr>
          <w:p>
            <w:pPr>
              <w:jc w:val="right"/>
              <w:ind w:right="71"/>
              <w:spacing w:after="0"/>
              <w:rPr>
                <w:sz w:val="20"/>
                <w:szCs w:val="20"/>
                <w:color w:val="auto"/>
              </w:rPr>
            </w:pPr>
            <w:r>
              <w:rPr>
                <w:rFonts w:ascii="Arial" w:cs="Arial" w:eastAsia="Arial" w:hAnsi="Arial"/>
                <w:sz w:val="14"/>
                <w:szCs w:val="14"/>
                <w:color w:val="auto"/>
              </w:rPr>
              <w:t>1.0</w:t>
            </w:r>
          </w:p>
        </w:tc>
      </w:tr>
      <w:tr>
        <w:trPr>
          <w:trHeight w:val="166"/>
        </w:trPr>
        <w:tc>
          <w:tcPr>
            <w:tcW w:w="7440" w:type="dxa"/>
            <w:vAlign w:val="bottom"/>
            <w:shd w:val="clear" w:color="auto" w:fill="E2E8F1"/>
          </w:tcPr>
          <w:p>
            <w:pPr>
              <w:ind w:left="80"/>
              <w:spacing w:after="0"/>
              <w:rPr>
                <w:sz w:val="20"/>
                <w:szCs w:val="20"/>
                <w:color w:val="auto"/>
              </w:rPr>
            </w:pPr>
            <w:r>
              <w:rPr>
                <w:rFonts w:ascii="Arial" w:cs="Arial" w:eastAsia="Arial" w:hAnsi="Arial"/>
                <w:sz w:val="14"/>
                <w:szCs w:val="14"/>
                <w:color w:val="auto"/>
              </w:rPr>
              <w:t>2027</w:t>
            </w:r>
          </w:p>
        </w:tc>
        <w:tc>
          <w:tcPr>
            <w:tcW w:w="420" w:type="dxa"/>
            <w:vAlign w:val="bottom"/>
            <w:shd w:val="clear" w:color="auto" w:fill="E2E8F1"/>
          </w:tcPr>
          <w:p>
            <w:pPr>
              <w:spacing w:after="0"/>
              <w:rPr>
                <w:sz w:val="14"/>
                <w:szCs w:val="14"/>
                <w:color w:val="auto"/>
              </w:rPr>
            </w:pPr>
          </w:p>
        </w:tc>
        <w:tc>
          <w:tcPr>
            <w:tcW w:w="154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33.4</w:t>
            </w:r>
          </w:p>
        </w:tc>
        <w:tc>
          <w:tcPr>
            <w:tcW w:w="380" w:type="dxa"/>
            <w:vAlign w:val="bottom"/>
            <w:shd w:val="clear" w:color="auto" w:fill="E2E8F1"/>
          </w:tcPr>
          <w:p>
            <w:pPr>
              <w:spacing w:after="0"/>
              <w:rPr>
                <w:sz w:val="14"/>
                <w:szCs w:val="14"/>
                <w:color w:val="auto"/>
              </w:rPr>
            </w:pPr>
          </w:p>
        </w:tc>
        <w:tc>
          <w:tcPr>
            <w:tcW w:w="148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0.9</w:t>
            </w:r>
          </w:p>
        </w:tc>
      </w:tr>
      <w:tr>
        <w:trPr>
          <w:trHeight w:val="166"/>
        </w:trPr>
        <w:tc>
          <w:tcPr>
            <w:tcW w:w="7440" w:type="dxa"/>
            <w:vAlign w:val="bottom"/>
          </w:tcPr>
          <w:p>
            <w:pPr>
              <w:ind w:left="80"/>
              <w:spacing w:after="0"/>
              <w:rPr>
                <w:sz w:val="20"/>
                <w:szCs w:val="20"/>
                <w:color w:val="auto"/>
              </w:rPr>
            </w:pPr>
            <w:r>
              <w:rPr>
                <w:rFonts w:ascii="Arial" w:cs="Arial" w:eastAsia="Arial" w:hAnsi="Arial"/>
                <w:sz w:val="14"/>
                <w:szCs w:val="14"/>
                <w:color w:val="auto"/>
              </w:rPr>
              <w:t>2028</w:t>
            </w:r>
          </w:p>
        </w:tc>
        <w:tc>
          <w:tcPr>
            <w:tcW w:w="420" w:type="dxa"/>
            <w:vAlign w:val="bottom"/>
          </w:tcPr>
          <w:p>
            <w:pPr>
              <w:spacing w:after="0"/>
              <w:rPr>
                <w:sz w:val="14"/>
                <w:szCs w:val="14"/>
                <w:color w:val="auto"/>
              </w:rPr>
            </w:pPr>
          </w:p>
        </w:tc>
        <w:tc>
          <w:tcPr>
            <w:tcW w:w="1540" w:type="dxa"/>
            <w:vAlign w:val="bottom"/>
          </w:tcPr>
          <w:p>
            <w:pPr>
              <w:jc w:val="right"/>
              <w:ind w:right="90"/>
              <w:spacing w:after="0"/>
              <w:rPr>
                <w:sz w:val="20"/>
                <w:szCs w:val="20"/>
                <w:color w:val="auto"/>
              </w:rPr>
            </w:pPr>
            <w:r>
              <w:rPr>
                <w:rFonts w:ascii="Arial" w:cs="Arial" w:eastAsia="Arial" w:hAnsi="Arial"/>
                <w:sz w:val="14"/>
                <w:szCs w:val="14"/>
                <w:color w:val="auto"/>
              </w:rPr>
              <w:t>30.2</w:t>
            </w:r>
          </w:p>
        </w:tc>
        <w:tc>
          <w:tcPr>
            <w:tcW w:w="380" w:type="dxa"/>
            <w:vAlign w:val="bottom"/>
          </w:tcPr>
          <w:p>
            <w:pPr>
              <w:spacing w:after="0"/>
              <w:rPr>
                <w:sz w:val="14"/>
                <w:szCs w:val="14"/>
                <w:color w:val="auto"/>
              </w:rPr>
            </w:pPr>
          </w:p>
        </w:tc>
        <w:tc>
          <w:tcPr>
            <w:tcW w:w="1480" w:type="dxa"/>
            <w:vAlign w:val="bottom"/>
          </w:tcPr>
          <w:p>
            <w:pPr>
              <w:jc w:val="right"/>
              <w:ind w:right="71"/>
              <w:spacing w:after="0"/>
              <w:rPr>
                <w:sz w:val="20"/>
                <w:szCs w:val="20"/>
                <w:color w:val="auto"/>
              </w:rPr>
            </w:pPr>
            <w:r>
              <w:rPr>
                <w:rFonts w:ascii="Arial" w:cs="Arial" w:eastAsia="Arial" w:hAnsi="Arial"/>
                <w:sz w:val="14"/>
                <w:szCs w:val="14"/>
                <w:color w:val="auto"/>
              </w:rPr>
              <w:t>0.9</w:t>
            </w:r>
          </w:p>
        </w:tc>
      </w:tr>
      <w:tr>
        <w:trPr>
          <w:trHeight w:val="166"/>
        </w:trPr>
        <w:tc>
          <w:tcPr>
            <w:tcW w:w="7440" w:type="dxa"/>
            <w:vAlign w:val="bottom"/>
            <w:shd w:val="clear" w:color="auto" w:fill="E2E8F1"/>
          </w:tcPr>
          <w:p>
            <w:pPr>
              <w:ind w:left="80"/>
              <w:spacing w:after="0"/>
              <w:rPr>
                <w:sz w:val="20"/>
                <w:szCs w:val="20"/>
                <w:color w:val="auto"/>
              </w:rPr>
            </w:pPr>
            <w:r>
              <w:rPr>
                <w:rFonts w:ascii="Arial" w:cs="Arial" w:eastAsia="Arial" w:hAnsi="Arial"/>
                <w:sz w:val="14"/>
                <w:szCs w:val="14"/>
                <w:color w:val="auto"/>
              </w:rPr>
              <w:t>2029</w:t>
            </w:r>
          </w:p>
        </w:tc>
        <w:tc>
          <w:tcPr>
            <w:tcW w:w="420" w:type="dxa"/>
            <w:vAlign w:val="bottom"/>
            <w:shd w:val="clear" w:color="auto" w:fill="E2E8F1"/>
          </w:tcPr>
          <w:p>
            <w:pPr>
              <w:spacing w:after="0"/>
              <w:rPr>
                <w:sz w:val="14"/>
                <w:szCs w:val="14"/>
                <w:color w:val="auto"/>
              </w:rPr>
            </w:pPr>
          </w:p>
        </w:tc>
        <w:tc>
          <w:tcPr>
            <w:tcW w:w="154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29.1</w:t>
            </w:r>
          </w:p>
        </w:tc>
        <w:tc>
          <w:tcPr>
            <w:tcW w:w="380" w:type="dxa"/>
            <w:vAlign w:val="bottom"/>
            <w:shd w:val="clear" w:color="auto" w:fill="E2E8F1"/>
          </w:tcPr>
          <w:p>
            <w:pPr>
              <w:spacing w:after="0"/>
              <w:rPr>
                <w:sz w:val="14"/>
                <w:szCs w:val="14"/>
                <w:color w:val="auto"/>
              </w:rPr>
            </w:pPr>
          </w:p>
        </w:tc>
        <w:tc>
          <w:tcPr>
            <w:tcW w:w="148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0.9</w:t>
            </w:r>
          </w:p>
        </w:tc>
      </w:tr>
      <w:tr>
        <w:trPr>
          <w:trHeight w:val="166"/>
        </w:trPr>
        <w:tc>
          <w:tcPr>
            <w:tcW w:w="74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2030–2034</w:t>
            </w: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175.0</w:t>
            </w: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3.7</w:t>
            </w:r>
          </w:p>
        </w:tc>
      </w:tr>
      <w:tr>
        <w:trPr>
          <w:trHeight w:val="157"/>
        </w:trPr>
        <w:tc>
          <w:tcPr>
            <w:tcW w:w="7440" w:type="dxa"/>
            <w:vAlign w:val="bottom"/>
            <w:tcBorders>
              <w:bottom w:val="single" w:sz="8" w:color="auto"/>
            </w:tcBorders>
            <w:shd w:val="clear" w:color="auto" w:fill="E2E8F1"/>
          </w:tcPr>
          <w:p>
            <w:pPr>
              <w:ind w:left="80"/>
              <w:spacing w:after="0" w:line="157" w:lineRule="exact"/>
              <w:rPr>
                <w:sz w:val="20"/>
                <w:szCs w:val="20"/>
                <w:color w:val="auto"/>
              </w:rPr>
            </w:pPr>
            <w:r>
              <w:rPr>
                <w:rFonts w:ascii="Arial" w:cs="Arial" w:eastAsia="Arial" w:hAnsi="Arial"/>
                <w:sz w:val="14"/>
                <w:szCs w:val="14"/>
                <w:color w:val="auto"/>
              </w:rPr>
              <w:t>Total projected benefit payments</w:t>
            </w:r>
          </w:p>
        </w:tc>
        <w:tc>
          <w:tcPr>
            <w:tcW w:w="420" w:type="dxa"/>
            <w:vAlign w:val="bottom"/>
            <w:tcBorders>
              <w:bottom w:val="single" w:sz="8" w:color="auto"/>
            </w:tcBorders>
            <w:shd w:val="clear" w:color="auto" w:fill="E2E8F1"/>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E2E8F1"/>
          </w:tcPr>
          <w:p>
            <w:pPr>
              <w:jc w:val="right"/>
              <w:ind w:right="90"/>
              <w:spacing w:after="0" w:line="157" w:lineRule="exact"/>
              <w:rPr>
                <w:sz w:val="20"/>
                <w:szCs w:val="20"/>
                <w:color w:val="auto"/>
              </w:rPr>
            </w:pPr>
            <w:r>
              <w:rPr>
                <w:rFonts w:ascii="Arial" w:cs="Arial" w:eastAsia="Arial" w:hAnsi="Arial"/>
                <w:sz w:val="14"/>
                <w:szCs w:val="14"/>
                <w:color w:val="auto"/>
              </w:rPr>
              <w:t>372.0</w:t>
            </w:r>
          </w:p>
        </w:tc>
        <w:tc>
          <w:tcPr>
            <w:tcW w:w="380" w:type="dxa"/>
            <w:vAlign w:val="bottom"/>
            <w:tcBorders>
              <w:bottom w:val="single" w:sz="8" w:color="auto"/>
            </w:tcBorders>
            <w:shd w:val="clear" w:color="auto" w:fill="E2E8F1"/>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E2E8F1"/>
          </w:tcPr>
          <w:p>
            <w:pPr>
              <w:jc w:val="right"/>
              <w:ind w:right="71"/>
              <w:spacing w:after="0" w:line="157" w:lineRule="exact"/>
              <w:rPr>
                <w:sz w:val="20"/>
                <w:szCs w:val="20"/>
                <w:color w:val="auto"/>
              </w:rPr>
            </w:pPr>
            <w:r>
              <w:rPr>
                <w:rFonts w:ascii="Arial" w:cs="Arial" w:eastAsia="Arial" w:hAnsi="Arial"/>
                <w:sz w:val="14"/>
                <w:szCs w:val="14"/>
                <w:color w:val="auto"/>
              </w:rPr>
              <w:t>8.4</w:t>
            </w:r>
          </w:p>
        </w:tc>
      </w:tr>
    </w:tbl>
    <w:p>
      <w:pPr>
        <w:spacing w:after="0" w:line="127"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Defined Contribution Plans and Deferred Compensation Plans</w:t>
      </w:r>
    </w:p>
    <w:p>
      <w:pPr>
        <w:spacing w:after="0" w:line="88" w:lineRule="exact"/>
        <w:rPr>
          <w:sz w:val="20"/>
          <w:szCs w:val="20"/>
          <w:color w:val="auto"/>
        </w:rPr>
      </w:pPr>
    </w:p>
    <w:p>
      <w:pPr>
        <w:jc w:val="both"/>
        <w:ind w:left="5"/>
        <w:spacing w:after="0" w:line="237" w:lineRule="auto"/>
        <w:rPr>
          <w:sz w:val="20"/>
          <w:szCs w:val="20"/>
          <w:color w:val="auto"/>
        </w:rPr>
      </w:pPr>
      <w:r>
        <w:rPr>
          <w:rFonts w:ascii="Arial" w:cs="Arial" w:eastAsia="Arial" w:hAnsi="Arial"/>
          <w:sz w:val="16"/>
          <w:szCs w:val="16"/>
          <w:color w:val="231F20"/>
        </w:rPr>
        <w:t>We have defined contribution plans covering substantially all permanent United States employees and various other employees throughout the world. With our company-sponsored plans, employees may elect to contribute a portion of their salary to the plans and we match a portion of their contributions up to a maximum percentage of the employee’s salary. In addition, profit sharing contributions are made if a targeted earnings level is reached at management’s discretion. The total expense for our match and any profit sharing contributions was $17.8, $19.2 and $18.4 for the years ended December 31, 2024, 2023 and 2022, respectively. In certain countries with statutory defined contribution plans, we pay a percentage of the employees' salary in pension premiums. The total expense for the statutory defined contribution plans was $24.4, $29.5 and $31.4 for the years ended December 31, 2024, 2023 and 2022, respectively.</w:t>
      </w:r>
    </w:p>
    <w:p>
      <w:pPr>
        <w:spacing w:after="0" w:line="69"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231F20"/>
        </w:rPr>
        <w:t>We also have deferred compensation plans in the United States. These plans had an asset and liability of $165.4 and $144.2 as of December 31, 2024 and 2023, respectively. We recognized investment gains of $21.7 and $21.9 in 2024 and 2023, respectively, and an investment loss of $23.4 in 2022. These fair value adjustments are fully offset by corresponding impact to compensation expense within selling and administrative expenses.</w:t>
      </w:r>
    </w:p>
    <w:p>
      <w:pPr>
        <w:spacing w:after="0" w:line="197" w:lineRule="exact"/>
        <w:rPr>
          <w:sz w:val="20"/>
          <w:szCs w:val="20"/>
          <w:color w:val="auto"/>
        </w:rPr>
      </w:pPr>
    </w:p>
    <w:p>
      <w:pPr>
        <w:ind w:left="445" w:hanging="445"/>
        <w:spacing w:after="0"/>
        <w:tabs>
          <w:tab w:leader="none" w:pos="445" w:val="left"/>
        </w:tabs>
        <w:numPr>
          <w:ilvl w:val="0"/>
          <w:numId w:val="50"/>
        </w:numPr>
        <w:rPr>
          <w:rFonts w:ascii="Arial" w:cs="Arial" w:eastAsia="Arial" w:hAnsi="Arial"/>
          <w:sz w:val="22"/>
          <w:szCs w:val="22"/>
          <w:b w:val="1"/>
          <w:bCs w:val="1"/>
          <w:color w:val="5B89B4"/>
        </w:rPr>
      </w:pPr>
      <w:r>
        <w:rPr>
          <w:rFonts w:ascii="Arial" w:cs="Arial" w:eastAsia="Arial" w:hAnsi="Arial"/>
          <w:sz w:val="22"/>
          <w:szCs w:val="22"/>
          <w:b w:val="1"/>
          <w:bCs w:val="1"/>
          <w:u w:val="single" w:color="auto"/>
          <w:color w:val="5B89B4"/>
        </w:rPr>
        <w:t>Accumulated Other Comprehensive Loss</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The components of accumulated other comprehensive loss, net of tax, were as follows:</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231"/>
        </w:trPr>
        <w:tc>
          <w:tcPr>
            <w:tcW w:w="8120" w:type="dxa"/>
            <w:vAlign w:val="bottom"/>
            <w:tcBorders>
              <w:top w:val="single" w:sz="8" w:color="231F20"/>
              <w:bottom w:val="single" w:sz="8" w:color="231F20"/>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December 31</w:t>
            </w:r>
          </w:p>
        </w:tc>
        <w:tc>
          <w:tcPr>
            <w:tcW w:w="500" w:type="dxa"/>
            <w:vAlign w:val="bottom"/>
            <w:tcBorders>
              <w:top w:val="single" w:sz="8" w:color="231F20"/>
              <w:bottom w:val="single" w:sz="8" w:color="231F20"/>
            </w:tcBorders>
            <w:shd w:val="clear" w:color="auto" w:fill="98B0CF"/>
          </w:tcPr>
          <w:p>
            <w:pPr>
              <w:spacing w:after="0"/>
              <w:rPr>
                <w:sz w:val="20"/>
                <w:szCs w:val="20"/>
                <w:color w:val="auto"/>
              </w:rPr>
            </w:pPr>
          </w:p>
        </w:tc>
        <w:tc>
          <w:tcPr>
            <w:tcW w:w="1160" w:type="dxa"/>
            <w:vAlign w:val="bottom"/>
            <w:tcBorders>
              <w:top w:val="single" w:sz="8" w:color="231F20"/>
              <w:bottom w:val="single" w:sz="8" w:color="231F20"/>
            </w:tcBorders>
            <w:shd w:val="clear" w:color="auto" w:fill="98B0CF"/>
          </w:tcPr>
          <w:p>
            <w:pPr>
              <w:jc w:val="right"/>
              <w:ind w:right="610"/>
              <w:spacing w:after="0"/>
              <w:rPr>
                <w:sz w:val="20"/>
                <w:szCs w:val="20"/>
                <w:color w:val="auto"/>
              </w:rPr>
            </w:pPr>
            <w:r>
              <w:rPr>
                <w:rFonts w:ascii="Arial" w:cs="Arial" w:eastAsia="Arial" w:hAnsi="Arial"/>
                <w:sz w:val="13"/>
                <w:szCs w:val="13"/>
                <w:b w:val="1"/>
                <w:bCs w:val="1"/>
                <w:color w:val="auto"/>
              </w:rPr>
              <w:t>2024</w:t>
            </w:r>
          </w:p>
        </w:tc>
        <w:tc>
          <w:tcPr>
            <w:tcW w:w="420" w:type="dxa"/>
            <w:vAlign w:val="bottom"/>
            <w:tcBorders>
              <w:top w:val="single" w:sz="8" w:color="231F20"/>
              <w:bottom w:val="single" w:sz="8" w:color="231F20"/>
            </w:tcBorders>
            <w:shd w:val="clear" w:color="auto" w:fill="98B0CF"/>
          </w:tcPr>
          <w:p>
            <w:pPr>
              <w:spacing w:after="0"/>
              <w:rPr>
                <w:sz w:val="20"/>
                <w:szCs w:val="20"/>
                <w:color w:val="auto"/>
              </w:rPr>
            </w:pPr>
          </w:p>
        </w:tc>
        <w:tc>
          <w:tcPr>
            <w:tcW w:w="1060" w:type="dxa"/>
            <w:vAlign w:val="bottom"/>
            <w:tcBorders>
              <w:top w:val="single" w:sz="8" w:color="231F20"/>
              <w:bottom w:val="single" w:sz="8" w:color="231F20"/>
            </w:tcBorders>
            <w:shd w:val="clear" w:color="auto" w:fill="98B0CF"/>
          </w:tcPr>
          <w:p>
            <w:pPr>
              <w:jc w:val="right"/>
              <w:ind w:right="530"/>
              <w:spacing w:after="0"/>
              <w:rPr>
                <w:sz w:val="20"/>
                <w:szCs w:val="20"/>
                <w:color w:val="auto"/>
              </w:rPr>
            </w:pPr>
            <w:r>
              <w:rPr>
                <w:rFonts w:ascii="Arial" w:cs="Arial" w:eastAsia="Arial" w:hAnsi="Arial"/>
                <w:sz w:val="13"/>
                <w:szCs w:val="13"/>
                <w:b w:val="1"/>
                <w:bCs w:val="1"/>
                <w:color w:val="auto"/>
              </w:rPr>
              <w:t>2023</w:t>
            </w:r>
          </w:p>
        </w:tc>
      </w:tr>
      <w:tr>
        <w:trPr>
          <w:trHeight w:val="187"/>
        </w:trPr>
        <w:tc>
          <w:tcPr>
            <w:tcW w:w="8120" w:type="dxa"/>
            <w:vAlign w:val="bottom"/>
            <w:shd w:val="clear" w:color="auto" w:fill="E2E8F1"/>
          </w:tcPr>
          <w:p>
            <w:pPr>
              <w:ind w:left="80"/>
              <w:spacing w:after="0"/>
              <w:rPr>
                <w:sz w:val="20"/>
                <w:szCs w:val="20"/>
                <w:color w:val="auto"/>
              </w:rPr>
            </w:pPr>
            <w:r>
              <w:rPr>
                <w:rFonts w:ascii="Arial" w:cs="Arial" w:eastAsia="Arial" w:hAnsi="Arial"/>
                <w:sz w:val="14"/>
                <w:szCs w:val="14"/>
                <w:color w:val="auto"/>
              </w:rPr>
              <w:t>Foreign currency translation</w:t>
            </w:r>
          </w:p>
        </w:tc>
        <w:tc>
          <w:tcPr>
            <w:tcW w:w="500" w:type="dxa"/>
            <w:vAlign w:val="bottom"/>
            <w:shd w:val="clear" w:color="auto" w:fill="E2E8F1"/>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(342.2 )</w:t>
            </w:r>
          </w:p>
        </w:tc>
        <w:tc>
          <w:tcPr>
            <w:tcW w:w="420" w:type="dxa"/>
            <w:vAlign w:val="bottom"/>
            <w:shd w:val="clear" w:color="auto" w:fill="E2E8F1"/>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(261.2 )</w:t>
            </w:r>
          </w:p>
        </w:tc>
      </w:tr>
      <w:tr>
        <w:trPr>
          <w:trHeight w:val="189"/>
        </w:trPr>
        <w:tc>
          <w:tcPr>
            <w:tcW w:w="8120" w:type="dxa"/>
            <w:vAlign w:val="bottom"/>
          </w:tcPr>
          <w:p>
            <w:pPr>
              <w:ind w:left="80"/>
              <w:spacing w:after="0"/>
              <w:rPr>
                <w:sz w:val="20"/>
                <w:szCs w:val="20"/>
                <w:color w:val="auto"/>
              </w:rPr>
            </w:pPr>
            <w:r>
              <w:rPr>
                <w:rFonts w:ascii="Arial" w:cs="Arial" w:eastAsia="Arial" w:hAnsi="Arial"/>
                <w:sz w:val="14"/>
                <w:szCs w:val="14"/>
                <w:color w:val="auto"/>
              </w:rPr>
              <w:t>Translation loss on long-term intercompany loans, net of income taxes of $19.1 on both dates</w:t>
            </w:r>
          </w:p>
        </w:tc>
        <w:tc>
          <w:tcPr>
            <w:tcW w:w="500" w:type="dxa"/>
            <w:vAlign w:val="bottom"/>
          </w:tcPr>
          <w:p>
            <w:pPr>
              <w:spacing w:after="0"/>
              <w:rPr>
                <w:sz w:val="16"/>
                <w:szCs w:val="16"/>
                <w:color w:val="auto"/>
              </w:rPr>
            </w:pPr>
          </w:p>
        </w:tc>
        <w:tc>
          <w:tcPr>
            <w:tcW w:w="1160" w:type="dxa"/>
            <w:vAlign w:val="bottom"/>
          </w:tcPr>
          <w:p>
            <w:pPr>
              <w:jc w:val="right"/>
              <w:ind w:right="70"/>
              <w:spacing w:after="0"/>
              <w:rPr>
                <w:sz w:val="20"/>
                <w:szCs w:val="20"/>
                <w:color w:val="auto"/>
              </w:rPr>
            </w:pPr>
            <w:r>
              <w:rPr>
                <w:rFonts w:ascii="Arial" w:cs="Arial" w:eastAsia="Arial" w:hAnsi="Arial"/>
                <w:sz w:val="14"/>
                <w:szCs w:val="14"/>
                <w:color w:val="auto"/>
              </w:rPr>
              <w:t>(133.2 )</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(133.6 )</w:t>
            </w:r>
          </w:p>
        </w:tc>
      </w:tr>
      <w:tr>
        <w:trPr>
          <w:trHeight w:val="189"/>
        </w:trPr>
        <w:tc>
          <w:tcPr>
            <w:tcW w:w="8120" w:type="dxa"/>
            <w:vAlign w:val="bottom"/>
            <w:shd w:val="clear" w:color="auto" w:fill="E2E8F1"/>
          </w:tcPr>
          <w:p>
            <w:pPr>
              <w:ind w:left="80"/>
              <w:spacing w:after="0"/>
              <w:rPr>
                <w:sz w:val="20"/>
                <w:szCs w:val="20"/>
                <w:color w:val="auto"/>
              </w:rPr>
            </w:pPr>
            <w:r>
              <w:rPr>
                <w:rFonts w:ascii="Arial" w:cs="Arial" w:eastAsia="Arial" w:hAnsi="Arial"/>
                <w:sz w:val="14"/>
                <w:szCs w:val="14"/>
                <w:color w:val="auto"/>
              </w:rPr>
              <w:t>Gain (loss) on derivative instruments, net of income tax benefit of $(0.7) and $(22.7), respectively</w:t>
            </w:r>
          </w:p>
        </w:tc>
        <w:tc>
          <w:tcPr>
            <w:tcW w:w="500" w:type="dxa"/>
            <w:vAlign w:val="bottom"/>
            <w:shd w:val="clear" w:color="auto" w:fill="E2E8F1"/>
          </w:tcPr>
          <w:p>
            <w:pPr>
              <w:spacing w:after="0"/>
              <w:rPr>
                <w:sz w:val="16"/>
                <w:szCs w:val="16"/>
                <w:color w:val="auto"/>
              </w:rPr>
            </w:pPr>
          </w:p>
        </w:tc>
        <w:tc>
          <w:tcPr>
            <w:tcW w:w="116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auto"/>
              </w:rPr>
              <w:t>39.0</w:t>
            </w:r>
          </w:p>
        </w:tc>
        <w:tc>
          <w:tcPr>
            <w:tcW w:w="420" w:type="dxa"/>
            <w:vAlign w:val="bottom"/>
            <w:shd w:val="clear" w:color="auto" w:fill="E2E8F1"/>
          </w:tcPr>
          <w:p>
            <w:pPr>
              <w:spacing w:after="0"/>
              <w:rPr>
                <w:sz w:val="16"/>
                <w:szCs w:val="16"/>
                <w:color w:val="auto"/>
              </w:rPr>
            </w:pPr>
          </w:p>
        </w:tc>
        <w:tc>
          <w:tcPr>
            <w:tcW w:w="10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(37.6 )</w:t>
            </w:r>
          </w:p>
        </w:tc>
      </w:tr>
      <w:tr>
        <w:trPr>
          <w:trHeight w:val="189"/>
        </w:trPr>
        <w:tc>
          <w:tcPr>
            <w:tcW w:w="8120" w:type="dxa"/>
            <w:vAlign w:val="bottom"/>
          </w:tcPr>
          <w:p>
            <w:pPr>
              <w:ind w:left="80"/>
              <w:spacing w:after="0"/>
              <w:rPr>
                <w:sz w:val="20"/>
                <w:szCs w:val="20"/>
                <w:color w:val="auto"/>
              </w:rPr>
            </w:pPr>
            <w:r>
              <w:rPr>
                <w:rFonts w:ascii="Arial" w:cs="Arial" w:eastAsia="Arial" w:hAnsi="Arial"/>
                <w:sz w:val="14"/>
                <w:szCs w:val="14"/>
                <w:color w:val="auto"/>
              </w:rPr>
              <w:t>Gain on interest rate swap, net of income taxes of $0.2 and $0.3, respectively</w:t>
            </w:r>
          </w:p>
        </w:tc>
        <w:tc>
          <w:tcPr>
            <w:tcW w:w="500" w:type="dxa"/>
            <w:vAlign w:val="bottom"/>
          </w:tcPr>
          <w:p>
            <w:pPr>
              <w:spacing w:after="0"/>
              <w:rPr>
                <w:sz w:val="16"/>
                <w:szCs w:val="16"/>
                <w:color w:val="auto"/>
              </w:rPr>
            </w:pP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0.8</w:t>
            </w:r>
          </w:p>
        </w:tc>
        <w:tc>
          <w:tcPr>
            <w:tcW w:w="4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1.1</w:t>
            </w:r>
          </w:p>
        </w:tc>
      </w:tr>
      <w:tr>
        <w:trPr>
          <w:trHeight w:val="189"/>
        </w:trPr>
        <w:tc>
          <w:tcPr>
            <w:tcW w:w="8120" w:type="dxa"/>
            <w:vAlign w:val="bottom"/>
            <w:shd w:val="clear" w:color="auto" w:fill="E2E8F1"/>
          </w:tcPr>
          <w:p>
            <w:pPr>
              <w:ind w:left="80"/>
              <w:spacing w:after="0"/>
              <w:rPr>
                <w:sz w:val="20"/>
                <w:szCs w:val="20"/>
                <w:color w:val="auto"/>
              </w:rPr>
            </w:pPr>
            <w:r>
              <w:rPr>
                <w:rFonts w:ascii="Arial" w:cs="Arial" w:eastAsia="Arial" w:hAnsi="Arial"/>
                <w:sz w:val="14"/>
                <w:szCs w:val="14"/>
                <w:color w:val="auto"/>
              </w:rPr>
              <w:t>Defined benefit pension plans, net of income tax benefit of $(20.6) and $(23.0), respectively</w:t>
            </w:r>
          </w:p>
        </w:tc>
        <w:tc>
          <w:tcPr>
            <w:tcW w:w="500" w:type="dxa"/>
            <w:vAlign w:val="bottom"/>
            <w:shd w:val="clear" w:color="auto" w:fill="E2E8F1"/>
          </w:tcPr>
          <w:p>
            <w:pPr>
              <w:spacing w:after="0"/>
              <w:rPr>
                <w:sz w:val="16"/>
                <w:szCs w:val="16"/>
                <w:color w:val="auto"/>
              </w:rPr>
            </w:pPr>
          </w:p>
        </w:tc>
        <w:tc>
          <w:tcPr>
            <w:tcW w:w="11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(8.9 )</w:t>
            </w:r>
          </w:p>
        </w:tc>
        <w:tc>
          <w:tcPr>
            <w:tcW w:w="420" w:type="dxa"/>
            <w:vAlign w:val="bottom"/>
            <w:shd w:val="clear" w:color="auto" w:fill="E2E8F1"/>
          </w:tcPr>
          <w:p>
            <w:pPr>
              <w:spacing w:after="0"/>
              <w:rPr>
                <w:sz w:val="16"/>
                <w:szCs w:val="16"/>
                <w:color w:val="auto"/>
              </w:rPr>
            </w:pPr>
          </w:p>
        </w:tc>
        <w:tc>
          <w:tcPr>
            <w:tcW w:w="10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(36.0 )</w:t>
            </w:r>
          </w:p>
        </w:tc>
      </w:tr>
      <w:tr>
        <w:trPr>
          <w:trHeight w:val="189"/>
        </w:trPr>
        <w:tc>
          <w:tcPr>
            <w:tcW w:w="812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auto"/>
              </w:rPr>
              <w:t>Retiree health care plan, net of income taxes of $2.1 and $2.0, respectively</w:t>
            </w:r>
          </w:p>
        </w:tc>
        <w:tc>
          <w:tcPr>
            <w:tcW w:w="500" w:type="dxa"/>
            <w:vAlign w:val="bottom"/>
            <w:tcBorders>
              <w:bottom w:val="single" w:sz="8" w:color="231F20"/>
            </w:tcBorders>
          </w:tcPr>
          <w:p>
            <w:pPr>
              <w:spacing w:after="0"/>
              <w:rPr>
                <w:sz w:val="16"/>
                <w:szCs w:val="16"/>
                <w:color w:val="auto"/>
              </w:rPr>
            </w:pPr>
          </w:p>
        </w:tc>
        <w:tc>
          <w:tcPr>
            <w:tcW w:w="1160" w:type="dxa"/>
            <w:vAlign w:val="bottom"/>
            <w:tcBorders>
              <w:bottom w:val="single" w:sz="8" w:color="231F20"/>
            </w:tcBorders>
          </w:tcPr>
          <w:p>
            <w:pPr>
              <w:jc w:val="right"/>
              <w:ind w:right="150"/>
              <w:spacing w:after="0"/>
              <w:rPr>
                <w:sz w:val="20"/>
                <w:szCs w:val="20"/>
                <w:color w:val="auto"/>
              </w:rPr>
            </w:pPr>
            <w:r>
              <w:rPr>
                <w:rFonts w:ascii="Arial" w:cs="Arial" w:eastAsia="Arial" w:hAnsi="Arial"/>
                <w:sz w:val="14"/>
                <w:szCs w:val="14"/>
                <w:color w:val="auto"/>
              </w:rPr>
              <w:t>1.5</w:t>
            </w:r>
          </w:p>
        </w:tc>
        <w:tc>
          <w:tcPr>
            <w:tcW w:w="42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1.3</w:t>
            </w:r>
          </w:p>
        </w:tc>
      </w:tr>
      <w:tr>
        <w:trPr>
          <w:trHeight w:val="181"/>
        </w:trPr>
        <w:tc>
          <w:tcPr>
            <w:tcW w:w="812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auto"/>
              </w:rPr>
              <w:t>Accumulated other comprehensive loss</w:t>
            </w:r>
          </w:p>
        </w:tc>
        <w:tc>
          <w:tcPr>
            <w:tcW w:w="500" w:type="dxa"/>
            <w:vAlign w:val="bottom"/>
            <w:tcBorders>
              <w:bottom w:val="single" w:sz="8" w:color="231F20"/>
            </w:tcBorders>
            <w:shd w:val="clear" w:color="auto" w:fill="E2E8F1"/>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(443.0 )</w:t>
            </w:r>
          </w:p>
        </w:tc>
        <w:tc>
          <w:tcPr>
            <w:tcW w:w="420" w:type="dxa"/>
            <w:vAlign w:val="bottom"/>
            <w:tcBorders>
              <w:bottom w:val="single" w:sz="8" w:color="231F20"/>
            </w:tcBorders>
            <w:shd w:val="clear" w:color="auto" w:fill="E2E8F1"/>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(466.0 )</w:t>
            </w:r>
          </w:p>
        </w:tc>
      </w:tr>
    </w:tbl>
    <w:p>
      <w:pPr>
        <w:spacing w:after="0" w:line="228" w:lineRule="exact"/>
        <w:rPr>
          <w:sz w:val="20"/>
          <w:szCs w:val="20"/>
          <w:color w:val="auto"/>
        </w:rPr>
      </w:pPr>
    </w:p>
    <w:p>
      <w:pPr>
        <w:ind w:left="445" w:hanging="445"/>
        <w:spacing w:after="0"/>
        <w:tabs>
          <w:tab w:leader="none" w:pos="445" w:val="left"/>
        </w:tabs>
        <w:numPr>
          <w:ilvl w:val="0"/>
          <w:numId w:val="51"/>
        </w:numPr>
        <w:rPr>
          <w:rFonts w:ascii="Arial" w:cs="Arial" w:eastAsia="Arial" w:hAnsi="Arial"/>
          <w:sz w:val="22"/>
          <w:szCs w:val="22"/>
          <w:b w:val="1"/>
          <w:bCs w:val="1"/>
          <w:color w:val="5B89B4"/>
        </w:rPr>
      </w:pPr>
      <w:r>
        <w:rPr>
          <w:rFonts w:ascii="Arial" w:cs="Arial" w:eastAsia="Arial" w:hAnsi="Arial"/>
          <w:sz w:val="22"/>
          <w:szCs w:val="22"/>
          <w:b w:val="1"/>
          <w:bCs w:val="1"/>
          <w:u w:val="single" w:color="auto"/>
          <w:color w:val="5B89B4"/>
        </w:rPr>
        <w:t>Interest and Other Expenses, Net</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Interest and other expenses, net consisted of the following:</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228"/>
        </w:trPr>
        <w:tc>
          <w:tcPr>
            <w:tcW w:w="4720" w:type="dxa"/>
            <w:vAlign w:val="bottom"/>
            <w:tcBorders>
              <w:top w:val="single" w:sz="8" w:color="auto"/>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2840" w:type="dxa"/>
            <w:vAlign w:val="bottom"/>
            <w:tcBorders>
              <w:top w:val="single" w:sz="8" w:color="auto"/>
              <w:bottom w:val="single" w:sz="8" w:color="auto"/>
            </w:tcBorders>
            <w:shd w:val="clear" w:color="auto" w:fill="98B0CF"/>
          </w:tcPr>
          <w:p>
            <w:pPr>
              <w:spacing w:after="0"/>
              <w:rPr>
                <w:sz w:val="19"/>
                <w:szCs w:val="19"/>
                <w:color w:val="auto"/>
              </w:rPr>
            </w:pPr>
          </w:p>
        </w:tc>
        <w:tc>
          <w:tcPr>
            <w:tcW w:w="1040" w:type="dxa"/>
            <w:vAlign w:val="bottom"/>
            <w:tcBorders>
              <w:top w:val="single" w:sz="8" w:color="auto"/>
              <w:bottom w:val="single" w:sz="8" w:color="auto"/>
            </w:tcBorders>
            <w:shd w:val="clear" w:color="auto" w:fill="98B0CF"/>
          </w:tcPr>
          <w:p>
            <w:pPr>
              <w:jc w:val="right"/>
              <w:ind w:right="530"/>
              <w:spacing w:after="0"/>
              <w:rPr>
                <w:sz w:val="20"/>
                <w:szCs w:val="20"/>
                <w:color w:val="auto"/>
              </w:rPr>
            </w:pPr>
            <w:r>
              <w:rPr>
                <w:rFonts w:ascii="Arial" w:cs="Arial" w:eastAsia="Arial" w:hAnsi="Arial"/>
                <w:sz w:val="13"/>
                <w:szCs w:val="13"/>
                <w:b w:val="1"/>
                <w:bCs w:val="1"/>
                <w:color w:val="auto"/>
              </w:rPr>
              <w:t>2024</w:t>
            </w:r>
          </w:p>
        </w:tc>
        <w:tc>
          <w:tcPr>
            <w:tcW w:w="360" w:type="dxa"/>
            <w:vAlign w:val="bottom"/>
            <w:tcBorders>
              <w:top w:val="single" w:sz="8" w:color="auto"/>
              <w:bottom w:val="single" w:sz="8" w:color="auto"/>
            </w:tcBorders>
            <w:shd w:val="clear" w:color="auto" w:fill="98B0CF"/>
          </w:tcPr>
          <w:p>
            <w:pPr>
              <w:spacing w:after="0"/>
              <w:rPr>
                <w:sz w:val="19"/>
                <w:szCs w:val="19"/>
                <w:color w:val="auto"/>
              </w:rPr>
            </w:pPr>
          </w:p>
        </w:tc>
        <w:tc>
          <w:tcPr>
            <w:tcW w:w="1020" w:type="dxa"/>
            <w:vAlign w:val="bottom"/>
            <w:tcBorders>
              <w:top w:val="single" w:sz="8" w:color="auto"/>
              <w:bottom w:val="single" w:sz="8" w:color="auto"/>
            </w:tcBorders>
            <w:shd w:val="clear" w:color="auto" w:fill="98B0CF"/>
          </w:tcPr>
          <w:p>
            <w:pPr>
              <w:jc w:val="right"/>
              <w:ind w:right="530"/>
              <w:spacing w:after="0"/>
              <w:rPr>
                <w:sz w:val="20"/>
                <w:szCs w:val="20"/>
                <w:color w:val="auto"/>
              </w:rPr>
            </w:pPr>
            <w:r>
              <w:rPr>
                <w:rFonts w:ascii="Arial" w:cs="Arial" w:eastAsia="Arial" w:hAnsi="Arial"/>
                <w:sz w:val="13"/>
                <w:szCs w:val="13"/>
                <w:b w:val="1"/>
                <w:bCs w:val="1"/>
                <w:color w:val="auto"/>
              </w:rPr>
              <w:t>2023</w:t>
            </w:r>
          </w:p>
        </w:tc>
        <w:tc>
          <w:tcPr>
            <w:tcW w:w="340" w:type="dxa"/>
            <w:vAlign w:val="bottom"/>
            <w:tcBorders>
              <w:top w:val="single" w:sz="8" w:color="auto"/>
              <w:bottom w:val="single" w:sz="8" w:color="auto"/>
            </w:tcBorders>
            <w:shd w:val="clear" w:color="auto" w:fill="98B0CF"/>
          </w:tcPr>
          <w:p>
            <w:pPr>
              <w:spacing w:after="0"/>
              <w:rPr>
                <w:sz w:val="19"/>
                <w:szCs w:val="19"/>
                <w:color w:val="auto"/>
              </w:rPr>
            </w:pPr>
          </w:p>
        </w:tc>
        <w:tc>
          <w:tcPr>
            <w:tcW w:w="940" w:type="dxa"/>
            <w:vAlign w:val="bottom"/>
            <w:tcBorders>
              <w:top w:val="single" w:sz="8" w:color="auto"/>
              <w:bottom w:val="single" w:sz="8" w:color="auto"/>
            </w:tcBorders>
            <w:shd w:val="clear" w:color="auto" w:fill="98B0CF"/>
          </w:tcPr>
          <w:p>
            <w:pPr>
              <w:jc w:val="right"/>
              <w:ind w:right="450"/>
              <w:spacing w:after="0"/>
              <w:rPr>
                <w:sz w:val="20"/>
                <w:szCs w:val="20"/>
                <w:color w:val="auto"/>
              </w:rPr>
            </w:pPr>
            <w:r>
              <w:rPr>
                <w:rFonts w:ascii="Arial" w:cs="Arial" w:eastAsia="Arial" w:hAnsi="Arial"/>
                <w:sz w:val="13"/>
                <w:szCs w:val="13"/>
                <w:b w:val="1"/>
                <w:bCs w:val="1"/>
                <w:color w:val="auto"/>
              </w:rPr>
              <w:t>2022</w:t>
            </w:r>
          </w:p>
        </w:tc>
      </w:tr>
      <w:tr>
        <w:trPr>
          <w:trHeight w:val="189"/>
        </w:trPr>
        <w:tc>
          <w:tcPr>
            <w:tcW w:w="4720" w:type="dxa"/>
            <w:vAlign w:val="bottom"/>
            <w:shd w:val="clear" w:color="auto" w:fill="E2E8F1"/>
          </w:tcPr>
          <w:p>
            <w:pPr>
              <w:ind w:left="80"/>
              <w:spacing w:after="0"/>
              <w:rPr>
                <w:sz w:val="20"/>
                <w:szCs w:val="20"/>
                <w:color w:val="auto"/>
              </w:rPr>
            </w:pPr>
            <w:r>
              <w:rPr>
                <w:rFonts w:ascii="Arial" w:cs="Arial" w:eastAsia="Arial" w:hAnsi="Arial"/>
                <w:sz w:val="14"/>
                <w:szCs w:val="14"/>
                <w:color w:val="auto"/>
              </w:rPr>
              <w:t>Interest expense</w:t>
            </w:r>
          </w:p>
        </w:tc>
        <w:tc>
          <w:tcPr>
            <w:tcW w:w="284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104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auto"/>
              </w:rPr>
              <w:t>90.0</w:t>
            </w:r>
          </w:p>
        </w:tc>
        <w:tc>
          <w:tcPr>
            <w:tcW w:w="36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79.7</w:t>
            </w:r>
          </w:p>
        </w:tc>
        <w:tc>
          <w:tcPr>
            <w:tcW w:w="34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46.9</w:t>
            </w:r>
          </w:p>
        </w:tc>
      </w:tr>
      <w:tr>
        <w:trPr>
          <w:trHeight w:val="189"/>
        </w:trPr>
        <w:tc>
          <w:tcPr>
            <w:tcW w:w="4720" w:type="dxa"/>
            <w:vAlign w:val="bottom"/>
          </w:tcPr>
          <w:p>
            <w:pPr>
              <w:ind w:left="80"/>
              <w:spacing w:after="0"/>
              <w:rPr>
                <w:sz w:val="20"/>
                <w:szCs w:val="20"/>
                <w:color w:val="auto"/>
              </w:rPr>
            </w:pPr>
            <w:r>
              <w:rPr>
                <w:rFonts w:ascii="Arial" w:cs="Arial" w:eastAsia="Arial" w:hAnsi="Arial"/>
                <w:sz w:val="14"/>
                <w:szCs w:val="14"/>
                <w:color w:val="auto"/>
              </w:rPr>
              <w:t>Interest income</w:t>
            </w:r>
          </w:p>
        </w:tc>
        <w:tc>
          <w:tcPr>
            <w:tcW w:w="284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(33.3 )</w:t>
            </w:r>
          </w:p>
        </w:tc>
        <w:tc>
          <w:tcPr>
            <w:tcW w:w="36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(34.2 )</w:t>
            </w: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(17.9 )</w:t>
            </w:r>
          </w:p>
        </w:tc>
      </w:tr>
      <w:tr>
        <w:trPr>
          <w:trHeight w:val="189"/>
        </w:trPr>
        <w:tc>
          <w:tcPr>
            <w:tcW w:w="4720" w:type="dxa"/>
            <w:vAlign w:val="bottom"/>
            <w:shd w:val="clear" w:color="auto" w:fill="E2E8F1"/>
          </w:tcPr>
          <w:p>
            <w:pPr>
              <w:ind w:left="80"/>
              <w:spacing w:after="0"/>
              <w:rPr>
                <w:sz w:val="20"/>
                <w:szCs w:val="20"/>
                <w:color w:val="auto"/>
              </w:rPr>
            </w:pPr>
            <w:r>
              <w:rPr>
                <w:rFonts w:ascii="Arial" w:cs="Arial" w:eastAsia="Arial" w:hAnsi="Arial"/>
                <w:sz w:val="14"/>
                <w:szCs w:val="14"/>
                <w:color w:val="auto"/>
              </w:rPr>
              <w:t>Foreign exchange loss</w:t>
            </w:r>
          </w:p>
        </w:tc>
        <w:tc>
          <w:tcPr>
            <w:tcW w:w="284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150"/>
              <w:spacing w:after="0"/>
              <w:rPr>
                <w:sz w:val="20"/>
                <w:szCs w:val="20"/>
                <w:color w:val="auto"/>
              </w:rPr>
            </w:pPr>
            <w:r>
              <w:rPr>
                <w:rFonts w:ascii="Arial" w:cs="Arial" w:eastAsia="Arial" w:hAnsi="Arial"/>
                <w:sz w:val="14"/>
                <w:szCs w:val="14"/>
                <w:color w:val="auto"/>
              </w:rPr>
              <w:t>6.2</w:t>
            </w:r>
          </w:p>
        </w:tc>
        <w:tc>
          <w:tcPr>
            <w:tcW w:w="360" w:type="dxa"/>
            <w:vAlign w:val="bottom"/>
            <w:shd w:val="clear" w:color="auto" w:fill="E2E8F1"/>
          </w:tcPr>
          <w:p>
            <w:pPr>
              <w:spacing w:after="0"/>
              <w:rPr>
                <w:sz w:val="16"/>
                <w:szCs w:val="16"/>
                <w:color w:val="auto"/>
              </w:rPr>
            </w:pPr>
          </w:p>
        </w:tc>
        <w:tc>
          <w:tcPr>
            <w:tcW w:w="1020" w:type="dxa"/>
            <w:vAlign w:val="bottom"/>
            <w:shd w:val="clear" w:color="auto" w:fill="E2E8F1"/>
          </w:tcPr>
          <w:p>
            <w:pPr>
              <w:jc w:val="right"/>
              <w:ind w:right="130"/>
              <w:spacing w:after="0"/>
              <w:rPr>
                <w:sz w:val="20"/>
                <w:szCs w:val="20"/>
                <w:color w:val="auto"/>
              </w:rPr>
            </w:pPr>
            <w:r>
              <w:rPr>
                <w:rFonts w:ascii="Arial" w:cs="Arial" w:eastAsia="Arial" w:hAnsi="Arial"/>
                <w:sz w:val="14"/>
                <w:szCs w:val="14"/>
                <w:color w:val="auto"/>
              </w:rPr>
              <w:t>21.8</w:t>
            </w:r>
          </w:p>
        </w:tc>
        <w:tc>
          <w:tcPr>
            <w:tcW w:w="340" w:type="dxa"/>
            <w:vAlign w:val="bottom"/>
            <w:shd w:val="clear" w:color="auto" w:fill="E2E8F1"/>
          </w:tcPr>
          <w:p>
            <w:pPr>
              <w:spacing w:after="0"/>
              <w:rPr>
                <w:sz w:val="16"/>
                <w:szCs w:val="16"/>
                <w:color w:val="auto"/>
              </w:rPr>
            </w:pPr>
          </w:p>
        </w:tc>
        <w:tc>
          <w:tcPr>
            <w:tcW w:w="9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11.9</w:t>
            </w:r>
          </w:p>
        </w:tc>
      </w:tr>
      <w:tr>
        <w:trPr>
          <w:trHeight w:val="189"/>
        </w:trPr>
        <w:tc>
          <w:tcPr>
            <w:tcW w:w="472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auto"/>
              </w:rPr>
              <w:t>Miscellaneous income, net</w:t>
            </w:r>
          </w:p>
        </w:tc>
        <w:tc>
          <w:tcPr>
            <w:tcW w:w="2840" w:type="dxa"/>
            <w:vAlign w:val="bottom"/>
            <w:tcBorders>
              <w:bottom w:val="single" w:sz="8" w:color="231F20"/>
            </w:tcBorders>
          </w:tcPr>
          <w:p>
            <w:pPr>
              <w:spacing w:after="0"/>
              <w:rPr>
                <w:sz w:val="16"/>
                <w:szCs w:val="16"/>
                <w:color w:val="auto"/>
              </w:rPr>
            </w:pPr>
          </w:p>
        </w:tc>
        <w:tc>
          <w:tcPr>
            <w:tcW w:w="104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(13.7 )</w:t>
            </w:r>
          </w:p>
        </w:tc>
        <w:tc>
          <w:tcPr>
            <w:tcW w:w="360" w:type="dxa"/>
            <w:vAlign w:val="bottom"/>
            <w:tcBorders>
              <w:bottom w:val="single" w:sz="8" w:color="231F20"/>
            </w:tcBorders>
          </w:tcPr>
          <w:p>
            <w:pPr>
              <w:spacing w:after="0"/>
              <w:rPr>
                <w:sz w:val="16"/>
                <w:szCs w:val="16"/>
                <w:color w:val="auto"/>
              </w:rPr>
            </w:pPr>
          </w:p>
        </w:tc>
        <w:tc>
          <w:tcPr>
            <w:tcW w:w="10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(17.4 )</w:t>
            </w:r>
          </w:p>
        </w:tc>
        <w:tc>
          <w:tcPr>
            <w:tcW w:w="34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(16.3 )</w:t>
            </w:r>
          </w:p>
        </w:tc>
      </w:tr>
      <w:tr>
        <w:trPr>
          <w:trHeight w:val="181"/>
        </w:trPr>
        <w:tc>
          <w:tcPr>
            <w:tcW w:w="472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auto"/>
              </w:rPr>
              <w:t>Interest and other expenses, net</w:t>
            </w:r>
          </w:p>
        </w:tc>
        <w:tc>
          <w:tcPr>
            <w:tcW w:w="284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231F20"/>
            </w:tcBorders>
            <w:shd w:val="clear" w:color="auto" w:fill="E2E8F1"/>
          </w:tcPr>
          <w:p>
            <w:pPr>
              <w:jc w:val="right"/>
              <w:ind w:right="150"/>
              <w:spacing w:after="0"/>
              <w:rPr>
                <w:sz w:val="20"/>
                <w:szCs w:val="20"/>
                <w:color w:val="auto"/>
              </w:rPr>
            </w:pPr>
            <w:r>
              <w:rPr>
                <w:rFonts w:ascii="Arial" w:cs="Arial" w:eastAsia="Arial" w:hAnsi="Arial"/>
                <w:sz w:val="14"/>
                <w:szCs w:val="14"/>
                <w:color w:val="auto"/>
              </w:rPr>
              <w:t>49.2</w:t>
            </w:r>
          </w:p>
        </w:tc>
        <w:tc>
          <w:tcPr>
            <w:tcW w:w="360" w:type="dxa"/>
            <w:vAlign w:val="bottom"/>
            <w:tcBorders>
              <w:bottom w:val="single" w:sz="8" w:color="231F20"/>
            </w:tcBorders>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31F20"/>
            </w:tcBorders>
            <w:shd w:val="clear" w:color="auto" w:fill="E2E8F1"/>
          </w:tcPr>
          <w:p>
            <w:pPr>
              <w:jc w:val="right"/>
              <w:ind w:right="130"/>
              <w:spacing w:after="0"/>
              <w:rPr>
                <w:sz w:val="20"/>
                <w:szCs w:val="20"/>
                <w:color w:val="auto"/>
              </w:rPr>
            </w:pPr>
            <w:r>
              <w:rPr>
                <w:rFonts w:ascii="Arial" w:cs="Arial" w:eastAsia="Arial" w:hAnsi="Arial"/>
                <w:sz w:val="14"/>
                <w:szCs w:val="14"/>
                <w:color w:val="auto"/>
              </w:rPr>
              <w:t>49.9</w:t>
            </w:r>
          </w:p>
        </w:tc>
        <w:tc>
          <w:tcPr>
            <w:tcW w:w="34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24.6</w:t>
            </w:r>
          </w:p>
        </w:tc>
      </w:tr>
    </w:tbl>
    <w:p>
      <w:pPr>
        <w:spacing w:after="0" w:line="36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79" w:name="page80"/>
    <w:bookmarkEnd w:id="79"/>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322" w:lineRule="exact"/>
        <w:rPr>
          <w:sz w:val="20"/>
          <w:szCs w:val="20"/>
          <w:color w:val="auto"/>
        </w:rPr>
      </w:pPr>
    </w:p>
    <w:p>
      <w:pPr>
        <w:ind w:left="445" w:hanging="445"/>
        <w:spacing w:after="0"/>
        <w:tabs>
          <w:tab w:leader="none" w:pos="445" w:val="left"/>
        </w:tabs>
        <w:numPr>
          <w:ilvl w:val="0"/>
          <w:numId w:val="52"/>
        </w:numPr>
        <w:rPr>
          <w:rFonts w:ascii="Arial" w:cs="Arial" w:eastAsia="Arial" w:hAnsi="Arial"/>
          <w:sz w:val="22"/>
          <w:szCs w:val="22"/>
          <w:b w:val="1"/>
          <w:bCs w:val="1"/>
          <w:color w:val="5B89B4"/>
        </w:rPr>
      </w:pPr>
      <w:r>
        <w:rPr>
          <w:rFonts w:ascii="Arial" w:cs="Arial" w:eastAsia="Arial" w:hAnsi="Arial"/>
          <w:sz w:val="22"/>
          <w:szCs w:val="22"/>
          <w:b w:val="1"/>
          <w:bCs w:val="1"/>
          <w:u w:val="single" w:color="auto"/>
          <w:color w:val="5B89B4"/>
        </w:rPr>
        <w:t>Derivative Financial Instruments</w:t>
      </w:r>
    </w:p>
    <w:p>
      <w:pPr>
        <w:spacing w:after="0" w:line="108" w:lineRule="exact"/>
        <w:rPr>
          <w:sz w:val="20"/>
          <w:szCs w:val="20"/>
          <w:color w:val="auto"/>
        </w:rPr>
      </w:pPr>
    </w:p>
    <w:p>
      <w:pPr>
        <w:jc w:val="both"/>
        <w:ind w:left="5"/>
        <w:spacing w:after="0" w:line="239" w:lineRule="auto"/>
        <w:rPr>
          <w:sz w:val="20"/>
          <w:szCs w:val="20"/>
          <w:color w:val="auto"/>
        </w:rPr>
      </w:pPr>
      <w:r>
        <w:rPr>
          <w:rFonts w:ascii="Arial" w:cs="Arial" w:eastAsia="Arial" w:hAnsi="Arial"/>
          <w:sz w:val="16"/>
          <w:szCs w:val="16"/>
          <w:color w:val="231F20"/>
        </w:rPr>
        <w:t>We are exposed to various market risks relating to our ongoing business operations. The primary market risks, which are managed using derivative instruments, are foreign currency exchange rate risk and interest rate risk. In certain circumstances, we enter into cross-currency swaps and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01"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5B89B4"/>
        </w:rPr>
        <w:t>Net Investment Hedges</w:t>
      </w:r>
    </w:p>
    <w:p>
      <w:pPr>
        <w:spacing w:after="0" w:line="88" w:lineRule="exact"/>
        <w:rPr>
          <w:sz w:val="20"/>
          <w:szCs w:val="20"/>
          <w:color w:val="auto"/>
        </w:rPr>
      </w:pPr>
    </w:p>
    <w:p>
      <w:pPr>
        <w:jc w:val="both"/>
        <w:ind w:left="5"/>
        <w:spacing w:after="0" w:line="237" w:lineRule="auto"/>
        <w:rPr>
          <w:sz w:val="20"/>
          <w:szCs w:val="20"/>
          <w:color w:val="auto"/>
        </w:rPr>
      </w:pPr>
      <w:r>
        <w:rPr>
          <w:rFonts w:ascii="Arial" w:cs="Arial" w:eastAsia="Arial" w:hAnsi="Arial"/>
          <w:sz w:val="16"/>
          <w:szCs w:val="16"/>
          <w:color w:val="231F20"/>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adjustments, a component of accumulated other comprehensive loss (“AOCL”),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69" w:lineRule="exact"/>
        <w:rPr>
          <w:sz w:val="20"/>
          <w:szCs w:val="20"/>
          <w:color w:val="auto"/>
        </w:rPr>
      </w:pPr>
    </w:p>
    <w:p>
      <w:pPr>
        <w:jc w:val="both"/>
        <w:ind w:left="5"/>
        <w:spacing w:after="0" w:line="260" w:lineRule="auto"/>
        <w:rPr>
          <w:sz w:val="20"/>
          <w:szCs w:val="20"/>
          <w:color w:val="auto"/>
        </w:rPr>
      </w:pPr>
      <w:r>
        <w:rPr>
          <w:rFonts w:ascii="Arial" w:cs="Arial" w:eastAsia="Arial" w:hAnsi="Arial"/>
          <w:sz w:val="16"/>
          <w:szCs w:val="16"/>
          <w:color w:val="231F20"/>
        </w:rPr>
        <w:t>The €400.0 ($411.8) notes due June 2027 and the €500.0 ($516.6) notes due June 2026 were designated as a hedge of our net investment in our foreign subsidiaries with a Euro-functional currency as of December 31, 2024.</w:t>
      </w:r>
    </w:p>
    <w:p>
      <w:pPr>
        <w:spacing w:after="0" w:line="51"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231F20"/>
        </w:rPr>
        <w:t>In September 2022, we entered into a new cross-currency swap agreement that converts fixed-rate Swiss franc ("CHF") payments to fixed-rate United States dollar payments. This swap was designated as a net investment hedge of our foreign subsidiaries with CHF functional currency.</w:t>
      </w:r>
    </w:p>
    <w:p>
      <w:pPr>
        <w:spacing w:after="0" w:line="51" w:lineRule="exact"/>
        <w:rPr>
          <w:sz w:val="20"/>
          <w:szCs w:val="20"/>
          <w:color w:val="auto"/>
        </w:rPr>
      </w:pPr>
    </w:p>
    <w:p>
      <w:pPr>
        <w:ind w:left="5"/>
        <w:spacing w:after="0"/>
        <w:rPr>
          <w:sz w:val="20"/>
          <w:szCs w:val="20"/>
          <w:color w:val="auto"/>
        </w:rPr>
      </w:pPr>
      <w:r>
        <w:rPr>
          <w:rFonts w:ascii="Arial" w:cs="Arial" w:eastAsia="Arial" w:hAnsi="Arial"/>
          <w:sz w:val="16"/>
          <w:szCs w:val="16"/>
          <w:color w:val="231F20"/>
        </w:rPr>
        <w:t>The effect of our net investment hedges on AOCL for the year ended December 31, 2024, and 2023 was as follows:</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146"/>
        </w:trPr>
        <w:tc>
          <w:tcPr>
            <w:tcW w:w="7860" w:type="dxa"/>
            <w:vAlign w:val="bottom"/>
            <w:tcBorders>
              <w:top w:val="single" w:sz="8" w:color="231F20"/>
            </w:tcBorders>
            <w:shd w:val="clear" w:color="auto" w:fill="98B0CF"/>
          </w:tcPr>
          <w:p>
            <w:pPr>
              <w:spacing w:after="0"/>
              <w:rPr>
                <w:sz w:val="12"/>
                <w:szCs w:val="12"/>
                <w:color w:val="auto"/>
              </w:rPr>
            </w:pPr>
          </w:p>
        </w:tc>
        <w:tc>
          <w:tcPr>
            <w:tcW w:w="120" w:type="dxa"/>
            <w:vAlign w:val="bottom"/>
            <w:tcBorders>
              <w:top w:val="single" w:sz="8" w:color="231F20"/>
            </w:tcBorders>
            <w:shd w:val="clear" w:color="auto" w:fill="98B0CF"/>
          </w:tcPr>
          <w:p>
            <w:pPr>
              <w:spacing w:after="0"/>
              <w:rPr>
                <w:sz w:val="12"/>
                <w:szCs w:val="12"/>
                <w:color w:val="auto"/>
              </w:rPr>
            </w:pPr>
          </w:p>
        </w:tc>
        <w:tc>
          <w:tcPr>
            <w:tcW w:w="120" w:type="dxa"/>
            <w:vAlign w:val="bottom"/>
            <w:tcBorders>
              <w:top w:val="single" w:sz="8" w:color="231F20"/>
            </w:tcBorders>
            <w:shd w:val="clear" w:color="auto" w:fill="98B0CF"/>
          </w:tcPr>
          <w:p>
            <w:pPr>
              <w:spacing w:after="0"/>
              <w:rPr>
                <w:sz w:val="12"/>
                <w:szCs w:val="12"/>
                <w:color w:val="auto"/>
              </w:rPr>
            </w:pPr>
          </w:p>
        </w:tc>
        <w:tc>
          <w:tcPr>
            <w:tcW w:w="3160" w:type="dxa"/>
            <w:vAlign w:val="bottom"/>
            <w:tcBorders>
              <w:top w:val="single" w:sz="8" w:color="231F20"/>
            </w:tcBorders>
            <w:gridSpan w:val="4"/>
            <w:shd w:val="clear" w:color="auto" w:fill="98B0CF"/>
          </w:tcPr>
          <w:p>
            <w:pPr>
              <w:jc w:val="center"/>
              <w:ind w:right="180"/>
              <w:spacing w:after="0" w:line="146" w:lineRule="exact"/>
              <w:rPr>
                <w:sz w:val="20"/>
                <w:szCs w:val="20"/>
                <w:color w:val="auto"/>
              </w:rPr>
            </w:pPr>
            <w:r>
              <w:rPr>
                <w:rFonts w:ascii="Arial" w:cs="Arial" w:eastAsia="Arial" w:hAnsi="Arial"/>
                <w:sz w:val="13"/>
                <w:szCs w:val="13"/>
                <w:b w:val="1"/>
                <w:bCs w:val="1"/>
                <w:color w:val="auto"/>
                <w:w w:val="97"/>
              </w:rPr>
              <w:t>Gain (Loss) Recognized in Other Comprehensive</w:t>
            </w:r>
          </w:p>
        </w:tc>
      </w:tr>
      <w:tr>
        <w:trPr>
          <w:trHeight w:val="150"/>
        </w:trPr>
        <w:tc>
          <w:tcPr>
            <w:tcW w:w="7860" w:type="dxa"/>
            <w:vAlign w:val="bottom"/>
            <w:shd w:val="clear" w:color="auto" w:fill="98B0CF"/>
          </w:tcPr>
          <w:p>
            <w:pPr>
              <w:spacing w:after="0"/>
              <w:rPr>
                <w:sz w:val="13"/>
                <w:szCs w:val="13"/>
                <w:color w:val="auto"/>
              </w:rPr>
            </w:pPr>
          </w:p>
        </w:tc>
        <w:tc>
          <w:tcPr>
            <w:tcW w:w="120" w:type="dxa"/>
            <w:vAlign w:val="bottom"/>
            <w:shd w:val="clear" w:color="auto" w:fill="98B0CF"/>
          </w:tcPr>
          <w:p>
            <w:pPr>
              <w:spacing w:after="0"/>
              <w:rPr>
                <w:sz w:val="13"/>
                <w:szCs w:val="13"/>
                <w:color w:val="auto"/>
              </w:rPr>
            </w:pPr>
          </w:p>
        </w:tc>
        <w:tc>
          <w:tcPr>
            <w:tcW w:w="120" w:type="dxa"/>
            <w:vAlign w:val="bottom"/>
            <w:shd w:val="clear" w:color="auto" w:fill="98B0CF"/>
          </w:tcPr>
          <w:p>
            <w:pPr>
              <w:spacing w:after="0"/>
              <w:rPr>
                <w:sz w:val="13"/>
                <w:szCs w:val="13"/>
                <w:color w:val="auto"/>
              </w:rPr>
            </w:pPr>
          </w:p>
        </w:tc>
        <w:tc>
          <w:tcPr>
            <w:tcW w:w="1280" w:type="dxa"/>
            <w:vAlign w:val="bottom"/>
            <w:shd w:val="clear" w:color="auto" w:fill="98B0CF"/>
          </w:tcPr>
          <w:p>
            <w:pPr>
              <w:spacing w:after="0"/>
              <w:rPr>
                <w:sz w:val="13"/>
                <w:szCs w:val="13"/>
                <w:color w:val="auto"/>
              </w:rPr>
            </w:pPr>
          </w:p>
        </w:tc>
        <w:tc>
          <w:tcPr>
            <w:tcW w:w="640" w:type="dxa"/>
            <w:vAlign w:val="bottom"/>
            <w:shd w:val="clear" w:color="auto" w:fill="98B0CF"/>
          </w:tcPr>
          <w:p>
            <w:pPr>
              <w:jc w:val="center"/>
              <w:ind w:right="113"/>
              <w:spacing w:after="0"/>
              <w:rPr>
                <w:sz w:val="20"/>
                <w:szCs w:val="20"/>
                <w:color w:val="auto"/>
              </w:rPr>
            </w:pPr>
            <w:r>
              <w:rPr>
                <w:rFonts w:ascii="Arial" w:cs="Arial" w:eastAsia="Arial" w:hAnsi="Arial"/>
                <w:sz w:val="13"/>
                <w:szCs w:val="13"/>
                <w:b w:val="1"/>
                <w:bCs w:val="1"/>
                <w:color w:val="auto"/>
              </w:rPr>
              <w:t>Income</w:t>
            </w:r>
          </w:p>
        </w:tc>
        <w:tc>
          <w:tcPr>
            <w:tcW w:w="1120" w:type="dxa"/>
            <w:vAlign w:val="bottom"/>
            <w:shd w:val="clear" w:color="auto" w:fill="98B0CF"/>
          </w:tcPr>
          <w:p>
            <w:pPr>
              <w:spacing w:after="0"/>
              <w:rPr>
                <w:sz w:val="13"/>
                <w:szCs w:val="13"/>
                <w:color w:val="auto"/>
              </w:rPr>
            </w:pPr>
          </w:p>
        </w:tc>
        <w:tc>
          <w:tcPr>
            <w:tcW w:w="120" w:type="dxa"/>
            <w:vAlign w:val="bottom"/>
            <w:shd w:val="clear" w:color="auto" w:fill="98B0CF"/>
          </w:tcPr>
          <w:p>
            <w:pPr>
              <w:spacing w:after="0"/>
              <w:rPr>
                <w:sz w:val="13"/>
                <w:szCs w:val="13"/>
                <w:color w:val="auto"/>
              </w:rPr>
            </w:pPr>
          </w:p>
        </w:tc>
      </w:tr>
      <w:tr>
        <w:trPr>
          <w:trHeight w:val="219"/>
        </w:trPr>
        <w:tc>
          <w:tcPr>
            <w:tcW w:w="7860" w:type="dxa"/>
            <w:vAlign w:val="bottom"/>
            <w:tcBorders>
              <w:bottom w:val="single" w:sz="8" w:color="98B0CF"/>
            </w:tcBorders>
            <w:shd w:val="clear" w:color="auto" w:fill="98B0CF"/>
          </w:tcPr>
          <w:p>
            <w:pPr>
              <w:spacing w:after="0"/>
              <w:rPr>
                <w:sz w:val="19"/>
                <w:szCs w:val="19"/>
                <w:color w:val="auto"/>
              </w:rPr>
            </w:pPr>
          </w:p>
        </w:tc>
        <w:tc>
          <w:tcPr>
            <w:tcW w:w="120" w:type="dxa"/>
            <w:vAlign w:val="bottom"/>
            <w:tcBorders>
              <w:bottom w:val="single" w:sz="8" w:color="98B0CF"/>
            </w:tcBorders>
            <w:shd w:val="clear" w:color="auto" w:fill="98B0CF"/>
          </w:tcPr>
          <w:p>
            <w:pPr>
              <w:spacing w:after="0"/>
              <w:rPr>
                <w:sz w:val="19"/>
                <w:szCs w:val="19"/>
                <w:color w:val="auto"/>
              </w:rPr>
            </w:pPr>
          </w:p>
        </w:tc>
        <w:tc>
          <w:tcPr>
            <w:tcW w:w="120" w:type="dxa"/>
            <w:vAlign w:val="bottom"/>
            <w:tcBorders>
              <w:bottom w:val="single" w:sz="8" w:color="231F20"/>
            </w:tcBorders>
            <w:shd w:val="clear" w:color="auto" w:fill="98B0CF"/>
          </w:tcPr>
          <w:p>
            <w:pPr>
              <w:spacing w:after="0"/>
              <w:rPr>
                <w:sz w:val="19"/>
                <w:szCs w:val="19"/>
                <w:color w:val="auto"/>
              </w:rPr>
            </w:pPr>
          </w:p>
        </w:tc>
        <w:tc>
          <w:tcPr>
            <w:tcW w:w="3160" w:type="dxa"/>
            <w:vAlign w:val="bottom"/>
            <w:tcBorders>
              <w:bottom w:val="single" w:sz="8" w:color="231F20"/>
            </w:tcBorders>
            <w:gridSpan w:val="4"/>
            <w:shd w:val="clear" w:color="auto" w:fill="98B0CF"/>
          </w:tcPr>
          <w:p>
            <w:pPr>
              <w:ind w:left="620"/>
              <w:spacing w:after="0"/>
              <w:rPr>
                <w:sz w:val="20"/>
                <w:szCs w:val="20"/>
                <w:color w:val="auto"/>
              </w:rPr>
            </w:pPr>
            <w:r>
              <w:rPr>
                <w:rFonts w:ascii="Arial" w:cs="Arial" w:eastAsia="Arial" w:hAnsi="Arial"/>
                <w:sz w:val="13"/>
                <w:szCs w:val="13"/>
                <w:b w:val="1"/>
                <w:bCs w:val="1"/>
                <w:color w:val="auto"/>
              </w:rPr>
              <w:t>Year Ended December 31,</w:t>
            </w:r>
          </w:p>
        </w:tc>
      </w:tr>
      <w:tr>
        <w:trPr>
          <w:trHeight w:val="238"/>
        </w:trPr>
        <w:tc>
          <w:tcPr>
            <w:tcW w:w="7860" w:type="dxa"/>
            <w:vAlign w:val="bottom"/>
            <w:tcBorders>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Instrument</w:t>
            </w:r>
          </w:p>
        </w:tc>
        <w:tc>
          <w:tcPr>
            <w:tcW w:w="120" w:type="dxa"/>
            <w:vAlign w:val="bottom"/>
            <w:tcBorders>
              <w:bottom w:val="single" w:sz="8" w:color="auto"/>
            </w:tcBorders>
            <w:shd w:val="clear" w:color="auto" w:fill="98B0CF"/>
          </w:tcPr>
          <w:p>
            <w:pPr>
              <w:spacing w:after="0"/>
              <w:rPr>
                <w:sz w:val="20"/>
                <w:szCs w:val="20"/>
                <w:color w:val="auto"/>
              </w:rPr>
            </w:pPr>
          </w:p>
        </w:tc>
        <w:tc>
          <w:tcPr>
            <w:tcW w:w="120" w:type="dxa"/>
            <w:vAlign w:val="bottom"/>
            <w:tcBorders>
              <w:bottom w:val="single" w:sz="8" w:color="auto"/>
            </w:tcBorders>
            <w:shd w:val="clear" w:color="auto" w:fill="98B0CF"/>
          </w:tcPr>
          <w:p>
            <w:pPr>
              <w:spacing w:after="0"/>
              <w:rPr>
                <w:sz w:val="20"/>
                <w:szCs w:val="20"/>
                <w:color w:val="auto"/>
              </w:rPr>
            </w:pPr>
          </w:p>
        </w:tc>
        <w:tc>
          <w:tcPr>
            <w:tcW w:w="1280" w:type="dxa"/>
            <w:vAlign w:val="bottom"/>
            <w:tcBorders>
              <w:bottom w:val="single" w:sz="8" w:color="auto"/>
            </w:tcBorders>
            <w:shd w:val="clear" w:color="auto" w:fill="98B0CF"/>
          </w:tcPr>
          <w:p>
            <w:pPr>
              <w:jc w:val="right"/>
              <w:ind w:right="494"/>
              <w:spacing w:after="0"/>
              <w:rPr>
                <w:sz w:val="20"/>
                <w:szCs w:val="20"/>
                <w:color w:val="auto"/>
              </w:rPr>
            </w:pPr>
            <w:r>
              <w:rPr>
                <w:rFonts w:ascii="Arial" w:cs="Arial" w:eastAsia="Arial" w:hAnsi="Arial"/>
                <w:sz w:val="13"/>
                <w:szCs w:val="13"/>
                <w:b w:val="1"/>
                <w:bCs w:val="1"/>
                <w:color w:val="auto"/>
              </w:rPr>
              <w:t>2024</w:t>
            </w:r>
          </w:p>
        </w:tc>
        <w:tc>
          <w:tcPr>
            <w:tcW w:w="640" w:type="dxa"/>
            <w:vAlign w:val="bottom"/>
            <w:tcBorders>
              <w:bottom w:val="single" w:sz="8" w:color="auto"/>
            </w:tcBorders>
            <w:shd w:val="clear" w:color="auto" w:fill="98B0CF"/>
          </w:tcPr>
          <w:p>
            <w:pPr>
              <w:spacing w:after="0"/>
              <w:rPr>
                <w:sz w:val="20"/>
                <w:szCs w:val="20"/>
                <w:color w:val="auto"/>
              </w:rPr>
            </w:pPr>
          </w:p>
        </w:tc>
        <w:tc>
          <w:tcPr>
            <w:tcW w:w="1120" w:type="dxa"/>
            <w:vAlign w:val="bottom"/>
            <w:tcBorders>
              <w:bottom w:val="single" w:sz="8" w:color="auto"/>
            </w:tcBorders>
            <w:shd w:val="clear" w:color="auto" w:fill="98B0CF"/>
          </w:tcPr>
          <w:p>
            <w:pPr>
              <w:jc w:val="right"/>
              <w:ind w:right="592"/>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auto"/>
            </w:tcBorders>
            <w:shd w:val="clear" w:color="auto" w:fill="98B0CF"/>
          </w:tcPr>
          <w:p>
            <w:pPr>
              <w:spacing w:after="0"/>
              <w:rPr>
                <w:sz w:val="20"/>
                <w:szCs w:val="20"/>
                <w:color w:val="auto"/>
              </w:rPr>
            </w:pPr>
          </w:p>
        </w:tc>
      </w:tr>
      <w:tr>
        <w:trPr>
          <w:trHeight w:val="189"/>
        </w:trPr>
        <w:tc>
          <w:tcPr>
            <w:tcW w:w="7860" w:type="dxa"/>
            <w:vAlign w:val="bottom"/>
            <w:shd w:val="clear" w:color="auto" w:fill="E2E8F1"/>
          </w:tcPr>
          <w:p>
            <w:pPr>
              <w:ind w:left="80"/>
              <w:spacing w:after="0"/>
              <w:rPr>
                <w:sz w:val="20"/>
                <w:szCs w:val="20"/>
                <w:color w:val="auto"/>
              </w:rPr>
            </w:pPr>
            <w:r>
              <w:rPr>
                <w:rFonts w:ascii="Arial" w:cs="Arial" w:eastAsia="Arial" w:hAnsi="Arial"/>
                <w:sz w:val="14"/>
                <w:szCs w:val="14"/>
                <w:color w:val="auto"/>
              </w:rPr>
              <w:t>Euro Notes</w:t>
            </w:r>
          </w:p>
        </w:tc>
        <w:tc>
          <w:tcPr>
            <w:tcW w:w="24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61.5</w:t>
            </w:r>
          </w:p>
        </w:tc>
        <w:tc>
          <w:tcPr>
            <w:tcW w:w="640" w:type="dxa"/>
            <w:vAlign w:val="bottom"/>
            <w:shd w:val="clear" w:color="auto" w:fill="E2E8F1"/>
          </w:tcPr>
          <w:p>
            <w:pPr>
              <w:jc w:val="right"/>
              <w:ind w:right="233"/>
              <w:spacing w:after="0"/>
              <w:rPr>
                <w:sz w:val="20"/>
                <w:szCs w:val="20"/>
                <w:color w:val="auto"/>
              </w:rPr>
            </w:pPr>
            <w:r>
              <w:rPr>
                <w:rFonts w:ascii="Arial" w:cs="Arial" w:eastAsia="Arial" w:hAnsi="Arial"/>
                <w:sz w:val="14"/>
                <w:szCs w:val="14"/>
                <w:color w:val="auto"/>
              </w:rPr>
              <w:t>$</w:t>
            </w:r>
          </w:p>
        </w:tc>
        <w:tc>
          <w:tcPr>
            <w:tcW w:w="11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(30.0 )</w:t>
            </w:r>
          </w:p>
        </w:tc>
        <w:tc>
          <w:tcPr>
            <w:tcW w:w="120" w:type="dxa"/>
            <w:vAlign w:val="bottom"/>
            <w:shd w:val="clear" w:color="auto" w:fill="E2E8F1"/>
          </w:tcPr>
          <w:p>
            <w:pPr>
              <w:spacing w:after="0"/>
              <w:rPr>
                <w:sz w:val="16"/>
                <w:szCs w:val="16"/>
                <w:color w:val="auto"/>
              </w:rPr>
            </w:pPr>
          </w:p>
        </w:tc>
      </w:tr>
      <w:tr>
        <w:trPr>
          <w:trHeight w:val="201"/>
        </w:trPr>
        <w:tc>
          <w:tcPr>
            <w:tcW w:w="786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auto"/>
              </w:rPr>
              <w:t>Cross-currency swaps</w:t>
            </w: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2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36.2</w:t>
            </w:r>
          </w:p>
        </w:tc>
        <w:tc>
          <w:tcPr>
            <w:tcW w:w="64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(47.7 )</w:t>
            </w:r>
          </w:p>
        </w:tc>
        <w:tc>
          <w:tcPr>
            <w:tcW w:w="120" w:type="dxa"/>
            <w:vAlign w:val="bottom"/>
          </w:tcPr>
          <w:p>
            <w:pPr>
              <w:spacing w:after="0"/>
              <w:rPr>
                <w:sz w:val="17"/>
                <w:szCs w:val="17"/>
                <w:color w:val="auto"/>
              </w:rPr>
            </w:pPr>
          </w:p>
        </w:tc>
      </w:tr>
    </w:tbl>
    <w:p>
      <w:pPr>
        <w:spacing w:after="0" w:line="115"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5B89B4"/>
        </w:rPr>
        <w:t>Cash Flow Hedges</w:t>
      </w:r>
    </w:p>
    <w:p>
      <w:pPr>
        <w:spacing w:after="0" w:line="88"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231F20"/>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AOCL and reclassified into earnings when the underlying operating expense is recognized in earnings.</w:t>
      </w:r>
    </w:p>
    <w:p>
      <w:pPr>
        <w:spacing w:after="0" w:line="61" w:lineRule="exact"/>
        <w:rPr>
          <w:sz w:val="20"/>
          <w:szCs w:val="20"/>
          <w:color w:val="auto"/>
        </w:rPr>
      </w:pPr>
    </w:p>
    <w:p>
      <w:pPr>
        <w:jc w:val="both"/>
        <w:ind w:left="5" w:right="20"/>
        <w:spacing w:after="0" w:line="241" w:lineRule="auto"/>
        <w:rPr>
          <w:sz w:val="20"/>
          <w:szCs w:val="20"/>
          <w:color w:val="auto"/>
        </w:rPr>
      </w:pPr>
      <w:r>
        <w:rPr>
          <w:rFonts w:ascii="Arial" w:cs="Arial" w:eastAsia="Arial" w:hAnsi="Arial"/>
          <w:sz w:val="16"/>
          <w:szCs w:val="16"/>
          <w:color w:val="231F20"/>
        </w:rPr>
        <w:t>On June 9, 2022, we entered into a forward starting interest rate swap agreement with a notional amount of €300.0 and a fixed rate of 1.936%, which was accounted for as a cash flow hedge, to hedge the interest rate exposure related to our anticipated issuance of €400.0 notes to repay our existing €400.0 notes maturing in September 2022. Upon the issuance of the notes on June 30, 2022, we settled this forward starting interest rate swap, resulting in a gain of $2.0, which was recorded in accumulated other comprehensive income and is amortized over the term of the notes as an offset to interest expense.</w:t>
      </w:r>
    </w:p>
    <w:p>
      <w:pPr>
        <w:spacing w:after="0" w:line="65"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231F20"/>
        </w:rPr>
        <w:t>The following table presents the impact that changes in the fair values of derivatives designated as cash flow hedges had on OCI, AOCL and earnings for the year ended December 31, 2024, and 2023:</w:t>
      </w:r>
    </w:p>
    <w:p>
      <w:pPr>
        <w:spacing w:after="0" w:line="57"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2630" w:type="dxa"/>
            <w:vAlign w:val="bottom"/>
            <w:tcBorders>
              <w:top w:val="single" w:sz="8" w:color="auto"/>
            </w:tcBorders>
            <w:shd w:val="clear" w:color="auto" w:fill="98B0CF"/>
          </w:tcPr>
          <w:p>
            <w:pPr>
              <w:spacing w:after="0"/>
              <w:rPr>
                <w:sz w:val="19"/>
                <w:szCs w:val="19"/>
                <w:color w:val="auto"/>
              </w:rPr>
            </w:pPr>
          </w:p>
        </w:tc>
        <w:tc>
          <w:tcPr>
            <w:tcW w:w="890" w:type="dxa"/>
            <w:vAlign w:val="bottom"/>
            <w:tcBorders>
              <w:top w:val="single" w:sz="8" w:color="auto"/>
            </w:tcBorders>
            <w:shd w:val="clear" w:color="auto" w:fill="98B0CF"/>
          </w:tcPr>
          <w:p>
            <w:pPr>
              <w:spacing w:after="0"/>
              <w:rPr>
                <w:sz w:val="19"/>
                <w:szCs w:val="19"/>
                <w:color w:val="auto"/>
              </w:rPr>
            </w:pPr>
          </w:p>
        </w:tc>
        <w:tc>
          <w:tcPr>
            <w:tcW w:w="1460" w:type="dxa"/>
            <w:vAlign w:val="bottom"/>
            <w:tcBorders>
              <w:top w:val="single" w:sz="8" w:color="auto"/>
            </w:tcBorders>
            <w:shd w:val="clear" w:color="auto" w:fill="98B0CF"/>
          </w:tcPr>
          <w:p>
            <w:pPr>
              <w:spacing w:after="0"/>
              <w:rPr>
                <w:sz w:val="19"/>
                <w:szCs w:val="19"/>
                <w:color w:val="auto"/>
              </w:rPr>
            </w:pPr>
          </w:p>
        </w:tc>
        <w:tc>
          <w:tcPr>
            <w:tcW w:w="380" w:type="dxa"/>
            <w:vAlign w:val="bottom"/>
            <w:tcBorders>
              <w:top w:val="single" w:sz="8" w:color="auto"/>
            </w:tcBorders>
            <w:shd w:val="clear" w:color="auto" w:fill="98B0CF"/>
          </w:tcPr>
          <w:p>
            <w:pPr>
              <w:spacing w:after="0"/>
              <w:rPr>
                <w:sz w:val="19"/>
                <w:szCs w:val="19"/>
                <w:color w:val="auto"/>
              </w:rPr>
            </w:pPr>
          </w:p>
        </w:tc>
        <w:tc>
          <w:tcPr>
            <w:tcW w:w="3160" w:type="dxa"/>
            <w:vAlign w:val="bottom"/>
            <w:tcBorders>
              <w:top w:val="single" w:sz="8" w:color="auto"/>
            </w:tcBorders>
            <w:shd w:val="clear" w:color="auto" w:fill="98B0CF"/>
          </w:tcPr>
          <w:p>
            <w:pPr>
              <w:spacing w:after="0"/>
              <w:rPr>
                <w:sz w:val="19"/>
                <w:szCs w:val="19"/>
                <w:color w:val="auto"/>
              </w:rPr>
            </w:pPr>
          </w:p>
        </w:tc>
        <w:tc>
          <w:tcPr>
            <w:tcW w:w="2740" w:type="dxa"/>
            <w:vAlign w:val="bottom"/>
            <w:tcBorders>
              <w:top w:val="single" w:sz="8" w:color="auto"/>
            </w:tcBorders>
            <w:gridSpan w:val="2"/>
            <w:shd w:val="clear" w:color="auto" w:fill="98B0CF"/>
          </w:tcPr>
          <w:p>
            <w:pPr>
              <w:jc w:val="center"/>
              <w:ind w:right="53"/>
              <w:spacing w:after="0"/>
              <w:rPr>
                <w:sz w:val="20"/>
                <w:szCs w:val="20"/>
                <w:color w:val="auto"/>
              </w:rPr>
            </w:pPr>
            <w:r>
              <w:rPr>
                <w:rFonts w:ascii="Arial" w:cs="Arial" w:eastAsia="Arial" w:hAnsi="Arial"/>
                <w:sz w:val="13"/>
                <w:szCs w:val="13"/>
                <w:b w:val="1"/>
                <w:bCs w:val="1"/>
                <w:color w:val="auto"/>
                <w:w w:val="96"/>
              </w:rPr>
              <w:t>Gain (Loss) Reclassified</w:t>
            </w:r>
          </w:p>
        </w:tc>
      </w:tr>
      <w:tr>
        <w:trPr>
          <w:trHeight w:val="213"/>
        </w:trPr>
        <w:tc>
          <w:tcPr>
            <w:tcW w:w="2630" w:type="dxa"/>
            <w:vAlign w:val="bottom"/>
            <w:shd w:val="clear" w:color="auto" w:fill="98B0CF"/>
          </w:tcPr>
          <w:p>
            <w:pPr>
              <w:spacing w:after="0"/>
              <w:rPr>
                <w:sz w:val="18"/>
                <w:szCs w:val="18"/>
                <w:color w:val="auto"/>
              </w:rPr>
            </w:pPr>
          </w:p>
        </w:tc>
        <w:tc>
          <w:tcPr>
            <w:tcW w:w="2350" w:type="dxa"/>
            <w:vAlign w:val="bottom"/>
            <w:gridSpan w:val="2"/>
            <w:shd w:val="clear" w:color="auto" w:fill="98B0CF"/>
          </w:tcPr>
          <w:p>
            <w:pPr>
              <w:jc w:val="center"/>
              <w:ind w:left="247"/>
              <w:spacing w:after="0"/>
              <w:rPr>
                <w:sz w:val="20"/>
                <w:szCs w:val="20"/>
                <w:color w:val="auto"/>
              </w:rPr>
            </w:pPr>
            <w:r>
              <w:rPr>
                <w:rFonts w:ascii="Arial" w:cs="Arial" w:eastAsia="Arial" w:hAnsi="Arial"/>
                <w:sz w:val="13"/>
                <w:szCs w:val="13"/>
                <w:b w:val="1"/>
                <w:bCs w:val="1"/>
                <w:color w:val="auto"/>
                <w:w w:val="96"/>
              </w:rPr>
              <w:t>Gain (Loss) Recognized in OCI</w:t>
            </w:r>
          </w:p>
        </w:tc>
        <w:tc>
          <w:tcPr>
            <w:tcW w:w="380" w:type="dxa"/>
            <w:vAlign w:val="bottom"/>
            <w:shd w:val="clear" w:color="auto" w:fill="98B0CF"/>
          </w:tcPr>
          <w:p>
            <w:pPr>
              <w:spacing w:after="0"/>
              <w:rPr>
                <w:sz w:val="18"/>
                <w:szCs w:val="18"/>
                <w:color w:val="auto"/>
              </w:rPr>
            </w:pPr>
          </w:p>
        </w:tc>
        <w:tc>
          <w:tcPr>
            <w:tcW w:w="3160" w:type="dxa"/>
            <w:vAlign w:val="bottom"/>
            <w:shd w:val="clear" w:color="auto" w:fill="98B0CF"/>
          </w:tcPr>
          <w:p>
            <w:pPr>
              <w:spacing w:after="0"/>
              <w:rPr>
                <w:sz w:val="18"/>
                <w:szCs w:val="18"/>
                <w:color w:val="auto"/>
              </w:rPr>
            </w:pPr>
          </w:p>
        </w:tc>
        <w:tc>
          <w:tcPr>
            <w:tcW w:w="2740" w:type="dxa"/>
            <w:vAlign w:val="bottom"/>
            <w:gridSpan w:val="2"/>
            <w:shd w:val="clear" w:color="auto" w:fill="98B0CF"/>
          </w:tcPr>
          <w:p>
            <w:pPr>
              <w:jc w:val="center"/>
              <w:ind w:right="53"/>
              <w:spacing w:after="0"/>
              <w:rPr>
                <w:sz w:val="20"/>
                <w:szCs w:val="20"/>
                <w:color w:val="auto"/>
              </w:rPr>
            </w:pPr>
            <w:r>
              <w:rPr>
                <w:rFonts w:ascii="Arial" w:cs="Arial" w:eastAsia="Arial" w:hAnsi="Arial"/>
                <w:sz w:val="13"/>
                <w:szCs w:val="13"/>
                <w:b w:val="1"/>
                <w:bCs w:val="1"/>
                <w:color w:val="auto"/>
                <w:w w:val="97"/>
              </w:rPr>
              <w:t>from AOCL into Income</w:t>
            </w:r>
          </w:p>
        </w:tc>
      </w:tr>
      <w:tr>
        <w:trPr>
          <w:trHeight w:val="270"/>
        </w:trPr>
        <w:tc>
          <w:tcPr>
            <w:tcW w:w="2630" w:type="dxa"/>
            <w:vAlign w:val="bottom"/>
            <w:tcBorders>
              <w:bottom w:val="single" w:sz="8" w:color="98B0CF"/>
            </w:tcBorders>
            <w:shd w:val="clear" w:color="auto" w:fill="98B0CF"/>
          </w:tcPr>
          <w:p>
            <w:pPr>
              <w:spacing w:after="0"/>
              <w:rPr>
                <w:sz w:val="23"/>
                <w:szCs w:val="23"/>
                <w:color w:val="auto"/>
              </w:rPr>
            </w:pPr>
          </w:p>
        </w:tc>
        <w:tc>
          <w:tcPr>
            <w:tcW w:w="2350" w:type="dxa"/>
            <w:vAlign w:val="bottom"/>
            <w:tcBorders>
              <w:bottom w:val="single" w:sz="8" w:color="98B0CF"/>
            </w:tcBorders>
            <w:gridSpan w:val="2"/>
            <w:shd w:val="clear" w:color="auto" w:fill="98B0CF"/>
          </w:tcPr>
          <w:p>
            <w:pPr>
              <w:jc w:val="center"/>
              <w:ind w:left="247"/>
              <w:spacing w:after="0"/>
              <w:rPr>
                <w:sz w:val="20"/>
                <w:szCs w:val="20"/>
                <w:color w:val="auto"/>
              </w:rPr>
            </w:pPr>
            <w:r>
              <w:rPr>
                <w:rFonts w:ascii="Arial" w:cs="Arial" w:eastAsia="Arial" w:hAnsi="Arial"/>
                <w:sz w:val="13"/>
                <w:szCs w:val="13"/>
                <w:b w:val="1"/>
                <w:bCs w:val="1"/>
                <w:color w:val="auto"/>
                <w:w w:val="97"/>
              </w:rPr>
              <w:t>Year Ended December 31,</w:t>
            </w:r>
          </w:p>
        </w:tc>
        <w:tc>
          <w:tcPr>
            <w:tcW w:w="380" w:type="dxa"/>
            <w:vAlign w:val="bottom"/>
            <w:tcBorders>
              <w:bottom w:val="single" w:sz="8" w:color="98B0CF"/>
            </w:tcBorders>
            <w:shd w:val="clear" w:color="auto" w:fill="98B0CF"/>
          </w:tcPr>
          <w:p>
            <w:pPr>
              <w:spacing w:after="0"/>
              <w:rPr>
                <w:sz w:val="23"/>
                <w:szCs w:val="23"/>
                <w:color w:val="auto"/>
              </w:rPr>
            </w:pPr>
          </w:p>
        </w:tc>
        <w:tc>
          <w:tcPr>
            <w:tcW w:w="3160" w:type="dxa"/>
            <w:vAlign w:val="bottom"/>
            <w:tcBorders>
              <w:bottom w:val="single" w:sz="8" w:color="98B0CF"/>
            </w:tcBorders>
            <w:shd w:val="clear" w:color="auto" w:fill="98B0CF"/>
          </w:tcPr>
          <w:p>
            <w:pPr>
              <w:jc w:val="center"/>
              <w:spacing w:after="0"/>
              <w:rPr>
                <w:sz w:val="20"/>
                <w:szCs w:val="20"/>
                <w:color w:val="auto"/>
              </w:rPr>
            </w:pPr>
            <w:r>
              <w:rPr>
                <w:rFonts w:ascii="Arial" w:cs="Arial" w:eastAsia="Arial" w:hAnsi="Arial"/>
                <w:sz w:val="13"/>
                <w:szCs w:val="13"/>
                <w:b w:val="1"/>
                <w:bCs w:val="1"/>
                <w:color w:val="auto"/>
                <w:w w:val="96"/>
              </w:rPr>
              <w:t>Location of Gain Reclassified</w:t>
            </w:r>
          </w:p>
        </w:tc>
        <w:tc>
          <w:tcPr>
            <w:tcW w:w="2740" w:type="dxa"/>
            <w:vAlign w:val="bottom"/>
            <w:tcBorders>
              <w:bottom w:val="single" w:sz="8" w:color="231F20"/>
            </w:tcBorders>
            <w:gridSpan w:val="2"/>
            <w:shd w:val="clear" w:color="auto" w:fill="98B0CF"/>
          </w:tcPr>
          <w:p>
            <w:pPr>
              <w:jc w:val="center"/>
              <w:ind w:right="53"/>
              <w:spacing w:after="0"/>
              <w:rPr>
                <w:sz w:val="20"/>
                <w:szCs w:val="20"/>
                <w:color w:val="auto"/>
              </w:rPr>
            </w:pPr>
            <w:r>
              <w:rPr>
                <w:rFonts w:ascii="Arial" w:cs="Arial" w:eastAsia="Arial" w:hAnsi="Arial"/>
                <w:sz w:val="13"/>
                <w:szCs w:val="13"/>
                <w:b w:val="1"/>
                <w:bCs w:val="1"/>
                <w:color w:val="auto"/>
                <w:w w:val="96"/>
              </w:rPr>
              <w:t>Year Ended December 31,</w:t>
            </w:r>
          </w:p>
        </w:tc>
      </w:tr>
      <w:tr>
        <w:trPr>
          <w:trHeight w:val="206"/>
        </w:trPr>
        <w:tc>
          <w:tcPr>
            <w:tcW w:w="2630" w:type="dxa"/>
            <w:vAlign w:val="bottom"/>
            <w:tcBorders>
              <w:top w:val="single" w:sz="8" w:color="231F20"/>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Instrument</w:t>
            </w:r>
          </w:p>
        </w:tc>
        <w:tc>
          <w:tcPr>
            <w:tcW w:w="890" w:type="dxa"/>
            <w:vAlign w:val="bottom"/>
            <w:tcBorders>
              <w:top w:val="single" w:sz="8" w:color="231F20"/>
              <w:bottom w:val="single" w:sz="8" w:color="auto"/>
            </w:tcBorders>
            <w:shd w:val="clear" w:color="auto" w:fill="98B0CF"/>
          </w:tcPr>
          <w:p>
            <w:pPr>
              <w:jc w:val="right"/>
              <w:ind w:right="77"/>
              <w:spacing w:after="0"/>
              <w:rPr>
                <w:sz w:val="20"/>
                <w:szCs w:val="20"/>
                <w:color w:val="auto"/>
              </w:rPr>
            </w:pPr>
            <w:r>
              <w:rPr>
                <w:rFonts w:ascii="Arial" w:cs="Arial" w:eastAsia="Arial" w:hAnsi="Arial"/>
                <w:sz w:val="13"/>
                <w:szCs w:val="13"/>
                <w:b w:val="1"/>
                <w:bCs w:val="1"/>
                <w:color w:val="auto"/>
              </w:rPr>
              <w:t>2024</w:t>
            </w:r>
          </w:p>
        </w:tc>
        <w:tc>
          <w:tcPr>
            <w:tcW w:w="1460" w:type="dxa"/>
            <w:vAlign w:val="bottom"/>
            <w:tcBorders>
              <w:top w:val="single" w:sz="8" w:color="231F20"/>
              <w:bottom w:val="single" w:sz="8" w:color="auto"/>
            </w:tcBorders>
            <w:shd w:val="clear" w:color="auto" w:fill="98B0CF"/>
          </w:tcPr>
          <w:p>
            <w:pPr>
              <w:jc w:val="right"/>
              <w:ind w:right="133"/>
              <w:spacing w:after="0"/>
              <w:rPr>
                <w:sz w:val="20"/>
                <w:szCs w:val="20"/>
                <w:color w:val="auto"/>
              </w:rPr>
            </w:pPr>
            <w:r>
              <w:rPr>
                <w:rFonts w:ascii="Arial" w:cs="Arial" w:eastAsia="Arial" w:hAnsi="Arial"/>
                <w:sz w:val="13"/>
                <w:szCs w:val="13"/>
                <w:b w:val="1"/>
                <w:bCs w:val="1"/>
                <w:color w:val="auto"/>
              </w:rPr>
              <w:t>2023</w:t>
            </w:r>
          </w:p>
        </w:tc>
        <w:tc>
          <w:tcPr>
            <w:tcW w:w="380" w:type="dxa"/>
            <w:vAlign w:val="bottom"/>
            <w:tcBorders>
              <w:top w:val="single" w:sz="8" w:color="231F20"/>
              <w:bottom w:val="single" w:sz="8" w:color="auto"/>
            </w:tcBorders>
            <w:shd w:val="clear" w:color="auto" w:fill="98B0CF"/>
          </w:tcPr>
          <w:p>
            <w:pPr>
              <w:spacing w:after="0"/>
              <w:rPr>
                <w:sz w:val="17"/>
                <w:szCs w:val="17"/>
                <w:color w:val="auto"/>
              </w:rPr>
            </w:pPr>
          </w:p>
        </w:tc>
        <w:tc>
          <w:tcPr>
            <w:tcW w:w="3160" w:type="dxa"/>
            <w:vAlign w:val="bottom"/>
            <w:tcBorders>
              <w:top w:val="single" w:sz="8" w:color="98B0CF"/>
              <w:bottom w:val="single" w:sz="8" w:color="auto"/>
            </w:tcBorders>
            <w:shd w:val="clear" w:color="auto" w:fill="98B0CF"/>
          </w:tcPr>
          <w:p>
            <w:pPr>
              <w:jc w:val="center"/>
              <w:spacing w:after="0"/>
              <w:rPr>
                <w:sz w:val="20"/>
                <w:szCs w:val="20"/>
                <w:color w:val="auto"/>
              </w:rPr>
            </w:pPr>
            <w:r>
              <w:rPr>
                <w:rFonts w:ascii="Arial" w:cs="Arial" w:eastAsia="Arial" w:hAnsi="Arial"/>
                <w:sz w:val="13"/>
                <w:szCs w:val="13"/>
                <w:b w:val="1"/>
                <w:bCs w:val="1"/>
                <w:color w:val="auto"/>
                <w:w w:val="95"/>
              </w:rPr>
              <w:t>from AOCL into Income</w:t>
            </w:r>
          </w:p>
        </w:tc>
        <w:tc>
          <w:tcPr>
            <w:tcW w:w="1500" w:type="dxa"/>
            <w:vAlign w:val="bottom"/>
            <w:tcBorders>
              <w:top w:val="single" w:sz="8" w:color="98B0CF"/>
              <w:bottom w:val="single" w:sz="8" w:color="auto"/>
            </w:tcBorders>
            <w:shd w:val="clear" w:color="auto" w:fill="98B0CF"/>
          </w:tcPr>
          <w:p>
            <w:pPr>
              <w:jc w:val="right"/>
              <w:ind w:right="715"/>
              <w:spacing w:after="0"/>
              <w:rPr>
                <w:sz w:val="20"/>
                <w:szCs w:val="20"/>
                <w:color w:val="auto"/>
              </w:rPr>
            </w:pPr>
            <w:r>
              <w:rPr>
                <w:rFonts w:ascii="Arial" w:cs="Arial" w:eastAsia="Arial" w:hAnsi="Arial"/>
                <w:sz w:val="13"/>
                <w:szCs w:val="13"/>
                <w:b w:val="1"/>
                <w:bCs w:val="1"/>
                <w:color w:val="auto"/>
              </w:rPr>
              <w:t>2024</w:t>
            </w:r>
          </w:p>
        </w:tc>
        <w:tc>
          <w:tcPr>
            <w:tcW w:w="1240" w:type="dxa"/>
            <w:vAlign w:val="bottom"/>
            <w:tcBorders>
              <w:top w:val="single" w:sz="8" w:color="98B0CF"/>
              <w:bottom w:val="single" w:sz="8" w:color="auto"/>
            </w:tcBorders>
            <w:shd w:val="clear" w:color="auto" w:fill="98B0CF"/>
          </w:tcPr>
          <w:p>
            <w:pPr>
              <w:jc w:val="right"/>
              <w:ind w:right="533"/>
              <w:spacing w:after="0"/>
              <w:rPr>
                <w:sz w:val="20"/>
                <w:szCs w:val="20"/>
                <w:color w:val="auto"/>
              </w:rPr>
            </w:pPr>
            <w:r>
              <w:rPr>
                <w:rFonts w:ascii="Arial" w:cs="Arial" w:eastAsia="Arial" w:hAnsi="Arial"/>
                <w:sz w:val="13"/>
                <w:szCs w:val="13"/>
                <w:b w:val="1"/>
                <w:bCs w:val="1"/>
                <w:color w:val="auto"/>
              </w:rPr>
              <w:t>2023</w:t>
            </w:r>
          </w:p>
        </w:tc>
      </w:tr>
      <w:tr>
        <w:trPr>
          <w:trHeight w:val="187"/>
        </w:trPr>
        <w:tc>
          <w:tcPr>
            <w:tcW w:w="263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4"/>
                <w:szCs w:val="14"/>
                <w:color w:val="auto"/>
              </w:rPr>
              <w:t>Forward starting interest swap</w:t>
            </w:r>
          </w:p>
        </w:tc>
        <w:tc>
          <w:tcPr>
            <w:tcW w:w="890" w:type="dxa"/>
            <w:vAlign w:val="bottom"/>
            <w:tcBorders>
              <w:bottom w:val="single" w:sz="8" w:color="auto"/>
            </w:tcBorders>
            <w:shd w:val="clear" w:color="auto" w:fill="E2E8F1"/>
          </w:tcPr>
          <w:p>
            <w:pPr>
              <w:spacing w:after="0"/>
              <w:rPr>
                <w:sz w:val="16"/>
                <w:szCs w:val="16"/>
                <w:color w:val="auto"/>
              </w:rPr>
            </w:pPr>
          </w:p>
        </w:tc>
        <w:tc>
          <w:tcPr>
            <w:tcW w:w="1460" w:type="dxa"/>
            <w:vAlign w:val="bottom"/>
            <w:tcBorders>
              <w:bottom w:val="single" w:sz="8" w:color="auto"/>
            </w:tcBorders>
            <w:shd w:val="clear" w:color="auto" w:fill="E2E8F1"/>
          </w:tcPr>
          <w:p>
            <w:pPr>
              <w:jc w:val="right"/>
              <w:ind w:right="1113"/>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2E8F1"/>
          </w:tcPr>
          <w:p>
            <w:pPr>
              <w:ind w:left="120"/>
              <w:spacing w:after="0"/>
              <w:rPr>
                <w:sz w:val="20"/>
                <w:szCs w:val="20"/>
                <w:color w:val="auto"/>
              </w:rPr>
            </w:pPr>
            <w:r>
              <w:rPr>
                <w:rFonts w:ascii="Arial" w:cs="Arial" w:eastAsia="Arial" w:hAnsi="Arial"/>
                <w:sz w:val="14"/>
                <w:szCs w:val="14"/>
                <w:color w:val="auto"/>
              </w:rPr>
              <w:t>—</w:t>
            </w:r>
          </w:p>
        </w:tc>
        <w:tc>
          <w:tcPr>
            <w:tcW w:w="3160" w:type="dxa"/>
            <w:vAlign w:val="bottom"/>
            <w:tcBorders>
              <w:bottom w:val="single" w:sz="8" w:color="auto"/>
            </w:tcBorders>
            <w:shd w:val="clear" w:color="auto" w:fill="E2E8F1"/>
          </w:tcPr>
          <w:p>
            <w:pPr>
              <w:ind w:left="120"/>
              <w:spacing w:after="0"/>
              <w:rPr>
                <w:sz w:val="20"/>
                <w:szCs w:val="20"/>
                <w:color w:val="auto"/>
              </w:rPr>
            </w:pPr>
            <w:r>
              <w:rPr>
                <w:rFonts w:ascii="Arial" w:cs="Arial" w:eastAsia="Arial" w:hAnsi="Arial"/>
                <w:sz w:val="14"/>
                <w:szCs w:val="14"/>
                <w:color w:val="auto"/>
              </w:rPr>
              <w:t>Interest and other expenses, net</w:t>
            </w:r>
          </w:p>
        </w:tc>
        <w:tc>
          <w:tcPr>
            <w:tcW w:w="1500" w:type="dxa"/>
            <w:vAlign w:val="bottom"/>
            <w:tcBorders>
              <w:bottom w:val="single" w:sz="8" w:color="auto"/>
            </w:tcBorders>
            <w:shd w:val="clear" w:color="auto" w:fill="E2E8F1"/>
          </w:tcPr>
          <w:p>
            <w:pPr>
              <w:jc w:val="right"/>
              <w:ind w:right="295"/>
              <w:spacing w:after="0"/>
              <w:rPr>
                <w:sz w:val="20"/>
                <w:szCs w:val="20"/>
                <w:color w:val="auto"/>
              </w:rPr>
            </w:pPr>
            <w:r>
              <w:rPr>
                <w:rFonts w:ascii="Arial" w:cs="Arial" w:eastAsia="Arial" w:hAnsi="Arial"/>
                <w:sz w:val="14"/>
                <w:szCs w:val="14"/>
                <w:color w:val="auto"/>
              </w:rPr>
              <w:t>0.3</w:t>
            </w:r>
          </w:p>
        </w:tc>
        <w:tc>
          <w:tcPr>
            <w:tcW w:w="1240" w:type="dxa"/>
            <w:vAlign w:val="bottom"/>
            <w:tcBorders>
              <w:bottom w:val="single" w:sz="8" w:color="auto"/>
            </w:tcBorders>
            <w:shd w:val="clear" w:color="auto" w:fill="E2E8F1"/>
          </w:tcPr>
          <w:p>
            <w:pPr>
              <w:jc w:val="right"/>
              <w:ind w:right="73"/>
              <w:spacing w:after="0"/>
              <w:rPr>
                <w:sz w:val="20"/>
                <w:szCs w:val="20"/>
                <w:color w:val="auto"/>
              </w:rPr>
            </w:pPr>
            <w:r>
              <w:rPr>
                <w:rFonts w:ascii="Arial" w:cs="Arial" w:eastAsia="Arial" w:hAnsi="Arial"/>
                <w:sz w:val="14"/>
                <w:szCs w:val="14"/>
                <w:color w:val="auto"/>
              </w:rPr>
              <w:t>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-292100</wp:posOffset>
            </wp:positionV>
            <wp:extent cx="6731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34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80" w:name="page81"/>
    <w:bookmarkEnd w:id="80"/>
    <w:p>
      <w:pPr>
        <w:ind w:left="107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8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We expect the net amount of pre -tax derivative gains and losses included in AOCL on December 31, 2024 to be reclassified into earnings over the next 12 months will not be significant. The actual amount that will be reclassified to earnings will vary due to future currency exchange rates.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5B89B4"/>
        </w:rPr>
        <w:t>Fair Value Hedges</w:t>
      </w:r>
    </w:p>
    <w:p>
      <w:pPr>
        <w:spacing w:after="0" w:line="88"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231F20"/>
        </w:rPr>
        <w:t>We account for derivatives as fair value hedges when the hedged item is a recognized asset, liability, or firm commitment. We use cross currency swaps to hedge the changes in cash flows of certain of our foreign currency denominated intercompany notes due to changes in foreign currency exchange rates. We record the change in carrying value of the foreign currency denominated notes due to changes in exchange rates into earnings each period. The changes in fair value of the cross-currency swap derivatives are recorded in other comprehensive income (“OCI”) with an immediate reclassification into earnings for the change in fair value attributable to fluctuations in foreign currency exchange rates.</w:t>
      </w:r>
    </w:p>
    <w:p>
      <w:pPr>
        <w:spacing w:after="0" w:line="66"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231F20"/>
        </w:rPr>
        <w:t>In March 2022, we entered into a cross currency swap agreement to hedge an intercompany fixed-rate CHF denominated note, including the annual interest payment, to a fixed-rate Euro denominated note. In April 2024, we settled the swaps at maturity for a net cash inflow of $14.9 and entered into a new cross currency swap with a maturity date of April 2027. The cross currency swaps convert our intercompany fixed-rate CHF denominated note, including the annual interest payment and the payment of remaining principal at maturity, to a fixed-rate Euro denominated note. The economic effect of the swaps is to eliminate the uncertainty of cash flows in CHF associated with the note by fixing the principal at €236.9 with a fixed annual interest rate of 3.45%.</w:t>
      </w:r>
    </w:p>
    <w:p>
      <w:pPr>
        <w:spacing w:after="0" w:line="65"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231F20"/>
        </w:rPr>
        <w:t>In September 2022, we entered into a cross currency swap agreement to hedge an intercompany fixed-rate CHF denominated note, including the annual interest payment, to a fixed-rate Euro denominated note. On September 26, 2024, we settled the swaps at maturity for a net cash inflow of $1.6 and entered into a new cross currency swap with a maturity date of September 2027. The economic effect of the swaps is to eliminate the uncertainty of cash flows in CHF associated with the note by fixing the principal at €63.6 with a fixed annual interest rate of 3.27%.</w:t>
      </w:r>
    </w:p>
    <w:p>
      <w:pPr>
        <w:spacing w:after="0" w:line="6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231F20"/>
        </w:rPr>
        <w:t>The following tables present the impact that the fair value hedges had on our Consolidated Statement of Operations for the year ended December 31, 2024 and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20" w:type="dxa"/>
            <w:vAlign w:val="bottom"/>
            <w:tcBorders>
              <w:top w:val="single" w:sz="8" w:color="231F20"/>
            </w:tcBorders>
            <w:shd w:val="clear" w:color="auto" w:fill="98B0CF"/>
          </w:tcPr>
          <w:p>
            <w:pPr>
              <w:spacing w:after="0"/>
              <w:rPr>
                <w:sz w:val="19"/>
                <w:szCs w:val="19"/>
                <w:color w:val="auto"/>
              </w:rPr>
            </w:pPr>
          </w:p>
        </w:tc>
        <w:tc>
          <w:tcPr>
            <w:tcW w:w="2320" w:type="dxa"/>
            <w:vAlign w:val="bottom"/>
            <w:tcBorders>
              <w:top w:val="single" w:sz="8" w:color="231F20"/>
            </w:tcBorders>
            <w:gridSpan w:val="3"/>
            <w:shd w:val="clear" w:color="auto" w:fill="98B0CF"/>
          </w:tcPr>
          <w:p>
            <w:pPr>
              <w:jc w:val="center"/>
              <w:ind w:left="335"/>
              <w:spacing w:after="0"/>
              <w:rPr>
                <w:sz w:val="20"/>
                <w:szCs w:val="20"/>
                <w:color w:val="auto"/>
              </w:rPr>
            </w:pPr>
            <w:r>
              <w:rPr>
                <w:rFonts w:ascii="Arial" w:cs="Arial" w:eastAsia="Arial" w:hAnsi="Arial"/>
                <w:sz w:val="13"/>
                <w:szCs w:val="13"/>
                <w:b w:val="1"/>
                <w:bCs w:val="1"/>
                <w:color w:val="auto"/>
                <w:w w:val="96"/>
              </w:rPr>
              <w:t>Gain (Loss) Recognized in OCI</w:t>
            </w:r>
          </w:p>
        </w:tc>
        <w:tc>
          <w:tcPr>
            <w:tcW w:w="420" w:type="dxa"/>
            <w:vAlign w:val="bottom"/>
            <w:tcBorders>
              <w:top w:val="single" w:sz="8" w:color="231F20"/>
            </w:tcBorders>
            <w:shd w:val="clear" w:color="auto" w:fill="98B0CF"/>
          </w:tcPr>
          <w:p>
            <w:pPr>
              <w:spacing w:after="0"/>
              <w:rPr>
                <w:sz w:val="19"/>
                <w:szCs w:val="19"/>
                <w:color w:val="auto"/>
              </w:rPr>
            </w:pPr>
          </w:p>
        </w:tc>
        <w:tc>
          <w:tcPr>
            <w:tcW w:w="3200" w:type="dxa"/>
            <w:vAlign w:val="bottom"/>
            <w:tcBorders>
              <w:top w:val="single" w:sz="8" w:color="231F20"/>
            </w:tcBorders>
            <w:shd w:val="clear" w:color="auto" w:fill="98B0CF"/>
          </w:tcPr>
          <w:p>
            <w:pPr>
              <w:spacing w:after="0"/>
              <w:rPr>
                <w:sz w:val="19"/>
                <w:szCs w:val="19"/>
                <w:color w:val="auto"/>
              </w:rPr>
            </w:pPr>
          </w:p>
        </w:tc>
        <w:tc>
          <w:tcPr>
            <w:tcW w:w="180" w:type="dxa"/>
            <w:vAlign w:val="bottom"/>
            <w:tcBorders>
              <w:top w:val="single" w:sz="8" w:color="231F20"/>
            </w:tcBorders>
            <w:shd w:val="clear" w:color="auto" w:fill="98B0CF"/>
          </w:tcPr>
          <w:p>
            <w:pPr>
              <w:spacing w:after="0"/>
              <w:rPr>
                <w:sz w:val="19"/>
                <w:szCs w:val="19"/>
                <w:color w:val="auto"/>
              </w:rPr>
            </w:pPr>
          </w:p>
        </w:tc>
        <w:tc>
          <w:tcPr>
            <w:tcW w:w="2520" w:type="dxa"/>
            <w:vAlign w:val="bottom"/>
            <w:tcBorders>
              <w:top w:val="single" w:sz="8" w:color="231F20"/>
            </w:tcBorders>
            <w:gridSpan w:val="3"/>
            <w:shd w:val="clear" w:color="auto" w:fill="98B0CF"/>
          </w:tcPr>
          <w:p>
            <w:pPr>
              <w:jc w:val="right"/>
              <w:ind w:right="312"/>
              <w:spacing w:after="0"/>
              <w:rPr>
                <w:sz w:val="20"/>
                <w:szCs w:val="20"/>
                <w:color w:val="auto"/>
              </w:rPr>
            </w:pPr>
            <w:r>
              <w:rPr>
                <w:rFonts w:ascii="Arial" w:cs="Arial" w:eastAsia="Arial" w:hAnsi="Arial"/>
                <w:sz w:val="13"/>
                <w:szCs w:val="13"/>
                <w:b w:val="1"/>
                <w:bCs w:val="1"/>
                <w:color w:val="auto"/>
                <w:w w:val="99"/>
              </w:rPr>
              <w:t>Gain (Loss) Recognized in Income</w:t>
            </w:r>
          </w:p>
        </w:tc>
      </w:tr>
      <w:tr>
        <w:trPr>
          <w:trHeight w:val="213"/>
        </w:trPr>
        <w:tc>
          <w:tcPr>
            <w:tcW w:w="2620" w:type="dxa"/>
            <w:vAlign w:val="bottom"/>
            <w:tcBorders>
              <w:bottom w:val="single" w:sz="8" w:color="231F20"/>
            </w:tcBorders>
            <w:shd w:val="clear" w:color="auto" w:fill="98B0CF"/>
          </w:tcPr>
          <w:p>
            <w:pPr>
              <w:spacing w:after="0"/>
              <w:rPr>
                <w:sz w:val="18"/>
                <w:szCs w:val="18"/>
                <w:color w:val="auto"/>
              </w:rPr>
            </w:pPr>
          </w:p>
        </w:tc>
        <w:tc>
          <w:tcPr>
            <w:tcW w:w="2320" w:type="dxa"/>
            <w:vAlign w:val="bottom"/>
            <w:tcBorders>
              <w:bottom w:val="single" w:sz="8" w:color="231F20"/>
            </w:tcBorders>
            <w:gridSpan w:val="3"/>
            <w:shd w:val="clear" w:color="auto" w:fill="98B0CF"/>
          </w:tcPr>
          <w:p>
            <w:pPr>
              <w:jc w:val="center"/>
              <w:ind w:left="355"/>
              <w:spacing w:after="0"/>
              <w:rPr>
                <w:sz w:val="20"/>
                <w:szCs w:val="20"/>
                <w:color w:val="auto"/>
              </w:rPr>
            </w:pPr>
            <w:r>
              <w:rPr>
                <w:rFonts w:ascii="Arial" w:cs="Arial" w:eastAsia="Arial" w:hAnsi="Arial"/>
                <w:sz w:val="13"/>
                <w:szCs w:val="13"/>
                <w:b w:val="1"/>
                <w:bCs w:val="1"/>
                <w:color w:val="auto"/>
                <w:w w:val="96"/>
              </w:rPr>
              <w:t>Year Ended December 31,</w:t>
            </w:r>
          </w:p>
        </w:tc>
        <w:tc>
          <w:tcPr>
            <w:tcW w:w="420" w:type="dxa"/>
            <w:vAlign w:val="bottom"/>
            <w:tcBorders>
              <w:bottom w:val="single" w:sz="8" w:color="231F20"/>
            </w:tcBorders>
            <w:shd w:val="clear" w:color="auto" w:fill="98B0CF"/>
          </w:tcPr>
          <w:p>
            <w:pPr>
              <w:spacing w:after="0"/>
              <w:rPr>
                <w:sz w:val="18"/>
                <w:szCs w:val="18"/>
                <w:color w:val="auto"/>
              </w:rPr>
            </w:pPr>
          </w:p>
        </w:tc>
        <w:tc>
          <w:tcPr>
            <w:tcW w:w="3200" w:type="dxa"/>
            <w:vAlign w:val="bottom"/>
            <w:tcBorders>
              <w:bottom w:val="single" w:sz="8" w:color="98B0CF"/>
            </w:tcBorders>
            <w:shd w:val="clear" w:color="auto" w:fill="98B0CF"/>
          </w:tcPr>
          <w:p>
            <w:pPr>
              <w:jc w:val="right"/>
              <w:ind w:right="834"/>
              <w:spacing w:after="0"/>
              <w:rPr>
                <w:sz w:val="20"/>
                <w:szCs w:val="20"/>
                <w:color w:val="auto"/>
              </w:rPr>
            </w:pPr>
            <w:r>
              <w:rPr>
                <w:rFonts w:ascii="Arial" w:cs="Arial" w:eastAsia="Arial" w:hAnsi="Arial"/>
                <w:sz w:val="13"/>
                <w:szCs w:val="13"/>
                <w:b w:val="1"/>
                <w:bCs w:val="1"/>
                <w:color w:val="auto"/>
              </w:rPr>
              <w:t>Location of Gain (Loss)</w:t>
            </w:r>
          </w:p>
        </w:tc>
        <w:tc>
          <w:tcPr>
            <w:tcW w:w="180" w:type="dxa"/>
            <w:vAlign w:val="bottom"/>
            <w:tcBorders>
              <w:bottom w:val="single" w:sz="8" w:color="231F20"/>
            </w:tcBorders>
            <w:shd w:val="clear" w:color="auto" w:fill="98B0CF"/>
          </w:tcPr>
          <w:p>
            <w:pPr>
              <w:spacing w:after="0"/>
              <w:rPr>
                <w:sz w:val="18"/>
                <w:szCs w:val="18"/>
                <w:color w:val="auto"/>
              </w:rPr>
            </w:pPr>
          </w:p>
        </w:tc>
        <w:tc>
          <w:tcPr>
            <w:tcW w:w="2520" w:type="dxa"/>
            <w:vAlign w:val="bottom"/>
            <w:tcBorders>
              <w:bottom w:val="single" w:sz="8" w:color="231F20"/>
            </w:tcBorders>
            <w:gridSpan w:val="3"/>
            <w:shd w:val="clear" w:color="auto" w:fill="98B0CF"/>
          </w:tcPr>
          <w:p>
            <w:pPr>
              <w:jc w:val="right"/>
              <w:ind w:right="572"/>
              <w:spacing w:after="0"/>
              <w:rPr>
                <w:sz w:val="20"/>
                <w:szCs w:val="20"/>
                <w:color w:val="auto"/>
              </w:rPr>
            </w:pPr>
            <w:r>
              <w:rPr>
                <w:rFonts w:ascii="Arial" w:cs="Arial" w:eastAsia="Arial" w:hAnsi="Arial"/>
                <w:sz w:val="13"/>
                <w:szCs w:val="13"/>
                <w:b w:val="1"/>
                <w:bCs w:val="1"/>
                <w:color w:val="auto"/>
              </w:rPr>
              <w:t>Year Ended December 31,</w:t>
            </w:r>
          </w:p>
        </w:tc>
      </w:tr>
      <w:tr>
        <w:trPr>
          <w:trHeight w:val="205"/>
        </w:trPr>
        <w:tc>
          <w:tcPr>
            <w:tcW w:w="2620" w:type="dxa"/>
            <w:vAlign w:val="bottom"/>
            <w:tcBorders>
              <w:bottom w:val="single" w:sz="8" w:color="231F20"/>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Instrument</w:t>
            </w:r>
          </w:p>
        </w:tc>
        <w:tc>
          <w:tcPr>
            <w:tcW w:w="940" w:type="dxa"/>
            <w:vAlign w:val="bottom"/>
            <w:tcBorders>
              <w:bottom w:val="single" w:sz="8" w:color="231F20"/>
            </w:tcBorders>
            <w:shd w:val="clear" w:color="auto" w:fill="98B0CF"/>
          </w:tcPr>
          <w:p>
            <w:pPr>
              <w:jc w:val="right"/>
              <w:ind w:right="55"/>
              <w:spacing w:after="0"/>
              <w:rPr>
                <w:sz w:val="20"/>
                <w:szCs w:val="20"/>
                <w:color w:val="auto"/>
              </w:rPr>
            </w:pPr>
            <w:r>
              <w:rPr>
                <w:rFonts w:ascii="Arial" w:cs="Arial" w:eastAsia="Arial" w:hAnsi="Arial"/>
                <w:sz w:val="13"/>
                <w:szCs w:val="13"/>
                <w:b w:val="1"/>
                <w:bCs w:val="1"/>
                <w:color w:val="auto"/>
              </w:rPr>
              <w:t>2024</w:t>
            </w:r>
          </w:p>
        </w:tc>
        <w:tc>
          <w:tcPr>
            <w:tcW w:w="420" w:type="dxa"/>
            <w:vAlign w:val="bottom"/>
            <w:tcBorders>
              <w:bottom w:val="single" w:sz="8" w:color="231F20"/>
            </w:tcBorders>
            <w:shd w:val="clear" w:color="auto" w:fill="98B0CF"/>
          </w:tcPr>
          <w:p>
            <w:pPr>
              <w:spacing w:after="0"/>
              <w:rPr>
                <w:sz w:val="17"/>
                <w:szCs w:val="17"/>
                <w:color w:val="auto"/>
              </w:rPr>
            </w:pPr>
          </w:p>
        </w:tc>
        <w:tc>
          <w:tcPr>
            <w:tcW w:w="960" w:type="dxa"/>
            <w:vAlign w:val="bottom"/>
            <w:tcBorders>
              <w:bottom w:val="single" w:sz="8" w:color="231F20"/>
            </w:tcBorders>
            <w:shd w:val="clear" w:color="auto" w:fill="98B0CF"/>
          </w:tcPr>
          <w:p>
            <w:pPr>
              <w:jc w:val="right"/>
              <w:ind w:right="53"/>
              <w:spacing w:after="0"/>
              <w:rPr>
                <w:sz w:val="20"/>
                <w:szCs w:val="20"/>
                <w:color w:val="auto"/>
              </w:rPr>
            </w:pPr>
            <w:r>
              <w:rPr>
                <w:rFonts w:ascii="Arial" w:cs="Arial" w:eastAsia="Arial" w:hAnsi="Arial"/>
                <w:sz w:val="13"/>
                <w:szCs w:val="13"/>
                <w:b w:val="1"/>
                <w:bCs w:val="1"/>
                <w:color w:val="auto"/>
              </w:rPr>
              <w:t>2023</w:t>
            </w:r>
          </w:p>
        </w:tc>
        <w:tc>
          <w:tcPr>
            <w:tcW w:w="420" w:type="dxa"/>
            <w:vAlign w:val="bottom"/>
            <w:tcBorders>
              <w:bottom w:val="single" w:sz="8" w:color="231F20"/>
            </w:tcBorders>
            <w:shd w:val="clear" w:color="auto" w:fill="98B0CF"/>
          </w:tcPr>
          <w:p>
            <w:pPr>
              <w:spacing w:after="0"/>
              <w:rPr>
                <w:sz w:val="17"/>
                <w:szCs w:val="17"/>
                <w:color w:val="auto"/>
              </w:rPr>
            </w:pPr>
          </w:p>
        </w:tc>
        <w:tc>
          <w:tcPr>
            <w:tcW w:w="3200" w:type="dxa"/>
            <w:vAlign w:val="bottom"/>
            <w:tcBorders>
              <w:bottom w:val="single" w:sz="8" w:color="231F20"/>
            </w:tcBorders>
            <w:shd w:val="clear" w:color="auto" w:fill="98B0CF"/>
          </w:tcPr>
          <w:p>
            <w:pPr>
              <w:jc w:val="right"/>
              <w:ind w:right="874"/>
              <w:spacing w:after="0"/>
              <w:rPr>
                <w:sz w:val="20"/>
                <w:szCs w:val="20"/>
                <w:color w:val="auto"/>
              </w:rPr>
            </w:pPr>
            <w:r>
              <w:rPr>
                <w:rFonts w:ascii="Arial" w:cs="Arial" w:eastAsia="Arial" w:hAnsi="Arial"/>
                <w:sz w:val="13"/>
                <w:szCs w:val="13"/>
                <w:b w:val="1"/>
                <w:bCs w:val="1"/>
                <w:color w:val="auto"/>
              </w:rPr>
              <w:t>Recognized in Income</w:t>
            </w:r>
          </w:p>
        </w:tc>
        <w:tc>
          <w:tcPr>
            <w:tcW w:w="180" w:type="dxa"/>
            <w:vAlign w:val="bottom"/>
            <w:tcBorders>
              <w:bottom w:val="single" w:sz="8" w:color="231F20"/>
            </w:tcBorders>
            <w:shd w:val="clear" w:color="auto" w:fill="98B0CF"/>
          </w:tcPr>
          <w:p>
            <w:pPr>
              <w:spacing w:after="0"/>
              <w:rPr>
                <w:sz w:val="17"/>
                <w:szCs w:val="17"/>
                <w:color w:val="auto"/>
              </w:rPr>
            </w:pPr>
          </w:p>
        </w:tc>
        <w:tc>
          <w:tcPr>
            <w:tcW w:w="1120" w:type="dxa"/>
            <w:vAlign w:val="bottom"/>
            <w:tcBorders>
              <w:bottom w:val="single" w:sz="8" w:color="231F20"/>
            </w:tcBorders>
            <w:shd w:val="clear" w:color="auto" w:fill="98B0CF"/>
          </w:tcPr>
          <w:p>
            <w:pPr>
              <w:jc w:val="right"/>
              <w:ind w:right="514"/>
              <w:spacing w:after="0"/>
              <w:rPr>
                <w:sz w:val="20"/>
                <w:szCs w:val="20"/>
                <w:color w:val="auto"/>
              </w:rPr>
            </w:pPr>
            <w:r>
              <w:rPr>
                <w:rFonts w:ascii="Arial" w:cs="Arial" w:eastAsia="Arial" w:hAnsi="Arial"/>
                <w:sz w:val="13"/>
                <w:szCs w:val="13"/>
                <w:b w:val="1"/>
                <w:bCs w:val="1"/>
                <w:color w:val="auto"/>
              </w:rPr>
              <w:t>2024</w:t>
            </w:r>
          </w:p>
        </w:tc>
        <w:tc>
          <w:tcPr>
            <w:tcW w:w="360" w:type="dxa"/>
            <w:vAlign w:val="bottom"/>
            <w:tcBorders>
              <w:bottom w:val="single" w:sz="8" w:color="231F20"/>
            </w:tcBorders>
            <w:shd w:val="clear" w:color="auto" w:fill="98B0CF"/>
          </w:tcPr>
          <w:p>
            <w:pPr>
              <w:spacing w:after="0"/>
              <w:rPr>
                <w:sz w:val="17"/>
                <w:szCs w:val="17"/>
                <w:color w:val="auto"/>
              </w:rPr>
            </w:pPr>
          </w:p>
        </w:tc>
        <w:tc>
          <w:tcPr>
            <w:tcW w:w="1040" w:type="dxa"/>
            <w:vAlign w:val="bottom"/>
            <w:tcBorders>
              <w:bottom w:val="single" w:sz="8" w:color="231F20"/>
            </w:tcBorders>
            <w:shd w:val="clear" w:color="auto" w:fill="98B0CF"/>
          </w:tcPr>
          <w:p>
            <w:pPr>
              <w:jc w:val="right"/>
              <w:ind w:right="512"/>
              <w:spacing w:after="0"/>
              <w:rPr>
                <w:sz w:val="20"/>
                <w:szCs w:val="20"/>
                <w:color w:val="auto"/>
              </w:rPr>
            </w:pPr>
            <w:r>
              <w:rPr>
                <w:rFonts w:ascii="Arial" w:cs="Arial" w:eastAsia="Arial" w:hAnsi="Arial"/>
                <w:sz w:val="13"/>
                <w:szCs w:val="13"/>
                <w:b w:val="1"/>
                <w:bCs w:val="1"/>
                <w:color w:val="auto"/>
              </w:rPr>
              <w:t>2023</w:t>
            </w:r>
          </w:p>
        </w:tc>
      </w:tr>
      <w:tr>
        <w:trPr>
          <w:trHeight w:val="181"/>
        </w:trPr>
        <w:tc>
          <w:tcPr>
            <w:tcW w:w="262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auto"/>
              </w:rPr>
              <w:t>Intercompany CHF notes</w:t>
            </w:r>
          </w:p>
        </w:tc>
        <w:tc>
          <w:tcPr>
            <w:tcW w:w="940" w:type="dxa"/>
            <w:vAlign w:val="bottom"/>
            <w:tcBorders>
              <w:bottom w:val="single" w:sz="8" w:color="231F20"/>
            </w:tcBorders>
            <w:shd w:val="clear" w:color="auto" w:fill="E2E8F1"/>
          </w:tcPr>
          <w:p>
            <w:pPr>
              <w:jc w:val="right"/>
              <w:ind w:right="675"/>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231F20"/>
            </w:tcBorders>
            <w:shd w:val="clear" w:color="auto" w:fill="E2E8F1"/>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31F20"/>
            </w:tcBorders>
            <w:shd w:val="clear" w:color="auto" w:fill="E2E8F1"/>
          </w:tcPr>
          <w:p>
            <w:pPr>
              <w:jc w:val="right"/>
              <w:ind w:right="693"/>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231F20"/>
            </w:tcBorders>
            <w:shd w:val="clear" w:color="auto" w:fill="E2E8F1"/>
          </w:tcPr>
          <w:p>
            <w:pPr>
              <w:ind w:left="160"/>
              <w:spacing w:after="0"/>
              <w:rPr>
                <w:sz w:val="20"/>
                <w:szCs w:val="20"/>
                <w:color w:val="auto"/>
              </w:rPr>
            </w:pPr>
            <w:r>
              <w:rPr>
                <w:rFonts w:ascii="Arial" w:cs="Arial" w:eastAsia="Arial" w:hAnsi="Arial"/>
                <w:sz w:val="14"/>
                <w:szCs w:val="14"/>
                <w:color w:val="auto"/>
              </w:rPr>
              <w:t>—</w:t>
            </w:r>
          </w:p>
        </w:tc>
        <w:tc>
          <w:tcPr>
            <w:tcW w:w="3200" w:type="dxa"/>
            <w:vAlign w:val="bottom"/>
            <w:tcBorders>
              <w:bottom w:val="single" w:sz="8" w:color="231F20"/>
            </w:tcBorders>
            <w:shd w:val="clear" w:color="auto" w:fill="E2E8F1"/>
          </w:tcPr>
          <w:p>
            <w:pPr>
              <w:jc w:val="right"/>
              <w:ind w:right="934"/>
              <w:spacing w:after="0"/>
              <w:rPr>
                <w:sz w:val="20"/>
                <w:szCs w:val="20"/>
                <w:color w:val="auto"/>
              </w:rPr>
            </w:pPr>
            <w:r>
              <w:rPr>
                <w:rFonts w:ascii="Arial" w:cs="Arial" w:eastAsia="Arial" w:hAnsi="Arial"/>
                <w:sz w:val="14"/>
                <w:szCs w:val="14"/>
                <w:color w:val="auto"/>
              </w:rPr>
              <w:t>Interest and other expenses, net</w:t>
            </w:r>
          </w:p>
        </w:tc>
        <w:tc>
          <w:tcPr>
            <w:tcW w:w="180" w:type="dxa"/>
            <w:vAlign w:val="bottom"/>
            <w:tcBorders>
              <w:bottom w:val="single" w:sz="8" w:color="231F20"/>
            </w:tcBorders>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231F20"/>
            </w:tcBorders>
            <w:shd w:val="clear" w:color="auto" w:fill="E2E8F1"/>
          </w:tcPr>
          <w:p>
            <w:pPr>
              <w:jc w:val="right"/>
              <w:ind w:right="94"/>
              <w:spacing w:after="0"/>
              <w:rPr>
                <w:sz w:val="20"/>
                <w:szCs w:val="20"/>
                <w:color w:val="auto"/>
              </w:rPr>
            </w:pPr>
            <w:r>
              <w:rPr>
                <w:rFonts w:ascii="Arial" w:cs="Arial" w:eastAsia="Arial" w:hAnsi="Arial"/>
                <w:sz w:val="14"/>
                <w:szCs w:val="14"/>
                <w:color w:val="auto"/>
              </w:rPr>
              <w:t>3.8</w:t>
            </w:r>
          </w:p>
        </w:tc>
        <w:tc>
          <w:tcPr>
            <w:tcW w:w="360" w:type="dxa"/>
            <w:vAlign w:val="bottom"/>
            <w:tcBorders>
              <w:bottom w:val="single" w:sz="8" w:color="231F20"/>
            </w:tcBorders>
            <w:shd w:val="clear" w:color="auto" w:fill="E2E8F1"/>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(21.0 )</w:t>
            </w:r>
          </w:p>
        </w:tc>
      </w:tr>
      <w:tr>
        <w:trPr>
          <w:trHeight w:val="181"/>
        </w:trPr>
        <w:tc>
          <w:tcPr>
            <w:tcW w:w="262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auto"/>
              </w:rPr>
              <w:t>Cross-currency swaps</w:t>
            </w:r>
          </w:p>
        </w:tc>
        <w:tc>
          <w:tcPr>
            <w:tcW w:w="940" w:type="dxa"/>
            <w:vAlign w:val="bottom"/>
            <w:tcBorders>
              <w:bottom w:val="single" w:sz="8" w:color="231F20"/>
            </w:tcBorders>
          </w:tcPr>
          <w:p>
            <w:pPr>
              <w:spacing w:after="0"/>
              <w:rPr>
                <w:sz w:val="15"/>
                <w:szCs w:val="15"/>
                <w:color w:val="auto"/>
              </w:rPr>
            </w:pPr>
          </w:p>
        </w:tc>
        <w:tc>
          <w:tcPr>
            <w:tcW w:w="420" w:type="dxa"/>
            <w:vAlign w:val="bottom"/>
            <w:tcBorders>
              <w:bottom w:val="single" w:sz="8" w:color="231F20"/>
            </w:tcBorders>
          </w:tcPr>
          <w:p>
            <w:pPr>
              <w:jc w:val="right"/>
              <w:ind w:right="49"/>
              <w:spacing w:after="0"/>
              <w:rPr>
                <w:sz w:val="20"/>
                <w:szCs w:val="20"/>
                <w:color w:val="auto"/>
              </w:rPr>
            </w:pPr>
            <w:r>
              <w:rPr>
                <w:rFonts w:ascii="Arial" w:cs="Arial" w:eastAsia="Arial" w:hAnsi="Arial"/>
                <w:sz w:val="14"/>
                <w:szCs w:val="14"/>
                <w:color w:val="auto"/>
              </w:rPr>
              <w:t>0.9</w:t>
            </w:r>
          </w:p>
        </w:tc>
        <w:tc>
          <w:tcPr>
            <w:tcW w:w="960" w:type="dxa"/>
            <w:vAlign w:val="bottom"/>
            <w:tcBorders>
              <w:bottom w:val="single" w:sz="8" w:color="231F20"/>
            </w:tcBorders>
          </w:tcPr>
          <w:p>
            <w:pPr>
              <w:spacing w:after="0"/>
              <w:rPr>
                <w:sz w:val="15"/>
                <w:szCs w:val="15"/>
                <w:color w:val="auto"/>
              </w:rPr>
            </w:pPr>
          </w:p>
        </w:tc>
        <w:tc>
          <w:tcPr>
            <w:tcW w:w="3620" w:type="dxa"/>
            <w:vAlign w:val="bottom"/>
            <w:tcBorders>
              <w:bottom w:val="single" w:sz="8" w:color="231F20"/>
            </w:tcBorders>
            <w:gridSpan w:val="2"/>
          </w:tcPr>
          <w:p>
            <w:pPr>
              <w:jc w:val="right"/>
              <w:ind w:right="934"/>
              <w:spacing w:after="0"/>
              <w:rPr>
                <w:sz w:val="20"/>
                <w:szCs w:val="20"/>
                <w:color w:val="auto"/>
              </w:rPr>
            </w:pPr>
            <w:r>
              <w:rPr>
                <w:rFonts w:ascii="Arial" w:cs="Arial" w:eastAsia="Arial" w:hAnsi="Arial"/>
                <w:sz w:val="14"/>
                <w:szCs w:val="14"/>
                <w:color w:val="auto"/>
              </w:rPr>
              <w:t>(3.8 )   Interest and other expenses, net</w:t>
            </w:r>
          </w:p>
        </w:tc>
        <w:tc>
          <w:tcPr>
            <w:tcW w:w="18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jc w:val="right"/>
              <w:ind w:right="14"/>
              <w:spacing w:after="0"/>
              <w:rPr>
                <w:sz w:val="20"/>
                <w:szCs w:val="20"/>
                <w:color w:val="auto"/>
              </w:rPr>
            </w:pPr>
            <w:r>
              <w:rPr>
                <w:rFonts w:ascii="Arial" w:cs="Arial" w:eastAsia="Arial" w:hAnsi="Arial"/>
                <w:sz w:val="14"/>
                <w:szCs w:val="14"/>
                <w:color w:val="auto"/>
              </w:rPr>
              <w:t>(3.8 )</w:t>
            </w:r>
          </w:p>
        </w:tc>
        <w:tc>
          <w:tcPr>
            <w:tcW w:w="36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right"/>
              <w:ind w:right="72"/>
              <w:spacing w:after="0"/>
              <w:rPr>
                <w:sz w:val="20"/>
                <w:szCs w:val="20"/>
                <w:color w:val="auto"/>
              </w:rPr>
            </w:pPr>
            <w:r>
              <w:rPr>
                <w:rFonts w:ascii="Arial" w:cs="Arial" w:eastAsia="Arial" w:hAnsi="Arial"/>
                <w:sz w:val="14"/>
                <w:szCs w:val="14"/>
                <w:color w:val="auto"/>
              </w:rPr>
              <w:t>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-405130</wp:posOffset>
            </wp:positionV>
            <wp:extent cx="6731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5B89B4"/>
        </w:rPr>
        <w:t>Non-Designated Instruments</w:t>
      </w:r>
    </w:p>
    <w:p>
      <w:pPr>
        <w:spacing w:after="0" w:line="8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The effect of our forward contracts that are not designated as hedging instruments on the consolidated statements of operations for the year ended December 31, 2024 was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Borders>
              <w:top w:val="single" w:sz="8" w:color="231F20"/>
              <w:bottom w:val="single" w:sz="8" w:color="98B0CF"/>
            </w:tcBorders>
            <w:shd w:val="clear" w:color="auto" w:fill="98B0CF"/>
          </w:tcPr>
          <w:p>
            <w:pPr>
              <w:spacing w:after="0"/>
              <w:rPr>
                <w:sz w:val="18"/>
                <w:szCs w:val="18"/>
                <w:color w:val="auto"/>
              </w:rPr>
            </w:pPr>
          </w:p>
        </w:tc>
        <w:tc>
          <w:tcPr>
            <w:tcW w:w="3560" w:type="dxa"/>
            <w:vAlign w:val="bottom"/>
            <w:tcBorders>
              <w:top w:val="single" w:sz="8" w:color="231F20"/>
              <w:bottom w:val="single" w:sz="8" w:color="98B0CF"/>
            </w:tcBorders>
            <w:shd w:val="clear" w:color="auto" w:fill="98B0CF"/>
          </w:tcPr>
          <w:p>
            <w:pPr>
              <w:jc w:val="center"/>
              <w:ind w:right="74"/>
              <w:spacing w:after="0"/>
              <w:rPr>
                <w:sz w:val="20"/>
                <w:szCs w:val="20"/>
                <w:color w:val="auto"/>
              </w:rPr>
            </w:pPr>
            <w:r>
              <w:rPr>
                <w:rFonts w:ascii="Arial" w:cs="Arial" w:eastAsia="Arial" w:hAnsi="Arial"/>
                <w:sz w:val="13"/>
                <w:szCs w:val="13"/>
                <w:b w:val="1"/>
                <w:bCs w:val="1"/>
                <w:color w:val="auto"/>
                <w:w w:val="95"/>
              </w:rPr>
              <w:t>Location of Gain</w:t>
            </w:r>
          </w:p>
        </w:tc>
        <w:tc>
          <w:tcPr>
            <w:tcW w:w="3160" w:type="dxa"/>
            <w:vAlign w:val="bottom"/>
            <w:tcBorders>
              <w:top w:val="single" w:sz="8" w:color="231F20"/>
              <w:bottom w:val="single" w:sz="8" w:color="231F20"/>
            </w:tcBorders>
            <w:gridSpan w:val="2"/>
            <w:shd w:val="clear" w:color="auto" w:fill="98B0CF"/>
          </w:tcPr>
          <w:p>
            <w:pPr>
              <w:jc w:val="center"/>
              <w:ind w:left="394"/>
              <w:spacing w:after="0"/>
              <w:rPr>
                <w:sz w:val="20"/>
                <w:szCs w:val="20"/>
                <w:color w:val="auto"/>
              </w:rPr>
            </w:pPr>
            <w:r>
              <w:rPr>
                <w:rFonts w:ascii="Arial" w:cs="Arial" w:eastAsia="Arial" w:hAnsi="Arial"/>
                <w:sz w:val="13"/>
                <w:szCs w:val="13"/>
                <w:b w:val="1"/>
                <w:bCs w:val="1"/>
                <w:color w:val="auto"/>
                <w:w w:val="96"/>
              </w:rPr>
              <w:t>Gain (Loss) Recognized in Income</w:t>
            </w:r>
          </w:p>
        </w:tc>
        <w:tc>
          <w:tcPr>
            <w:tcW w:w="580" w:type="dxa"/>
            <w:vAlign w:val="bottom"/>
            <w:tcBorders>
              <w:top w:val="single" w:sz="8" w:color="231F20"/>
              <w:bottom w:val="single" w:sz="8" w:color="231F20"/>
            </w:tcBorders>
            <w:shd w:val="clear" w:color="auto" w:fill="98B0CF"/>
          </w:tcPr>
          <w:p>
            <w:pPr>
              <w:spacing w:after="0"/>
              <w:rPr>
                <w:sz w:val="18"/>
                <w:szCs w:val="18"/>
                <w:color w:val="auto"/>
              </w:rPr>
            </w:pPr>
          </w:p>
        </w:tc>
      </w:tr>
      <w:tr>
        <w:trPr>
          <w:trHeight w:val="205"/>
        </w:trPr>
        <w:tc>
          <w:tcPr>
            <w:tcW w:w="3960" w:type="dxa"/>
            <w:vAlign w:val="bottom"/>
            <w:tcBorders>
              <w:bottom w:val="single" w:sz="8" w:color="231F20"/>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Instrument</w:t>
            </w:r>
          </w:p>
        </w:tc>
        <w:tc>
          <w:tcPr>
            <w:tcW w:w="3560" w:type="dxa"/>
            <w:vAlign w:val="bottom"/>
            <w:tcBorders>
              <w:bottom w:val="single" w:sz="8" w:color="231F20"/>
            </w:tcBorders>
            <w:shd w:val="clear" w:color="auto" w:fill="98B0CF"/>
          </w:tcPr>
          <w:p>
            <w:pPr>
              <w:jc w:val="center"/>
              <w:ind w:right="74"/>
              <w:spacing w:after="0"/>
              <w:rPr>
                <w:sz w:val="20"/>
                <w:szCs w:val="20"/>
                <w:color w:val="auto"/>
              </w:rPr>
            </w:pPr>
            <w:r>
              <w:rPr>
                <w:rFonts w:ascii="Arial" w:cs="Arial" w:eastAsia="Arial" w:hAnsi="Arial"/>
                <w:sz w:val="13"/>
                <w:szCs w:val="13"/>
                <w:b w:val="1"/>
                <w:bCs w:val="1"/>
                <w:color w:val="auto"/>
                <w:w w:val="97"/>
              </w:rPr>
              <w:t>Recognized in Income</w:t>
            </w:r>
          </w:p>
        </w:tc>
        <w:tc>
          <w:tcPr>
            <w:tcW w:w="1020" w:type="dxa"/>
            <w:vAlign w:val="bottom"/>
            <w:tcBorders>
              <w:bottom w:val="single" w:sz="8" w:color="231F20"/>
            </w:tcBorders>
            <w:shd w:val="clear" w:color="auto" w:fill="98B0CF"/>
          </w:tcPr>
          <w:p>
            <w:pPr>
              <w:spacing w:after="0"/>
              <w:rPr>
                <w:sz w:val="17"/>
                <w:szCs w:val="17"/>
                <w:color w:val="auto"/>
              </w:rPr>
            </w:pPr>
          </w:p>
        </w:tc>
        <w:tc>
          <w:tcPr>
            <w:tcW w:w="2140" w:type="dxa"/>
            <w:vAlign w:val="bottom"/>
            <w:tcBorders>
              <w:bottom w:val="single" w:sz="8" w:color="231F20"/>
            </w:tcBorders>
            <w:shd w:val="clear" w:color="auto" w:fill="98B0CF"/>
          </w:tcPr>
          <w:p>
            <w:pPr>
              <w:jc w:val="center"/>
              <w:ind w:right="494"/>
              <w:spacing w:after="0"/>
              <w:rPr>
                <w:sz w:val="20"/>
                <w:szCs w:val="20"/>
                <w:color w:val="auto"/>
              </w:rPr>
            </w:pPr>
            <w:r>
              <w:rPr>
                <w:rFonts w:ascii="Arial" w:cs="Arial" w:eastAsia="Arial" w:hAnsi="Arial"/>
                <w:sz w:val="13"/>
                <w:szCs w:val="13"/>
                <w:b w:val="1"/>
                <w:bCs w:val="1"/>
                <w:color w:val="auto"/>
                <w:w w:val="96"/>
              </w:rPr>
              <w:t>Year Ended December 31,</w:t>
            </w:r>
          </w:p>
        </w:tc>
        <w:tc>
          <w:tcPr>
            <w:tcW w:w="580" w:type="dxa"/>
            <w:vAlign w:val="bottom"/>
            <w:tcBorders>
              <w:bottom w:val="single" w:sz="8" w:color="231F20"/>
            </w:tcBorders>
            <w:shd w:val="clear" w:color="auto" w:fill="98B0CF"/>
          </w:tcPr>
          <w:p>
            <w:pPr>
              <w:spacing w:after="0"/>
              <w:rPr>
                <w:sz w:val="17"/>
                <w:szCs w:val="17"/>
                <w:color w:val="auto"/>
              </w:rPr>
            </w:pPr>
          </w:p>
        </w:tc>
      </w:tr>
      <w:tr>
        <w:trPr>
          <w:trHeight w:val="205"/>
        </w:trPr>
        <w:tc>
          <w:tcPr>
            <w:tcW w:w="3960" w:type="dxa"/>
            <w:vAlign w:val="bottom"/>
            <w:tcBorders>
              <w:bottom w:val="single" w:sz="8" w:color="231F20"/>
            </w:tcBorders>
            <w:shd w:val="clear" w:color="auto" w:fill="98B0CF"/>
          </w:tcPr>
          <w:p>
            <w:pPr>
              <w:spacing w:after="0"/>
              <w:rPr>
                <w:sz w:val="17"/>
                <w:szCs w:val="17"/>
                <w:color w:val="auto"/>
              </w:rPr>
            </w:pPr>
          </w:p>
        </w:tc>
        <w:tc>
          <w:tcPr>
            <w:tcW w:w="3560" w:type="dxa"/>
            <w:vAlign w:val="bottom"/>
            <w:tcBorders>
              <w:bottom w:val="single" w:sz="8" w:color="231F20"/>
            </w:tcBorders>
            <w:shd w:val="clear" w:color="auto" w:fill="98B0CF"/>
          </w:tcPr>
          <w:p>
            <w:pPr>
              <w:spacing w:after="0"/>
              <w:rPr>
                <w:sz w:val="17"/>
                <w:szCs w:val="17"/>
                <w:color w:val="auto"/>
              </w:rPr>
            </w:pPr>
          </w:p>
        </w:tc>
        <w:tc>
          <w:tcPr>
            <w:tcW w:w="1020" w:type="dxa"/>
            <w:vAlign w:val="bottom"/>
            <w:tcBorders>
              <w:bottom w:val="single" w:sz="8" w:color="231F20"/>
            </w:tcBorders>
            <w:shd w:val="clear" w:color="auto" w:fill="98B0CF"/>
          </w:tcPr>
          <w:p>
            <w:pPr>
              <w:jc w:val="right"/>
              <w:spacing w:after="0"/>
              <w:rPr>
                <w:sz w:val="20"/>
                <w:szCs w:val="20"/>
                <w:color w:val="auto"/>
              </w:rPr>
            </w:pPr>
            <w:r>
              <w:rPr>
                <w:rFonts w:ascii="Arial" w:cs="Arial" w:eastAsia="Arial" w:hAnsi="Arial"/>
                <w:sz w:val="13"/>
                <w:szCs w:val="13"/>
                <w:b w:val="1"/>
                <w:bCs w:val="1"/>
                <w:color w:val="auto"/>
              </w:rPr>
              <w:t>2024</w:t>
            </w:r>
          </w:p>
        </w:tc>
        <w:tc>
          <w:tcPr>
            <w:tcW w:w="2140" w:type="dxa"/>
            <w:vAlign w:val="bottom"/>
            <w:tcBorders>
              <w:bottom w:val="single" w:sz="8" w:color="231F20"/>
            </w:tcBorders>
            <w:shd w:val="clear" w:color="auto" w:fill="98B0CF"/>
          </w:tcPr>
          <w:p>
            <w:pPr>
              <w:jc w:val="right"/>
              <w:ind w:right="174"/>
              <w:spacing w:after="0"/>
              <w:rPr>
                <w:sz w:val="20"/>
                <w:szCs w:val="20"/>
                <w:color w:val="auto"/>
              </w:rPr>
            </w:pPr>
            <w:r>
              <w:rPr>
                <w:rFonts w:ascii="Arial" w:cs="Arial" w:eastAsia="Arial" w:hAnsi="Arial"/>
                <w:sz w:val="13"/>
                <w:szCs w:val="13"/>
                <w:b w:val="1"/>
                <w:bCs w:val="1"/>
                <w:color w:val="auto"/>
              </w:rPr>
              <w:t>2023</w:t>
            </w:r>
          </w:p>
        </w:tc>
        <w:tc>
          <w:tcPr>
            <w:tcW w:w="580" w:type="dxa"/>
            <w:vAlign w:val="bottom"/>
            <w:tcBorders>
              <w:bottom w:val="single" w:sz="8" w:color="231F20"/>
            </w:tcBorders>
            <w:shd w:val="clear" w:color="auto" w:fill="98B0CF"/>
          </w:tcPr>
          <w:p>
            <w:pPr>
              <w:spacing w:after="0"/>
              <w:rPr>
                <w:sz w:val="17"/>
                <w:szCs w:val="17"/>
                <w:color w:val="auto"/>
              </w:rPr>
            </w:pPr>
          </w:p>
        </w:tc>
      </w:tr>
      <w:tr>
        <w:trPr>
          <w:trHeight w:val="181"/>
        </w:trPr>
        <w:tc>
          <w:tcPr>
            <w:tcW w:w="396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auto"/>
              </w:rPr>
              <w:t>Foreign currency forward contracts</w:t>
            </w:r>
          </w:p>
        </w:tc>
        <w:tc>
          <w:tcPr>
            <w:tcW w:w="3560" w:type="dxa"/>
            <w:vAlign w:val="bottom"/>
            <w:tcBorders>
              <w:bottom w:val="single" w:sz="8" w:color="231F20"/>
            </w:tcBorders>
            <w:shd w:val="clear" w:color="auto" w:fill="E2E8F1"/>
          </w:tcPr>
          <w:p>
            <w:pPr>
              <w:ind w:left="40"/>
              <w:spacing w:after="0"/>
              <w:rPr>
                <w:sz w:val="20"/>
                <w:szCs w:val="20"/>
                <w:color w:val="auto"/>
              </w:rPr>
            </w:pPr>
            <w:r>
              <w:rPr>
                <w:rFonts w:ascii="Arial" w:cs="Arial" w:eastAsia="Arial" w:hAnsi="Arial"/>
                <w:sz w:val="14"/>
                <w:szCs w:val="14"/>
                <w:color w:val="auto"/>
              </w:rPr>
              <w:t>Interest and other expenses, net</w:t>
            </w:r>
          </w:p>
        </w:tc>
        <w:tc>
          <w:tcPr>
            <w:tcW w:w="1020" w:type="dxa"/>
            <w:vAlign w:val="bottom"/>
            <w:tcBorders>
              <w:bottom w:val="single" w:sz="8" w:color="231F20"/>
            </w:tcBorders>
            <w:shd w:val="clear" w:color="auto" w:fill="E2E8F1"/>
          </w:tcPr>
          <w:p>
            <w:pPr>
              <w:jc w:val="right"/>
              <w:ind w:right="874"/>
              <w:spacing w:after="0"/>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231F20"/>
            </w:tcBorders>
            <w:shd w:val="clear" w:color="auto" w:fill="E2E8F1"/>
          </w:tcPr>
          <w:p>
            <w:pPr>
              <w:jc w:val="right"/>
              <w:ind w:right="1074"/>
              <w:spacing w:after="0"/>
              <w:rPr>
                <w:sz w:val="20"/>
                <w:szCs w:val="20"/>
                <w:color w:val="auto"/>
              </w:rPr>
            </w:pPr>
            <w:r>
              <w:rPr>
                <w:rFonts w:ascii="Arial" w:cs="Arial" w:eastAsia="Arial" w:hAnsi="Arial"/>
                <w:sz w:val="14"/>
                <w:szCs w:val="14"/>
                <w:color w:val="auto"/>
              </w:rPr>
              <w:t>(1.7 )   $</w:t>
            </w:r>
          </w:p>
        </w:tc>
        <w:tc>
          <w:tcPr>
            <w:tcW w:w="58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auto"/>
              </w:rPr>
              <w:t>4.7</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81" w:name="page82"/>
    <w:bookmarkEnd w:id="81"/>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22"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5B89B4"/>
        </w:rPr>
        <w:t>Derivative and Non-Derivative Assets and Liabilities</w:t>
      </w:r>
    </w:p>
    <w:p>
      <w:pPr>
        <w:spacing w:after="0" w:line="88"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231F20"/>
        </w:rPr>
        <w:t>The following tables present the fair value of derivative and non-derivative assets and liabilities on the Consolidated Balance Sheets as of December 31, 2024, and 2023:</w:t>
      </w:r>
    </w:p>
    <w:p>
      <w:pPr>
        <w:spacing w:after="0" w:line="57" w:lineRule="exact"/>
        <w:rPr>
          <w:sz w:val="20"/>
          <w:szCs w:val="20"/>
          <w:color w:val="auto"/>
        </w:rPr>
      </w:pPr>
    </w:p>
    <w:tbl>
      <w:tblPr>
        <w:tblLayout w:type="fixed"/>
        <w:tblInd w:w="5" w:type="dxa"/>
        <w:tblCellMar>
          <w:top w:w="0" w:type="dxa"/>
          <w:left w:w="0" w:type="dxa"/>
          <w:bottom w:w="0" w:type="dxa"/>
          <w:right w:w="0" w:type="dxa"/>
        </w:tblCellMar>
      </w:tblPr>
      <w:tr>
        <w:trPr>
          <w:trHeight w:val="213"/>
        </w:trPr>
        <w:tc>
          <w:tcPr>
            <w:tcW w:w="5080" w:type="dxa"/>
            <w:vAlign w:val="bottom"/>
            <w:tcBorders>
              <w:top w:val="single" w:sz="8" w:color="231F20"/>
              <w:bottom w:val="single" w:sz="8" w:color="98B0CF"/>
            </w:tcBorders>
            <w:shd w:val="clear" w:color="auto" w:fill="98B0CF"/>
          </w:tcPr>
          <w:p>
            <w:pPr>
              <w:spacing w:after="0"/>
              <w:rPr>
                <w:sz w:val="18"/>
                <w:szCs w:val="18"/>
                <w:color w:val="auto"/>
              </w:rPr>
            </w:pPr>
          </w:p>
        </w:tc>
        <w:tc>
          <w:tcPr>
            <w:tcW w:w="2520" w:type="dxa"/>
            <w:vAlign w:val="bottom"/>
            <w:tcBorders>
              <w:top w:val="single" w:sz="8" w:color="231F20"/>
              <w:bottom w:val="single" w:sz="8" w:color="231F20"/>
            </w:tcBorders>
            <w:shd w:val="clear" w:color="auto" w:fill="98B0CF"/>
          </w:tcPr>
          <w:p>
            <w:pPr>
              <w:spacing w:after="0"/>
              <w:rPr>
                <w:sz w:val="18"/>
                <w:szCs w:val="18"/>
                <w:color w:val="auto"/>
              </w:rPr>
            </w:pPr>
          </w:p>
        </w:tc>
        <w:tc>
          <w:tcPr>
            <w:tcW w:w="920" w:type="dxa"/>
            <w:vAlign w:val="bottom"/>
            <w:tcBorders>
              <w:top w:val="single" w:sz="8" w:color="231F20"/>
              <w:bottom w:val="single" w:sz="8" w:color="231F20"/>
            </w:tcBorders>
            <w:gridSpan w:val="2"/>
            <w:shd w:val="clear" w:color="auto" w:fill="98B0CF"/>
          </w:tcPr>
          <w:p>
            <w:pPr>
              <w:jc w:val="right"/>
              <w:ind w:right="200"/>
              <w:spacing w:after="0"/>
              <w:rPr>
                <w:sz w:val="20"/>
                <w:szCs w:val="20"/>
                <w:color w:val="auto"/>
              </w:rPr>
            </w:pPr>
            <w:r>
              <w:rPr>
                <w:rFonts w:ascii="Arial" w:cs="Arial" w:eastAsia="Arial" w:hAnsi="Arial"/>
                <w:sz w:val="13"/>
                <w:szCs w:val="13"/>
                <w:b w:val="1"/>
                <w:bCs w:val="1"/>
                <w:color w:val="auto"/>
              </w:rPr>
              <w:t>Assets</w:t>
            </w:r>
          </w:p>
        </w:tc>
        <w:tc>
          <w:tcPr>
            <w:tcW w:w="1220" w:type="dxa"/>
            <w:vAlign w:val="bottom"/>
            <w:tcBorders>
              <w:top w:val="single" w:sz="8" w:color="231F20"/>
              <w:bottom w:val="single" w:sz="8" w:color="231F20"/>
            </w:tcBorders>
            <w:shd w:val="clear" w:color="auto" w:fill="98B0CF"/>
          </w:tcPr>
          <w:p>
            <w:pPr>
              <w:spacing w:after="0"/>
              <w:rPr>
                <w:sz w:val="18"/>
                <w:szCs w:val="18"/>
                <w:color w:val="auto"/>
              </w:rPr>
            </w:pPr>
          </w:p>
        </w:tc>
        <w:tc>
          <w:tcPr>
            <w:tcW w:w="260" w:type="dxa"/>
            <w:vAlign w:val="bottom"/>
            <w:tcBorders>
              <w:top w:val="single" w:sz="8" w:color="231F20"/>
              <w:bottom w:val="single" w:sz="8" w:color="231F20"/>
            </w:tcBorders>
            <w:shd w:val="clear" w:color="auto" w:fill="98B0CF"/>
          </w:tcPr>
          <w:p>
            <w:pPr>
              <w:spacing w:after="0"/>
              <w:rPr>
                <w:sz w:val="18"/>
                <w:szCs w:val="18"/>
                <w:color w:val="auto"/>
              </w:rPr>
            </w:pPr>
          </w:p>
        </w:tc>
        <w:tc>
          <w:tcPr>
            <w:tcW w:w="1260" w:type="dxa"/>
            <w:vAlign w:val="bottom"/>
            <w:tcBorders>
              <w:top w:val="single" w:sz="8" w:color="231F20"/>
              <w:bottom w:val="single" w:sz="8" w:color="231F20"/>
            </w:tcBorders>
            <w:shd w:val="clear" w:color="auto" w:fill="98B0CF"/>
          </w:tcPr>
          <w:p>
            <w:pPr>
              <w:spacing w:after="0"/>
              <w:rPr>
                <w:sz w:val="18"/>
                <w:szCs w:val="18"/>
                <w:color w:val="auto"/>
              </w:rPr>
            </w:pPr>
          </w:p>
        </w:tc>
      </w:tr>
      <w:tr>
        <w:trPr>
          <w:trHeight w:val="193"/>
        </w:trPr>
        <w:tc>
          <w:tcPr>
            <w:tcW w:w="5080" w:type="dxa"/>
            <w:vAlign w:val="bottom"/>
            <w:tcBorders>
              <w:bottom w:val="single" w:sz="8" w:color="98B0CF"/>
            </w:tcBorders>
            <w:shd w:val="clear" w:color="auto" w:fill="98B0CF"/>
          </w:tcPr>
          <w:p>
            <w:pPr>
              <w:spacing w:after="0"/>
              <w:rPr>
                <w:sz w:val="16"/>
                <w:szCs w:val="16"/>
                <w:color w:val="auto"/>
              </w:rPr>
            </w:pPr>
          </w:p>
        </w:tc>
        <w:tc>
          <w:tcPr>
            <w:tcW w:w="2520" w:type="dxa"/>
            <w:vAlign w:val="bottom"/>
            <w:tcBorders>
              <w:bottom w:val="single" w:sz="8" w:color="98B0CF"/>
            </w:tcBorders>
            <w:shd w:val="clear" w:color="auto" w:fill="98B0CF"/>
          </w:tcPr>
          <w:p>
            <w:pPr>
              <w:spacing w:after="0"/>
              <w:rPr>
                <w:sz w:val="16"/>
                <w:szCs w:val="16"/>
                <w:color w:val="auto"/>
              </w:rPr>
            </w:pPr>
          </w:p>
        </w:tc>
        <w:tc>
          <w:tcPr>
            <w:tcW w:w="760" w:type="dxa"/>
            <w:vAlign w:val="bottom"/>
            <w:tcBorders>
              <w:bottom w:val="single" w:sz="8" w:color="98B0CF"/>
            </w:tcBorders>
            <w:shd w:val="clear" w:color="auto" w:fill="98B0CF"/>
          </w:tcPr>
          <w:p>
            <w:pPr>
              <w:spacing w:after="0"/>
              <w:rPr>
                <w:sz w:val="16"/>
                <w:szCs w:val="16"/>
                <w:color w:val="auto"/>
              </w:rPr>
            </w:pPr>
          </w:p>
        </w:tc>
        <w:tc>
          <w:tcPr>
            <w:tcW w:w="160" w:type="dxa"/>
            <w:vAlign w:val="bottom"/>
            <w:tcBorders>
              <w:bottom w:val="single" w:sz="8" w:color="231F20"/>
            </w:tcBorders>
            <w:shd w:val="clear" w:color="auto" w:fill="98B0CF"/>
          </w:tcPr>
          <w:p>
            <w:pPr>
              <w:spacing w:after="0"/>
              <w:rPr>
                <w:sz w:val="16"/>
                <w:szCs w:val="16"/>
                <w:color w:val="auto"/>
              </w:rPr>
            </w:pPr>
          </w:p>
        </w:tc>
        <w:tc>
          <w:tcPr>
            <w:tcW w:w="1220" w:type="dxa"/>
            <w:vAlign w:val="bottom"/>
            <w:tcBorders>
              <w:bottom w:val="single" w:sz="8" w:color="231F20"/>
            </w:tcBorders>
            <w:shd w:val="clear" w:color="auto" w:fill="98B0CF"/>
          </w:tcPr>
          <w:p>
            <w:pPr>
              <w:jc w:val="center"/>
              <w:ind w:right="211"/>
              <w:spacing w:after="0"/>
              <w:rPr>
                <w:sz w:val="20"/>
                <w:szCs w:val="20"/>
                <w:color w:val="auto"/>
              </w:rPr>
            </w:pPr>
            <w:r>
              <w:rPr>
                <w:rFonts w:ascii="Arial" w:cs="Arial" w:eastAsia="Arial" w:hAnsi="Arial"/>
                <w:sz w:val="13"/>
                <w:szCs w:val="13"/>
                <w:b w:val="1"/>
                <w:bCs w:val="1"/>
                <w:color w:val="auto"/>
                <w:w w:val="96"/>
              </w:rPr>
              <w:t>December 31,</w:t>
            </w:r>
          </w:p>
        </w:tc>
        <w:tc>
          <w:tcPr>
            <w:tcW w:w="260" w:type="dxa"/>
            <w:vAlign w:val="bottom"/>
            <w:tcBorders>
              <w:bottom w:val="single" w:sz="8" w:color="231F20"/>
            </w:tcBorders>
            <w:shd w:val="clear" w:color="auto" w:fill="98B0CF"/>
          </w:tcPr>
          <w:p>
            <w:pPr>
              <w:spacing w:after="0"/>
              <w:rPr>
                <w:sz w:val="16"/>
                <w:szCs w:val="16"/>
                <w:color w:val="auto"/>
              </w:rPr>
            </w:pPr>
          </w:p>
        </w:tc>
        <w:tc>
          <w:tcPr>
            <w:tcW w:w="1260" w:type="dxa"/>
            <w:vAlign w:val="bottom"/>
            <w:tcBorders>
              <w:bottom w:val="single" w:sz="8" w:color="231F20"/>
            </w:tcBorders>
            <w:shd w:val="clear" w:color="auto" w:fill="98B0CF"/>
          </w:tcPr>
          <w:p>
            <w:pPr>
              <w:jc w:val="center"/>
              <w:ind w:right="211"/>
              <w:spacing w:after="0"/>
              <w:rPr>
                <w:sz w:val="20"/>
                <w:szCs w:val="20"/>
                <w:color w:val="auto"/>
              </w:rPr>
            </w:pPr>
            <w:r>
              <w:rPr>
                <w:rFonts w:ascii="Arial" w:cs="Arial" w:eastAsia="Arial" w:hAnsi="Arial"/>
                <w:sz w:val="13"/>
                <w:szCs w:val="13"/>
                <w:b w:val="1"/>
                <w:bCs w:val="1"/>
                <w:color w:val="auto"/>
                <w:w w:val="96"/>
              </w:rPr>
              <w:t>December 31,</w:t>
            </w:r>
          </w:p>
        </w:tc>
      </w:tr>
      <w:tr>
        <w:trPr>
          <w:trHeight w:val="211"/>
        </w:trPr>
        <w:tc>
          <w:tcPr>
            <w:tcW w:w="5080" w:type="dxa"/>
            <w:vAlign w:val="bottom"/>
            <w:tcBorders>
              <w:bottom w:val="single" w:sz="8" w:color="98B0CF"/>
            </w:tcBorders>
            <w:shd w:val="clear" w:color="auto" w:fill="98B0CF"/>
          </w:tcPr>
          <w:p>
            <w:pPr>
              <w:spacing w:after="0"/>
              <w:rPr>
                <w:sz w:val="18"/>
                <w:szCs w:val="18"/>
                <w:color w:val="auto"/>
              </w:rPr>
            </w:pPr>
          </w:p>
        </w:tc>
        <w:tc>
          <w:tcPr>
            <w:tcW w:w="2520" w:type="dxa"/>
            <w:vAlign w:val="bottom"/>
            <w:tcBorders>
              <w:bottom w:val="single" w:sz="8" w:color="auto"/>
            </w:tcBorders>
            <w:shd w:val="clear" w:color="auto" w:fill="98B0CF"/>
          </w:tcPr>
          <w:p>
            <w:pPr>
              <w:ind w:left="880"/>
              <w:spacing w:after="0"/>
              <w:rPr>
                <w:sz w:val="20"/>
                <w:szCs w:val="20"/>
                <w:color w:val="auto"/>
              </w:rPr>
            </w:pPr>
            <w:r>
              <w:rPr>
                <w:rFonts w:ascii="Arial" w:cs="Arial" w:eastAsia="Arial" w:hAnsi="Arial"/>
                <w:sz w:val="13"/>
                <w:szCs w:val="13"/>
                <w:b w:val="1"/>
                <w:bCs w:val="1"/>
                <w:color w:val="auto"/>
              </w:rPr>
              <w:t>Balance Sheet Location</w:t>
            </w:r>
          </w:p>
        </w:tc>
        <w:tc>
          <w:tcPr>
            <w:tcW w:w="760" w:type="dxa"/>
            <w:vAlign w:val="bottom"/>
            <w:tcBorders>
              <w:bottom w:val="single" w:sz="8" w:color="auto"/>
            </w:tcBorders>
            <w:shd w:val="clear" w:color="auto" w:fill="98B0CF"/>
          </w:tcPr>
          <w:p>
            <w:pPr>
              <w:spacing w:after="0"/>
              <w:rPr>
                <w:sz w:val="18"/>
                <w:szCs w:val="18"/>
                <w:color w:val="auto"/>
              </w:rPr>
            </w:pPr>
          </w:p>
        </w:tc>
        <w:tc>
          <w:tcPr>
            <w:tcW w:w="160" w:type="dxa"/>
            <w:vAlign w:val="bottom"/>
            <w:tcBorders>
              <w:bottom w:val="single" w:sz="8" w:color="auto"/>
            </w:tcBorders>
            <w:shd w:val="clear" w:color="auto" w:fill="98B0CF"/>
          </w:tcPr>
          <w:p>
            <w:pPr>
              <w:spacing w:after="0"/>
              <w:rPr>
                <w:sz w:val="18"/>
                <w:szCs w:val="18"/>
                <w:color w:val="auto"/>
              </w:rPr>
            </w:pPr>
          </w:p>
        </w:tc>
        <w:tc>
          <w:tcPr>
            <w:tcW w:w="1220" w:type="dxa"/>
            <w:vAlign w:val="bottom"/>
            <w:tcBorders>
              <w:bottom w:val="single" w:sz="8" w:color="auto"/>
            </w:tcBorders>
            <w:shd w:val="clear" w:color="auto" w:fill="98B0CF"/>
          </w:tcPr>
          <w:p>
            <w:pPr>
              <w:jc w:val="center"/>
              <w:ind w:right="191"/>
              <w:spacing w:after="0"/>
              <w:rPr>
                <w:sz w:val="20"/>
                <w:szCs w:val="20"/>
                <w:color w:val="auto"/>
              </w:rPr>
            </w:pPr>
            <w:r>
              <w:rPr>
                <w:rFonts w:ascii="Arial" w:cs="Arial" w:eastAsia="Arial" w:hAnsi="Arial"/>
                <w:sz w:val="13"/>
                <w:szCs w:val="13"/>
                <w:b w:val="1"/>
                <w:bCs w:val="1"/>
                <w:color w:val="auto"/>
                <w:w w:val="96"/>
              </w:rPr>
              <w:t>2024</w:t>
            </w:r>
          </w:p>
        </w:tc>
        <w:tc>
          <w:tcPr>
            <w:tcW w:w="260" w:type="dxa"/>
            <w:vAlign w:val="bottom"/>
            <w:tcBorders>
              <w:bottom w:val="single" w:sz="8" w:color="auto"/>
            </w:tcBorders>
            <w:shd w:val="clear" w:color="auto" w:fill="98B0CF"/>
          </w:tcPr>
          <w:p>
            <w:pPr>
              <w:spacing w:after="0"/>
              <w:rPr>
                <w:sz w:val="18"/>
                <w:szCs w:val="18"/>
                <w:color w:val="auto"/>
              </w:rPr>
            </w:pPr>
          </w:p>
        </w:tc>
        <w:tc>
          <w:tcPr>
            <w:tcW w:w="1260" w:type="dxa"/>
            <w:vAlign w:val="bottom"/>
            <w:tcBorders>
              <w:bottom w:val="single" w:sz="8" w:color="auto"/>
            </w:tcBorders>
            <w:shd w:val="clear" w:color="auto" w:fill="98B0CF"/>
          </w:tcPr>
          <w:p>
            <w:pPr>
              <w:jc w:val="center"/>
              <w:ind w:right="191"/>
              <w:spacing w:after="0"/>
              <w:rPr>
                <w:sz w:val="20"/>
                <w:szCs w:val="20"/>
                <w:color w:val="auto"/>
              </w:rPr>
            </w:pPr>
            <w:r>
              <w:rPr>
                <w:rFonts w:ascii="Arial" w:cs="Arial" w:eastAsia="Arial" w:hAnsi="Arial"/>
                <w:sz w:val="13"/>
                <w:szCs w:val="13"/>
                <w:b w:val="1"/>
                <w:bCs w:val="1"/>
                <w:color w:val="auto"/>
                <w:w w:val="96"/>
              </w:rPr>
              <w:t>2023</w:t>
            </w:r>
          </w:p>
        </w:tc>
      </w:tr>
      <w:tr>
        <w:trPr>
          <w:trHeight w:val="187"/>
        </w:trPr>
        <w:tc>
          <w:tcPr>
            <w:tcW w:w="5080" w:type="dxa"/>
            <w:vAlign w:val="bottom"/>
            <w:shd w:val="clear" w:color="auto" w:fill="E2E8F1"/>
          </w:tcPr>
          <w:p>
            <w:pPr>
              <w:ind w:left="80"/>
              <w:spacing w:after="0"/>
              <w:rPr>
                <w:sz w:val="20"/>
                <w:szCs w:val="20"/>
                <w:color w:val="auto"/>
              </w:rPr>
            </w:pPr>
            <w:r>
              <w:rPr>
                <w:rFonts w:ascii="Arial" w:cs="Arial" w:eastAsia="Arial" w:hAnsi="Arial"/>
                <w:sz w:val="14"/>
                <w:szCs w:val="14"/>
                <w:color w:val="auto"/>
              </w:rPr>
              <w:t>Instruments designated as fair value hedges:</w:t>
            </w:r>
          </w:p>
        </w:tc>
        <w:tc>
          <w:tcPr>
            <w:tcW w:w="2520" w:type="dxa"/>
            <w:vAlign w:val="bottom"/>
            <w:shd w:val="clear" w:color="auto" w:fill="E2E8F1"/>
          </w:tcPr>
          <w:p>
            <w:pPr>
              <w:spacing w:after="0"/>
              <w:rPr>
                <w:sz w:val="16"/>
                <w:szCs w:val="16"/>
                <w:color w:val="auto"/>
              </w:rPr>
            </w:pPr>
          </w:p>
        </w:tc>
        <w:tc>
          <w:tcPr>
            <w:tcW w:w="76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r>
      <w:tr>
        <w:trPr>
          <w:trHeight w:val="189"/>
        </w:trPr>
        <w:tc>
          <w:tcPr>
            <w:tcW w:w="5080" w:type="dxa"/>
            <w:vAlign w:val="bottom"/>
          </w:tcPr>
          <w:p>
            <w:pPr>
              <w:ind w:left="240"/>
              <w:spacing w:after="0"/>
              <w:rPr>
                <w:sz w:val="20"/>
                <w:szCs w:val="20"/>
                <w:color w:val="auto"/>
              </w:rPr>
            </w:pPr>
            <w:r>
              <w:rPr>
                <w:rFonts w:ascii="Arial" w:cs="Arial" w:eastAsia="Arial" w:hAnsi="Arial"/>
                <w:sz w:val="14"/>
                <w:szCs w:val="14"/>
                <w:color w:val="auto"/>
              </w:rPr>
              <w:t>Cross-currency swaps</w:t>
            </w:r>
          </w:p>
        </w:tc>
        <w:tc>
          <w:tcPr>
            <w:tcW w:w="252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10.3</w:t>
            </w:r>
          </w:p>
        </w:tc>
        <w:tc>
          <w:tcPr>
            <w:tcW w:w="260" w:type="dxa"/>
            <w:vAlign w:val="bottom"/>
          </w:tcPr>
          <w:p>
            <w:pPr>
              <w:spacing w:after="0"/>
              <w:rPr>
                <w:sz w:val="16"/>
                <w:szCs w:val="16"/>
                <w:color w:val="auto"/>
              </w:rPr>
            </w:pPr>
          </w:p>
        </w:tc>
        <w:tc>
          <w:tcPr>
            <w:tcW w:w="1260" w:type="dxa"/>
            <w:vAlign w:val="bottom"/>
          </w:tcPr>
          <w:p>
            <w:pPr>
              <w:jc w:val="right"/>
              <w:ind w:right="71"/>
              <w:spacing w:after="0"/>
              <w:rPr>
                <w:sz w:val="20"/>
                <w:szCs w:val="20"/>
                <w:color w:val="auto"/>
              </w:rPr>
            </w:pPr>
            <w:r>
              <w:rPr>
                <w:rFonts w:ascii="Arial" w:cs="Arial" w:eastAsia="Arial" w:hAnsi="Arial"/>
                <w:sz w:val="14"/>
                <w:szCs w:val="14"/>
                <w:color w:val="auto"/>
              </w:rPr>
              <w:t>31.7</w:t>
            </w:r>
          </w:p>
        </w:tc>
      </w:tr>
      <w:tr>
        <w:trPr>
          <w:trHeight w:val="189"/>
        </w:trPr>
        <w:tc>
          <w:tcPr>
            <w:tcW w:w="5080" w:type="dxa"/>
            <w:vAlign w:val="bottom"/>
            <w:shd w:val="clear" w:color="auto" w:fill="E2E8F1"/>
          </w:tcPr>
          <w:p>
            <w:pPr>
              <w:ind w:left="80"/>
              <w:spacing w:after="0"/>
              <w:rPr>
                <w:sz w:val="20"/>
                <w:szCs w:val="20"/>
                <w:color w:val="auto"/>
              </w:rPr>
            </w:pPr>
            <w:r>
              <w:rPr>
                <w:rFonts w:ascii="Arial" w:cs="Arial" w:eastAsia="Arial" w:hAnsi="Arial"/>
                <w:sz w:val="14"/>
                <w:szCs w:val="14"/>
                <w:color w:val="auto"/>
              </w:rPr>
              <w:t>Instruments designated as net investment hedges:</w:t>
            </w:r>
          </w:p>
        </w:tc>
        <w:tc>
          <w:tcPr>
            <w:tcW w:w="2520" w:type="dxa"/>
            <w:vAlign w:val="bottom"/>
            <w:shd w:val="clear" w:color="auto" w:fill="E2E8F1"/>
          </w:tcPr>
          <w:p>
            <w:pPr>
              <w:spacing w:after="0"/>
              <w:rPr>
                <w:sz w:val="16"/>
                <w:szCs w:val="16"/>
                <w:color w:val="auto"/>
              </w:rPr>
            </w:pPr>
          </w:p>
        </w:tc>
        <w:tc>
          <w:tcPr>
            <w:tcW w:w="76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r>
      <w:tr>
        <w:trPr>
          <w:trHeight w:val="189"/>
        </w:trPr>
        <w:tc>
          <w:tcPr>
            <w:tcW w:w="5080" w:type="dxa"/>
            <w:vAlign w:val="bottom"/>
          </w:tcPr>
          <w:p>
            <w:pPr>
              <w:ind w:left="240"/>
              <w:spacing w:after="0"/>
              <w:rPr>
                <w:sz w:val="20"/>
                <w:szCs w:val="20"/>
                <w:color w:val="auto"/>
              </w:rPr>
            </w:pPr>
            <w:r>
              <w:rPr>
                <w:rFonts w:ascii="Arial" w:cs="Arial" w:eastAsia="Arial" w:hAnsi="Arial"/>
                <w:sz w:val="14"/>
                <w:szCs w:val="14"/>
                <w:color w:val="auto"/>
              </w:rPr>
              <w:t>Cross-currency swaps</w:t>
            </w:r>
          </w:p>
        </w:tc>
        <w:tc>
          <w:tcPr>
            <w:tcW w:w="252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7.8</w:t>
            </w:r>
          </w:p>
        </w:tc>
        <w:tc>
          <w:tcPr>
            <w:tcW w:w="260" w:type="dxa"/>
            <w:vAlign w:val="bottom"/>
          </w:tcPr>
          <w:p>
            <w:pPr>
              <w:spacing w:after="0"/>
              <w:rPr>
                <w:sz w:val="16"/>
                <w:szCs w:val="16"/>
                <w:color w:val="auto"/>
              </w:rPr>
            </w:pPr>
          </w:p>
        </w:tc>
        <w:tc>
          <w:tcPr>
            <w:tcW w:w="1260" w:type="dxa"/>
            <w:vAlign w:val="bottom"/>
          </w:tcPr>
          <w:p>
            <w:pPr>
              <w:jc w:val="right"/>
              <w:ind w:right="71"/>
              <w:spacing w:after="0"/>
              <w:rPr>
                <w:sz w:val="20"/>
                <w:szCs w:val="20"/>
                <w:color w:val="auto"/>
              </w:rPr>
            </w:pPr>
            <w:r>
              <w:rPr>
                <w:rFonts w:ascii="Arial" w:cs="Arial" w:eastAsia="Arial" w:hAnsi="Arial"/>
                <w:sz w:val="14"/>
                <w:szCs w:val="14"/>
                <w:color w:val="auto"/>
              </w:rPr>
              <w:t>—</w:t>
            </w:r>
          </w:p>
        </w:tc>
      </w:tr>
      <w:tr>
        <w:trPr>
          <w:trHeight w:val="189"/>
        </w:trPr>
        <w:tc>
          <w:tcPr>
            <w:tcW w:w="5080" w:type="dxa"/>
            <w:vAlign w:val="bottom"/>
            <w:shd w:val="clear" w:color="auto" w:fill="E2E8F1"/>
          </w:tcPr>
          <w:p>
            <w:pPr>
              <w:ind w:left="80"/>
              <w:spacing w:after="0"/>
              <w:rPr>
                <w:sz w:val="20"/>
                <w:szCs w:val="20"/>
                <w:color w:val="auto"/>
              </w:rPr>
            </w:pPr>
            <w:r>
              <w:rPr>
                <w:rFonts w:ascii="Arial" w:cs="Arial" w:eastAsia="Arial" w:hAnsi="Arial"/>
                <w:sz w:val="14"/>
                <w:szCs w:val="14"/>
                <w:color w:val="auto"/>
              </w:rPr>
              <w:t>Instruments not designated as hedges:</w:t>
            </w:r>
          </w:p>
        </w:tc>
        <w:tc>
          <w:tcPr>
            <w:tcW w:w="2520" w:type="dxa"/>
            <w:vAlign w:val="bottom"/>
            <w:shd w:val="clear" w:color="auto" w:fill="E2E8F1"/>
          </w:tcPr>
          <w:p>
            <w:pPr>
              <w:spacing w:after="0"/>
              <w:rPr>
                <w:sz w:val="16"/>
                <w:szCs w:val="16"/>
                <w:color w:val="auto"/>
              </w:rPr>
            </w:pPr>
          </w:p>
        </w:tc>
        <w:tc>
          <w:tcPr>
            <w:tcW w:w="76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r>
      <w:tr>
        <w:trPr>
          <w:trHeight w:val="189"/>
        </w:trPr>
        <w:tc>
          <w:tcPr>
            <w:tcW w:w="5080" w:type="dxa"/>
            <w:vAlign w:val="bottom"/>
            <w:tcBorders>
              <w:bottom w:val="single" w:sz="8" w:color="231F20"/>
            </w:tcBorders>
          </w:tcPr>
          <w:p>
            <w:pPr>
              <w:ind w:left="240"/>
              <w:spacing w:after="0"/>
              <w:rPr>
                <w:sz w:val="20"/>
                <w:szCs w:val="20"/>
                <w:color w:val="auto"/>
              </w:rPr>
            </w:pPr>
            <w:r>
              <w:rPr>
                <w:rFonts w:ascii="Arial" w:cs="Arial" w:eastAsia="Arial" w:hAnsi="Arial"/>
                <w:sz w:val="14"/>
                <w:szCs w:val="14"/>
                <w:color w:val="auto"/>
              </w:rPr>
              <w:t>Foreign currency forward contracts</w:t>
            </w:r>
          </w:p>
        </w:tc>
        <w:tc>
          <w:tcPr>
            <w:tcW w:w="2520" w:type="dxa"/>
            <w:vAlign w:val="bottom"/>
            <w:tcBorders>
              <w:bottom w:val="single" w:sz="8" w:color="231F20"/>
            </w:tcBorders>
          </w:tcPr>
          <w:p>
            <w:pPr>
              <w:ind w:left="20"/>
              <w:spacing w:after="0"/>
              <w:rPr>
                <w:sz w:val="20"/>
                <w:szCs w:val="20"/>
                <w:color w:val="auto"/>
              </w:rPr>
            </w:pPr>
            <w:r>
              <w:rPr>
                <w:rFonts w:ascii="Arial" w:cs="Arial" w:eastAsia="Arial" w:hAnsi="Arial"/>
                <w:sz w:val="14"/>
                <w:szCs w:val="14"/>
                <w:color w:val="auto"/>
              </w:rPr>
              <w:t>Accounts Receivable, net</w:t>
            </w:r>
          </w:p>
        </w:tc>
        <w:tc>
          <w:tcPr>
            <w:tcW w:w="760" w:type="dxa"/>
            <w:vAlign w:val="bottom"/>
            <w:tcBorders>
              <w:bottom w:val="single" w:sz="8" w:color="231F20"/>
            </w:tcBorders>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1220" w:type="dxa"/>
            <w:vAlign w:val="bottom"/>
            <w:tcBorders>
              <w:bottom w:val="single" w:sz="8" w:color="231F20"/>
            </w:tcBorders>
          </w:tcPr>
          <w:p>
            <w:pPr>
              <w:jc w:val="right"/>
              <w:ind w:right="5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231F20"/>
            </w:tcBorders>
          </w:tcPr>
          <w:p>
            <w:pPr>
              <w:spacing w:after="0"/>
              <w:rPr>
                <w:sz w:val="16"/>
                <w:szCs w:val="16"/>
                <w:color w:val="auto"/>
              </w:rPr>
            </w:pPr>
          </w:p>
        </w:tc>
        <w:tc>
          <w:tcPr>
            <w:tcW w:w="1260" w:type="dxa"/>
            <w:vAlign w:val="bottom"/>
            <w:tcBorders>
              <w:bottom w:val="single" w:sz="8" w:color="231F20"/>
            </w:tcBorders>
          </w:tcPr>
          <w:p>
            <w:pPr>
              <w:jc w:val="right"/>
              <w:ind w:right="71"/>
              <w:spacing w:after="0"/>
              <w:rPr>
                <w:sz w:val="20"/>
                <w:szCs w:val="20"/>
                <w:color w:val="auto"/>
              </w:rPr>
            </w:pPr>
            <w:r>
              <w:rPr>
                <w:rFonts w:ascii="Arial" w:cs="Arial" w:eastAsia="Arial" w:hAnsi="Arial"/>
                <w:sz w:val="14"/>
                <w:szCs w:val="14"/>
                <w:color w:val="auto"/>
              </w:rPr>
              <w:t>6.7</w:t>
            </w:r>
          </w:p>
        </w:tc>
      </w:tr>
      <w:tr>
        <w:trPr>
          <w:trHeight w:val="181"/>
        </w:trPr>
        <w:tc>
          <w:tcPr>
            <w:tcW w:w="5080" w:type="dxa"/>
            <w:vAlign w:val="bottom"/>
            <w:tcBorders>
              <w:bottom w:val="single" w:sz="8" w:color="231F20"/>
            </w:tcBorders>
            <w:shd w:val="clear" w:color="auto" w:fill="E2E8F1"/>
          </w:tcPr>
          <w:p>
            <w:pPr>
              <w:ind w:left="400"/>
              <w:spacing w:after="0"/>
              <w:rPr>
                <w:sz w:val="20"/>
                <w:szCs w:val="20"/>
                <w:color w:val="auto"/>
              </w:rPr>
            </w:pPr>
            <w:r>
              <w:rPr>
                <w:rFonts w:ascii="Arial" w:cs="Arial" w:eastAsia="Arial" w:hAnsi="Arial"/>
                <w:sz w:val="14"/>
                <w:szCs w:val="14"/>
                <w:color w:val="auto"/>
              </w:rPr>
              <w:t>Total instruments</w:t>
            </w:r>
          </w:p>
        </w:tc>
        <w:tc>
          <w:tcPr>
            <w:tcW w:w="2520" w:type="dxa"/>
            <w:vAlign w:val="bottom"/>
            <w:tcBorders>
              <w:bottom w:val="single" w:sz="8" w:color="231F20"/>
            </w:tcBorders>
            <w:shd w:val="clear" w:color="auto" w:fill="E2E8F1"/>
          </w:tcPr>
          <w:p>
            <w:pPr>
              <w:spacing w:after="0"/>
              <w:rPr>
                <w:sz w:val="15"/>
                <w:szCs w:val="15"/>
                <w:color w:val="auto"/>
              </w:rPr>
            </w:pPr>
          </w:p>
        </w:tc>
        <w:tc>
          <w:tcPr>
            <w:tcW w:w="920" w:type="dxa"/>
            <w:vAlign w:val="bottom"/>
            <w:tcBorders>
              <w:bottom w:val="single" w:sz="8" w:color="231F20"/>
            </w:tcBorders>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231F20"/>
            </w:tcBorders>
            <w:shd w:val="clear" w:color="auto" w:fill="E2E8F1"/>
          </w:tcPr>
          <w:p>
            <w:pPr>
              <w:jc w:val="right"/>
              <w:ind w:right="51"/>
              <w:spacing w:after="0"/>
              <w:rPr>
                <w:sz w:val="20"/>
                <w:szCs w:val="20"/>
                <w:color w:val="auto"/>
              </w:rPr>
            </w:pPr>
            <w:r>
              <w:rPr>
                <w:rFonts w:ascii="Arial" w:cs="Arial" w:eastAsia="Arial" w:hAnsi="Arial"/>
                <w:sz w:val="14"/>
                <w:szCs w:val="14"/>
                <w:color w:val="auto"/>
              </w:rPr>
              <w:t>18.1</w:t>
            </w:r>
          </w:p>
        </w:tc>
        <w:tc>
          <w:tcPr>
            <w:tcW w:w="2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231F20"/>
            </w:tcBorders>
            <w:shd w:val="clear" w:color="auto" w:fill="E2E8F1"/>
          </w:tcPr>
          <w:p>
            <w:pPr>
              <w:jc w:val="right"/>
              <w:ind w:right="71"/>
              <w:spacing w:after="0"/>
              <w:rPr>
                <w:sz w:val="20"/>
                <w:szCs w:val="20"/>
                <w:color w:val="auto"/>
              </w:rPr>
            </w:pPr>
            <w:r>
              <w:rPr>
                <w:rFonts w:ascii="Arial" w:cs="Arial" w:eastAsia="Arial" w:hAnsi="Arial"/>
                <w:sz w:val="14"/>
                <w:szCs w:val="14"/>
                <w:color w:val="auto"/>
              </w:rPr>
              <w:t>38.4</w:t>
            </w:r>
          </w:p>
        </w:tc>
      </w:tr>
      <w:tr>
        <w:trPr>
          <w:trHeight w:val="98"/>
        </w:trPr>
        <w:tc>
          <w:tcPr>
            <w:tcW w:w="5080" w:type="dxa"/>
            <w:vAlign w:val="bottom"/>
            <w:tcBorders>
              <w:bottom w:val="single" w:sz="8" w:color="231F20"/>
            </w:tcBorders>
          </w:tcPr>
          <w:p>
            <w:pPr>
              <w:spacing w:after="0"/>
              <w:rPr>
                <w:sz w:val="8"/>
                <w:szCs w:val="8"/>
                <w:color w:val="auto"/>
              </w:rPr>
            </w:pPr>
          </w:p>
        </w:tc>
        <w:tc>
          <w:tcPr>
            <w:tcW w:w="2520" w:type="dxa"/>
            <w:vAlign w:val="bottom"/>
            <w:tcBorders>
              <w:bottom w:val="single" w:sz="8" w:color="231F20"/>
            </w:tcBorders>
          </w:tcPr>
          <w:p>
            <w:pPr>
              <w:spacing w:after="0"/>
              <w:rPr>
                <w:sz w:val="8"/>
                <w:szCs w:val="8"/>
                <w:color w:val="auto"/>
              </w:rPr>
            </w:pPr>
          </w:p>
        </w:tc>
        <w:tc>
          <w:tcPr>
            <w:tcW w:w="920" w:type="dxa"/>
            <w:vAlign w:val="bottom"/>
            <w:tcBorders>
              <w:bottom w:val="single" w:sz="8" w:color="231F20"/>
            </w:tcBorders>
            <w:gridSpan w:val="2"/>
          </w:tcPr>
          <w:p>
            <w:pPr>
              <w:spacing w:after="0"/>
              <w:rPr>
                <w:sz w:val="8"/>
                <w:szCs w:val="8"/>
                <w:color w:val="auto"/>
              </w:rPr>
            </w:pPr>
          </w:p>
        </w:tc>
        <w:tc>
          <w:tcPr>
            <w:tcW w:w="1220" w:type="dxa"/>
            <w:vAlign w:val="bottom"/>
            <w:tcBorders>
              <w:bottom w:val="single" w:sz="8" w:color="231F20"/>
            </w:tcBorders>
          </w:tcPr>
          <w:p>
            <w:pPr>
              <w:spacing w:after="0"/>
              <w:rPr>
                <w:sz w:val="8"/>
                <w:szCs w:val="8"/>
                <w:color w:val="auto"/>
              </w:rPr>
            </w:pPr>
          </w:p>
        </w:tc>
        <w:tc>
          <w:tcPr>
            <w:tcW w:w="260" w:type="dxa"/>
            <w:vAlign w:val="bottom"/>
            <w:tcBorders>
              <w:bottom w:val="single" w:sz="8" w:color="231F20"/>
            </w:tcBorders>
          </w:tcPr>
          <w:p>
            <w:pPr>
              <w:spacing w:after="0"/>
              <w:rPr>
                <w:sz w:val="8"/>
                <w:szCs w:val="8"/>
                <w:color w:val="auto"/>
              </w:rPr>
            </w:pPr>
          </w:p>
        </w:tc>
        <w:tc>
          <w:tcPr>
            <w:tcW w:w="1260" w:type="dxa"/>
            <w:vAlign w:val="bottom"/>
            <w:tcBorders>
              <w:bottom w:val="single" w:sz="8" w:color="231F20"/>
            </w:tcBorders>
          </w:tcPr>
          <w:p>
            <w:pPr>
              <w:spacing w:after="0"/>
              <w:rPr>
                <w:sz w:val="8"/>
                <w:szCs w:val="8"/>
                <w:color w:val="auto"/>
              </w:rPr>
            </w:pPr>
          </w:p>
        </w:tc>
      </w:tr>
      <w:tr>
        <w:trPr>
          <w:trHeight w:val="193"/>
        </w:trPr>
        <w:tc>
          <w:tcPr>
            <w:tcW w:w="5080" w:type="dxa"/>
            <w:vAlign w:val="bottom"/>
            <w:tcBorders>
              <w:bottom w:val="single" w:sz="8" w:color="98B0CF"/>
            </w:tcBorders>
            <w:shd w:val="clear" w:color="auto" w:fill="98B0CF"/>
          </w:tcPr>
          <w:p>
            <w:pPr>
              <w:spacing w:after="0"/>
              <w:rPr>
                <w:sz w:val="16"/>
                <w:szCs w:val="16"/>
                <w:color w:val="auto"/>
              </w:rPr>
            </w:pPr>
          </w:p>
        </w:tc>
        <w:tc>
          <w:tcPr>
            <w:tcW w:w="2520" w:type="dxa"/>
            <w:vAlign w:val="bottom"/>
            <w:tcBorders>
              <w:bottom w:val="single" w:sz="8" w:color="231F20"/>
            </w:tcBorders>
            <w:shd w:val="clear" w:color="auto" w:fill="98B0CF"/>
          </w:tcPr>
          <w:p>
            <w:pPr>
              <w:spacing w:after="0"/>
              <w:rPr>
                <w:sz w:val="16"/>
                <w:szCs w:val="16"/>
                <w:color w:val="auto"/>
              </w:rPr>
            </w:pPr>
          </w:p>
        </w:tc>
        <w:tc>
          <w:tcPr>
            <w:tcW w:w="920" w:type="dxa"/>
            <w:vAlign w:val="bottom"/>
            <w:tcBorders>
              <w:bottom w:val="single" w:sz="8" w:color="231F20"/>
            </w:tcBorders>
            <w:gridSpan w:val="2"/>
            <w:shd w:val="clear" w:color="auto" w:fill="98B0CF"/>
          </w:tcPr>
          <w:p>
            <w:pPr>
              <w:jc w:val="right"/>
              <w:ind w:right="120"/>
              <w:spacing w:after="0"/>
              <w:rPr>
                <w:sz w:val="20"/>
                <w:szCs w:val="20"/>
                <w:color w:val="auto"/>
              </w:rPr>
            </w:pPr>
            <w:r>
              <w:rPr>
                <w:rFonts w:ascii="Arial" w:cs="Arial" w:eastAsia="Arial" w:hAnsi="Arial"/>
                <w:sz w:val="13"/>
                <w:szCs w:val="13"/>
                <w:b w:val="1"/>
                <w:bCs w:val="1"/>
                <w:color w:val="auto"/>
              </w:rPr>
              <w:t>Liabilities</w:t>
            </w:r>
          </w:p>
        </w:tc>
        <w:tc>
          <w:tcPr>
            <w:tcW w:w="1220" w:type="dxa"/>
            <w:vAlign w:val="bottom"/>
            <w:tcBorders>
              <w:bottom w:val="single" w:sz="8" w:color="231F20"/>
            </w:tcBorders>
            <w:shd w:val="clear" w:color="auto" w:fill="98B0CF"/>
          </w:tcPr>
          <w:p>
            <w:pPr>
              <w:spacing w:after="0"/>
              <w:rPr>
                <w:sz w:val="16"/>
                <w:szCs w:val="16"/>
                <w:color w:val="auto"/>
              </w:rPr>
            </w:pPr>
          </w:p>
        </w:tc>
        <w:tc>
          <w:tcPr>
            <w:tcW w:w="260" w:type="dxa"/>
            <w:vAlign w:val="bottom"/>
            <w:tcBorders>
              <w:bottom w:val="single" w:sz="8" w:color="231F20"/>
            </w:tcBorders>
            <w:shd w:val="clear" w:color="auto" w:fill="98B0CF"/>
          </w:tcPr>
          <w:p>
            <w:pPr>
              <w:spacing w:after="0"/>
              <w:rPr>
                <w:sz w:val="16"/>
                <w:szCs w:val="16"/>
                <w:color w:val="auto"/>
              </w:rPr>
            </w:pPr>
          </w:p>
        </w:tc>
        <w:tc>
          <w:tcPr>
            <w:tcW w:w="1260" w:type="dxa"/>
            <w:vAlign w:val="bottom"/>
            <w:tcBorders>
              <w:bottom w:val="single" w:sz="8" w:color="231F20"/>
            </w:tcBorders>
            <w:shd w:val="clear" w:color="auto" w:fill="98B0CF"/>
          </w:tcPr>
          <w:p>
            <w:pPr>
              <w:spacing w:after="0"/>
              <w:rPr>
                <w:sz w:val="16"/>
                <w:szCs w:val="16"/>
                <w:color w:val="auto"/>
              </w:rPr>
            </w:pPr>
          </w:p>
        </w:tc>
      </w:tr>
      <w:tr>
        <w:trPr>
          <w:trHeight w:val="193"/>
        </w:trPr>
        <w:tc>
          <w:tcPr>
            <w:tcW w:w="5080" w:type="dxa"/>
            <w:vAlign w:val="bottom"/>
            <w:tcBorders>
              <w:bottom w:val="single" w:sz="8" w:color="98B0CF"/>
            </w:tcBorders>
            <w:shd w:val="clear" w:color="auto" w:fill="98B0CF"/>
          </w:tcPr>
          <w:p>
            <w:pPr>
              <w:spacing w:after="0"/>
              <w:rPr>
                <w:sz w:val="16"/>
                <w:szCs w:val="16"/>
                <w:color w:val="auto"/>
              </w:rPr>
            </w:pPr>
          </w:p>
        </w:tc>
        <w:tc>
          <w:tcPr>
            <w:tcW w:w="2520" w:type="dxa"/>
            <w:vAlign w:val="bottom"/>
            <w:tcBorders>
              <w:bottom w:val="single" w:sz="8" w:color="98B0CF"/>
            </w:tcBorders>
            <w:shd w:val="clear" w:color="auto" w:fill="98B0CF"/>
          </w:tcPr>
          <w:p>
            <w:pPr>
              <w:spacing w:after="0"/>
              <w:rPr>
                <w:sz w:val="16"/>
                <w:szCs w:val="16"/>
                <w:color w:val="auto"/>
              </w:rPr>
            </w:pPr>
          </w:p>
        </w:tc>
        <w:tc>
          <w:tcPr>
            <w:tcW w:w="760" w:type="dxa"/>
            <w:vAlign w:val="bottom"/>
            <w:tcBorders>
              <w:bottom w:val="single" w:sz="8" w:color="98B0CF"/>
            </w:tcBorders>
            <w:shd w:val="clear" w:color="auto" w:fill="98B0CF"/>
          </w:tcPr>
          <w:p>
            <w:pPr>
              <w:spacing w:after="0"/>
              <w:rPr>
                <w:sz w:val="16"/>
                <w:szCs w:val="16"/>
                <w:color w:val="auto"/>
              </w:rPr>
            </w:pPr>
          </w:p>
        </w:tc>
        <w:tc>
          <w:tcPr>
            <w:tcW w:w="160" w:type="dxa"/>
            <w:vAlign w:val="bottom"/>
            <w:tcBorders>
              <w:bottom w:val="single" w:sz="8" w:color="231F20"/>
            </w:tcBorders>
            <w:shd w:val="clear" w:color="auto" w:fill="98B0CF"/>
          </w:tcPr>
          <w:p>
            <w:pPr>
              <w:spacing w:after="0"/>
              <w:rPr>
                <w:sz w:val="16"/>
                <w:szCs w:val="16"/>
                <w:color w:val="auto"/>
              </w:rPr>
            </w:pPr>
          </w:p>
        </w:tc>
        <w:tc>
          <w:tcPr>
            <w:tcW w:w="1220" w:type="dxa"/>
            <w:vAlign w:val="bottom"/>
            <w:tcBorders>
              <w:bottom w:val="single" w:sz="8" w:color="231F20"/>
            </w:tcBorders>
            <w:shd w:val="clear" w:color="auto" w:fill="98B0CF"/>
          </w:tcPr>
          <w:p>
            <w:pPr>
              <w:jc w:val="center"/>
              <w:ind w:right="211"/>
              <w:spacing w:after="0"/>
              <w:rPr>
                <w:sz w:val="20"/>
                <w:szCs w:val="20"/>
                <w:color w:val="auto"/>
              </w:rPr>
            </w:pPr>
            <w:r>
              <w:rPr>
                <w:rFonts w:ascii="Arial" w:cs="Arial" w:eastAsia="Arial" w:hAnsi="Arial"/>
                <w:sz w:val="13"/>
                <w:szCs w:val="13"/>
                <w:b w:val="1"/>
                <w:bCs w:val="1"/>
                <w:color w:val="auto"/>
                <w:w w:val="96"/>
              </w:rPr>
              <w:t>December 31,</w:t>
            </w:r>
          </w:p>
        </w:tc>
        <w:tc>
          <w:tcPr>
            <w:tcW w:w="260" w:type="dxa"/>
            <w:vAlign w:val="bottom"/>
            <w:tcBorders>
              <w:bottom w:val="single" w:sz="8" w:color="231F20"/>
            </w:tcBorders>
            <w:shd w:val="clear" w:color="auto" w:fill="98B0CF"/>
          </w:tcPr>
          <w:p>
            <w:pPr>
              <w:spacing w:after="0"/>
              <w:rPr>
                <w:sz w:val="16"/>
                <w:szCs w:val="16"/>
                <w:color w:val="auto"/>
              </w:rPr>
            </w:pPr>
          </w:p>
        </w:tc>
        <w:tc>
          <w:tcPr>
            <w:tcW w:w="1260" w:type="dxa"/>
            <w:vAlign w:val="bottom"/>
            <w:tcBorders>
              <w:bottom w:val="single" w:sz="8" w:color="231F20"/>
            </w:tcBorders>
            <w:shd w:val="clear" w:color="auto" w:fill="98B0CF"/>
          </w:tcPr>
          <w:p>
            <w:pPr>
              <w:jc w:val="center"/>
              <w:ind w:right="211"/>
              <w:spacing w:after="0"/>
              <w:rPr>
                <w:sz w:val="20"/>
                <w:szCs w:val="20"/>
                <w:color w:val="auto"/>
              </w:rPr>
            </w:pPr>
            <w:r>
              <w:rPr>
                <w:rFonts w:ascii="Arial" w:cs="Arial" w:eastAsia="Arial" w:hAnsi="Arial"/>
                <w:sz w:val="13"/>
                <w:szCs w:val="13"/>
                <w:b w:val="1"/>
                <w:bCs w:val="1"/>
                <w:color w:val="auto"/>
                <w:w w:val="96"/>
              </w:rPr>
              <w:t>December 31,</w:t>
            </w:r>
          </w:p>
        </w:tc>
      </w:tr>
      <w:tr>
        <w:trPr>
          <w:trHeight w:val="211"/>
        </w:trPr>
        <w:tc>
          <w:tcPr>
            <w:tcW w:w="5080" w:type="dxa"/>
            <w:vAlign w:val="bottom"/>
            <w:tcBorders>
              <w:bottom w:val="single" w:sz="8" w:color="98B0CF"/>
            </w:tcBorders>
            <w:shd w:val="clear" w:color="auto" w:fill="98B0CF"/>
          </w:tcPr>
          <w:p>
            <w:pPr>
              <w:spacing w:after="0"/>
              <w:rPr>
                <w:sz w:val="18"/>
                <w:szCs w:val="18"/>
                <w:color w:val="auto"/>
              </w:rPr>
            </w:pPr>
          </w:p>
        </w:tc>
        <w:tc>
          <w:tcPr>
            <w:tcW w:w="2520" w:type="dxa"/>
            <w:vAlign w:val="bottom"/>
            <w:tcBorders>
              <w:bottom w:val="single" w:sz="8" w:color="auto"/>
            </w:tcBorders>
            <w:shd w:val="clear" w:color="auto" w:fill="98B0CF"/>
          </w:tcPr>
          <w:p>
            <w:pPr>
              <w:ind w:left="880"/>
              <w:spacing w:after="0"/>
              <w:rPr>
                <w:sz w:val="20"/>
                <w:szCs w:val="20"/>
                <w:color w:val="auto"/>
              </w:rPr>
            </w:pPr>
            <w:r>
              <w:rPr>
                <w:rFonts w:ascii="Arial" w:cs="Arial" w:eastAsia="Arial" w:hAnsi="Arial"/>
                <w:sz w:val="13"/>
                <w:szCs w:val="13"/>
                <w:b w:val="1"/>
                <w:bCs w:val="1"/>
                <w:color w:val="auto"/>
              </w:rPr>
              <w:t>Balance Sheet Location</w:t>
            </w:r>
          </w:p>
        </w:tc>
        <w:tc>
          <w:tcPr>
            <w:tcW w:w="760" w:type="dxa"/>
            <w:vAlign w:val="bottom"/>
            <w:tcBorders>
              <w:bottom w:val="single" w:sz="8" w:color="auto"/>
            </w:tcBorders>
            <w:shd w:val="clear" w:color="auto" w:fill="98B0CF"/>
          </w:tcPr>
          <w:p>
            <w:pPr>
              <w:spacing w:after="0"/>
              <w:rPr>
                <w:sz w:val="18"/>
                <w:szCs w:val="18"/>
                <w:color w:val="auto"/>
              </w:rPr>
            </w:pPr>
          </w:p>
        </w:tc>
        <w:tc>
          <w:tcPr>
            <w:tcW w:w="160" w:type="dxa"/>
            <w:vAlign w:val="bottom"/>
            <w:tcBorders>
              <w:bottom w:val="single" w:sz="8" w:color="auto"/>
            </w:tcBorders>
            <w:shd w:val="clear" w:color="auto" w:fill="98B0CF"/>
          </w:tcPr>
          <w:p>
            <w:pPr>
              <w:spacing w:after="0"/>
              <w:rPr>
                <w:sz w:val="18"/>
                <w:szCs w:val="18"/>
                <w:color w:val="auto"/>
              </w:rPr>
            </w:pPr>
          </w:p>
        </w:tc>
        <w:tc>
          <w:tcPr>
            <w:tcW w:w="1220" w:type="dxa"/>
            <w:vAlign w:val="bottom"/>
            <w:tcBorders>
              <w:bottom w:val="single" w:sz="8" w:color="auto"/>
            </w:tcBorders>
            <w:shd w:val="clear" w:color="auto" w:fill="98B0CF"/>
          </w:tcPr>
          <w:p>
            <w:pPr>
              <w:jc w:val="center"/>
              <w:ind w:right="191"/>
              <w:spacing w:after="0"/>
              <w:rPr>
                <w:sz w:val="20"/>
                <w:szCs w:val="20"/>
                <w:color w:val="auto"/>
              </w:rPr>
            </w:pPr>
            <w:r>
              <w:rPr>
                <w:rFonts w:ascii="Arial" w:cs="Arial" w:eastAsia="Arial" w:hAnsi="Arial"/>
                <w:sz w:val="13"/>
                <w:szCs w:val="13"/>
                <w:b w:val="1"/>
                <w:bCs w:val="1"/>
                <w:color w:val="auto"/>
                <w:w w:val="96"/>
              </w:rPr>
              <w:t>2024</w:t>
            </w:r>
          </w:p>
        </w:tc>
        <w:tc>
          <w:tcPr>
            <w:tcW w:w="260" w:type="dxa"/>
            <w:vAlign w:val="bottom"/>
            <w:tcBorders>
              <w:bottom w:val="single" w:sz="8" w:color="auto"/>
            </w:tcBorders>
            <w:shd w:val="clear" w:color="auto" w:fill="98B0CF"/>
          </w:tcPr>
          <w:p>
            <w:pPr>
              <w:spacing w:after="0"/>
              <w:rPr>
                <w:sz w:val="18"/>
                <w:szCs w:val="18"/>
                <w:color w:val="auto"/>
              </w:rPr>
            </w:pPr>
          </w:p>
        </w:tc>
        <w:tc>
          <w:tcPr>
            <w:tcW w:w="1260" w:type="dxa"/>
            <w:vAlign w:val="bottom"/>
            <w:tcBorders>
              <w:bottom w:val="single" w:sz="8" w:color="auto"/>
            </w:tcBorders>
            <w:shd w:val="clear" w:color="auto" w:fill="98B0CF"/>
          </w:tcPr>
          <w:p>
            <w:pPr>
              <w:jc w:val="center"/>
              <w:ind w:right="191"/>
              <w:spacing w:after="0"/>
              <w:rPr>
                <w:sz w:val="20"/>
                <w:szCs w:val="20"/>
                <w:color w:val="auto"/>
              </w:rPr>
            </w:pPr>
            <w:r>
              <w:rPr>
                <w:rFonts w:ascii="Arial" w:cs="Arial" w:eastAsia="Arial" w:hAnsi="Arial"/>
                <w:sz w:val="13"/>
                <w:szCs w:val="13"/>
                <w:b w:val="1"/>
                <w:bCs w:val="1"/>
                <w:color w:val="auto"/>
                <w:w w:val="96"/>
              </w:rPr>
              <w:t>2023</w:t>
            </w:r>
          </w:p>
        </w:tc>
      </w:tr>
      <w:tr>
        <w:trPr>
          <w:trHeight w:val="187"/>
        </w:trPr>
        <w:tc>
          <w:tcPr>
            <w:tcW w:w="5080" w:type="dxa"/>
            <w:vAlign w:val="bottom"/>
            <w:shd w:val="clear" w:color="auto" w:fill="E2E8F1"/>
          </w:tcPr>
          <w:p>
            <w:pPr>
              <w:ind w:left="80"/>
              <w:spacing w:after="0"/>
              <w:rPr>
                <w:sz w:val="20"/>
                <w:szCs w:val="20"/>
                <w:color w:val="auto"/>
              </w:rPr>
            </w:pPr>
            <w:r>
              <w:rPr>
                <w:rFonts w:ascii="Arial" w:cs="Arial" w:eastAsia="Arial" w:hAnsi="Arial"/>
                <w:sz w:val="14"/>
                <w:szCs w:val="14"/>
                <w:color w:val="auto"/>
              </w:rPr>
              <w:t>Instruments designated as net investment hedges:</w:t>
            </w:r>
          </w:p>
        </w:tc>
        <w:tc>
          <w:tcPr>
            <w:tcW w:w="2520" w:type="dxa"/>
            <w:vAlign w:val="bottom"/>
            <w:shd w:val="clear" w:color="auto" w:fill="E2E8F1"/>
          </w:tcPr>
          <w:p>
            <w:pPr>
              <w:spacing w:after="0"/>
              <w:rPr>
                <w:sz w:val="16"/>
                <w:szCs w:val="16"/>
                <w:color w:val="auto"/>
              </w:rPr>
            </w:pPr>
          </w:p>
        </w:tc>
        <w:tc>
          <w:tcPr>
            <w:tcW w:w="76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r>
      <w:tr>
        <w:trPr>
          <w:trHeight w:val="189"/>
        </w:trPr>
        <w:tc>
          <w:tcPr>
            <w:tcW w:w="5080" w:type="dxa"/>
            <w:vAlign w:val="bottom"/>
          </w:tcPr>
          <w:p>
            <w:pPr>
              <w:ind w:left="240"/>
              <w:spacing w:after="0"/>
              <w:rPr>
                <w:sz w:val="20"/>
                <w:szCs w:val="20"/>
                <w:color w:val="auto"/>
              </w:rPr>
            </w:pPr>
            <w:r>
              <w:rPr>
                <w:rFonts w:ascii="Arial" w:cs="Arial" w:eastAsia="Arial" w:hAnsi="Arial"/>
                <w:sz w:val="14"/>
                <w:szCs w:val="14"/>
                <w:color w:val="auto"/>
              </w:rPr>
              <w:t>Euro Notes due in 2026</w:t>
            </w:r>
          </w:p>
        </w:tc>
        <w:tc>
          <w:tcPr>
            <w:tcW w:w="252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516.6</w:t>
            </w:r>
          </w:p>
        </w:tc>
        <w:tc>
          <w:tcPr>
            <w:tcW w:w="260" w:type="dxa"/>
            <w:vAlign w:val="bottom"/>
          </w:tcPr>
          <w:p>
            <w:pPr>
              <w:spacing w:after="0"/>
              <w:rPr>
                <w:sz w:val="16"/>
                <w:szCs w:val="16"/>
                <w:color w:val="auto"/>
              </w:rPr>
            </w:pPr>
          </w:p>
        </w:tc>
        <w:tc>
          <w:tcPr>
            <w:tcW w:w="1260" w:type="dxa"/>
            <w:vAlign w:val="bottom"/>
          </w:tcPr>
          <w:p>
            <w:pPr>
              <w:jc w:val="right"/>
              <w:ind w:right="71"/>
              <w:spacing w:after="0"/>
              <w:rPr>
                <w:sz w:val="20"/>
                <w:szCs w:val="20"/>
                <w:color w:val="auto"/>
              </w:rPr>
            </w:pPr>
            <w:r>
              <w:rPr>
                <w:rFonts w:ascii="Arial" w:cs="Arial" w:eastAsia="Arial" w:hAnsi="Arial"/>
                <w:sz w:val="14"/>
                <w:szCs w:val="14"/>
                <w:color w:val="auto"/>
              </w:rPr>
              <w:t>550.0</w:t>
            </w:r>
          </w:p>
        </w:tc>
      </w:tr>
      <w:tr>
        <w:trPr>
          <w:trHeight w:val="189"/>
        </w:trPr>
        <w:tc>
          <w:tcPr>
            <w:tcW w:w="5080" w:type="dxa"/>
            <w:vAlign w:val="bottom"/>
            <w:shd w:val="clear" w:color="auto" w:fill="E2E8F1"/>
          </w:tcPr>
          <w:p>
            <w:pPr>
              <w:ind w:left="240"/>
              <w:spacing w:after="0"/>
              <w:rPr>
                <w:sz w:val="20"/>
                <w:szCs w:val="20"/>
                <w:color w:val="auto"/>
              </w:rPr>
            </w:pPr>
            <w:r>
              <w:rPr>
                <w:rFonts w:ascii="Arial" w:cs="Arial" w:eastAsia="Arial" w:hAnsi="Arial"/>
                <w:sz w:val="14"/>
                <w:szCs w:val="14"/>
                <w:color w:val="auto"/>
              </w:rPr>
              <w:t>Euro Notes due in 2027</w:t>
            </w:r>
          </w:p>
        </w:tc>
        <w:tc>
          <w:tcPr>
            <w:tcW w:w="2520" w:type="dxa"/>
            <w:vAlign w:val="bottom"/>
            <w:shd w:val="clear" w:color="auto" w:fill="E2E8F1"/>
          </w:tcPr>
          <w:p>
            <w:pPr>
              <w:ind w:left="20"/>
              <w:spacing w:after="0"/>
              <w:rPr>
                <w:sz w:val="20"/>
                <w:szCs w:val="20"/>
                <w:color w:val="auto"/>
              </w:rPr>
            </w:pPr>
            <w:r>
              <w:rPr>
                <w:rFonts w:ascii="Arial" w:cs="Arial" w:eastAsia="Arial" w:hAnsi="Arial"/>
                <w:sz w:val="14"/>
                <w:szCs w:val="14"/>
                <w:color w:val="auto"/>
              </w:rPr>
              <w:t>Long-term debt</w:t>
            </w:r>
          </w:p>
        </w:tc>
        <w:tc>
          <w:tcPr>
            <w:tcW w:w="76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20" w:type="dxa"/>
            <w:vAlign w:val="bottom"/>
            <w:shd w:val="clear" w:color="auto" w:fill="E2E8F1"/>
          </w:tcPr>
          <w:p>
            <w:pPr>
              <w:jc w:val="right"/>
              <w:ind w:right="51"/>
              <w:spacing w:after="0"/>
              <w:rPr>
                <w:sz w:val="20"/>
                <w:szCs w:val="20"/>
                <w:color w:val="auto"/>
              </w:rPr>
            </w:pPr>
            <w:r>
              <w:rPr>
                <w:rFonts w:ascii="Arial" w:cs="Arial" w:eastAsia="Arial" w:hAnsi="Arial"/>
                <w:sz w:val="14"/>
                <w:szCs w:val="14"/>
                <w:color w:val="auto"/>
              </w:rPr>
              <w:t>411.8</w:t>
            </w:r>
          </w:p>
        </w:tc>
        <w:tc>
          <w:tcPr>
            <w:tcW w:w="260" w:type="dxa"/>
            <w:vAlign w:val="bottom"/>
            <w:shd w:val="clear" w:color="auto" w:fill="E2E8F1"/>
          </w:tcPr>
          <w:p>
            <w:pPr>
              <w:spacing w:after="0"/>
              <w:rPr>
                <w:sz w:val="16"/>
                <w:szCs w:val="16"/>
                <w:color w:val="auto"/>
              </w:rPr>
            </w:pPr>
          </w:p>
        </w:tc>
        <w:tc>
          <w:tcPr>
            <w:tcW w:w="126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438.2</w:t>
            </w:r>
          </w:p>
        </w:tc>
      </w:tr>
      <w:tr>
        <w:trPr>
          <w:trHeight w:val="189"/>
        </w:trPr>
        <w:tc>
          <w:tcPr>
            <w:tcW w:w="5080" w:type="dxa"/>
            <w:vAlign w:val="bottom"/>
          </w:tcPr>
          <w:p>
            <w:pPr>
              <w:ind w:left="240"/>
              <w:spacing w:after="0"/>
              <w:rPr>
                <w:sz w:val="20"/>
                <w:szCs w:val="20"/>
                <w:color w:val="auto"/>
              </w:rPr>
            </w:pPr>
            <w:r>
              <w:rPr>
                <w:rFonts w:ascii="Arial" w:cs="Arial" w:eastAsia="Arial" w:hAnsi="Arial"/>
                <w:sz w:val="14"/>
                <w:szCs w:val="14"/>
                <w:color w:val="auto"/>
              </w:rPr>
              <w:t>Cross-currency swaps</w:t>
            </w:r>
          </w:p>
        </w:tc>
        <w:tc>
          <w:tcPr>
            <w:tcW w:w="2520" w:type="dxa"/>
            <w:vAlign w:val="bottom"/>
          </w:tcPr>
          <w:p>
            <w:pPr>
              <w:ind w:left="20"/>
              <w:spacing w:after="0"/>
              <w:rPr>
                <w:sz w:val="20"/>
                <w:szCs w:val="20"/>
                <w:color w:val="auto"/>
              </w:rPr>
            </w:pPr>
            <w:r>
              <w:rPr>
                <w:rFonts w:ascii="Arial" w:cs="Arial" w:eastAsia="Arial" w:hAnsi="Arial"/>
                <w:sz w:val="14"/>
                <w:szCs w:val="14"/>
                <w:color w:val="auto"/>
              </w:rPr>
              <w:t>Accrued liabilities</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44.8</w:t>
            </w:r>
          </w:p>
        </w:tc>
        <w:tc>
          <w:tcPr>
            <w:tcW w:w="260" w:type="dxa"/>
            <w:vAlign w:val="bottom"/>
          </w:tcPr>
          <w:p>
            <w:pPr>
              <w:spacing w:after="0"/>
              <w:rPr>
                <w:sz w:val="16"/>
                <w:szCs w:val="16"/>
                <w:color w:val="auto"/>
              </w:rPr>
            </w:pPr>
          </w:p>
        </w:tc>
        <w:tc>
          <w:tcPr>
            <w:tcW w:w="1260" w:type="dxa"/>
            <w:vAlign w:val="bottom"/>
          </w:tcPr>
          <w:p>
            <w:pPr>
              <w:jc w:val="right"/>
              <w:ind w:right="71"/>
              <w:spacing w:after="0"/>
              <w:rPr>
                <w:sz w:val="20"/>
                <w:szCs w:val="20"/>
                <w:color w:val="auto"/>
              </w:rPr>
            </w:pPr>
            <w:r>
              <w:rPr>
                <w:rFonts w:ascii="Arial" w:cs="Arial" w:eastAsia="Arial" w:hAnsi="Arial"/>
                <w:sz w:val="14"/>
                <w:szCs w:val="14"/>
                <w:color w:val="auto"/>
              </w:rPr>
              <w:t>73.3</w:t>
            </w:r>
          </w:p>
        </w:tc>
      </w:tr>
      <w:tr>
        <w:trPr>
          <w:trHeight w:val="189"/>
        </w:trPr>
        <w:tc>
          <w:tcPr>
            <w:tcW w:w="5080" w:type="dxa"/>
            <w:vAlign w:val="bottom"/>
            <w:shd w:val="clear" w:color="auto" w:fill="E2E8F1"/>
          </w:tcPr>
          <w:p>
            <w:pPr>
              <w:ind w:left="80"/>
              <w:spacing w:after="0"/>
              <w:rPr>
                <w:sz w:val="20"/>
                <w:szCs w:val="20"/>
                <w:color w:val="auto"/>
              </w:rPr>
            </w:pPr>
            <w:r>
              <w:rPr>
                <w:rFonts w:ascii="Arial" w:cs="Arial" w:eastAsia="Arial" w:hAnsi="Arial"/>
                <w:sz w:val="14"/>
                <w:szCs w:val="14"/>
                <w:color w:val="auto"/>
              </w:rPr>
              <w:t>Instruments not designated as hedges:</w:t>
            </w:r>
          </w:p>
        </w:tc>
        <w:tc>
          <w:tcPr>
            <w:tcW w:w="2520" w:type="dxa"/>
            <w:vAlign w:val="bottom"/>
            <w:shd w:val="clear" w:color="auto" w:fill="E2E8F1"/>
          </w:tcPr>
          <w:p>
            <w:pPr>
              <w:spacing w:after="0"/>
              <w:rPr>
                <w:sz w:val="16"/>
                <w:szCs w:val="16"/>
                <w:color w:val="auto"/>
              </w:rPr>
            </w:pPr>
          </w:p>
        </w:tc>
        <w:tc>
          <w:tcPr>
            <w:tcW w:w="76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r>
      <w:tr>
        <w:trPr>
          <w:trHeight w:val="189"/>
        </w:trPr>
        <w:tc>
          <w:tcPr>
            <w:tcW w:w="5080" w:type="dxa"/>
            <w:vAlign w:val="bottom"/>
            <w:tcBorders>
              <w:bottom w:val="single" w:sz="8" w:color="231F20"/>
            </w:tcBorders>
          </w:tcPr>
          <w:p>
            <w:pPr>
              <w:ind w:left="240"/>
              <w:spacing w:after="0"/>
              <w:rPr>
                <w:sz w:val="20"/>
                <w:szCs w:val="20"/>
                <w:color w:val="auto"/>
              </w:rPr>
            </w:pPr>
            <w:r>
              <w:rPr>
                <w:rFonts w:ascii="Arial" w:cs="Arial" w:eastAsia="Arial" w:hAnsi="Arial"/>
                <w:sz w:val="14"/>
                <w:szCs w:val="14"/>
                <w:color w:val="auto"/>
              </w:rPr>
              <w:t>Foreign currency forward contracts</w:t>
            </w:r>
          </w:p>
        </w:tc>
        <w:tc>
          <w:tcPr>
            <w:tcW w:w="2520" w:type="dxa"/>
            <w:vAlign w:val="bottom"/>
            <w:tcBorders>
              <w:bottom w:val="single" w:sz="8" w:color="231F20"/>
            </w:tcBorders>
          </w:tcPr>
          <w:p>
            <w:pPr>
              <w:ind w:left="20"/>
              <w:spacing w:after="0"/>
              <w:rPr>
                <w:sz w:val="20"/>
                <w:szCs w:val="20"/>
                <w:color w:val="auto"/>
              </w:rPr>
            </w:pPr>
            <w:r>
              <w:rPr>
                <w:rFonts w:ascii="Arial" w:cs="Arial" w:eastAsia="Arial" w:hAnsi="Arial"/>
                <w:sz w:val="14"/>
                <w:szCs w:val="14"/>
                <w:color w:val="auto"/>
              </w:rPr>
              <w:t>Accrued liabilities</w:t>
            </w:r>
          </w:p>
        </w:tc>
        <w:tc>
          <w:tcPr>
            <w:tcW w:w="760" w:type="dxa"/>
            <w:vAlign w:val="bottom"/>
            <w:tcBorders>
              <w:bottom w:val="single" w:sz="8" w:color="231F20"/>
            </w:tcBorders>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1220" w:type="dxa"/>
            <w:vAlign w:val="bottom"/>
            <w:tcBorders>
              <w:bottom w:val="single" w:sz="8" w:color="231F20"/>
            </w:tcBorders>
          </w:tcPr>
          <w:p>
            <w:pPr>
              <w:jc w:val="right"/>
              <w:ind w:right="51"/>
              <w:spacing w:after="0"/>
              <w:rPr>
                <w:sz w:val="20"/>
                <w:szCs w:val="20"/>
                <w:color w:val="auto"/>
              </w:rPr>
            </w:pPr>
            <w:r>
              <w:rPr>
                <w:rFonts w:ascii="Arial" w:cs="Arial" w:eastAsia="Arial" w:hAnsi="Arial"/>
                <w:sz w:val="14"/>
                <w:szCs w:val="14"/>
                <w:color w:val="auto"/>
              </w:rPr>
              <w:t>0.7</w:t>
            </w:r>
          </w:p>
        </w:tc>
        <w:tc>
          <w:tcPr>
            <w:tcW w:w="260" w:type="dxa"/>
            <w:vAlign w:val="bottom"/>
            <w:tcBorders>
              <w:bottom w:val="single" w:sz="8" w:color="231F20"/>
            </w:tcBorders>
          </w:tcPr>
          <w:p>
            <w:pPr>
              <w:spacing w:after="0"/>
              <w:rPr>
                <w:sz w:val="16"/>
                <w:szCs w:val="16"/>
                <w:color w:val="auto"/>
              </w:rPr>
            </w:pPr>
          </w:p>
        </w:tc>
        <w:tc>
          <w:tcPr>
            <w:tcW w:w="1260" w:type="dxa"/>
            <w:vAlign w:val="bottom"/>
            <w:tcBorders>
              <w:bottom w:val="single" w:sz="8" w:color="231F20"/>
            </w:tcBorders>
          </w:tcPr>
          <w:p>
            <w:pPr>
              <w:jc w:val="right"/>
              <w:ind w:right="71"/>
              <w:spacing w:after="0"/>
              <w:rPr>
                <w:sz w:val="20"/>
                <w:szCs w:val="20"/>
                <w:color w:val="auto"/>
              </w:rPr>
            </w:pPr>
            <w:r>
              <w:rPr>
                <w:rFonts w:ascii="Arial" w:cs="Arial" w:eastAsia="Arial" w:hAnsi="Arial"/>
                <w:sz w:val="14"/>
                <w:szCs w:val="14"/>
                <w:color w:val="auto"/>
              </w:rPr>
              <w:t>2.3</w:t>
            </w:r>
          </w:p>
        </w:tc>
      </w:tr>
      <w:tr>
        <w:trPr>
          <w:trHeight w:val="190"/>
        </w:trPr>
        <w:tc>
          <w:tcPr>
            <w:tcW w:w="5080" w:type="dxa"/>
            <w:vAlign w:val="bottom"/>
          </w:tcPr>
          <w:p>
            <w:pPr>
              <w:ind w:left="400"/>
              <w:spacing w:after="0"/>
              <w:rPr>
                <w:sz w:val="20"/>
                <w:szCs w:val="20"/>
                <w:color w:val="auto"/>
              </w:rPr>
            </w:pPr>
            <w:r>
              <w:rPr>
                <w:rFonts w:ascii="Arial" w:cs="Arial" w:eastAsia="Arial" w:hAnsi="Arial"/>
                <w:sz w:val="14"/>
                <w:szCs w:val="14"/>
                <w:color w:val="auto"/>
              </w:rPr>
              <w:t>Total instruments</w:t>
            </w:r>
          </w:p>
        </w:tc>
        <w:tc>
          <w:tcPr>
            <w:tcW w:w="25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973.9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71"/>
              <w:spacing w:after="0"/>
              <w:rPr>
                <w:sz w:val="20"/>
                <w:szCs w:val="20"/>
                <w:color w:val="auto"/>
              </w:rPr>
            </w:pPr>
            <w:r>
              <w:rPr>
                <w:rFonts w:ascii="Arial" w:cs="Arial" w:eastAsia="Arial" w:hAnsi="Arial"/>
                <w:sz w:val="14"/>
                <w:szCs w:val="14"/>
                <w:color w:val="auto"/>
              </w:rPr>
              <w:t>1,063.8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9465" cy="1276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jc w:val="both"/>
        <w:ind w:left="5" w:right="20"/>
        <w:spacing w:after="0" w:line="246" w:lineRule="auto"/>
        <w:rPr>
          <w:sz w:val="20"/>
          <w:szCs w:val="20"/>
          <w:color w:val="auto"/>
        </w:rPr>
      </w:pPr>
      <w:r>
        <w:rPr>
          <w:rFonts w:ascii="Arial" w:cs="Arial" w:eastAsia="Arial" w:hAnsi="Arial"/>
          <w:sz w:val="16"/>
          <w:szCs w:val="16"/>
          <w:color w:val="231F20"/>
        </w:rPr>
        <w:t>The fair value measurements of these items recorded in our Consolidated Balance Sheets for the years ended December 31, 2024 and 2023 are disclosed in Note 1 to the Consolidated Financial Statements.</w:t>
      </w:r>
    </w:p>
    <w:p>
      <w:pPr>
        <w:spacing w:after="0" w:line="197" w:lineRule="exact"/>
        <w:rPr>
          <w:sz w:val="20"/>
          <w:szCs w:val="20"/>
          <w:color w:val="auto"/>
        </w:rPr>
      </w:pPr>
    </w:p>
    <w:p>
      <w:pPr>
        <w:ind w:left="445" w:hanging="445"/>
        <w:spacing w:after="0"/>
        <w:tabs>
          <w:tab w:leader="none" w:pos="445" w:val="left"/>
        </w:tabs>
        <w:numPr>
          <w:ilvl w:val="0"/>
          <w:numId w:val="53"/>
        </w:numPr>
        <w:rPr>
          <w:rFonts w:ascii="Arial" w:cs="Arial" w:eastAsia="Arial" w:hAnsi="Arial"/>
          <w:sz w:val="22"/>
          <w:szCs w:val="22"/>
          <w:b w:val="1"/>
          <w:bCs w:val="1"/>
          <w:color w:val="5B89B4"/>
        </w:rPr>
      </w:pPr>
      <w:r>
        <w:rPr>
          <w:rFonts w:ascii="Arial" w:cs="Arial" w:eastAsia="Arial" w:hAnsi="Arial"/>
          <w:sz w:val="22"/>
          <w:szCs w:val="22"/>
          <w:b w:val="1"/>
          <w:bCs w:val="1"/>
          <w:u w:val="single" w:color="auto"/>
          <w:color w:val="5B89B4"/>
        </w:rPr>
        <w:t>Leases</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The components of lease expense were as follows:</w:t>
      </w:r>
    </w:p>
    <w:p>
      <w:pPr>
        <w:spacing w:after="0" w:line="115" w:lineRule="exact"/>
        <w:rPr>
          <w:sz w:val="20"/>
          <w:szCs w:val="20"/>
          <w:color w:val="auto"/>
        </w:rPr>
      </w:pPr>
    </w:p>
    <w:tbl>
      <w:tblPr>
        <w:tblLayout w:type="fixed"/>
        <w:tblInd w:w="5" w:type="dxa"/>
        <w:tblCellMar>
          <w:top w:w="0" w:type="dxa"/>
          <w:left w:w="0" w:type="dxa"/>
          <w:bottom w:w="0" w:type="dxa"/>
          <w:right w:w="0" w:type="dxa"/>
        </w:tblCellMar>
      </w:tblPr>
      <w:tr>
        <w:trPr>
          <w:trHeight w:val="219"/>
        </w:trPr>
        <w:tc>
          <w:tcPr>
            <w:tcW w:w="7120" w:type="dxa"/>
            <w:vAlign w:val="bottom"/>
            <w:tcBorders>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bottom w:val="single" w:sz="8" w:color="auto"/>
            </w:tcBorders>
            <w:shd w:val="clear" w:color="auto" w:fill="98B0CF"/>
          </w:tcPr>
          <w:p>
            <w:pPr>
              <w:spacing w:after="0"/>
              <w:rPr>
                <w:sz w:val="19"/>
                <w:szCs w:val="19"/>
                <w:color w:val="auto"/>
              </w:rPr>
            </w:pPr>
          </w:p>
        </w:tc>
        <w:tc>
          <w:tcPr>
            <w:tcW w:w="1000" w:type="dxa"/>
            <w:vAlign w:val="bottom"/>
            <w:tcBorders>
              <w:bottom w:val="single" w:sz="8" w:color="auto"/>
            </w:tcBorders>
            <w:shd w:val="clear" w:color="auto" w:fill="98B0CF"/>
          </w:tcPr>
          <w:p>
            <w:pPr>
              <w:jc w:val="right"/>
              <w:ind w:right="491"/>
              <w:spacing w:after="0"/>
              <w:rPr>
                <w:sz w:val="20"/>
                <w:szCs w:val="20"/>
                <w:color w:val="auto"/>
              </w:rPr>
            </w:pPr>
            <w:r>
              <w:rPr>
                <w:rFonts w:ascii="Arial" w:cs="Arial" w:eastAsia="Arial" w:hAnsi="Arial"/>
                <w:sz w:val="13"/>
                <w:szCs w:val="13"/>
                <w:b w:val="1"/>
                <w:bCs w:val="1"/>
                <w:color w:val="auto"/>
              </w:rPr>
              <w:t>2024</w:t>
            </w:r>
          </w:p>
        </w:tc>
        <w:tc>
          <w:tcPr>
            <w:tcW w:w="400" w:type="dxa"/>
            <w:vAlign w:val="bottom"/>
            <w:tcBorders>
              <w:bottom w:val="single" w:sz="8" w:color="auto"/>
            </w:tcBorders>
            <w:shd w:val="clear" w:color="auto" w:fill="98B0CF"/>
          </w:tcPr>
          <w:p>
            <w:pPr>
              <w:spacing w:after="0"/>
              <w:rPr>
                <w:sz w:val="19"/>
                <w:szCs w:val="19"/>
                <w:color w:val="auto"/>
              </w:rPr>
            </w:pPr>
          </w:p>
        </w:tc>
        <w:tc>
          <w:tcPr>
            <w:tcW w:w="980" w:type="dxa"/>
            <w:vAlign w:val="bottom"/>
            <w:tcBorders>
              <w:bottom w:val="single" w:sz="8" w:color="auto"/>
            </w:tcBorders>
            <w:shd w:val="clear" w:color="auto" w:fill="98B0CF"/>
          </w:tcPr>
          <w:p>
            <w:pPr>
              <w:jc w:val="right"/>
              <w:ind w:right="491"/>
              <w:spacing w:after="0"/>
              <w:rPr>
                <w:sz w:val="20"/>
                <w:szCs w:val="20"/>
                <w:color w:val="auto"/>
              </w:rPr>
            </w:pPr>
            <w:r>
              <w:rPr>
                <w:rFonts w:ascii="Arial" w:cs="Arial" w:eastAsia="Arial" w:hAnsi="Arial"/>
                <w:sz w:val="13"/>
                <w:szCs w:val="13"/>
                <w:b w:val="1"/>
                <w:bCs w:val="1"/>
                <w:color w:val="auto"/>
              </w:rPr>
              <w:t>2023</w:t>
            </w:r>
          </w:p>
        </w:tc>
        <w:tc>
          <w:tcPr>
            <w:tcW w:w="380" w:type="dxa"/>
            <w:vAlign w:val="bottom"/>
            <w:tcBorders>
              <w:bottom w:val="single" w:sz="8" w:color="auto"/>
            </w:tcBorders>
            <w:shd w:val="clear" w:color="auto" w:fill="98B0CF"/>
          </w:tcPr>
          <w:p>
            <w:pPr>
              <w:spacing w:after="0"/>
              <w:rPr>
                <w:sz w:val="19"/>
                <w:szCs w:val="19"/>
                <w:color w:val="auto"/>
              </w:rPr>
            </w:pPr>
          </w:p>
        </w:tc>
        <w:tc>
          <w:tcPr>
            <w:tcW w:w="940" w:type="dxa"/>
            <w:vAlign w:val="bottom"/>
            <w:tcBorders>
              <w:bottom w:val="single" w:sz="8" w:color="auto"/>
            </w:tcBorders>
            <w:shd w:val="clear" w:color="auto" w:fill="98B0CF"/>
          </w:tcPr>
          <w:p>
            <w:pPr>
              <w:jc w:val="right"/>
              <w:ind w:right="451"/>
              <w:spacing w:after="0"/>
              <w:rPr>
                <w:sz w:val="20"/>
                <w:szCs w:val="20"/>
                <w:color w:val="auto"/>
              </w:rPr>
            </w:pPr>
            <w:r>
              <w:rPr>
                <w:rFonts w:ascii="Arial" w:cs="Arial" w:eastAsia="Arial" w:hAnsi="Arial"/>
                <w:sz w:val="13"/>
                <w:szCs w:val="13"/>
                <w:b w:val="1"/>
                <w:bCs w:val="1"/>
                <w:color w:val="auto"/>
              </w:rPr>
              <w:t>2022</w:t>
            </w:r>
          </w:p>
        </w:tc>
      </w:tr>
      <w:tr>
        <w:trPr>
          <w:trHeight w:val="187"/>
        </w:trPr>
        <w:tc>
          <w:tcPr>
            <w:tcW w:w="7120" w:type="dxa"/>
            <w:vAlign w:val="bottom"/>
            <w:shd w:val="clear" w:color="auto" w:fill="E2E8F1"/>
          </w:tcPr>
          <w:p>
            <w:pPr>
              <w:ind w:left="80"/>
              <w:spacing w:after="0"/>
              <w:rPr>
                <w:sz w:val="20"/>
                <w:szCs w:val="20"/>
                <w:color w:val="auto"/>
              </w:rPr>
            </w:pPr>
            <w:r>
              <w:rPr>
                <w:rFonts w:ascii="Arial" w:cs="Arial" w:eastAsia="Arial" w:hAnsi="Arial"/>
                <w:sz w:val="14"/>
                <w:szCs w:val="14"/>
                <w:color w:val="auto"/>
              </w:rPr>
              <w:t>Operating lease expense</w:t>
            </w:r>
          </w:p>
        </w:tc>
        <w:tc>
          <w:tcPr>
            <w:tcW w:w="44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shd w:val="clear" w:color="auto" w:fill="E2E8F1"/>
          </w:tcPr>
          <w:p>
            <w:pPr>
              <w:jc w:val="right"/>
              <w:ind w:right="111"/>
              <w:spacing w:after="0"/>
              <w:rPr>
                <w:sz w:val="20"/>
                <w:szCs w:val="20"/>
                <w:color w:val="auto"/>
              </w:rPr>
            </w:pPr>
            <w:r>
              <w:rPr>
                <w:rFonts w:ascii="Arial" w:cs="Arial" w:eastAsia="Arial" w:hAnsi="Arial"/>
                <w:sz w:val="14"/>
                <w:szCs w:val="14"/>
                <w:color w:val="auto"/>
              </w:rPr>
              <w:t>129.7</w:t>
            </w:r>
          </w:p>
        </w:tc>
        <w:tc>
          <w:tcPr>
            <w:tcW w:w="400" w:type="dxa"/>
            <w:vAlign w:val="bottom"/>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shd w:val="clear" w:color="auto" w:fill="E2E8F1"/>
          </w:tcPr>
          <w:p>
            <w:pPr>
              <w:jc w:val="right"/>
              <w:ind w:right="91"/>
              <w:spacing w:after="0"/>
              <w:rPr>
                <w:sz w:val="20"/>
                <w:szCs w:val="20"/>
                <w:color w:val="auto"/>
              </w:rPr>
            </w:pPr>
            <w:r>
              <w:rPr>
                <w:rFonts w:ascii="Arial" w:cs="Arial" w:eastAsia="Arial" w:hAnsi="Arial"/>
                <w:sz w:val="14"/>
                <w:szCs w:val="14"/>
                <w:color w:val="auto"/>
              </w:rPr>
              <w:t>137.4</w:t>
            </w:r>
          </w:p>
        </w:tc>
        <w:tc>
          <w:tcPr>
            <w:tcW w:w="38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132.4</w:t>
            </w:r>
          </w:p>
        </w:tc>
      </w:tr>
      <w:tr>
        <w:trPr>
          <w:trHeight w:val="189"/>
        </w:trPr>
        <w:tc>
          <w:tcPr>
            <w:tcW w:w="7120" w:type="dxa"/>
            <w:vAlign w:val="bottom"/>
          </w:tcPr>
          <w:p>
            <w:pPr>
              <w:ind w:left="80"/>
              <w:spacing w:after="0"/>
              <w:rPr>
                <w:sz w:val="20"/>
                <w:szCs w:val="20"/>
                <w:color w:val="auto"/>
              </w:rPr>
            </w:pPr>
            <w:r>
              <w:rPr>
                <w:rFonts w:ascii="Arial" w:cs="Arial" w:eastAsia="Arial" w:hAnsi="Arial"/>
                <w:sz w:val="14"/>
                <w:szCs w:val="14"/>
                <w:color w:val="auto"/>
              </w:rPr>
              <w:t>Short-term lease expense</w:t>
            </w:r>
          </w:p>
        </w:tc>
        <w:tc>
          <w:tcPr>
            <w:tcW w:w="440" w:type="dxa"/>
            <w:vAlign w:val="bottom"/>
          </w:tcPr>
          <w:p>
            <w:pPr>
              <w:spacing w:after="0"/>
              <w:rPr>
                <w:sz w:val="16"/>
                <w:szCs w:val="16"/>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15.3</w:t>
            </w:r>
          </w:p>
        </w:tc>
        <w:tc>
          <w:tcPr>
            <w:tcW w:w="40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4.9</w:t>
            </w:r>
          </w:p>
        </w:tc>
        <w:tc>
          <w:tcPr>
            <w:tcW w:w="380" w:type="dxa"/>
            <w:vAlign w:val="bottom"/>
          </w:tcPr>
          <w:p>
            <w:pPr>
              <w:spacing w:after="0"/>
              <w:rPr>
                <w:sz w:val="16"/>
                <w:szCs w:val="16"/>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5.2</w:t>
            </w:r>
          </w:p>
        </w:tc>
      </w:tr>
      <w:tr>
        <w:trPr>
          <w:trHeight w:val="189"/>
        </w:trPr>
        <w:tc>
          <w:tcPr>
            <w:tcW w:w="7120" w:type="dxa"/>
            <w:vAlign w:val="bottom"/>
            <w:tcBorders>
              <w:bottom w:val="single" w:sz="8" w:color="auto"/>
            </w:tcBorders>
            <w:shd w:val="clear" w:color="auto" w:fill="E2E8F1"/>
          </w:tcPr>
          <w:p>
            <w:pPr>
              <w:ind w:left="80"/>
              <w:spacing w:after="0" w:line="189" w:lineRule="exact"/>
              <w:rPr>
                <w:sz w:val="20"/>
                <w:szCs w:val="20"/>
                <w:color w:val="auto"/>
              </w:rPr>
            </w:pPr>
            <w:r>
              <w:rPr>
                <w:rFonts w:ascii="Arial" w:cs="Arial" w:eastAsia="Arial" w:hAnsi="Arial"/>
                <w:sz w:val="14"/>
                <w:szCs w:val="14"/>
                <w:color w:val="auto"/>
              </w:rPr>
              <w:t>Other lease expense</w:t>
            </w:r>
            <w:r>
              <w:rPr>
                <w:rFonts w:ascii="Arial" w:cs="Arial" w:eastAsia="Arial" w:hAnsi="Arial"/>
                <w:sz w:val="19"/>
                <w:szCs w:val="19"/>
                <w:color w:val="auto"/>
                <w:vertAlign w:val="superscript"/>
              </w:rPr>
              <w:t>(a)</w:t>
            </w:r>
          </w:p>
        </w:tc>
        <w:tc>
          <w:tcPr>
            <w:tcW w:w="44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111"/>
              <w:spacing w:after="0"/>
              <w:rPr>
                <w:sz w:val="20"/>
                <w:szCs w:val="20"/>
                <w:color w:val="auto"/>
              </w:rPr>
            </w:pPr>
            <w:r>
              <w:rPr>
                <w:rFonts w:ascii="Arial" w:cs="Arial" w:eastAsia="Arial" w:hAnsi="Arial"/>
                <w:sz w:val="14"/>
                <w:szCs w:val="14"/>
                <w:color w:val="auto"/>
              </w:rPr>
              <w:t>6.8</w:t>
            </w:r>
          </w:p>
        </w:tc>
        <w:tc>
          <w:tcPr>
            <w:tcW w:w="40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ind w:right="91"/>
              <w:spacing w:after="0"/>
              <w:rPr>
                <w:sz w:val="20"/>
                <w:szCs w:val="20"/>
                <w:color w:val="auto"/>
              </w:rPr>
            </w:pPr>
            <w:r>
              <w:rPr>
                <w:rFonts w:ascii="Arial" w:cs="Arial" w:eastAsia="Arial" w:hAnsi="Arial"/>
                <w:sz w:val="14"/>
                <w:szCs w:val="14"/>
                <w:color w:val="auto"/>
              </w:rPr>
              <w:t>13.1</w:t>
            </w:r>
          </w:p>
        </w:tc>
        <w:tc>
          <w:tcPr>
            <w:tcW w:w="380" w:type="dxa"/>
            <w:vAlign w:val="bottom"/>
            <w:tcBorders>
              <w:bottom w:val="single" w:sz="8" w:color="auto"/>
            </w:tcBorders>
            <w:shd w:val="clear" w:color="auto" w:fill="E2E8F1"/>
          </w:tcPr>
          <w:p>
            <w:pPr>
              <w:spacing w:after="0"/>
              <w:rPr>
                <w:sz w:val="16"/>
                <w:szCs w:val="16"/>
                <w:color w:val="auto"/>
              </w:rPr>
            </w:pPr>
          </w:p>
        </w:tc>
        <w:tc>
          <w:tcPr>
            <w:tcW w:w="940" w:type="dxa"/>
            <w:vAlign w:val="bottom"/>
            <w:tcBorders>
              <w:bottom w:val="single" w:sz="8" w:color="auto"/>
            </w:tcBorders>
            <w:shd w:val="clear" w:color="auto" w:fill="E2E8F1"/>
          </w:tcPr>
          <w:p>
            <w:pPr>
              <w:jc w:val="right"/>
              <w:ind w:right="71"/>
              <w:spacing w:after="0"/>
              <w:rPr>
                <w:sz w:val="20"/>
                <w:szCs w:val="20"/>
                <w:color w:val="auto"/>
              </w:rPr>
            </w:pPr>
            <w:r>
              <w:rPr>
                <w:rFonts w:ascii="Arial" w:cs="Arial" w:eastAsia="Arial" w:hAnsi="Arial"/>
                <w:sz w:val="14"/>
                <w:szCs w:val="14"/>
                <w:color w:val="auto"/>
              </w:rPr>
              <w:t>11.8</w:t>
            </w:r>
          </w:p>
        </w:tc>
      </w:tr>
      <w:tr>
        <w:trPr>
          <w:trHeight w:val="181"/>
        </w:trPr>
        <w:tc>
          <w:tcPr>
            <w:tcW w:w="7120" w:type="dxa"/>
            <w:vAlign w:val="bottom"/>
            <w:tcBorders>
              <w:bottom w:val="single" w:sz="8" w:color="231F20"/>
            </w:tcBorders>
          </w:tcPr>
          <w:p>
            <w:pPr>
              <w:ind w:left="240"/>
              <w:spacing w:after="0"/>
              <w:rPr>
                <w:sz w:val="20"/>
                <w:szCs w:val="20"/>
                <w:color w:val="auto"/>
              </w:rPr>
            </w:pPr>
            <w:r>
              <w:rPr>
                <w:rFonts w:ascii="Arial" w:cs="Arial" w:eastAsia="Arial" w:hAnsi="Arial"/>
                <w:sz w:val="14"/>
                <w:szCs w:val="14"/>
                <w:color w:val="auto"/>
              </w:rPr>
              <w:t>Total lease expense</w:t>
            </w:r>
          </w:p>
        </w:tc>
        <w:tc>
          <w:tcPr>
            <w:tcW w:w="440" w:type="dxa"/>
            <w:vAlign w:val="bottom"/>
            <w:tcBorders>
              <w:bottom w:val="single" w:sz="8" w:color="231F20"/>
            </w:tcBorders>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31F20"/>
            </w:tcBorders>
          </w:tcPr>
          <w:p>
            <w:pPr>
              <w:jc w:val="right"/>
              <w:ind w:right="111"/>
              <w:spacing w:after="0"/>
              <w:rPr>
                <w:sz w:val="20"/>
                <w:szCs w:val="20"/>
                <w:color w:val="auto"/>
              </w:rPr>
            </w:pPr>
            <w:r>
              <w:rPr>
                <w:rFonts w:ascii="Arial" w:cs="Arial" w:eastAsia="Arial" w:hAnsi="Arial"/>
                <w:sz w:val="14"/>
                <w:szCs w:val="14"/>
                <w:color w:val="auto"/>
              </w:rPr>
              <w:t>151.8</w:t>
            </w:r>
          </w:p>
        </w:tc>
        <w:tc>
          <w:tcPr>
            <w:tcW w:w="400" w:type="dxa"/>
            <w:vAlign w:val="bottom"/>
            <w:tcBorders>
              <w:bottom w:val="single" w:sz="8" w:color="231F20"/>
            </w:tcBorders>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1F20"/>
            </w:tcBorders>
          </w:tcPr>
          <w:p>
            <w:pPr>
              <w:jc w:val="right"/>
              <w:ind w:right="91"/>
              <w:spacing w:after="0"/>
              <w:rPr>
                <w:sz w:val="20"/>
                <w:szCs w:val="20"/>
                <w:color w:val="auto"/>
              </w:rPr>
            </w:pPr>
            <w:r>
              <w:rPr>
                <w:rFonts w:ascii="Arial" w:cs="Arial" w:eastAsia="Arial" w:hAnsi="Arial"/>
                <w:sz w:val="14"/>
                <w:szCs w:val="14"/>
                <w:color w:val="auto"/>
              </w:rPr>
              <w:t>155.4</w:t>
            </w:r>
          </w:p>
        </w:tc>
        <w:tc>
          <w:tcPr>
            <w:tcW w:w="38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31F20"/>
            </w:tcBorders>
          </w:tcPr>
          <w:p>
            <w:pPr>
              <w:jc w:val="right"/>
              <w:ind w:right="71"/>
              <w:spacing w:after="0"/>
              <w:rPr>
                <w:sz w:val="20"/>
                <w:szCs w:val="20"/>
                <w:color w:val="auto"/>
              </w:rPr>
            </w:pPr>
            <w:r>
              <w:rPr>
                <w:rFonts w:ascii="Arial" w:cs="Arial" w:eastAsia="Arial" w:hAnsi="Arial"/>
                <w:sz w:val="14"/>
                <w:szCs w:val="14"/>
                <w:color w:val="auto"/>
              </w:rPr>
              <w:t>149.4</w:t>
            </w:r>
          </w:p>
        </w:tc>
      </w:tr>
    </w:tbl>
    <w:p>
      <w:pPr>
        <w:spacing w:after="0" w:line="69" w:lineRule="exact"/>
        <w:rPr>
          <w:sz w:val="20"/>
          <w:szCs w:val="20"/>
          <w:color w:val="auto"/>
        </w:rPr>
      </w:pPr>
    </w:p>
    <w:p>
      <w:pPr>
        <w:ind w:left="325" w:hanging="325"/>
        <w:spacing w:after="0"/>
        <w:tabs>
          <w:tab w:leader="none" w:pos="325" w:val="left"/>
        </w:tabs>
        <w:numPr>
          <w:ilvl w:val="0"/>
          <w:numId w:val="54"/>
        </w:numPr>
        <w:rPr>
          <w:rFonts w:ascii="Arial" w:cs="Arial" w:eastAsia="Arial" w:hAnsi="Arial"/>
          <w:sz w:val="17"/>
          <w:szCs w:val="17"/>
          <w:color w:val="231F20"/>
          <w:vertAlign w:val="superscript"/>
        </w:rPr>
      </w:pPr>
      <w:r>
        <w:rPr>
          <w:rFonts w:ascii="Arial" w:cs="Arial" w:eastAsia="Arial" w:hAnsi="Arial"/>
          <w:sz w:val="13"/>
          <w:szCs w:val="13"/>
          <w:color w:val="231F20"/>
        </w:rPr>
        <w:t>Other lease expense includes variable lease expense and sublease income.</w:t>
      </w:r>
    </w:p>
    <w:p>
      <w:pPr>
        <w:spacing w:after="0" w:line="146" w:lineRule="exact"/>
        <w:rPr>
          <w:sz w:val="20"/>
          <w:szCs w:val="20"/>
          <w:color w:val="auto"/>
        </w:rPr>
      </w:pPr>
    </w:p>
    <w:p>
      <w:pPr>
        <w:ind w:left="5"/>
        <w:spacing w:after="0"/>
        <w:rPr>
          <w:sz w:val="20"/>
          <w:szCs w:val="20"/>
          <w:color w:val="auto"/>
        </w:rPr>
      </w:pPr>
      <w:r>
        <w:rPr>
          <w:rFonts w:ascii="Arial" w:cs="Arial" w:eastAsia="Arial" w:hAnsi="Arial"/>
          <w:sz w:val="16"/>
          <w:szCs w:val="16"/>
          <w:color w:val="231F20"/>
        </w:rPr>
        <w:t>Other information related to leases was as follows:</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5320" w:type="dxa"/>
            <w:vAlign w:val="bottom"/>
            <w:tcBorders>
              <w:top w:val="single" w:sz="8" w:color="auto"/>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Year Ended December 31</w:t>
            </w:r>
          </w:p>
        </w:tc>
        <w:tc>
          <w:tcPr>
            <w:tcW w:w="2160" w:type="dxa"/>
            <w:vAlign w:val="bottom"/>
            <w:tcBorders>
              <w:top w:val="single" w:sz="8" w:color="auto"/>
              <w:bottom w:val="single" w:sz="8" w:color="auto"/>
            </w:tcBorders>
            <w:shd w:val="clear" w:color="auto" w:fill="98B0CF"/>
          </w:tcPr>
          <w:p>
            <w:pPr>
              <w:spacing w:after="0"/>
              <w:rPr>
                <w:sz w:val="19"/>
                <w:szCs w:val="19"/>
                <w:color w:val="auto"/>
              </w:rPr>
            </w:pPr>
          </w:p>
        </w:tc>
        <w:tc>
          <w:tcPr>
            <w:tcW w:w="1060" w:type="dxa"/>
            <w:vAlign w:val="bottom"/>
            <w:tcBorders>
              <w:top w:val="single" w:sz="8" w:color="auto"/>
              <w:bottom w:val="single" w:sz="8" w:color="auto"/>
            </w:tcBorders>
            <w:shd w:val="clear" w:color="auto" w:fill="98B0CF"/>
          </w:tcPr>
          <w:p>
            <w:pPr>
              <w:jc w:val="right"/>
              <w:ind w:right="551"/>
              <w:spacing w:after="0"/>
              <w:rPr>
                <w:sz w:val="20"/>
                <w:szCs w:val="20"/>
                <w:color w:val="auto"/>
              </w:rPr>
            </w:pPr>
            <w:r>
              <w:rPr>
                <w:rFonts w:ascii="Arial" w:cs="Arial" w:eastAsia="Arial" w:hAnsi="Arial"/>
                <w:sz w:val="13"/>
                <w:szCs w:val="13"/>
                <w:b w:val="1"/>
                <w:bCs w:val="1"/>
                <w:color w:val="231F20"/>
              </w:rPr>
              <w:t>2024</w:t>
            </w:r>
          </w:p>
        </w:tc>
        <w:tc>
          <w:tcPr>
            <w:tcW w:w="340" w:type="dxa"/>
            <w:vAlign w:val="bottom"/>
            <w:tcBorders>
              <w:top w:val="single" w:sz="8" w:color="auto"/>
              <w:bottom w:val="single" w:sz="8" w:color="auto"/>
            </w:tcBorders>
            <w:shd w:val="clear" w:color="auto" w:fill="98B0CF"/>
          </w:tcPr>
          <w:p>
            <w:pPr>
              <w:spacing w:after="0"/>
              <w:rPr>
                <w:sz w:val="19"/>
                <w:szCs w:val="19"/>
                <w:color w:val="auto"/>
              </w:rPr>
            </w:pPr>
          </w:p>
        </w:tc>
        <w:tc>
          <w:tcPr>
            <w:tcW w:w="1060" w:type="dxa"/>
            <w:vAlign w:val="bottom"/>
            <w:tcBorders>
              <w:top w:val="single" w:sz="8" w:color="auto"/>
              <w:bottom w:val="single" w:sz="8" w:color="auto"/>
            </w:tcBorders>
            <w:shd w:val="clear" w:color="auto" w:fill="98B0CF"/>
          </w:tcPr>
          <w:p>
            <w:pPr>
              <w:jc w:val="right"/>
              <w:ind w:right="571"/>
              <w:spacing w:after="0"/>
              <w:rPr>
                <w:sz w:val="20"/>
                <w:szCs w:val="20"/>
                <w:color w:val="auto"/>
              </w:rPr>
            </w:pPr>
            <w:r>
              <w:rPr>
                <w:rFonts w:ascii="Arial" w:cs="Arial" w:eastAsia="Arial" w:hAnsi="Arial"/>
                <w:sz w:val="13"/>
                <w:szCs w:val="13"/>
                <w:b w:val="1"/>
                <w:bCs w:val="1"/>
                <w:color w:val="231F20"/>
              </w:rPr>
              <w:t>2023</w:t>
            </w:r>
          </w:p>
        </w:tc>
        <w:tc>
          <w:tcPr>
            <w:tcW w:w="340" w:type="dxa"/>
            <w:vAlign w:val="bottom"/>
            <w:tcBorders>
              <w:top w:val="single" w:sz="8" w:color="auto"/>
              <w:bottom w:val="single" w:sz="8" w:color="auto"/>
            </w:tcBorders>
            <w:shd w:val="clear" w:color="auto" w:fill="98B0CF"/>
          </w:tcPr>
          <w:p>
            <w:pPr>
              <w:spacing w:after="0"/>
              <w:rPr>
                <w:sz w:val="19"/>
                <w:szCs w:val="19"/>
                <w:color w:val="auto"/>
              </w:rPr>
            </w:pPr>
          </w:p>
        </w:tc>
        <w:tc>
          <w:tcPr>
            <w:tcW w:w="980" w:type="dxa"/>
            <w:vAlign w:val="bottom"/>
            <w:tcBorders>
              <w:top w:val="single" w:sz="8" w:color="auto"/>
              <w:bottom w:val="single" w:sz="8" w:color="auto"/>
            </w:tcBorders>
            <w:shd w:val="clear" w:color="auto" w:fill="98B0CF"/>
          </w:tcPr>
          <w:p>
            <w:pPr>
              <w:jc w:val="right"/>
              <w:ind w:right="491"/>
              <w:spacing w:after="0"/>
              <w:rPr>
                <w:sz w:val="20"/>
                <w:szCs w:val="20"/>
                <w:color w:val="auto"/>
              </w:rPr>
            </w:pPr>
            <w:r>
              <w:rPr>
                <w:rFonts w:ascii="Arial" w:cs="Arial" w:eastAsia="Arial" w:hAnsi="Arial"/>
                <w:sz w:val="13"/>
                <w:szCs w:val="13"/>
                <w:b w:val="1"/>
                <w:bCs w:val="1"/>
                <w:color w:val="231F20"/>
              </w:rPr>
              <w:t>2022</w:t>
            </w:r>
          </w:p>
        </w:tc>
      </w:tr>
      <w:tr>
        <w:trPr>
          <w:trHeight w:val="157"/>
        </w:trPr>
        <w:tc>
          <w:tcPr>
            <w:tcW w:w="532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color w:val="auto"/>
              </w:rPr>
              <w:t>Cash paid for amounts included in the measurement of operating lease liabilities</w:t>
            </w:r>
          </w:p>
        </w:tc>
        <w:tc>
          <w:tcPr>
            <w:tcW w:w="2160" w:type="dxa"/>
            <w:vAlign w:val="bottom"/>
            <w:shd w:val="clear" w:color="auto" w:fill="E2E8F1"/>
          </w:tcPr>
          <w:p>
            <w:pPr>
              <w:jc w:val="right"/>
              <w:ind w:right="65"/>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E2E8F1"/>
          </w:tcPr>
          <w:p>
            <w:pPr>
              <w:jc w:val="right"/>
              <w:ind w:right="191"/>
              <w:spacing w:after="0" w:line="157" w:lineRule="exact"/>
              <w:rPr>
                <w:sz w:val="20"/>
                <w:szCs w:val="20"/>
                <w:color w:val="auto"/>
              </w:rPr>
            </w:pPr>
            <w:r>
              <w:rPr>
                <w:rFonts w:ascii="Arial" w:cs="Arial" w:eastAsia="Arial" w:hAnsi="Arial"/>
                <w:sz w:val="14"/>
                <w:szCs w:val="14"/>
                <w:color w:val="auto"/>
              </w:rPr>
              <w:t>119.7</w:t>
            </w:r>
          </w:p>
        </w:tc>
        <w:tc>
          <w:tcPr>
            <w:tcW w:w="340" w:type="dxa"/>
            <w:vAlign w:val="bottom"/>
            <w:shd w:val="clear" w:color="auto" w:fill="E2E8F1"/>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E2E8F1"/>
          </w:tcPr>
          <w:p>
            <w:pPr>
              <w:jc w:val="right"/>
              <w:ind w:right="191"/>
              <w:spacing w:after="0" w:line="157" w:lineRule="exact"/>
              <w:rPr>
                <w:sz w:val="20"/>
                <w:szCs w:val="20"/>
                <w:color w:val="auto"/>
              </w:rPr>
            </w:pPr>
            <w:r>
              <w:rPr>
                <w:rFonts w:ascii="Arial" w:cs="Arial" w:eastAsia="Arial" w:hAnsi="Arial"/>
                <w:sz w:val="14"/>
                <w:szCs w:val="14"/>
                <w:color w:val="auto"/>
              </w:rPr>
              <w:t>132.0</w:t>
            </w:r>
          </w:p>
        </w:tc>
        <w:tc>
          <w:tcPr>
            <w:tcW w:w="340" w:type="dxa"/>
            <w:vAlign w:val="bottom"/>
            <w:shd w:val="clear" w:color="auto" w:fill="E2E8F1"/>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980" w:type="dxa"/>
            <w:vAlign w:val="bottom"/>
            <w:shd w:val="clear" w:color="auto" w:fill="E2E8F1"/>
          </w:tcPr>
          <w:p>
            <w:pPr>
              <w:jc w:val="right"/>
              <w:ind w:right="111"/>
              <w:spacing w:after="0" w:line="157" w:lineRule="exact"/>
              <w:rPr>
                <w:sz w:val="20"/>
                <w:szCs w:val="20"/>
                <w:color w:val="auto"/>
              </w:rPr>
            </w:pPr>
            <w:r>
              <w:rPr>
                <w:rFonts w:ascii="Arial" w:cs="Arial" w:eastAsia="Arial" w:hAnsi="Arial"/>
                <w:sz w:val="14"/>
                <w:szCs w:val="14"/>
                <w:color w:val="auto"/>
              </w:rPr>
              <w:t>127.7</w:t>
            </w:r>
          </w:p>
        </w:tc>
      </w:tr>
      <w:tr>
        <w:trPr>
          <w:trHeight w:val="166"/>
        </w:trPr>
        <w:tc>
          <w:tcPr>
            <w:tcW w:w="5320" w:type="dxa"/>
            <w:vAlign w:val="bottom"/>
          </w:tcPr>
          <w:p>
            <w:pPr>
              <w:ind w:left="80"/>
              <w:spacing w:after="0"/>
              <w:rPr>
                <w:sz w:val="20"/>
                <w:szCs w:val="20"/>
                <w:color w:val="auto"/>
              </w:rPr>
            </w:pPr>
            <w:r>
              <w:rPr>
                <w:rFonts w:ascii="Arial" w:cs="Arial" w:eastAsia="Arial" w:hAnsi="Arial"/>
                <w:sz w:val="14"/>
                <w:szCs w:val="14"/>
                <w:color w:val="auto"/>
              </w:rPr>
              <w:t>Right-of-use assets obtained in exchange for new operating lease liabilities</w:t>
            </w:r>
          </w:p>
        </w:tc>
        <w:tc>
          <w:tcPr>
            <w:tcW w:w="2160" w:type="dxa"/>
            <w:vAlign w:val="bottom"/>
          </w:tcPr>
          <w:p>
            <w:pPr>
              <w:spacing w:after="0"/>
              <w:rPr>
                <w:sz w:val="14"/>
                <w:szCs w:val="14"/>
                <w:color w:val="auto"/>
              </w:rPr>
            </w:pPr>
          </w:p>
        </w:tc>
        <w:tc>
          <w:tcPr>
            <w:tcW w:w="1060" w:type="dxa"/>
            <w:vAlign w:val="bottom"/>
          </w:tcPr>
          <w:p>
            <w:pPr>
              <w:jc w:val="right"/>
              <w:ind w:right="191"/>
              <w:spacing w:after="0"/>
              <w:rPr>
                <w:sz w:val="20"/>
                <w:szCs w:val="20"/>
                <w:color w:val="auto"/>
              </w:rPr>
            </w:pPr>
            <w:r>
              <w:rPr>
                <w:rFonts w:ascii="Arial" w:cs="Arial" w:eastAsia="Arial" w:hAnsi="Arial"/>
                <w:sz w:val="14"/>
                <w:szCs w:val="14"/>
                <w:color w:val="auto"/>
              </w:rPr>
              <w:t>82.2</w:t>
            </w:r>
          </w:p>
        </w:tc>
        <w:tc>
          <w:tcPr>
            <w:tcW w:w="340" w:type="dxa"/>
            <w:vAlign w:val="bottom"/>
          </w:tcPr>
          <w:p>
            <w:pPr>
              <w:spacing w:after="0"/>
              <w:rPr>
                <w:sz w:val="14"/>
                <w:szCs w:val="14"/>
                <w:color w:val="auto"/>
              </w:rPr>
            </w:pPr>
          </w:p>
        </w:tc>
        <w:tc>
          <w:tcPr>
            <w:tcW w:w="1060" w:type="dxa"/>
            <w:vAlign w:val="bottom"/>
          </w:tcPr>
          <w:p>
            <w:pPr>
              <w:jc w:val="right"/>
              <w:ind w:right="191"/>
              <w:spacing w:after="0"/>
              <w:rPr>
                <w:sz w:val="20"/>
                <w:szCs w:val="20"/>
                <w:color w:val="auto"/>
              </w:rPr>
            </w:pPr>
            <w:r>
              <w:rPr>
                <w:rFonts w:ascii="Arial" w:cs="Arial" w:eastAsia="Arial" w:hAnsi="Arial"/>
                <w:sz w:val="14"/>
                <w:szCs w:val="14"/>
                <w:color w:val="auto"/>
              </w:rPr>
              <w:t>135.6</w:t>
            </w:r>
          </w:p>
        </w:tc>
        <w:tc>
          <w:tcPr>
            <w:tcW w:w="340" w:type="dxa"/>
            <w:vAlign w:val="bottom"/>
          </w:tcPr>
          <w:p>
            <w:pPr>
              <w:spacing w:after="0"/>
              <w:rPr>
                <w:sz w:val="14"/>
                <w:szCs w:val="14"/>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92.5</w:t>
            </w:r>
          </w:p>
        </w:tc>
      </w:tr>
      <w:tr>
        <w:trPr>
          <w:trHeight w:val="166"/>
        </w:trPr>
        <w:tc>
          <w:tcPr>
            <w:tcW w:w="5320" w:type="dxa"/>
            <w:vAlign w:val="bottom"/>
            <w:shd w:val="clear" w:color="auto" w:fill="E2E8F1"/>
          </w:tcPr>
          <w:p>
            <w:pPr>
              <w:ind w:left="80"/>
              <w:spacing w:after="0"/>
              <w:rPr>
                <w:sz w:val="20"/>
                <w:szCs w:val="20"/>
                <w:color w:val="auto"/>
              </w:rPr>
            </w:pPr>
            <w:r>
              <w:rPr>
                <w:rFonts w:ascii="Arial" w:cs="Arial" w:eastAsia="Arial" w:hAnsi="Arial"/>
                <w:sz w:val="14"/>
                <w:szCs w:val="14"/>
                <w:color w:val="auto"/>
              </w:rPr>
              <w:t>Weighted-average remaining lease term – operating leases</w:t>
            </w:r>
          </w:p>
        </w:tc>
        <w:tc>
          <w:tcPr>
            <w:tcW w:w="2160" w:type="dxa"/>
            <w:vAlign w:val="bottom"/>
            <w:shd w:val="clear" w:color="auto" w:fill="E2E8F1"/>
          </w:tcPr>
          <w:p>
            <w:pPr>
              <w:spacing w:after="0"/>
              <w:rPr>
                <w:sz w:val="14"/>
                <w:szCs w:val="14"/>
                <w:color w:val="auto"/>
              </w:rPr>
            </w:pPr>
          </w:p>
        </w:tc>
        <w:tc>
          <w:tcPr>
            <w:tcW w:w="1060" w:type="dxa"/>
            <w:vAlign w:val="bottom"/>
            <w:shd w:val="clear" w:color="auto" w:fill="E2E8F1"/>
          </w:tcPr>
          <w:p>
            <w:pPr>
              <w:jc w:val="right"/>
              <w:ind w:right="191"/>
              <w:spacing w:after="0"/>
              <w:rPr>
                <w:sz w:val="20"/>
                <w:szCs w:val="20"/>
                <w:color w:val="auto"/>
              </w:rPr>
            </w:pPr>
            <w:r>
              <w:rPr>
                <w:rFonts w:ascii="Arial" w:cs="Arial" w:eastAsia="Arial" w:hAnsi="Arial"/>
                <w:sz w:val="14"/>
                <w:szCs w:val="14"/>
                <w:color w:val="auto"/>
              </w:rPr>
              <w:t>5.2 years</w:t>
            </w:r>
          </w:p>
        </w:tc>
        <w:tc>
          <w:tcPr>
            <w:tcW w:w="340" w:type="dxa"/>
            <w:vAlign w:val="bottom"/>
            <w:shd w:val="clear" w:color="auto" w:fill="E2E8F1"/>
          </w:tcPr>
          <w:p>
            <w:pPr>
              <w:spacing w:after="0"/>
              <w:rPr>
                <w:sz w:val="14"/>
                <w:szCs w:val="14"/>
                <w:color w:val="auto"/>
              </w:rPr>
            </w:pPr>
          </w:p>
        </w:tc>
        <w:tc>
          <w:tcPr>
            <w:tcW w:w="1060" w:type="dxa"/>
            <w:vAlign w:val="bottom"/>
            <w:shd w:val="clear" w:color="auto" w:fill="E2E8F1"/>
          </w:tcPr>
          <w:p>
            <w:pPr>
              <w:jc w:val="right"/>
              <w:ind w:right="191"/>
              <w:spacing w:after="0"/>
              <w:rPr>
                <w:sz w:val="20"/>
                <w:szCs w:val="20"/>
                <w:color w:val="auto"/>
              </w:rPr>
            </w:pPr>
            <w:r>
              <w:rPr>
                <w:rFonts w:ascii="Arial" w:cs="Arial" w:eastAsia="Arial" w:hAnsi="Arial"/>
                <w:sz w:val="14"/>
                <w:szCs w:val="14"/>
                <w:color w:val="auto"/>
              </w:rPr>
              <w:t>5.6 years</w:t>
            </w:r>
          </w:p>
        </w:tc>
        <w:tc>
          <w:tcPr>
            <w:tcW w:w="340" w:type="dxa"/>
            <w:vAlign w:val="bottom"/>
            <w:shd w:val="clear" w:color="auto" w:fill="E2E8F1"/>
          </w:tcPr>
          <w:p>
            <w:pPr>
              <w:spacing w:after="0"/>
              <w:rPr>
                <w:sz w:val="14"/>
                <w:szCs w:val="14"/>
                <w:color w:val="auto"/>
              </w:rPr>
            </w:pPr>
          </w:p>
        </w:tc>
        <w:tc>
          <w:tcPr>
            <w:tcW w:w="980" w:type="dxa"/>
            <w:vAlign w:val="bottom"/>
            <w:shd w:val="clear" w:color="auto" w:fill="E2E8F1"/>
          </w:tcPr>
          <w:p>
            <w:pPr>
              <w:jc w:val="right"/>
              <w:ind w:right="111"/>
              <w:spacing w:after="0"/>
              <w:rPr>
                <w:sz w:val="20"/>
                <w:szCs w:val="20"/>
                <w:color w:val="auto"/>
              </w:rPr>
            </w:pPr>
            <w:r>
              <w:rPr>
                <w:rFonts w:ascii="Arial" w:cs="Arial" w:eastAsia="Arial" w:hAnsi="Arial"/>
                <w:sz w:val="14"/>
                <w:szCs w:val="14"/>
                <w:color w:val="auto"/>
              </w:rPr>
              <w:t>5.3 years</w:t>
            </w:r>
          </w:p>
        </w:tc>
      </w:tr>
      <w:tr>
        <w:trPr>
          <w:trHeight w:val="166"/>
        </w:trPr>
        <w:tc>
          <w:tcPr>
            <w:tcW w:w="53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Weighted-average discount rate – operating leases</w:t>
            </w:r>
          </w:p>
        </w:tc>
        <w:tc>
          <w:tcPr>
            <w:tcW w:w="2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4.0 %</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3.8 %</w:t>
            </w: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2.9 %</w:t>
            </w:r>
          </w:p>
        </w:tc>
      </w:tr>
      <w:tr>
        <w:trPr>
          <w:trHeight w:val="562"/>
        </w:trPr>
        <w:tc>
          <w:tcPr>
            <w:tcW w:w="5320" w:type="dxa"/>
            <w:vAlign w:val="bottom"/>
          </w:tcPr>
          <w:p>
            <w:pPr>
              <w:spacing w:after="0"/>
              <w:rPr>
                <w:sz w:val="24"/>
                <w:szCs w:val="24"/>
                <w:color w:val="auto"/>
              </w:rPr>
            </w:pPr>
          </w:p>
        </w:tc>
        <w:tc>
          <w:tcPr>
            <w:tcW w:w="2160" w:type="dxa"/>
            <w:vAlign w:val="bottom"/>
          </w:tcPr>
          <w:p>
            <w:pPr>
              <w:jc w:val="right"/>
              <w:ind w:right="1685"/>
              <w:spacing w:after="0"/>
              <w:rPr>
                <w:sz w:val="20"/>
                <w:szCs w:val="20"/>
                <w:color w:val="auto"/>
              </w:rPr>
            </w:pPr>
            <w:r>
              <w:rPr>
                <w:rFonts w:ascii="Arial" w:cs="Arial" w:eastAsia="Arial" w:hAnsi="Arial"/>
                <w:sz w:val="16"/>
                <w:szCs w:val="16"/>
                <w:color w:val="auto"/>
              </w:rPr>
              <w:t>82</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51"/>
        </w:trPr>
        <w:tc>
          <w:tcPr>
            <w:tcW w:w="53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82" w:name="page83"/>
    <w:bookmarkEnd w:id="82"/>
    <w:tbl>
      <w:tblPr>
        <w:tblLayout w:type="fixed"/>
        <w:tblInd w:w="5" w:type="dxa"/>
        <w:tblCellMar>
          <w:top w:w="0" w:type="dxa"/>
          <w:left w:w="0" w:type="dxa"/>
          <w:bottom w:w="0" w:type="dxa"/>
          <w:right w:w="0" w:type="dxa"/>
        </w:tblCellMar>
      </w:tblPr>
      <w:tr>
        <w:trPr>
          <w:trHeight w:val="213"/>
        </w:trPr>
        <w:tc>
          <w:tcPr>
            <w:tcW w:w="8120" w:type="dxa"/>
            <w:vAlign w:val="bottom"/>
            <w:shd w:val="clear" w:color="auto" w:fill="5B89B4"/>
          </w:tcPr>
          <w:p>
            <w:pPr>
              <w:spacing w:after="0"/>
              <w:rPr>
                <w:sz w:val="18"/>
                <w:szCs w:val="18"/>
                <w:color w:val="auto"/>
              </w:rPr>
            </w:pPr>
          </w:p>
        </w:tc>
        <w:tc>
          <w:tcPr>
            <w:tcW w:w="360" w:type="dxa"/>
            <w:vAlign w:val="bottom"/>
            <w:shd w:val="clear" w:color="auto" w:fill="5B89B4"/>
          </w:tcPr>
          <w:p>
            <w:pPr>
              <w:spacing w:after="0"/>
              <w:rPr>
                <w:sz w:val="18"/>
                <w:szCs w:val="18"/>
                <w:color w:val="auto"/>
              </w:rPr>
            </w:pPr>
          </w:p>
        </w:tc>
        <w:tc>
          <w:tcPr>
            <w:tcW w:w="1260" w:type="dxa"/>
            <w:vAlign w:val="bottom"/>
            <w:shd w:val="clear" w:color="auto" w:fill="5B89B4"/>
          </w:tcPr>
          <w:p>
            <w:pPr>
              <w:spacing w:after="0"/>
              <w:rPr>
                <w:sz w:val="18"/>
                <w:szCs w:val="18"/>
                <w:color w:val="auto"/>
              </w:rPr>
            </w:pPr>
          </w:p>
        </w:tc>
        <w:tc>
          <w:tcPr>
            <w:tcW w:w="320" w:type="dxa"/>
            <w:vAlign w:val="bottom"/>
            <w:shd w:val="clear" w:color="auto" w:fill="5B89B4"/>
          </w:tcPr>
          <w:p>
            <w:pPr>
              <w:spacing w:after="0"/>
              <w:rPr>
                <w:sz w:val="18"/>
                <w:szCs w:val="18"/>
                <w:color w:val="auto"/>
              </w:rPr>
            </w:pPr>
          </w:p>
        </w:tc>
        <w:tc>
          <w:tcPr>
            <w:tcW w:w="1200" w:type="dxa"/>
            <w:vAlign w:val="bottom"/>
            <w:shd w:val="clear" w:color="auto" w:fill="5B89B4"/>
          </w:tcPr>
          <w:p>
            <w:pPr>
              <w:ind w:left="700"/>
              <w:spacing w:after="0"/>
              <w:rPr>
                <w:sz w:val="20"/>
                <w:szCs w:val="20"/>
                <w:color w:val="auto"/>
              </w:rPr>
            </w:pPr>
            <w:r>
              <w:rPr>
                <w:rFonts w:ascii="Arial" w:cs="Arial" w:eastAsia="Arial" w:hAnsi="Arial"/>
                <w:sz w:val="16"/>
                <w:szCs w:val="16"/>
                <w:color w:val="FFFFFF"/>
              </w:rPr>
              <w:t>Part II</w:t>
            </w:r>
          </w:p>
        </w:tc>
      </w:tr>
      <w:tr>
        <w:trPr>
          <w:trHeight w:val="296"/>
        </w:trPr>
        <w:tc>
          <w:tcPr>
            <w:tcW w:w="8120" w:type="dxa"/>
            <w:vAlign w:val="bottom"/>
            <w:tcBorders>
              <w:bottom w:val="single" w:sz="8" w:color="231F20"/>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spacing w:after="0"/>
              <w:rPr>
                <w:sz w:val="24"/>
                <w:szCs w:val="24"/>
                <w:color w:val="auto"/>
              </w:rPr>
            </w:pPr>
          </w:p>
        </w:tc>
      </w:tr>
      <w:tr>
        <w:trPr>
          <w:trHeight w:val="181"/>
        </w:trPr>
        <w:tc>
          <w:tcPr>
            <w:tcW w:w="8120" w:type="dxa"/>
            <w:vAlign w:val="bottom"/>
            <w:shd w:val="clear" w:color="auto" w:fill="98B0CF"/>
          </w:tcPr>
          <w:p>
            <w:pPr>
              <w:spacing w:after="0"/>
              <w:rPr>
                <w:sz w:val="15"/>
                <w:szCs w:val="15"/>
                <w:color w:val="auto"/>
              </w:rPr>
            </w:pPr>
          </w:p>
        </w:tc>
        <w:tc>
          <w:tcPr>
            <w:tcW w:w="360" w:type="dxa"/>
            <w:vAlign w:val="bottom"/>
            <w:shd w:val="clear" w:color="auto" w:fill="98B0CF"/>
          </w:tcPr>
          <w:p>
            <w:pPr>
              <w:spacing w:after="0"/>
              <w:rPr>
                <w:sz w:val="15"/>
                <w:szCs w:val="15"/>
                <w:color w:val="auto"/>
              </w:rPr>
            </w:pPr>
          </w:p>
        </w:tc>
        <w:tc>
          <w:tcPr>
            <w:tcW w:w="1260" w:type="dxa"/>
            <w:vAlign w:val="bottom"/>
            <w:shd w:val="clear" w:color="auto" w:fill="98B0CF"/>
          </w:tcPr>
          <w:p>
            <w:pPr>
              <w:jc w:val="right"/>
              <w:ind w:right="312"/>
              <w:spacing w:after="0"/>
              <w:rPr>
                <w:sz w:val="20"/>
                <w:szCs w:val="20"/>
                <w:color w:val="auto"/>
              </w:rPr>
            </w:pPr>
            <w:r>
              <w:rPr>
                <w:rFonts w:ascii="Arial" w:cs="Arial" w:eastAsia="Arial" w:hAnsi="Arial"/>
                <w:sz w:val="13"/>
                <w:szCs w:val="13"/>
                <w:b w:val="1"/>
                <w:bCs w:val="1"/>
                <w:color w:val="auto"/>
              </w:rPr>
              <w:t>December 31,</w:t>
            </w:r>
          </w:p>
        </w:tc>
        <w:tc>
          <w:tcPr>
            <w:tcW w:w="320" w:type="dxa"/>
            <w:vAlign w:val="bottom"/>
            <w:shd w:val="clear" w:color="auto" w:fill="98B0CF"/>
          </w:tcPr>
          <w:p>
            <w:pPr>
              <w:spacing w:after="0"/>
              <w:rPr>
                <w:sz w:val="15"/>
                <w:szCs w:val="15"/>
                <w:color w:val="auto"/>
              </w:rPr>
            </w:pPr>
          </w:p>
        </w:tc>
        <w:tc>
          <w:tcPr>
            <w:tcW w:w="1200" w:type="dxa"/>
            <w:vAlign w:val="bottom"/>
            <w:shd w:val="clear" w:color="auto" w:fill="98B0CF"/>
          </w:tcPr>
          <w:p>
            <w:pPr>
              <w:ind w:left="60"/>
              <w:spacing w:after="0"/>
              <w:rPr>
                <w:sz w:val="20"/>
                <w:szCs w:val="20"/>
                <w:color w:val="auto"/>
              </w:rPr>
            </w:pPr>
            <w:r>
              <w:rPr>
                <w:rFonts w:ascii="Arial" w:cs="Arial" w:eastAsia="Arial" w:hAnsi="Arial"/>
                <w:sz w:val="13"/>
                <w:szCs w:val="13"/>
                <w:b w:val="1"/>
                <w:bCs w:val="1"/>
                <w:color w:val="auto"/>
              </w:rPr>
              <w:t>December 31,</w:t>
            </w:r>
          </w:p>
        </w:tc>
      </w:tr>
      <w:tr>
        <w:trPr>
          <w:trHeight w:val="213"/>
        </w:trPr>
        <w:tc>
          <w:tcPr>
            <w:tcW w:w="8120" w:type="dxa"/>
            <w:vAlign w:val="bottom"/>
            <w:tcBorders>
              <w:bottom w:val="single" w:sz="8" w:color="231F20"/>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Supplemental Balance Sheet Information</w:t>
            </w:r>
          </w:p>
        </w:tc>
        <w:tc>
          <w:tcPr>
            <w:tcW w:w="360" w:type="dxa"/>
            <w:vAlign w:val="bottom"/>
            <w:tcBorders>
              <w:bottom w:val="single" w:sz="8" w:color="231F20"/>
            </w:tcBorders>
            <w:shd w:val="clear" w:color="auto" w:fill="98B0CF"/>
          </w:tcPr>
          <w:p>
            <w:pPr>
              <w:spacing w:after="0"/>
              <w:rPr>
                <w:sz w:val="18"/>
                <w:szCs w:val="18"/>
                <w:color w:val="auto"/>
              </w:rPr>
            </w:pPr>
          </w:p>
        </w:tc>
        <w:tc>
          <w:tcPr>
            <w:tcW w:w="1260" w:type="dxa"/>
            <w:vAlign w:val="bottom"/>
            <w:tcBorders>
              <w:bottom w:val="single" w:sz="8" w:color="231F20"/>
            </w:tcBorders>
            <w:shd w:val="clear" w:color="auto" w:fill="98B0CF"/>
          </w:tcPr>
          <w:p>
            <w:pPr>
              <w:jc w:val="right"/>
              <w:ind w:right="572"/>
              <w:spacing w:after="0"/>
              <w:rPr>
                <w:sz w:val="20"/>
                <w:szCs w:val="20"/>
                <w:color w:val="auto"/>
              </w:rPr>
            </w:pPr>
            <w:r>
              <w:rPr>
                <w:rFonts w:ascii="Arial" w:cs="Arial" w:eastAsia="Arial" w:hAnsi="Arial"/>
                <w:sz w:val="13"/>
                <w:szCs w:val="13"/>
                <w:b w:val="1"/>
                <w:bCs w:val="1"/>
                <w:color w:val="auto"/>
              </w:rPr>
              <w:t>2024</w:t>
            </w:r>
          </w:p>
        </w:tc>
        <w:tc>
          <w:tcPr>
            <w:tcW w:w="320" w:type="dxa"/>
            <w:vAlign w:val="bottom"/>
            <w:tcBorders>
              <w:bottom w:val="single" w:sz="8" w:color="231F20"/>
            </w:tcBorders>
            <w:shd w:val="clear" w:color="auto" w:fill="98B0CF"/>
          </w:tcPr>
          <w:p>
            <w:pPr>
              <w:spacing w:after="0"/>
              <w:rPr>
                <w:sz w:val="18"/>
                <w:szCs w:val="18"/>
                <w:color w:val="auto"/>
              </w:rPr>
            </w:pPr>
          </w:p>
        </w:tc>
        <w:tc>
          <w:tcPr>
            <w:tcW w:w="1200" w:type="dxa"/>
            <w:vAlign w:val="bottom"/>
            <w:tcBorders>
              <w:bottom w:val="single" w:sz="8" w:color="231F20"/>
            </w:tcBorders>
            <w:shd w:val="clear" w:color="auto" w:fill="98B0CF"/>
          </w:tcPr>
          <w:p>
            <w:pPr>
              <w:ind w:left="320"/>
              <w:spacing w:after="0"/>
              <w:rPr>
                <w:sz w:val="20"/>
                <w:szCs w:val="20"/>
                <w:color w:val="auto"/>
              </w:rPr>
            </w:pPr>
            <w:r>
              <w:rPr>
                <w:rFonts w:ascii="Arial" w:cs="Arial" w:eastAsia="Arial" w:hAnsi="Arial"/>
                <w:sz w:val="13"/>
                <w:szCs w:val="13"/>
                <w:b w:val="1"/>
                <w:bCs w:val="1"/>
                <w:color w:val="auto"/>
              </w:rPr>
              <w:t>2023</w:t>
            </w:r>
          </w:p>
        </w:tc>
      </w:tr>
      <w:tr>
        <w:trPr>
          <w:trHeight w:val="181"/>
        </w:trPr>
        <w:tc>
          <w:tcPr>
            <w:tcW w:w="8120" w:type="dxa"/>
            <w:vAlign w:val="bottom"/>
            <w:shd w:val="clear" w:color="auto" w:fill="E2E8F1"/>
          </w:tcPr>
          <w:p>
            <w:pPr>
              <w:ind w:left="80"/>
              <w:spacing w:after="0"/>
              <w:rPr>
                <w:sz w:val="20"/>
                <w:szCs w:val="20"/>
                <w:color w:val="auto"/>
              </w:rPr>
            </w:pPr>
            <w:r>
              <w:rPr>
                <w:rFonts w:ascii="Arial" w:cs="Arial" w:eastAsia="Arial" w:hAnsi="Arial"/>
                <w:sz w:val="14"/>
                <w:szCs w:val="14"/>
                <w:color w:val="auto"/>
              </w:rPr>
              <w:t>Operating lease right-of-use assets</w:t>
            </w:r>
          </w:p>
        </w:tc>
        <w:tc>
          <w:tcPr>
            <w:tcW w:w="3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2E8F1"/>
          </w:tcPr>
          <w:p>
            <w:pPr>
              <w:jc w:val="right"/>
              <w:ind w:right="112"/>
              <w:spacing w:after="0"/>
              <w:rPr>
                <w:sz w:val="20"/>
                <w:szCs w:val="20"/>
                <w:color w:val="auto"/>
              </w:rPr>
            </w:pPr>
            <w:r>
              <w:rPr>
                <w:rFonts w:ascii="Arial" w:cs="Arial" w:eastAsia="Arial" w:hAnsi="Arial"/>
                <w:sz w:val="14"/>
                <w:szCs w:val="14"/>
                <w:color w:val="auto"/>
              </w:rPr>
              <w:t>361.3</w:t>
            </w:r>
          </w:p>
        </w:tc>
        <w:tc>
          <w:tcPr>
            <w:tcW w:w="3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2E8F1"/>
          </w:tcPr>
          <w:p>
            <w:pPr>
              <w:ind w:left="700"/>
              <w:spacing w:after="0"/>
              <w:rPr>
                <w:sz w:val="20"/>
                <w:szCs w:val="20"/>
                <w:color w:val="auto"/>
              </w:rPr>
            </w:pPr>
            <w:r>
              <w:rPr>
                <w:rFonts w:ascii="Arial" w:cs="Arial" w:eastAsia="Arial" w:hAnsi="Arial"/>
                <w:sz w:val="14"/>
                <w:szCs w:val="14"/>
                <w:color w:val="auto"/>
              </w:rPr>
              <w:t>414.0</w:t>
            </w:r>
          </w:p>
        </w:tc>
      </w:tr>
      <w:tr>
        <w:trPr>
          <w:trHeight w:val="189"/>
        </w:trPr>
        <w:tc>
          <w:tcPr>
            <w:tcW w:w="8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8120" w:type="dxa"/>
            <w:vAlign w:val="bottom"/>
            <w:shd w:val="clear" w:color="auto" w:fill="E2E8F1"/>
          </w:tcPr>
          <w:p>
            <w:pPr>
              <w:ind w:left="80"/>
              <w:spacing w:after="0" w:line="189" w:lineRule="exact"/>
              <w:rPr>
                <w:sz w:val="20"/>
                <w:szCs w:val="20"/>
                <w:color w:val="auto"/>
              </w:rPr>
            </w:pPr>
            <w:r>
              <w:rPr>
                <w:rFonts w:ascii="Arial" w:cs="Arial" w:eastAsia="Arial" w:hAnsi="Arial"/>
                <w:sz w:val="14"/>
                <w:szCs w:val="14"/>
                <w:color w:val="auto"/>
              </w:rPr>
              <w:t>Short-term operating lease liability</w:t>
            </w:r>
            <w:r>
              <w:rPr>
                <w:rFonts w:ascii="Arial" w:cs="Arial" w:eastAsia="Arial" w:hAnsi="Arial"/>
                <w:sz w:val="19"/>
                <w:szCs w:val="19"/>
                <w:color w:val="auto"/>
                <w:vertAlign w:val="superscript"/>
              </w:rPr>
              <w:t>(a)</w:t>
            </w:r>
          </w:p>
        </w:tc>
        <w:tc>
          <w:tcPr>
            <w:tcW w:w="3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2E8F1"/>
          </w:tcPr>
          <w:p>
            <w:pPr>
              <w:jc w:val="right"/>
              <w:ind w:right="112"/>
              <w:spacing w:after="0"/>
              <w:rPr>
                <w:sz w:val="20"/>
                <w:szCs w:val="20"/>
                <w:color w:val="auto"/>
              </w:rPr>
            </w:pPr>
            <w:r>
              <w:rPr>
                <w:rFonts w:ascii="Arial" w:cs="Arial" w:eastAsia="Arial" w:hAnsi="Arial"/>
                <w:sz w:val="14"/>
                <w:szCs w:val="14"/>
                <w:color w:val="auto"/>
              </w:rPr>
              <w:t>98.6</w:t>
            </w:r>
          </w:p>
        </w:tc>
        <w:tc>
          <w:tcPr>
            <w:tcW w:w="3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2E8F1"/>
          </w:tcPr>
          <w:p>
            <w:pPr>
              <w:ind w:left="700"/>
              <w:spacing w:after="0"/>
              <w:rPr>
                <w:sz w:val="20"/>
                <w:szCs w:val="20"/>
                <w:color w:val="auto"/>
              </w:rPr>
            </w:pPr>
            <w:r>
              <w:rPr>
                <w:rFonts w:ascii="Arial" w:cs="Arial" w:eastAsia="Arial" w:hAnsi="Arial"/>
                <w:sz w:val="14"/>
                <w:szCs w:val="14"/>
                <w:color w:val="auto"/>
              </w:rPr>
              <w:t>100.2</w:t>
            </w:r>
          </w:p>
        </w:tc>
      </w:tr>
      <w:tr>
        <w:trPr>
          <w:trHeight w:val="189"/>
        </w:trPr>
        <w:tc>
          <w:tcPr>
            <w:tcW w:w="8120" w:type="dxa"/>
            <w:vAlign w:val="bottom"/>
            <w:tcBorders>
              <w:bottom w:val="single" w:sz="8" w:color="231F20"/>
            </w:tcBorders>
          </w:tcPr>
          <w:p>
            <w:pPr>
              <w:ind w:left="80"/>
              <w:spacing w:after="0"/>
              <w:rPr>
                <w:sz w:val="20"/>
                <w:szCs w:val="20"/>
                <w:color w:val="auto"/>
              </w:rPr>
            </w:pPr>
            <w:r>
              <w:rPr>
                <w:rFonts w:ascii="Arial" w:cs="Arial" w:eastAsia="Arial" w:hAnsi="Arial"/>
                <w:sz w:val="14"/>
                <w:szCs w:val="14"/>
                <w:color w:val="auto"/>
              </w:rPr>
              <w:t>Long-term operating lease liability</w:t>
            </w:r>
          </w:p>
        </w:tc>
        <w:tc>
          <w:tcPr>
            <w:tcW w:w="360" w:type="dxa"/>
            <w:vAlign w:val="bottom"/>
            <w:tcBorders>
              <w:bottom w:val="single" w:sz="8" w:color="231F20"/>
            </w:tcBorders>
          </w:tcPr>
          <w:p>
            <w:pPr>
              <w:spacing w:after="0"/>
              <w:rPr>
                <w:sz w:val="16"/>
                <w:szCs w:val="16"/>
                <w:color w:val="auto"/>
              </w:rPr>
            </w:pPr>
          </w:p>
        </w:tc>
        <w:tc>
          <w:tcPr>
            <w:tcW w:w="1260" w:type="dxa"/>
            <w:vAlign w:val="bottom"/>
            <w:tcBorders>
              <w:bottom w:val="single" w:sz="8" w:color="231F20"/>
            </w:tcBorders>
          </w:tcPr>
          <w:p>
            <w:pPr>
              <w:jc w:val="right"/>
              <w:ind w:right="112"/>
              <w:spacing w:after="0"/>
              <w:rPr>
                <w:sz w:val="20"/>
                <w:szCs w:val="20"/>
                <w:color w:val="auto"/>
              </w:rPr>
            </w:pPr>
            <w:r>
              <w:rPr>
                <w:rFonts w:ascii="Arial" w:cs="Arial" w:eastAsia="Arial" w:hAnsi="Arial"/>
                <w:sz w:val="14"/>
                <w:szCs w:val="14"/>
                <w:color w:val="auto"/>
              </w:rPr>
              <w:t>279.0</w:t>
            </w:r>
          </w:p>
        </w:tc>
        <w:tc>
          <w:tcPr>
            <w:tcW w:w="320" w:type="dxa"/>
            <w:vAlign w:val="bottom"/>
            <w:tcBorders>
              <w:bottom w:val="single" w:sz="8" w:color="231F20"/>
            </w:tcBorders>
          </w:tcPr>
          <w:p>
            <w:pPr>
              <w:spacing w:after="0"/>
              <w:rPr>
                <w:sz w:val="16"/>
                <w:szCs w:val="16"/>
                <w:color w:val="auto"/>
              </w:rPr>
            </w:pPr>
          </w:p>
        </w:tc>
        <w:tc>
          <w:tcPr>
            <w:tcW w:w="1200" w:type="dxa"/>
            <w:vAlign w:val="bottom"/>
            <w:tcBorders>
              <w:bottom w:val="single" w:sz="8" w:color="231F20"/>
            </w:tcBorders>
          </w:tcPr>
          <w:p>
            <w:pPr>
              <w:ind w:left="700"/>
              <w:spacing w:after="0"/>
              <w:rPr>
                <w:sz w:val="20"/>
                <w:szCs w:val="20"/>
                <w:color w:val="auto"/>
              </w:rPr>
            </w:pPr>
            <w:r>
              <w:rPr>
                <w:rFonts w:ascii="Arial" w:cs="Arial" w:eastAsia="Arial" w:hAnsi="Arial"/>
                <w:sz w:val="14"/>
                <w:szCs w:val="14"/>
                <w:color w:val="auto"/>
              </w:rPr>
              <w:t>323.2</w:t>
            </w:r>
          </w:p>
        </w:tc>
      </w:tr>
      <w:tr>
        <w:trPr>
          <w:trHeight w:val="181"/>
        </w:trPr>
        <w:tc>
          <w:tcPr>
            <w:tcW w:w="8120" w:type="dxa"/>
            <w:vAlign w:val="bottom"/>
            <w:tcBorders>
              <w:bottom w:val="single" w:sz="8" w:color="231F20"/>
            </w:tcBorders>
            <w:shd w:val="clear" w:color="auto" w:fill="E2E8F1"/>
          </w:tcPr>
          <w:p>
            <w:pPr>
              <w:ind w:left="240"/>
              <w:spacing w:after="0"/>
              <w:rPr>
                <w:sz w:val="20"/>
                <w:szCs w:val="20"/>
                <w:color w:val="auto"/>
              </w:rPr>
            </w:pPr>
            <w:r>
              <w:rPr>
                <w:rFonts w:ascii="Arial" w:cs="Arial" w:eastAsia="Arial" w:hAnsi="Arial"/>
                <w:sz w:val="14"/>
                <w:szCs w:val="14"/>
                <w:color w:val="auto"/>
              </w:rPr>
              <w:t>Total operating lease liabilities</w:t>
            </w:r>
          </w:p>
        </w:tc>
        <w:tc>
          <w:tcPr>
            <w:tcW w:w="3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231F20"/>
            </w:tcBorders>
            <w:shd w:val="clear" w:color="auto" w:fill="E2E8F1"/>
          </w:tcPr>
          <w:p>
            <w:pPr>
              <w:jc w:val="right"/>
              <w:ind w:right="112"/>
              <w:spacing w:after="0"/>
              <w:rPr>
                <w:sz w:val="20"/>
                <w:szCs w:val="20"/>
                <w:color w:val="auto"/>
              </w:rPr>
            </w:pPr>
            <w:r>
              <w:rPr>
                <w:rFonts w:ascii="Arial" w:cs="Arial" w:eastAsia="Arial" w:hAnsi="Arial"/>
                <w:sz w:val="14"/>
                <w:szCs w:val="14"/>
                <w:color w:val="auto"/>
              </w:rPr>
              <w:t>377.6</w:t>
            </w:r>
          </w:p>
        </w:tc>
        <w:tc>
          <w:tcPr>
            <w:tcW w:w="32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231F20"/>
            </w:tcBorders>
            <w:shd w:val="clear" w:color="auto" w:fill="E2E8F1"/>
          </w:tcPr>
          <w:p>
            <w:pPr>
              <w:ind w:left="700"/>
              <w:spacing w:after="0"/>
              <w:rPr>
                <w:sz w:val="20"/>
                <w:szCs w:val="20"/>
                <w:color w:val="auto"/>
              </w:rPr>
            </w:pPr>
            <w:r>
              <w:rPr>
                <w:rFonts w:ascii="Arial" w:cs="Arial" w:eastAsia="Arial" w:hAnsi="Arial"/>
                <w:sz w:val="14"/>
                <w:szCs w:val="14"/>
                <w:color w:val="auto"/>
              </w:rPr>
              <w:t>423.4</w:t>
            </w:r>
          </w:p>
        </w:tc>
      </w:tr>
    </w:tbl>
    <w:p>
      <w:pPr>
        <w:spacing w:after="0" w:line="145" w:lineRule="exact"/>
        <w:rPr>
          <w:sz w:val="20"/>
          <w:szCs w:val="20"/>
          <w:color w:val="auto"/>
        </w:rPr>
      </w:pPr>
    </w:p>
    <w:p>
      <w:pPr>
        <w:ind w:left="325" w:hanging="325"/>
        <w:spacing w:after="0"/>
        <w:tabs>
          <w:tab w:leader="none" w:pos="325" w:val="left"/>
        </w:tabs>
        <w:numPr>
          <w:ilvl w:val="0"/>
          <w:numId w:val="55"/>
        </w:numPr>
        <w:rPr>
          <w:rFonts w:ascii="Arial" w:cs="Arial" w:eastAsia="Arial" w:hAnsi="Arial"/>
          <w:sz w:val="19"/>
          <w:szCs w:val="19"/>
          <w:color w:val="231F20"/>
          <w:vertAlign w:val="superscript"/>
        </w:rPr>
      </w:pPr>
      <w:r>
        <w:rPr>
          <w:rFonts w:ascii="Arial" w:cs="Arial" w:eastAsia="Arial" w:hAnsi="Arial"/>
          <w:sz w:val="14"/>
          <w:szCs w:val="14"/>
          <w:color w:val="231F20"/>
        </w:rPr>
        <w:t>Short-term operating lease liability is included in accrued liabilities on our Consolidated Balance Sheets.</w:t>
      </w:r>
    </w:p>
    <w:p>
      <w:pPr>
        <w:spacing w:after="0" w:line="83" w:lineRule="exact"/>
        <w:rPr>
          <w:rFonts w:ascii="Arial" w:cs="Arial" w:eastAsia="Arial" w:hAnsi="Arial"/>
          <w:sz w:val="19"/>
          <w:szCs w:val="19"/>
          <w:color w:val="231F20"/>
          <w:vertAlign w:val="superscript"/>
        </w:rPr>
      </w:pPr>
    </w:p>
    <w:p>
      <w:pPr>
        <w:ind w:left="5"/>
        <w:spacing w:after="0"/>
        <w:rPr>
          <w:rFonts w:ascii="Arial" w:cs="Arial" w:eastAsia="Arial" w:hAnsi="Arial"/>
          <w:sz w:val="19"/>
          <w:szCs w:val="19"/>
          <w:color w:val="231F20"/>
          <w:vertAlign w:val="superscript"/>
        </w:rPr>
      </w:pPr>
      <w:r>
        <w:rPr>
          <w:rFonts w:ascii="Arial" w:cs="Arial" w:eastAsia="Arial" w:hAnsi="Arial"/>
          <w:sz w:val="16"/>
          <w:szCs w:val="16"/>
          <w:color w:val="231F20"/>
        </w:rPr>
        <w:t>Maturities of operating lease liabilities as of December 31, 2024 were as follows:</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6300" w:type="dxa"/>
            <w:vAlign w:val="bottom"/>
            <w:tcBorders>
              <w:top w:val="single" w:sz="8" w:color="231F20"/>
              <w:bottom w:val="single" w:sz="8" w:color="auto"/>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Period Ending December 31, 2024</w:t>
            </w:r>
          </w:p>
        </w:tc>
        <w:tc>
          <w:tcPr>
            <w:tcW w:w="3540" w:type="dxa"/>
            <w:vAlign w:val="bottom"/>
            <w:tcBorders>
              <w:top w:val="single" w:sz="8" w:color="231F20"/>
              <w:bottom w:val="single" w:sz="8" w:color="auto"/>
            </w:tcBorders>
            <w:shd w:val="clear" w:color="auto" w:fill="98B0CF"/>
          </w:tcPr>
          <w:p>
            <w:pPr>
              <w:spacing w:after="0"/>
              <w:rPr>
                <w:sz w:val="19"/>
                <w:szCs w:val="19"/>
                <w:color w:val="auto"/>
              </w:rPr>
            </w:pPr>
          </w:p>
        </w:tc>
        <w:tc>
          <w:tcPr>
            <w:tcW w:w="1420" w:type="dxa"/>
            <w:vAlign w:val="bottom"/>
            <w:tcBorders>
              <w:top w:val="single" w:sz="8" w:color="231F20"/>
              <w:bottom w:val="single" w:sz="8" w:color="auto"/>
            </w:tcBorders>
            <w:shd w:val="clear" w:color="auto" w:fill="98B0CF"/>
          </w:tcPr>
          <w:p>
            <w:pPr>
              <w:jc w:val="right"/>
              <w:ind w:right="250"/>
              <w:spacing w:after="0"/>
              <w:rPr>
                <w:sz w:val="20"/>
                <w:szCs w:val="20"/>
                <w:color w:val="auto"/>
              </w:rPr>
            </w:pPr>
            <w:r>
              <w:rPr>
                <w:rFonts w:ascii="Arial" w:cs="Arial" w:eastAsia="Arial" w:hAnsi="Arial"/>
                <w:sz w:val="13"/>
                <w:szCs w:val="13"/>
                <w:b w:val="1"/>
                <w:bCs w:val="1"/>
                <w:color w:val="auto"/>
                <w:w w:val="98"/>
              </w:rPr>
              <w:t>Operating Leases</w:t>
            </w:r>
          </w:p>
        </w:tc>
      </w:tr>
      <w:tr>
        <w:trPr>
          <w:trHeight w:val="181"/>
        </w:trPr>
        <w:tc>
          <w:tcPr>
            <w:tcW w:w="6300" w:type="dxa"/>
            <w:vAlign w:val="bottom"/>
            <w:shd w:val="clear" w:color="auto" w:fill="E2E8F1"/>
          </w:tcPr>
          <w:p>
            <w:pPr>
              <w:ind w:left="80"/>
              <w:spacing w:after="0"/>
              <w:rPr>
                <w:sz w:val="20"/>
                <w:szCs w:val="20"/>
                <w:color w:val="auto"/>
              </w:rPr>
            </w:pPr>
            <w:r>
              <w:rPr>
                <w:rFonts w:ascii="Arial" w:cs="Arial" w:eastAsia="Arial" w:hAnsi="Arial"/>
                <w:sz w:val="14"/>
                <w:szCs w:val="14"/>
                <w:color w:val="auto"/>
              </w:rPr>
              <w:t>2025</w:t>
            </w:r>
          </w:p>
        </w:tc>
        <w:tc>
          <w:tcPr>
            <w:tcW w:w="35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111.5</w:t>
            </w:r>
          </w:p>
        </w:tc>
      </w:tr>
      <w:tr>
        <w:trPr>
          <w:trHeight w:val="189"/>
        </w:trPr>
        <w:tc>
          <w:tcPr>
            <w:tcW w:w="6300" w:type="dxa"/>
            <w:vAlign w:val="bottom"/>
          </w:tcPr>
          <w:p>
            <w:pPr>
              <w:ind w:left="80"/>
              <w:spacing w:after="0"/>
              <w:rPr>
                <w:sz w:val="20"/>
                <w:szCs w:val="20"/>
                <w:color w:val="auto"/>
              </w:rPr>
            </w:pPr>
            <w:r>
              <w:rPr>
                <w:rFonts w:ascii="Arial" w:cs="Arial" w:eastAsia="Arial" w:hAnsi="Arial"/>
                <w:sz w:val="14"/>
                <w:szCs w:val="14"/>
                <w:color w:val="auto"/>
              </w:rPr>
              <w:t>2026</w:t>
            </w:r>
          </w:p>
        </w:tc>
        <w:tc>
          <w:tcPr>
            <w:tcW w:w="3540" w:type="dxa"/>
            <w:vAlign w:val="bottom"/>
          </w:tcPr>
          <w:p>
            <w:pPr>
              <w:spacing w:after="0"/>
              <w:rPr>
                <w:sz w:val="16"/>
                <w:szCs w:val="16"/>
                <w:color w:val="auto"/>
              </w:rPr>
            </w:pP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88.3</w:t>
            </w:r>
          </w:p>
        </w:tc>
      </w:tr>
      <w:tr>
        <w:trPr>
          <w:trHeight w:val="189"/>
        </w:trPr>
        <w:tc>
          <w:tcPr>
            <w:tcW w:w="6300" w:type="dxa"/>
            <w:vAlign w:val="bottom"/>
            <w:shd w:val="clear" w:color="auto" w:fill="E2E8F1"/>
          </w:tcPr>
          <w:p>
            <w:pPr>
              <w:ind w:left="80"/>
              <w:spacing w:after="0"/>
              <w:rPr>
                <w:sz w:val="20"/>
                <w:szCs w:val="20"/>
                <w:color w:val="auto"/>
              </w:rPr>
            </w:pPr>
            <w:r>
              <w:rPr>
                <w:rFonts w:ascii="Arial" w:cs="Arial" w:eastAsia="Arial" w:hAnsi="Arial"/>
                <w:sz w:val="14"/>
                <w:szCs w:val="14"/>
                <w:color w:val="auto"/>
              </w:rPr>
              <w:t>2027</w:t>
            </w:r>
          </w:p>
        </w:tc>
        <w:tc>
          <w:tcPr>
            <w:tcW w:w="3540" w:type="dxa"/>
            <w:vAlign w:val="bottom"/>
            <w:shd w:val="clear" w:color="auto" w:fill="E2E8F1"/>
          </w:tcPr>
          <w:p>
            <w:pPr>
              <w:spacing w:after="0"/>
              <w:rPr>
                <w:sz w:val="16"/>
                <w:szCs w:val="16"/>
                <w:color w:val="auto"/>
              </w:rPr>
            </w:pPr>
          </w:p>
        </w:tc>
        <w:tc>
          <w:tcPr>
            <w:tcW w:w="142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66.7</w:t>
            </w:r>
          </w:p>
        </w:tc>
      </w:tr>
      <w:tr>
        <w:trPr>
          <w:trHeight w:val="189"/>
        </w:trPr>
        <w:tc>
          <w:tcPr>
            <w:tcW w:w="6300" w:type="dxa"/>
            <w:vAlign w:val="bottom"/>
          </w:tcPr>
          <w:p>
            <w:pPr>
              <w:ind w:left="80"/>
              <w:spacing w:after="0"/>
              <w:rPr>
                <w:sz w:val="20"/>
                <w:szCs w:val="20"/>
                <w:color w:val="auto"/>
              </w:rPr>
            </w:pPr>
            <w:r>
              <w:rPr>
                <w:rFonts w:ascii="Arial" w:cs="Arial" w:eastAsia="Arial" w:hAnsi="Arial"/>
                <w:sz w:val="14"/>
                <w:szCs w:val="14"/>
                <w:color w:val="auto"/>
              </w:rPr>
              <w:t>2028</w:t>
            </w:r>
          </w:p>
        </w:tc>
        <w:tc>
          <w:tcPr>
            <w:tcW w:w="3540" w:type="dxa"/>
            <w:vAlign w:val="bottom"/>
          </w:tcPr>
          <w:p>
            <w:pPr>
              <w:spacing w:after="0"/>
              <w:rPr>
                <w:sz w:val="16"/>
                <w:szCs w:val="16"/>
                <w:color w:val="auto"/>
              </w:rPr>
            </w:pP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51.4</w:t>
            </w:r>
          </w:p>
        </w:tc>
      </w:tr>
      <w:tr>
        <w:trPr>
          <w:trHeight w:val="189"/>
        </w:trPr>
        <w:tc>
          <w:tcPr>
            <w:tcW w:w="6300" w:type="dxa"/>
            <w:vAlign w:val="bottom"/>
            <w:shd w:val="clear" w:color="auto" w:fill="E2E8F1"/>
          </w:tcPr>
          <w:p>
            <w:pPr>
              <w:ind w:left="80"/>
              <w:spacing w:after="0"/>
              <w:rPr>
                <w:sz w:val="20"/>
                <w:szCs w:val="20"/>
                <w:color w:val="auto"/>
              </w:rPr>
            </w:pPr>
            <w:r>
              <w:rPr>
                <w:rFonts w:ascii="Arial" w:cs="Arial" w:eastAsia="Arial" w:hAnsi="Arial"/>
                <w:sz w:val="14"/>
                <w:szCs w:val="14"/>
                <w:color w:val="auto"/>
              </w:rPr>
              <w:t>2029</w:t>
            </w:r>
          </w:p>
        </w:tc>
        <w:tc>
          <w:tcPr>
            <w:tcW w:w="3540" w:type="dxa"/>
            <w:vAlign w:val="bottom"/>
            <w:shd w:val="clear" w:color="auto" w:fill="E2E8F1"/>
          </w:tcPr>
          <w:p>
            <w:pPr>
              <w:spacing w:after="0"/>
              <w:rPr>
                <w:sz w:val="16"/>
                <w:szCs w:val="16"/>
                <w:color w:val="auto"/>
              </w:rPr>
            </w:pPr>
          </w:p>
        </w:tc>
        <w:tc>
          <w:tcPr>
            <w:tcW w:w="142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36.9</w:t>
            </w:r>
          </w:p>
        </w:tc>
      </w:tr>
      <w:tr>
        <w:trPr>
          <w:trHeight w:val="189"/>
        </w:trPr>
        <w:tc>
          <w:tcPr>
            <w:tcW w:w="6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Thereafter</w:t>
            </w:r>
          </w:p>
        </w:tc>
        <w:tc>
          <w:tcPr>
            <w:tcW w:w="35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65.6</w:t>
            </w:r>
          </w:p>
        </w:tc>
      </w:tr>
      <w:tr>
        <w:trPr>
          <w:trHeight w:val="181"/>
        </w:trPr>
        <w:tc>
          <w:tcPr>
            <w:tcW w:w="6300" w:type="dxa"/>
            <w:vAlign w:val="bottom"/>
            <w:shd w:val="clear" w:color="auto" w:fill="E2E8F1"/>
          </w:tcPr>
          <w:p>
            <w:pPr>
              <w:ind w:left="240"/>
              <w:spacing w:after="0"/>
              <w:rPr>
                <w:sz w:val="20"/>
                <w:szCs w:val="20"/>
                <w:color w:val="auto"/>
              </w:rPr>
            </w:pPr>
            <w:r>
              <w:rPr>
                <w:rFonts w:ascii="Arial" w:cs="Arial" w:eastAsia="Arial" w:hAnsi="Arial"/>
                <w:sz w:val="14"/>
                <w:szCs w:val="14"/>
                <w:color w:val="auto"/>
              </w:rPr>
              <w:t>Total future undiscounted lease payments</w:t>
            </w:r>
          </w:p>
        </w:tc>
        <w:tc>
          <w:tcPr>
            <w:tcW w:w="3540" w:type="dxa"/>
            <w:vAlign w:val="bottom"/>
            <w:shd w:val="clear" w:color="auto" w:fill="E2E8F1"/>
          </w:tcPr>
          <w:p>
            <w:pPr>
              <w:spacing w:after="0"/>
              <w:rPr>
                <w:sz w:val="15"/>
                <w:szCs w:val="15"/>
                <w:color w:val="auto"/>
              </w:rPr>
            </w:pPr>
          </w:p>
        </w:tc>
        <w:tc>
          <w:tcPr>
            <w:tcW w:w="142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420.4</w:t>
            </w:r>
          </w:p>
        </w:tc>
      </w:tr>
      <w:tr>
        <w:trPr>
          <w:trHeight w:val="189"/>
        </w:trPr>
        <w:tc>
          <w:tcPr>
            <w:tcW w:w="63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Less imputed interest</w:t>
            </w:r>
          </w:p>
        </w:tc>
        <w:tc>
          <w:tcPr>
            <w:tcW w:w="35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(42.8 )</w:t>
            </w:r>
          </w:p>
        </w:tc>
      </w:tr>
      <w:tr>
        <w:trPr>
          <w:trHeight w:val="181"/>
        </w:trPr>
        <w:tc>
          <w:tcPr>
            <w:tcW w:w="6300" w:type="dxa"/>
            <w:vAlign w:val="bottom"/>
            <w:tcBorders>
              <w:bottom w:val="single" w:sz="8" w:color="231F20"/>
            </w:tcBorders>
            <w:shd w:val="clear" w:color="auto" w:fill="E2E8F1"/>
          </w:tcPr>
          <w:p>
            <w:pPr>
              <w:ind w:left="240"/>
              <w:spacing w:after="0"/>
              <w:rPr>
                <w:sz w:val="20"/>
                <w:szCs w:val="20"/>
                <w:color w:val="auto"/>
              </w:rPr>
            </w:pPr>
            <w:r>
              <w:rPr>
                <w:rFonts w:ascii="Arial" w:cs="Arial" w:eastAsia="Arial" w:hAnsi="Arial"/>
                <w:sz w:val="14"/>
                <w:szCs w:val="14"/>
                <w:color w:val="auto"/>
              </w:rPr>
              <w:t>Total operating lease liabilities</w:t>
            </w:r>
          </w:p>
        </w:tc>
        <w:tc>
          <w:tcPr>
            <w:tcW w:w="35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377.6</w:t>
            </w:r>
          </w:p>
        </w:tc>
      </w:tr>
    </w:tbl>
    <w:p>
      <w:pPr>
        <w:spacing w:after="0" w:line="228" w:lineRule="exact"/>
        <w:rPr>
          <w:sz w:val="20"/>
          <w:szCs w:val="20"/>
          <w:color w:val="auto"/>
        </w:rPr>
      </w:pPr>
    </w:p>
    <w:p>
      <w:pPr>
        <w:ind w:left="445" w:hanging="445"/>
        <w:spacing w:after="0"/>
        <w:tabs>
          <w:tab w:leader="none" w:pos="445" w:val="left"/>
        </w:tabs>
        <w:numPr>
          <w:ilvl w:val="0"/>
          <w:numId w:val="56"/>
        </w:numPr>
        <w:rPr>
          <w:rFonts w:ascii="Arial" w:cs="Arial" w:eastAsia="Arial" w:hAnsi="Arial"/>
          <w:sz w:val="22"/>
          <w:szCs w:val="22"/>
          <w:b w:val="1"/>
          <w:bCs w:val="1"/>
          <w:color w:val="5B89B4"/>
        </w:rPr>
      </w:pPr>
      <w:r>
        <w:rPr>
          <w:rFonts w:ascii="Arial" w:cs="Arial" w:eastAsia="Arial" w:hAnsi="Arial"/>
          <w:sz w:val="22"/>
          <w:szCs w:val="22"/>
          <w:b w:val="1"/>
          <w:bCs w:val="1"/>
          <w:u w:val="single" w:color="auto"/>
          <w:color w:val="5B89B4"/>
        </w:rPr>
        <w:t>Segment Data</w:t>
      </w:r>
    </w:p>
    <w:p>
      <w:pPr>
        <w:spacing w:after="0" w:line="167" w:lineRule="exact"/>
        <w:rPr>
          <w:sz w:val="20"/>
          <w:szCs w:val="20"/>
          <w:color w:val="auto"/>
        </w:rPr>
      </w:pPr>
    </w:p>
    <w:p>
      <w:pPr>
        <w:jc w:val="both"/>
        <w:ind w:left="5"/>
        <w:spacing w:after="0" w:line="260" w:lineRule="auto"/>
        <w:rPr>
          <w:sz w:val="20"/>
          <w:szCs w:val="20"/>
          <w:color w:val="auto"/>
        </w:rPr>
      </w:pPr>
      <w:r>
        <w:rPr>
          <w:rFonts w:ascii="Arial" w:cs="Arial" w:eastAsia="Arial" w:hAnsi="Arial"/>
          <w:sz w:val="16"/>
          <w:szCs w:val="16"/>
          <w:color w:val="231F20"/>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122" w:lineRule="exact"/>
        <w:rPr>
          <w:sz w:val="20"/>
          <w:szCs w:val="20"/>
          <w:color w:val="auto"/>
        </w:rPr>
      </w:pPr>
    </w:p>
    <w:p>
      <w:pPr>
        <w:jc w:val="both"/>
        <w:ind w:left="5" w:right="20"/>
        <w:spacing w:after="0" w:line="241" w:lineRule="auto"/>
        <w:rPr>
          <w:sz w:val="20"/>
          <w:szCs w:val="20"/>
          <w:color w:val="auto"/>
        </w:rPr>
      </w:pPr>
      <w:r>
        <w:rPr>
          <w:rFonts w:ascii="Arial" w:cs="Arial" w:eastAsia="Arial" w:hAnsi="Arial"/>
          <w:sz w:val="16"/>
          <w:szCs w:val="16"/>
          <w:color w:val="231F20"/>
        </w:rPr>
        <w:t>Our chief operating decision maker ("CODM") is our Chief Executive Officer, who evaluates the performance of our operating segments using operating unit profit ("OUP"). OUP serves as the measure of profitability for monitoring actual results against budgeted expectations as well as investment and resource allocation among our segments. In addition, the CODM utilizes OUP in conducting competitive analysis, benchmarking our performance against that of our competitors and determining compensation.</w:t>
      </w:r>
    </w:p>
    <w:p>
      <w:pPr>
        <w:spacing w:after="0" w:line="124"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231F20"/>
        </w:rPr>
        <w:t>We are organized and managed primarily on a geographic basis. Each country and business unit generally has its own distinct operations and management team, providing services under our global brands and maintains its own financial reports.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24"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231F20"/>
        </w:rPr>
        <w:t>The segments derive a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29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7" w:right="319" w:bottom="1440" w:gutter="0" w:footer="0" w:header="0"/>
        </w:sectPr>
      </w:pPr>
    </w:p>
    <w:bookmarkStart w:id="83" w:name="page84"/>
    <w:bookmarkEnd w:id="83"/>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74" w:lineRule="exact"/>
        <w:rPr>
          <w:sz w:val="20"/>
          <w:szCs w:val="20"/>
          <w:color w:val="auto"/>
        </w:rPr>
      </w:pPr>
    </w:p>
    <w:p>
      <w:pPr>
        <w:ind w:left="5"/>
        <w:spacing w:after="0"/>
        <w:rPr>
          <w:sz w:val="20"/>
          <w:szCs w:val="20"/>
          <w:color w:val="auto"/>
        </w:rPr>
      </w:pPr>
      <w:r>
        <w:rPr>
          <w:rFonts w:ascii="Arial" w:cs="Arial" w:eastAsia="Arial" w:hAnsi="Arial"/>
          <w:sz w:val="16"/>
          <w:szCs w:val="16"/>
          <w:color w:val="231F20"/>
        </w:rPr>
        <w:t>Total assets for the segments are reported after the elimination of investments in subsidiaries and intercompany accounts.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26"/>
        </w:trPr>
        <w:tc>
          <w:tcPr>
            <w:tcW w:w="5220" w:type="dxa"/>
            <w:vAlign w:val="bottom"/>
            <w:tcBorders>
              <w:top w:val="single" w:sz="8" w:color="231F20"/>
            </w:tcBorders>
            <w:shd w:val="clear" w:color="auto" w:fill="98B0CF"/>
          </w:tcPr>
          <w:p>
            <w:pPr>
              <w:spacing w:after="0"/>
              <w:rPr>
                <w:sz w:val="10"/>
                <w:szCs w:val="10"/>
                <w:color w:val="auto"/>
              </w:rPr>
            </w:pPr>
          </w:p>
        </w:tc>
        <w:tc>
          <w:tcPr>
            <w:tcW w:w="220" w:type="dxa"/>
            <w:vAlign w:val="bottom"/>
            <w:tcBorders>
              <w:top w:val="single" w:sz="8" w:color="231F20"/>
            </w:tcBorders>
            <w:shd w:val="clear" w:color="auto" w:fill="98B0CF"/>
          </w:tcPr>
          <w:p>
            <w:pPr>
              <w:spacing w:after="0"/>
              <w:rPr>
                <w:sz w:val="10"/>
                <w:szCs w:val="10"/>
                <w:color w:val="auto"/>
              </w:rPr>
            </w:pPr>
          </w:p>
        </w:tc>
        <w:tc>
          <w:tcPr>
            <w:tcW w:w="1140" w:type="dxa"/>
            <w:vAlign w:val="bottom"/>
            <w:tcBorders>
              <w:top w:val="single" w:sz="8" w:color="231F20"/>
            </w:tcBorders>
            <w:shd w:val="clear" w:color="auto" w:fill="98B0CF"/>
          </w:tcPr>
          <w:p>
            <w:pPr>
              <w:spacing w:after="0"/>
              <w:rPr>
                <w:sz w:val="10"/>
                <w:szCs w:val="10"/>
                <w:color w:val="auto"/>
              </w:rPr>
            </w:pPr>
          </w:p>
        </w:tc>
        <w:tc>
          <w:tcPr>
            <w:tcW w:w="200" w:type="dxa"/>
            <w:vAlign w:val="bottom"/>
            <w:tcBorders>
              <w:top w:val="single" w:sz="8" w:color="231F20"/>
            </w:tcBorders>
            <w:shd w:val="clear" w:color="auto" w:fill="98B0CF"/>
          </w:tcPr>
          <w:p>
            <w:pPr>
              <w:spacing w:after="0"/>
              <w:rPr>
                <w:sz w:val="10"/>
                <w:szCs w:val="10"/>
                <w:color w:val="auto"/>
              </w:rPr>
            </w:pPr>
          </w:p>
        </w:tc>
        <w:tc>
          <w:tcPr>
            <w:tcW w:w="100" w:type="dxa"/>
            <w:vAlign w:val="bottom"/>
            <w:tcBorders>
              <w:top w:val="single" w:sz="8" w:color="231F20"/>
            </w:tcBorders>
            <w:shd w:val="clear" w:color="auto" w:fill="98B0CF"/>
          </w:tcPr>
          <w:p>
            <w:pPr>
              <w:spacing w:after="0"/>
              <w:rPr>
                <w:sz w:val="10"/>
                <w:szCs w:val="10"/>
                <w:color w:val="auto"/>
              </w:rPr>
            </w:pPr>
          </w:p>
        </w:tc>
        <w:tc>
          <w:tcPr>
            <w:tcW w:w="1260" w:type="dxa"/>
            <w:vAlign w:val="bottom"/>
            <w:tcBorders>
              <w:top w:val="single" w:sz="8" w:color="231F20"/>
            </w:tcBorders>
            <w:shd w:val="clear" w:color="auto" w:fill="98B0CF"/>
          </w:tcPr>
          <w:p>
            <w:pPr>
              <w:spacing w:after="0"/>
              <w:rPr>
                <w:sz w:val="10"/>
                <w:szCs w:val="10"/>
                <w:color w:val="auto"/>
              </w:rPr>
            </w:pPr>
          </w:p>
        </w:tc>
        <w:tc>
          <w:tcPr>
            <w:tcW w:w="180" w:type="dxa"/>
            <w:vAlign w:val="bottom"/>
            <w:tcBorders>
              <w:top w:val="single" w:sz="8" w:color="231F20"/>
            </w:tcBorders>
            <w:shd w:val="clear" w:color="auto" w:fill="98B0CF"/>
          </w:tcPr>
          <w:p>
            <w:pPr>
              <w:spacing w:after="0"/>
              <w:rPr>
                <w:sz w:val="10"/>
                <w:szCs w:val="10"/>
                <w:color w:val="auto"/>
              </w:rPr>
            </w:pPr>
          </w:p>
        </w:tc>
        <w:tc>
          <w:tcPr>
            <w:tcW w:w="140" w:type="dxa"/>
            <w:vAlign w:val="bottom"/>
            <w:tcBorders>
              <w:top w:val="single" w:sz="8" w:color="231F20"/>
            </w:tcBorders>
            <w:shd w:val="clear" w:color="auto" w:fill="98B0CF"/>
          </w:tcPr>
          <w:p>
            <w:pPr>
              <w:spacing w:after="0"/>
              <w:rPr>
                <w:sz w:val="10"/>
                <w:szCs w:val="10"/>
                <w:color w:val="auto"/>
              </w:rPr>
            </w:pPr>
          </w:p>
        </w:tc>
        <w:tc>
          <w:tcPr>
            <w:tcW w:w="1240" w:type="dxa"/>
            <w:vAlign w:val="bottom"/>
            <w:tcBorders>
              <w:top w:val="single" w:sz="8" w:color="231F20"/>
            </w:tcBorders>
            <w:shd w:val="clear" w:color="auto" w:fill="98B0CF"/>
          </w:tcPr>
          <w:p>
            <w:pPr>
              <w:jc w:val="center"/>
              <w:ind w:right="191"/>
              <w:spacing w:after="0" w:line="126" w:lineRule="exact"/>
              <w:rPr>
                <w:sz w:val="20"/>
                <w:szCs w:val="20"/>
                <w:color w:val="auto"/>
              </w:rPr>
            </w:pPr>
            <w:r>
              <w:rPr>
                <w:rFonts w:ascii="Arial" w:cs="Arial" w:eastAsia="Arial" w:hAnsi="Arial"/>
                <w:sz w:val="13"/>
                <w:szCs w:val="13"/>
                <w:b w:val="1"/>
                <w:bCs w:val="1"/>
                <w:color w:val="231F20"/>
                <w:w w:val="95"/>
              </w:rPr>
              <w:t>Selling and</w:t>
            </w:r>
          </w:p>
        </w:tc>
        <w:tc>
          <w:tcPr>
            <w:tcW w:w="160" w:type="dxa"/>
            <w:vAlign w:val="bottom"/>
            <w:tcBorders>
              <w:top w:val="single" w:sz="8" w:color="231F20"/>
            </w:tcBorders>
            <w:shd w:val="clear" w:color="auto" w:fill="98B0CF"/>
          </w:tcPr>
          <w:p>
            <w:pPr>
              <w:spacing w:after="0"/>
              <w:rPr>
                <w:sz w:val="10"/>
                <w:szCs w:val="10"/>
                <w:color w:val="auto"/>
              </w:rPr>
            </w:pPr>
          </w:p>
        </w:tc>
        <w:tc>
          <w:tcPr>
            <w:tcW w:w="300" w:type="dxa"/>
            <w:vAlign w:val="bottom"/>
            <w:tcBorders>
              <w:top w:val="single" w:sz="8" w:color="231F20"/>
            </w:tcBorders>
            <w:shd w:val="clear" w:color="auto" w:fill="98B0CF"/>
          </w:tcPr>
          <w:p>
            <w:pPr>
              <w:spacing w:after="0"/>
              <w:rPr>
                <w:sz w:val="10"/>
                <w:szCs w:val="10"/>
                <w:color w:val="auto"/>
              </w:rPr>
            </w:pPr>
          </w:p>
        </w:tc>
        <w:tc>
          <w:tcPr>
            <w:tcW w:w="1100" w:type="dxa"/>
            <w:vAlign w:val="bottom"/>
            <w:tcBorders>
              <w:top w:val="single" w:sz="8" w:color="231F20"/>
            </w:tcBorders>
            <w:shd w:val="clear" w:color="auto" w:fill="98B0CF"/>
          </w:tcPr>
          <w:p>
            <w:pPr>
              <w:spacing w:after="0"/>
              <w:rPr>
                <w:sz w:val="10"/>
                <w:szCs w:val="10"/>
                <w:color w:val="auto"/>
              </w:rPr>
            </w:pPr>
          </w:p>
        </w:tc>
      </w:tr>
      <w:tr>
        <w:trPr>
          <w:trHeight w:val="142"/>
        </w:trPr>
        <w:tc>
          <w:tcPr>
            <w:tcW w:w="522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114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260" w:type="dxa"/>
            <w:vAlign w:val="bottom"/>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1240" w:type="dxa"/>
            <w:vAlign w:val="bottom"/>
            <w:shd w:val="clear" w:color="auto" w:fill="98B0CF"/>
          </w:tcPr>
          <w:p>
            <w:pPr>
              <w:jc w:val="center"/>
              <w:ind w:right="191"/>
              <w:spacing w:after="0" w:line="142" w:lineRule="exact"/>
              <w:rPr>
                <w:sz w:val="20"/>
                <w:szCs w:val="20"/>
                <w:color w:val="auto"/>
              </w:rPr>
            </w:pPr>
            <w:r>
              <w:rPr>
                <w:rFonts w:ascii="Arial" w:cs="Arial" w:eastAsia="Arial" w:hAnsi="Arial"/>
                <w:sz w:val="13"/>
                <w:szCs w:val="13"/>
                <w:b w:val="1"/>
                <w:bCs w:val="1"/>
                <w:color w:val="231F20"/>
                <w:w w:val="95"/>
              </w:rPr>
              <w:t>Administrative</w:t>
            </w:r>
          </w:p>
        </w:tc>
        <w:tc>
          <w:tcPr>
            <w:tcW w:w="160" w:type="dxa"/>
            <w:vAlign w:val="bottom"/>
            <w:shd w:val="clear" w:color="auto" w:fill="98B0CF"/>
          </w:tcPr>
          <w:p>
            <w:pPr>
              <w:spacing w:after="0"/>
              <w:rPr>
                <w:sz w:val="12"/>
                <w:szCs w:val="12"/>
                <w:color w:val="auto"/>
              </w:rPr>
            </w:pPr>
          </w:p>
        </w:tc>
        <w:tc>
          <w:tcPr>
            <w:tcW w:w="300" w:type="dxa"/>
            <w:vAlign w:val="bottom"/>
            <w:shd w:val="clear" w:color="auto" w:fill="98B0CF"/>
          </w:tcPr>
          <w:p>
            <w:pPr>
              <w:spacing w:after="0"/>
              <w:rPr>
                <w:sz w:val="12"/>
                <w:szCs w:val="12"/>
                <w:color w:val="auto"/>
              </w:rPr>
            </w:pPr>
          </w:p>
        </w:tc>
        <w:tc>
          <w:tcPr>
            <w:tcW w:w="1100" w:type="dxa"/>
            <w:vAlign w:val="bottom"/>
            <w:shd w:val="clear" w:color="auto" w:fill="98B0CF"/>
          </w:tcPr>
          <w:p>
            <w:pPr>
              <w:spacing w:after="0"/>
              <w:rPr>
                <w:sz w:val="12"/>
                <w:szCs w:val="12"/>
                <w:color w:val="auto"/>
              </w:rPr>
            </w:pPr>
          </w:p>
        </w:tc>
      </w:tr>
      <w:tr>
        <w:trPr>
          <w:trHeight w:val="150"/>
        </w:trPr>
        <w:tc>
          <w:tcPr>
            <w:tcW w:w="5220" w:type="dxa"/>
            <w:vAlign w:val="bottom"/>
            <w:shd w:val="clear" w:color="auto" w:fill="98B0CF"/>
          </w:tcPr>
          <w:p>
            <w:pPr>
              <w:ind w:left="80"/>
              <w:spacing w:after="0"/>
              <w:rPr>
                <w:sz w:val="20"/>
                <w:szCs w:val="20"/>
                <w:color w:val="auto"/>
              </w:rPr>
            </w:pPr>
            <w:r>
              <w:rPr>
                <w:rFonts w:ascii="Arial" w:cs="Arial" w:eastAsia="Arial" w:hAnsi="Arial"/>
                <w:sz w:val="13"/>
                <w:szCs w:val="13"/>
                <w:b w:val="1"/>
                <w:bCs w:val="1"/>
                <w:color w:val="231F20"/>
              </w:rPr>
              <w:t>Year Ended December 31, 2024</w:t>
            </w:r>
          </w:p>
        </w:tc>
        <w:tc>
          <w:tcPr>
            <w:tcW w:w="220" w:type="dxa"/>
            <w:vAlign w:val="bottom"/>
            <w:shd w:val="clear" w:color="auto" w:fill="98B0CF"/>
          </w:tcPr>
          <w:p>
            <w:pPr>
              <w:spacing w:after="0"/>
              <w:rPr>
                <w:sz w:val="13"/>
                <w:szCs w:val="13"/>
                <w:color w:val="auto"/>
              </w:rPr>
            </w:pPr>
          </w:p>
        </w:tc>
        <w:tc>
          <w:tcPr>
            <w:tcW w:w="1140" w:type="dxa"/>
            <w:vAlign w:val="bottom"/>
            <w:shd w:val="clear" w:color="auto" w:fill="98B0CF"/>
          </w:tcPr>
          <w:p>
            <w:pPr>
              <w:jc w:val="right"/>
              <w:ind w:right="410"/>
              <w:spacing w:after="0"/>
              <w:rPr>
                <w:sz w:val="20"/>
                <w:szCs w:val="20"/>
                <w:color w:val="auto"/>
              </w:rPr>
            </w:pPr>
            <w:r>
              <w:rPr>
                <w:rFonts w:ascii="Arial" w:cs="Arial" w:eastAsia="Arial" w:hAnsi="Arial"/>
                <w:sz w:val="13"/>
                <w:szCs w:val="13"/>
                <w:b w:val="1"/>
                <w:bCs w:val="1"/>
                <w:color w:val="231F20"/>
              </w:rPr>
              <w:t>Revenue</w:t>
            </w:r>
          </w:p>
        </w:tc>
        <w:tc>
          <w:tcPr>
            <w:tcW w:w="200" w:type="dxa"/>
            <w:vAlign w:val="bottom"/>
            <w:shd w:val="clear" w:color="auto" w:fill="98B0CF"/>
          </w:tcPr>
          <w:p>
            <w:pPr>
              <w:spacing w:after="0"/>
              <w:rPr>
                <w:sz w:val="13"/>
                <w:szCs w:val="13"/>
                <w:color w:val="auto"/>
              </w:rPr>
            </w:pPr>
          </w:p>
        </w:tc>
        <w:tc>
          <w:tcPr>
            <w:tcW w:w="100" w:type="dxa"/>
            <w:vAlign w:val="bottom"/>
            <w:shd w:val="clear" w:color="auto" w:fill="98B0CF"/>
          </w:tcPr>
          <w:p>
            <w:pPr>
              <w:spacing w:after="0"/>
              <w:rPr>
                <w:sz w:val="13"/>
                <w:szCs w:val="13"/>
                <w:color w:val="auto"/>
              </w:rPr>
            </w:pPr>
          </w:p>
        </w:tc>
        <w:tc>
          <w:tcPr>
            <w:tcW w:w="1260" w:type="dxa"/>
            <w:vAlign w:val="bottom"/>
            <w:shd w:val="clear" w:color="auto" w:fill="98B0CF"/>
          </w:tcPr>
          <w:p>
            <w:pPr>
              <w:jc w:val="right"/>
              <w:ind w:right="170"/>
              <w:spacing w:after="0"/>
              <w:rPr>
                <w:sz w:val="20"/>
                <w:szCs w:val="20"/>
                <w:color w:val="auto"/>
              </w:rPr>
            </w:pPr>
            <w:r>
              <w:rPr>
                <w:rFonts w:ascii="Arial" w:cs="Arial" w:eastAsia="Arial" w:hAnsi="Arial"/>
                <w:sz w:val="13"/>
                <w:szCs w:val="13"/>
                <w:b w:val="1"/>
                <w:bCs w:val="1"/>
                <w:color w:val="231F20"/>
                <w:w w:val="98"/>
              </w:rPr>
              <w:t>Cost of Services</w:t>
            </w:r>
          </w:p>
        </w:tc>
        <w:tc>
          <w:tcPr>
            <w:tcW w:w="180" w:type="dxa"/>
            <w:vAlign w:val="bottom"/>
            <w:shd w:val="clear" w:color="auto" w:fill="98B0CF"/>
          </w:tcPr>
          <w:p>
            <w:pPr>
              <w:spacing w:after="0"/>
              <w:rPr>
                <w:sz w:val="13"/>
                <w:szCs w:val="13"/>
                <w:color w:val="auto"/>
              </w:rPr>
            </w:pPr>
          </w:p>
        </w:tc>
        <w:tc>
          <w:tcPr>
            <w:tcW w:w="140" w:type="dxa"/>
            <w:vAlign w:val="bottom"/>
            <w:shd w:val="clear" w:color="auto" w:fill="98B0CF"/>
          </w:tcPr>
          <w:p>
            <w:pPr>
              <w:spacing w:after="0"/>
              <w:rPr>
                <w:sz w:val="13"/>
                <w:szCs w:val="13"/>
                <w:color w:val="auto"/>
              </w:rPr>
            </w:pPr>
          </w:p>
        </w:tc>
        <w:tc>
          <w:tcPr>
            <w:tcW w:w="1240" w:type="dxa"/>
            <w:vAlign w:val="bottom"/>
            <w:shd w:val="clear" w:color="auto" w:fill="98B0CF"/>
          </w:tcPr>
          <w:p>
            <w:pPr>
              <w:jc w:val="center"/>
              <w:ind w:right="191"/>
              <w:spacing w:after="0"/>
              <w:rPr>
                <w:sz w:val="20"/>
                <w:szCs w:val="20"/>
                <w:color w:val="auto"/>
              </w:rPr>
            </w:pPr>
            <w:r>
              <w:rPr>
                <w:rFonts w:ascii="Arial" w:cs="Arial" w:eastAsia="Arial" w:hAnsi="Arial"/>
                <w:sz w:val="13"/>
                <w:szCs w:val="13"/>
                <w:b w:val="1"/>
                <w:bCs w:val="1"/>
                <w:color w:val="231F20"/>
                <w:w w:val="95"/>
              </w:rPr>
              <w:t>Expenses</w:t>
            </w:r>
          </w:p>
        </w:tc>
        <w:tc>
          <w:tcPr>
            <w:tcW w:w="160" w:type="dxa"/>
            <w:vAlign w:val="bottom"/>
            <w:shd w:val="clear" w:color="auto" w:fill="98B0CF"/>
          </w:tcPr>
          <w:p>
            <w:pPr>
              <w:spacing w:after="0"/>
              <w:rPr>
                <w:sz w:val="13"/>
                <w:szCs w:val="13"/>
                <w:color w:val="auto"/>
              </w:rPr>
            </w:pPr>
          </w:p>
        </w:tc>
        <w:tc>
          <w:tcPr>
            <w:tcW w:w="300" w:type="dxa"/>
            <w:vAlign w:val="bottom"/>
            <w:shd w:val="clear" w:color="auto" w:fill="98B0CF"/>
          </w:tcPr>
          <w:p>
            <w:pPr>
              <w:spacing w:after="0"/>
              <w:rPr>
                <w:sz w:val="13"/>
                <w:szCs w:val="13"/>
                <w:color w:val="auto"/>
              </w:rPr>
            </w:pPr>
          </w:p>
        </w:tc>
        <w:tc>
          <w:tcPr>
            <w:tcW w:w="1100" w:type="dxa"/>
            <w:vAlign w:val="bottom"/>
            <w:shd w:val="clear" w:color="auto" w:fill="98B0CF"/>
          </w:tcPr>
          <w:p>
            <w:pPr>
              <w:jc w:val="right"/>
              <w:ind w:right="549"/>
              <w:spacing w:after="0"/>
              <w:rPr>
                <w:sz w:val="20"/>
                <w:szCs w:val="20"/>
                <w:color w:val="auto"/>
              </w:rPr>
            </w:pPr>
            <w:r>
              <w:rPr>
                <w:rFonts w:ascii="Arial" w:cs="Arial" w:eastAsia="Arial" w:hAnsi="Arial"/>
                <w:sz w:val="13"/>
                <w:szCs w:val="13"/>
                <w:b w:val="1"/>
                <w:bCs w:val="1"/>
                <w:color w:val="231F20"/>
              </w:rPr>
              <w:t>OUP</w:t>
            </w:r>
          </w:p>
        </w:tc>
      </w:tr>
      <w:tr>
        <w:trPr>
          <w:trHeight w:val="189"/>
        </w:trPr>
        <w:tc>
          <w:tcPr>
            <w:tcW w:w="5220" w:type="dxa"/>
            <w:vAlign w:val="bottom"/>
            <w:shd w:val="clear" w:color="auto" w:fill="E3E8F1"/>
          </w:tcPr>
          <w:p>
            <w:pPr>
              <w:ind w:left="80"/>
              <w:spacing w:after="0"/>
              <w:rPr>
                <w:sz w:val="20"/>
                <w:szCs w:val="20"/>
                <w:color w:val="auto"/>
              </w:rPr>
            </w:pPr>
            <w:r>
              <w:rPr>
                <w:rFonts w:ascii="Arial" w:cs="Arial" w:eastAsia="Arial" w:hAnsi="Arial"/>
                <w:sz w:val="14"/>
                <w:szCs w:val="14"/>
                <w:color w:val="231F20"/>
              </w:rPr>
              <w:t>Americas:</w:t>
            </w:r>
          </w:p>
        </w:tc>
        <w:tc>
          <w:tcPr>
            <w:tcW w:w="220" w:type="dxa"/>
            <w:vAlign w:val="bottom"/>
            <w:shd w:val="clear" w:color="auto" w:fill="E3E8F1"/>
          </w:tcPr>
          <w:p>
            <w:pPr>
              <w:spacing w:after="0"/>
              <w:rPr>
                <w:sz w:val="16"/>
                <w:szCs w:val="16"/>
                <w:color w:val="auto"/>
              </w:rPr>
            </w:pPr>
          </w:p>
        </w:tc>
        <w:tc>
          <w:tcPr>
            <w:tcW w:w="1140" w:type="dxa"/>
            <w:vAlign w:val="bottom"/>
            <w:shd w:val="clear" w:color="auto" w:fill="E3E8F1"/>
          </w:tcPr>
          <w:p>
            <w:pPr>
              <w:spacing w:after="0"/>
              <w:rPr>
                <w:sz w:val="16"/>
                <w:szCs w:val="16"/>
                <w:color w:val="auto"/>
              </w:rPr>
            </w:pPr>
          </w:p>
        </w:tc>
        <w:tc>
          <w:tcPr>
            <w:tcW w:w="200" w:type="dxa"/>
            <w:vAlign w:val="bottom"/>
            <w:shd w:val="clear" w:color="auto" w:fill="E3E8F1"/>
          </w:tcPr>
          <w:p>
            <w:pPr>
              <w:spacing w:after="0"/>
              <w:rPr>
                <w:sz w:val="16"/>
                <w:szCs w:val="16"/>
                <w:color w:val="auto"/>
              </w:rPr>
            </w:pPr>
          </w:p>
        </w:tc>
        <w:tc>
          <w:tcPr>
            <w:tcW w:w="100" w:type="dxa"/>
            <w:vAlign w:val="bottom"/>
            <w:shd w:val="clear" w:color="auto" w:fill="E3E8F1"/>
          </w:tcPr>
          <w:p>
            <w:pPr>
              <w:spacing w:after="0"/>
              <w:rPr>
                <w:sz w:val="16"/>
                <w:szCs w:val="16"/>
                <w:color w:val="auto"/>
              </w:rPr>
            </w:pPr>
          </w:p>
        </w:tc>
        <w:tc>
          <w:tcPr>
            <w:tcW w:w="1260" w:type="dxa"/>
            <w:vAlign w:val="bottom"/>
            <w:shd w:val="clear" w:color="auto" w:fill="E3E8F1"/>
          </w:tcPr>
          <w:p>
            <w:pPr>
              <w:spacing w:after="0"/>
              <w:rPr>
                <w:sz w:val="16"/>
                <w:szCs w:val="16"/>
                <w:color w:val="auto"/>
              </w:rPr>
            </w:pPr>
          </w:p>
        </w:tc>
        <w:tc>
          <w:tcPr>
            <w:tcW w:w="180" w:type="dxa"/>
            <w:vAlign w:val="bottom"/>
            <w:shd w:val="clear" w:color="auto" w:fill="E3E8F1"/>
          </w:tcPr>
          <w:p>
            <w:pPr>
              <w:spacing w:after="0"/>
              <w:rPr>
                <w:sz w:val="16"/>
                <w:szCs w:val="16"/>
                <w:color w:val="auto"/>
              </w:rPr>
            </w:pPr>
          </w:p>
        </w:tc>
        <w:tc>
          <w:tcPr>
            <w:tcW w:w="140" w:type="dxa"/>
            <w:vAlign w:val="bottom"/>
            <w:shd w:val="clear" w:color="auto" w:fill="E3E8F1"/>
          </w:tcPr>
          <w:p>
            <w:pPr>
              <w:spacing w:after="0"/>
              <w:rPr>
                <w:sz w:val="16"/>
                <w:szCs w:val="16"/>
                <w:color w:val="auto"/>
              </w:rPr>
            </w:pPr>
          </w:p>
        </w:tc>
        <w:tc>
          <w:tcPr>
            <w:tcW w:w="1240" w:type="dxa"/>
            <w:vAlign w:val="bottom"/>
            <w:shd w:val="clear" w:color="auto" w:fill="E3E8F1"/>
          </w:tcPr>
          <w:p>
            <w:pPr>
              <w:spacing w:after="0"/>
              <w:rPr>
                <w:sz w:val="16"/>
                <w:szCs w:val="16"/>
                <w:color w:val="auto"/>
              </w:rPr>
            </w:pPr>
          </w:p>
        </w:tc>
        <w:tc>
          <w:tcPr>
            <w:tcW w:w="160" w:type="dxa"/>
            <w:vAlign w:val="bottom"/>
            <w:shd w:val="clear" w:color="auto" w:fill="E3E8F1"/>
          </w:tcPr>
          <w:p>
            <w:pPr>
              <w:spacing w:after="0"/>
              <w:rPr>
                <w:sz w:val="16"/>
                <w:szCs w:val="16"/>
                <w:color w:val="auto"/>
              </w:rPr>
            </w:pPr>
          </w:p>
        </w:tc>
        <w:tc>
          <w:tcPr>
            <w:tcW w:w="300" w:type="dxa"/>
            <w:vAlign w:val="bottom"/>
            <w:shd w:val="clear" w:color="auto" w:fill="E3E8F1"/>
          </w:tcPr>
          <w:p>
            <w:pPr>
              <w:spacing w:after="0"/>
              <w:rPr>
                <w:sz w:val="16"/>
                <w:szCs w:val="16"/>
                <w:color w:val="auto"/>
              </w:rPr>
            </w:pPr>
          </w:p>
        </w:tc>
        <w:tc>
          <w:tcPr>
            <w:tcW w:w="1100" w:type="dxa"/>
            <w:vAlign w:val="bottom"/>
            <w:shd w:val="clear" w:color="auto" w:fill="E3E8F1"/>
          </w:tcPr>
          <w:p>
            <w:pPr>
              <w:spacing w:after="0"/>
              <w:rPr>
                <w:sz w:val="16"/>
                <w:szCs w:val="16"/>
                <w:color w:val="auto"/>
              </w:rPr>
            </w:pPr>
          </w:p>
        </w:tc>
      </w:tr>
      <w:tr>
        <w:trPr>
          <w:trHeight w:val="189"/>
        </w:trPr>
        <w:tc>
          <w:tcPr>
            <w:tcW w:w="5220" w:type="dxa"/>
            <w:vAlign w:val="bottom"/>
          </w:tcPr>
          <w:p>
            <w:pPr>
              <w:ind w:left="240"/>
              <w:spacing w:after="0" w:line="189" w:lineRule="exact"/>
              <w:rPr>
                <w:sz w:val="20"/>
                <w:szCs w:val="20"/>
                <w:color w:val="auto"/>
              </w:rPr>
            </w:pPr>
            <w:r>
              <w:rPr>
                <w:rFonts w:ascii="Arial" w:cs="Arial" w:eastAsia="Arial" w:hAnsi="Arial"/>
                <w:sz w:val="14"/>
                <w:szCs w:val="14"/>
                <w:color w:val="231F20"/>
              </w:rPr>
              <w:t>United States</w:t>
            </w:r>
            <w:r>
              <w:rPr>
                <w:rFonts w:ascii="Arial" w:cs="Arial" w:eastAsia="Arial" w:hAnsi="Arial"/>
                <w:sz w:val="19"/>
                <w:szCs w:val="19"/>
                <w:color w:val="231F20"/>
                <w:vertAlign w:val="superscript"/>
              </w:rPr>
              <w:t>(a)</w:t>
            </w:r>
          </w:p>
        </w:tc>
        <w:tc>
          <w:tcPr>
            <w:tcW w:w="220" w:type="dxa"/>
            <w:vAlign w:val="bottom"/>
          </w:tcPr>
          <w:p>
            <w:pPr>
              <w:jc w:val="right"/>
              <w:ind w:right="49"/>
              <w:spacing w:after="0"/>
              <w:rPr>
                <w:sz w:val="20"/>
                <w:szCs w:val="20"/>
                <w:color w:val="auto"/>
              </w:rPr>
            </w:pPr>
            <w:r>
              <w:rPr>
                <w:rFonts w:ascii="Arial" w:cs="Arial" w:eastAsia="Arial" w:hAnsi="Arial"/>
                <w:sz w:val="14"/>
                <w:szCs w:val="14"/>
                <w:color w:val="231F20"/>
              </w:rPr>
              <w:t>$</w:t>
            </w:r>
          </w:p>
        </w:tc>
        <w:tc>
          <w:tcPr>
            <w:tcW w:w="1140" w:type="dxa"/>
            <w:vAlign w:val="bottom"/>
          </w:tcPr>
          <w:p>
            <w:pPr>
              <w:jc w:val="right"/>
              <w:ind w:right="50"/>
              <w:spacing w:after="0"/>
              <w:rPr>
                <w:sz w:val="20"/>
                <w:szCs w:val="20"/>
                <w:color w:val="auto"/>
              </w:rPr>
            </w:pPr>
            <w:r>
              <w:rPr>
                <w:rFonts w:ascii="Arial" w:cs="Arial" w:eastAsia="Arial" w:hAnsi="Arial"/>
                <w:sz w:val="14"/>
                <w:szCs w:val="14"/>
                <w:color w:val="231F20"/>
              </w:rPr>
              <w:t>2,766.6</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231F20"/>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231F20"/>
              </w:rPr>
              <w:t>2,032.3</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231F20"/>
              </w:rPr>
              <w:t>$</w:t>
            </w:r>
          </w:p>
        </w:tc>
        <w:tc>
          <w:tcPr>
            <w:tcW w:w="1240" w:type="dxa"/>
            <w:vAlign w:val="bottom"/>
          </w:tcPr>
          <w:p>
            <w:pPr>
              <w:jc w:val="right"/>
              <w:ind w:right="71"/>
              <w:spacing w:after="0"/>
              <w:rPr>
                <w:sz w:val="20"/>
                <w:szCs w:val="20"/>
                <w:color w:val="auto"/>
              </w:rPr>
            </w:pPr>
            <w:r>
              <w:rPr>
                <w:rFonts w:ascii="Arial" w:cs="Arial" w:eastAsia="Arial" w:hAnsi="Arial"/>
                <w:sz w:val="14"/>
                <w:szCs w:val="14"/>
                <w:color w:val="231F20"/>
              </w:rPr>
              <w:t>656.6</w:t>
            </w:r>
          </w:p>
        </w:tc>
        <w:tc>
          <w:tcPr>
            <w:tcW w:w="460" w:type="dxa"/>
            <w:vAlign w:val="bottom"/>
            <w:gridSpan w:val="2"/>
          </w:tcPr>
          <w:p>
            <w:pPr>
              <w:jc w:val="right"/>
              <w:ind w:right="129"/>
              <w:spacing w:after="0"/>
              <w:rPr>
                <w:sz w:val="20"/>
                <w:szCs w:val="20"/>
                <w:color w:val="auto"/>
              </w:rPr>
            </w:pPr>
            <w:r>
              <w:rPr>
                <w:rFonts w:ascii="Arial" w:cs="Arial" w:eastAsia="Arial" w:hAnsi="Arial"/>
                <w:sz w:val="14"/>
                <w:szCs w:val="14"/>
                <w:color w:val="231F20"/>
              </w:rPr>
              <w:t>$</w:t>
            </w:r>
          </w:p>
        </w:tc>
        <w:tc>
          <w:tcPr>
            <w:tcW w:w="1100" w:type="dxa"/>
            <w:vAlign w:val="bottom"/>
          </w:tcPr>
          <w:p>
            <w:pPr>
              <w:jc w:val="right"/>
              <w:ind w:right="69"/>
              <w:spacing w:after="0"/>
              <w:rPr>
                <w:sz w:val="20"/>
                <w:szCs w:val="20"/>
                <w:color w:val="auto"/>
              </w:rPr>
            </w:pPr>
            <w:r>
              <w:rPr>
                <w:rFonts w:ascii="Arial" w:cs="Arial" w:eastAsia="Arial" w:hAnsi="Arial"/>
                <w:sz w:val="14"/>
                <w:szCs w:val="14"/>
                <w:color w:val="231F20"/>
              </w:rPr>
              <w:t>77.7</w:t>
            </w:r>
          </w:p>
        </w:tc>
      </w:tr>
      <w:tr>
        <w:trPr>
          <w:trHeight w:val="177"/>
        </w:trPr>
        <w:tc>
          <w:tcPr>
            <w:tcW w:w="5220" w:type="dxa"/>
            <w:vAlign w:val="bottom"/>
            <w:tcBorders>
              <w:bottom w:val="single" w:sz="8" w:color="E3E8F1"/>
            </w:tcBorders>
            <w:shd w:val="clear" w:color="auto" w:fill="E3E8F1"/>
          </w:tcPr>
          <w:p>
            <w:pPr>
              <w:ind w:left="240"/>
              <w:spacing w:after="0"/>
              <w:rPr>
                <w:sz w:val="20"/>
                <w:szCs w:val="20"/>
                <w:color w:val="auto"/>
              </w:rPr>
            </w:pPr>
            <w:r>
              <w:rPr>
                <w:rFonts w:ascii="Arial" w:cs="Arial" w:eastAsia="Arial" w:hAnsi="Arial"/>
                <w:sz w:val="14"/>
                <w:szCs w:val="14"/>
                <w:color w:val="231F20"/>
              </w:rPr>
              <w:t>Other Americas</w:t>
            </w:r>
          </w:p>
        </w:tc>
        <w:tc>
          <w:tcPr>
            <w:tcW w:w="220" w:type="dxa"/>
            <w:vAlign w:val="bottom"/>
            <w:tcBorders>
              <w:bottom w:val="single" w:sz="8" w:color="231F20"/>
            </w:tcBorders>
            <w:shd w:val="clear" w:color="auto" w:fill="E3E8F1"/>
          </w:tcPr>
          <w:p>
            <w:pPr>
              <w:spacing w:after="0"/>
              <w:rPr>
                <w:sz w:val="15"/>
                <w:szCs w:val="15"/>
                <w:color w:val="auto"/>
              </w:rPr>
            </w:pPr>
          </w:p>
        </w:tc>
        <w:tc>
          <w:tcPr>
            <w:tcW w:w="1140" w:type="dxa"/>
            <w:vAlign w:val="bottom"/>
            <w:tcBorders>
              <w:bottom w:val="single" w:sz="8" w:color="231F20"/>
            </w:tcBorders>
            <w:shd w:val="clear" w:color="auto" w:fill="E3E8F1"/>
          </w:tcPr>
          <w:p>
            <w:pPr>
              <w:jc w:val="right"/>
              <w:ind w:right="50"/>
              <w:spacing w:after="0"/>
              <w:rPr>
                <w:sz w:val="20"/>
                <w:szCs w:val="20"/>
                <w:color w:val="auto"/>
              </w:rPr>
            </w:pPr>
            <w:r>
              <w:rPr>
                <w:rFonts w:ascii="Arial" w:cs="Arial" w:eastAsia="Arial" w:hAnsi="Arial"/>
                <w:sz w:val="14"/>
                <w:szCs w:val="14"/>
                <w:color w:val="231F20"/>
              </w:rPr>
              <w:t>1,458.3</w:t>
            </w:r>
          </w:p>
        </w:tc>
        <w:tc>
          <w:tcPr>
            <w:tcW w:w="200" w:type="dxa"/>
            <w:vAlign w:val="bottom"/>
            <w:tcBorders>
              <w:bottom w:val="single" w:sz="8" w:color="E3E8F1"/>
            </w:tcBorders>
            <w:shd w:val="clear" w:color="auto" w:fill="E3E8F1"/>
          </w:tcPr>
          <w:p>
            <w:pPr>
              <w:spacing w:after="0"/>
              <w:rPr>
                <w:sz w:val="15"/>
                <w:szCs w:val="15"/>
                <w:color w:val="auto"/>
              </w:rPr>
            </w:pPr>
          </w:p>
        </w:tc>
        <w:tc>
          <w:tcPr>
            <w:tcW w:w="100" w:type="dxa"/>
            <w:vAlign w:val="bottom"/>
            <w:tcBorders>
              <w:bottom w:val="single" w:sz="8" w:color="231F20"/>
            </w:tcBorders>
            <w:shd w:val="clear" w:color="auto" w:fill="E3E8F1"/>
          </w:tcPr>
          <w:p>
            <w:pPr>
              <w:spacing w:after="0"/>
              <w:rPr>
                <w:sz w:val="15"/>
                <w:szCs w:val="15"/>
                <w:color w:val="auto"/>
              </w:rPr>
            </w:pPr>
          </w:p>
        </w:tc>
        <w:tc>
          <w:tcPr>
            <w:tcW w:w="1260" w:type="dxa"/>
            <w:vAlign w:val="bottom"/>
            <w:tcBorders>
              <w:bottom w:val="single" w:sz="8" w:color="231F20"/>
            </w:tcBorders>
            <w:shd w:val="clear" w:color="auto" w:fill="E3E8F1"/>
          </w:tcPr>
          <w:p>
            <w:pPr>
              <w:jc w:val="right"/>
              <w:ind w:right="50"/>
              <w:spacing w:after="0"/>
              <w:rPr>
                <w:sz w:val="20"/>
                <w:szCs w:val="20"/>
                <w:color w:val="auto"/>
              </w:rPr>
            </w:pPr>
            <w:r>
              <w:rPr>
                <w:rFonts w:ascii="Arial" w:cs="Arial" w:eastAsia="Arial" w:hAnsi="Arial"/>
                <w:sz w:val="14"/>
                <w:szCs w:val="14"/>
                <w:color w:val="231F20"/>
              </w:rPr>
              <w:t>1,220.4</w:t>
            </w:r>
          </w:p>
        </w:tc>
        <w:tc>
          <w:tcPr>
            <w:tcW w:w="180" w:type="dxa"/>
            <w:vAlign w:val="bottom"/>
            <w:tcBorders>
              <w:bottom w:val="single" w:sz="8" w:color="E3E8F1"/>
            </w:tcBorders>
            <w:shd w:val="clear" w:color="auto" w:fill="E3E8F1"/>
          </w:tcPr>
          <w:p>
            <w:pPr>
              <w:spacing w:after="0"/>
              <w:rPr>
                <w:sz w:val="15"/>
                <w:szCs w:val="15"/>
                <w:color w:val="auto"/>
              </w:rPr>
            </w:pPr>
          </w:p>
        </w:tc>
        <w:tc>
          <w:tcPr>
            <w:tcW w:w="140" w:type="dxa"/>
            <w:vAlign w:val="bottom"/>
            <w:tcBorders>
              <w:bottom w:val="single" w:sz="8" w:color="231F20"/>
            </w:tcBorders>
            <w:shd w:val="clear" w:color="auto" w:fill="E3E8F1"/>
          </w:tcPr>
          <w:p>
            <w:pPr>
              <w:spacing w:after="0"/>
              <w:rPr>
                <w:sz w:val="15"/>
                <w:szCs w:val="15"/>
                <w:color w:val="auto"/>
              </w:rPr>
            </w:pPr>
          </w:p>
        </w:tc>
        <w:tc>
          <w:tcPr>
            <w:tcW w:w="1240" w:type="dxa"/>
            <w:vAlign w:val="bottom"/>
            <w:tcBorders>
              <w:bottom w:val="single" w:sz="8" w:color="231F20"/>
            </w:tcBorders>
            <w:shd w:val="clear" w:color="auto" w:fill="E3E8F1"/>
          </w:tcPr>
          <w:p>
            <w:pPr>
              <w:jc w:val="right"/>
              <w:ind w:right="71"/>
              <w:spacing w:after="0"/>
              <w:rPr>
                <w:sz w:val="20"/>
                <w:szCs w:val="20"/>
                <w:color w:val="auto"/>
              </w:rPr>
            </w:pPr>
            <w:r>
              <w:rPr>
                <w:rFonts w:ascii="Arial" w:cs="Arial" w:eastAsia="Arial" w:hAnsi="Arial"/>
                <w:sz w:val="14"/>
                <w:szCs w:val="14"/>
                <w:color w:val="231F20"/>
              </w:rPr>
              <w:t>174.0</w:t>
            </w:r>
          </w:p>
        </w:tc>
        <w:tc>
          <w:tcPr>
            <w:tcW w:w="160" w:type="dxa"/>
            <w:vAlign w:val="bottom"/>
            <w:tcBorders>
              <w:bottom w:val="single" w:sz="8" w:color="E3E8F1"/>
            </w:tcBorders>
            <w:shd w:val="clear" w:color="auto" w:fill="E3E8F1"/>
          </w:tcPr>
          <w:p>
            <w:pPr>
              <w:spacing w:after="0"/>
              <w:rPr>
                <w:sz w:val="15"/>
                <w:szCs w:val="15"/>
                <w:color w:val="auto"/>
              </w:rPr>
            </w:pPr>
          </w:p>
        </w:tc>
        <w:tc>
          <w:tcPr>
            <w:tcW w:w="300" w:type="dxa"/>
            <w:vAlign w:val="bottom"/>
            <w:tcBorders>
              <w:bottom w:val="single" w:sz="8" w:color="231F20"/>
            </w:tcBorders>
            <w:shd w:val="clear" w:color="auto" w:fill="E3E8F1"/>
          </w:tcPr>
          <w:p>
            <w:pPr>
              <w:spacing w:after="0"/>
              <w:rPr>
                <w:sz w:val="15"/>
                <w:szCs w:val="15"/>
                <w:color w:val="auto"/>
              </w:rPr>
            </w:pPr>
          </w:p>
        </w:tc>
        <w:tc>
          <w:tcPr>
            <w:tcW w:w="1100" w:type="dxa"/>
            <w:vAlign w:val="bottom"/>
            <w:tcBorders>
              <w:bottom w:val="single" w:sz="8" w:color="231F20"/>
            </w:tcBorders>
            <w:shd w:val="clear" w:color="auto" w:fill="E3E8F1"/>
          </w:tcPr>
          <w:p>
            <w:pPr>
              <w:jc w:val="right"/>
              <w:ind w:right="69"/>
              <w:spacing w:after="0"/>
              <w:rPr>
                <w:sz w:val="20"/>
                <w:szCs w:val="20"/>
                <w:color w:val="auto"/>
              </w:rPr>
            </w:pPr>
            <w:r>
              <w:rPr>
                <w:rFonts w:ascii="Arial" w:cs="Arial" w:eastAsia="Arial" w:hAnsi="Arial"/>
                <w:sz w:val="14"/>
                <w:szCs w:val="14"/>
                <w:color w:val="231F20"/>
              </w:rPr>
              <w:t>63.9</w:t>
            </w:r>
          </w:p>
        </w:tc>
      </w:tr>
      <w:tr>
        <w:trPr>
          <w:trHeight w:val="169"/>
        </w:trPr>
        <w:tc>
          <w:tcPr>
            <w:tcW w:w="5220" w:type="dxa"/>
            <w:vAlign w:val="bottom"/>
          </w:tcPr>
          <w:p>
            <w:pPr>
              <w:spacing w:after="0"/>
              <w:rPr>
                <w:sz w:val="14"/>
                <w:szCs w:val="14"/>
                <w:color w:val="auto"/>
              </w:rPr>
            </w:pPr>
          </w:p>
        </w:tc>
        <w:tc>
          <w:tcPr>
            <w:tcW w:w="220" w:type="dxa"/>
            <w:vAlign w:val="bottom"/>
            <w:tcBorders>
              <w:bottom w:val="single" w:sz="8" w:color="231F20"/>
            </w:tcBorders>
          </w:tcPr>
          <w:p>
            <w:pPr>
              <w:spacing w:after="0"/>
              <w:rPr>
                <w:sz w:val="14"/>
                <w:szCs w:val="14"/>
                <w:color w:val="auto"/>
              </w:rPr>
            </w:pPr>
          </w:p>
        </w:tc>
        <w:tc>
          <w:tcPr>
            <w:tcW w:w="114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4,224.9</w:t>
            </w:r>
          </w:p>
        </w:tc>
        <w:tc>
          <w:tcPr>
            <w:tcW w:w="20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126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3,252.7</w:t>
            </w:r>
          </w:p>
        </w:tc>
        <w:tc>
          <w:tcPr>
            <w:tcW w:w="180" w:type="dxa"/>
            <w:vAlign w:val="bottom"/>
          </w:tcPr>
          <w:p>
            <w:pPr>
              <w:spacing w:after="0"/>
              <w:rPr>
                <w:sz w:val="14"/>
                <w:szCs w:val="14"/>
                <w:color w:val="auto"/>
              </w:rPr>
            </w:pPr>
          </w:p>
        </w:tc>
        <w:tc>
          <w:tcPr>
            <w:tcW w:w="140" w:type="dxa"/>
            <w:vAlign w:val="bottom"/>
            <w:tcBorders>
              <w:bottom w:val="single" w:sz="8" w:color="231F20"/>
            </w:tcBorders>
          </w:tcPr>
          <w:p>
            <w:pPr>
              <w:spacing w:after="0"/>
              <w:rPr>
                <w:sz w:val="14"/>
                <w:szCs w:val="14"/>
                <w:color w:val="auto"/>
              </w:rPr>
            </w:pPr>
          </w:p>
        </w:tc>
        <w:tc>
          <w:tcPr>
            <w:tcW w:w="1240" w:type="dxa"/>
            <w:vAlign w:val="bottom"/>
            <w:tcBorders>
              <w:bottom w:val="single" w:sz="8" w:color="231F20"/>
            </w:tcBorders>
          </w:tcPr>
          <w:p>
            <w:pPr>
              <w:jc w:val="right"/>
              <w:ind w:right="71"/>
              <w:spacing w:after="0"/>
              <w:rPr>
                <w:sz w:val="20"/>
                <w:szCs w:val="20"/>
                <w:color w:val="auto"/>
              </w:rPr>
            </w:pPr>
            <w:r>
              <w:rPr>
                <w:rFonts w:ascii="Arial" w:cs="Arial" w:eastAsia="Arial" w:hAnsi="Arial"/>
                <w:sz w:val="14"/>
                <w:szCs w:val="14"/>
                <w:color w:val="231F20"/>
              </w:rPr>
              <w:t>830.6</w:t>
            </w:r>
          </w:p>
        </w:tc>
        <w:tc>
          <w:tcPr>
            <w:tcW w:w="160" w:type="dxa"/>
            <w:vAlign w:val="bottom"/>
          </w:tcPr>
          <w:p>
            <w:pPr>
              <w:spacing w:after="0"/>
              <w:rPr>
                <w:sz w:val="14"/>
                <w:szCs w:val="14"/>
                <w:color w:val="auto"/>
              </w:rPr>
            </w:pPr>
          </w:p>
        </w:tc>
        <w:tc>
          <w:tcPr>
            <w:tcW w:w="300" w:type="dxa"/>
            <w:vAlign w:val="bottom"/>
            <w:tcBorders>
              <w:bottom w:val="single" w:sz="8" w:color="231F20"/>
            </w:tcBorders>
          </w:tcPr>
          <w:p>
            <w:pPr>
              <w:spacing w:after="0"/>
              <w:rPr>
                <w:sz w:val="14"/>
                <w:szCs w:val="14"/>
                <w:color w:val="auto"/>
              </w:rPr>
            </w:pPr>
          </w:p>
        </w:tc>
        <w:tc>
          <w:tcPr>
            <w:tcW w:w="110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141.6</w:t>
            </w:r>
          </w:p>
        </w:tc>
      </w:tr>
      <w:tr>
        <w:trPr>
          <w:trHeight w:val="181"/>
        </w:trPr>
        <w:tc>
          <w:tcPr>
            <w:tcW w:w="522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Southern Europe:</w:t>
            </w:r>
          </w:p>
        </w:tc>
        <w:tc>
          <w:tcPr>
            <w:tcW w:w="220" w:type="dxa"/>
            <w:vAlign w:val="bottom"/>
            <w:shd w:val="clear" w:color="auto" w:fill="E2E8F1"/>
          </w:tcPr>
          <w:p>
            <w:pPr>
              <w:spacing w:after="0"/>
              <w:rPr>
                <w:sz w:val="15"/>
                <w:szCs w:val="15"/>
                <w:color w:val="auto"/>
              </w:rPr>
            </w:pPr>
          </w:p>
        </w:tc>
        <w:tc>
          <w:tcPr>
            <w:tcW w:w="114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126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1240" w:type="dxa"/>
            <w:vAlign w:val="bottom"/>
            <w:shd w:val="clear" w:color="auto" w:fill="E2E8F1"/>
          </w:tcPr>
          <w:p>
            <w:pPr>
              <w:spacing w:after="0"/>
              <w:rPr>
                <w:sz w:val="15"/>
                <w:szCs w:val="15"/>
                <w:color w:val="auto"/>
              </w:rPr>
            </w:pPr>
          </w:p>
        </w:tc>
        <w:tc>
          <w:tcPr>
            <w:tcW w:w="16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1100" w:type="dxa"/>
            <w:vAlign w:val="bottom"/>
            <w:shd w:val="clear" w:color="auto" w:fill="E2E8F1"/>
          </w:tcPr>
          <w:p>
            <w:pPr>
              <w:spacing w:after="0"/>
              <w:rPr>
                <w:sz w:val="15"/>
                <w:szCs w:val="15"/>
                <w:color w:val="auto"/>
              </w:rPr>
            </w:pPr>
          </w:p>
        </w:tc>
      </w:tr>
      <w:tr>
        <w:trPr>
          <w:trHeight w:val="189"/>
        </w:trPr>
        <w:tc>
          <w:tcPr>
            <w:tcW w:w="5220" w:type="dxa"/>
            <w:vAlign w:val="bottom"/>
          </w:tcPr>
          <w:p>
            <w:pPr>
              <w:ind w:left="240"/>
              <w:spacing w:after="0"/>
              <w:rPr>
                <w:sz w:val="20"/>
                <w:szCs w:val="20"/>
                <w:color w:val="auto"/>
              </w:rPr>
            </w:pPr>
            <w:r>
              <w:rPr>
                <w:rFonts w:ascii="Arial" w:cs="Arial" w:eastAsia="Arial" w:hAnsi="Arial"/>
                <w:sz w:val="14"/>
                <w:szCs w:val="14"/>
                <w:color w:val="231F20"/>
              </w:rPr>
              <w:t>France</w:t>
            </w:r>
          </w:p>
        </w:tc>
        <w:tc>
          <w:tcPr>
            <w:tcW w:w="220" w:type="dxa"/>
            <w:vAlign w:val="bottom"/>
          </w:tcPr>
          <w:p>
            <w:pPr>
              <w:spacing w:after="0"/>
              <w:rPr>
                <w:sz w:val="16"/>
                <w:szCs w:val="16"/>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231F20"/>
              </w:rPr>
              <w:t>4,618.4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231F20"/>
              </w:rPr>
              <w:t>3,951.7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71"/>
              <w:spacing w:after="0"/>
              <w:rPr>
                <w:sz w:val="20"/>
                <w:szCs w:val="20"/>
                <w:color w:val="auto"/>
              </w:rPr>
            </w:pPr>
            <w:r>
              <w:rPr>
                <w:rFonts w:ascii="Arial" w:cs="Arial" w:eastAsia="Arial" w:hAnsi="Arial"/>
                <w:sz w:val="14"/>
                <w:szCs w:val="14"/>
                <w:color w:val="231F20"/>
              </w:rPr>
              <w:t>514.9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231F20"/>
              </w:rPr>
              <w:t>151.8</w:t>
            </w:r>
          </w:p>
        </w:tc>
      </w:tr>
      <w:tr>
        <w:trPr>
          <w:trHeight w:val="189"/>
        </w:trPr>
        <w:tc>
          <w:tcPr>
            <w:tcW w:w="522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Italy</w:t>
            </w:r>
          </w:p>
        </w:tc>
        <w:tc>
          <w:tcPr>
            <w:tcW w:w="220" w:type="dxa"/>
            <w:vAlign w:val="bottom"/>
            <w:shd w:val="clear" w:color="auto" w:fill="E2E8F1"/>
          </w:tcPr>
          <w:p>
            <w:pPr>
              <w:spacing w:after="0"/>
              <w:rPr>
                <w:sz w:val="16"/>
                <w:szCs w:val="16"/>
                <w:color w:val="auto"/>
              </w:rPr>
            </w:pPr>
          </w:p>
        </w:tc>
        <w:tc>
          <w:tcPr>
            <w:tcW w:w="114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231F20"/>
              </w:rPr>
              <w:t>1,677.0</w:t>
            </w:r>
          </w:p>
        </w:tc>
        <w:tc>
          <w:tcPr>
            <w:tcW w:w="20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126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231F20"/>
              </w:rPr>
              <w:t>1,398.1</w:t>
            </w:r>
          </w:p>
        </w:tc>
        <w:tc>
          <w:tcPr>
            <w:tcW w:w="18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124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231F20"/>
              </w:rPr>
              <w:t>165.8</w:t>
            </w:r>
          </w:p>
        </w:tc>
        <w:tc>
          <w:tcPr>
            <w:tcW w:w="16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110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113.1</w:t>
            </w:r>
          </w:p>
        </w:tc>
      </w:tr>
      <w:tr>
        <w:trPr>
          <w:trHeight w:val="177"/>
        </w:trPr>
        <w:tc>
          <w:tcPr>
            <w:tcW w:w="5220" w:type="dxa"/>
            <w:vAlign w:val="bottom"/>
          </w:tcPr>
          <w:p>
            <w:pPr>
              <w:ind w:left="240"/>
              <w:spacing w:after="0"/>
              <w:rPr>
                <w:sz w:val="20"/>
                <w:szCs w:val="20"/>
                <w:color w:val="auto"/>
              </w:rPr>
            </w:pPr>
            <w:r>
              <w:rPr>
                <w:rFonts w:ascii="Arial" w:cs="Arial" w:eastAsia="Arial" w:hAnsi="Arial"/>
                <w:sz w:val="14"/>
                <w:szCs w:val="14"/>
                <w:color w:val="231F20"/>
              </w:rPr>
              <w:t>Other Southern Europe</w:t>
            </w:r>
          </w:p>
        </w:tc>
        <w:tc>
          <w:tcPr>
            <w:tcW w:w="220" w:type="dxa"/>
            <w:vAlign w:val="bottom"/>
            <w:tcBorders>
              <w:bottom w:val="single" w:sz="8" w:color="231F20"/>
            </w:tcBorders>
          </w:tcPr>
          <w:p>
            <w:pPr>
              <w:spacing w:after="0"/>
              <w:rPr>
                <w:sz w:val="15"/>
                <w:szCs w:val="15"/>
                <w:color w:val="auto"/>
              </w:rPr>
            </w:pPr>
          </w:p>
        </w:tc>
        <w:tc>
          <w:tcPr>
            <w:tcW w:w="114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1,922.9</w:t>
            </w:r>
          </w:p>
        </w:tc>
        <w:tc>
          <w:tcPr>
            <w:tcW w:w="20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26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1,667.8</w:t>
            </w:r>
          </w:p>
        </w:tc>
        <w:tc>
          <w:tcPr>
            <w:tcW w:w="18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jc w:val="right"/>
              <w:ind w:right="71"/>
              <w:spacing w:after="0"/>
              <w:rPr>
                <w:sz w:val="20"/>
                <w:szCs w:val="20"/>
                <w:color w:val="auto"/>
              </w:rPr>
            </w:pPr>
            <w:r>
              <w:rPr>
                <w:rFonts w:ascii="Arial" w:cs="Arial" w:eastAsia="Arial" w:hAnsi="Arial"/>
                <w:sz w:val="14"/>
                <w:szCs w:val="14"/>
                <w:color w:val="231F20"/>
              </w:rPr>
              <w:t>215.9</w:t>
            </w:r>
          </w:p>
        </w:tc>
        <w:tc>
          <w:tcPr>
            <w:tcW w:w="160" w:type="dxa"/>
            <w:vAlign w:val="bottom"/>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39.2</w:t>
            </w:r>
          </w:p>
        </w:tc>
      </w:tr>
      <w:tr>
        <w:trPr>
          <w:trHeight w:val="169"/>
        </w:trPr>
        <w:tc>
          <w:tcPr>
            <w:tcW w:w="5220" w:type="dxa"/>
            <w:vAlign w:val="bottom"/>
            <w:tcBorders>
              <w:bottom w:val="single" w:sz="8" w:color="E2E8F1"/>
            </w:tcBorders>
            <w:shd w:val="clear" w:color="auto" w:fill="E2E8F1"/>
          </w:tcPr>
          <w:p>
            <w:pPr>
              <w:spacing w:after="0"/>
              <w:rPr>
                <w:sz w:val="14"/>
                <w:szCs w:val="14"/>
                <w:color w:val="auto"/>
              </w:rPr>
            </w:pPr>
          </w:p>
        </w:tc>
        <w:tc>
          <w:tcPr>
            <w:tcW w:w="220" w:type="dxa"/>
            <w:vAlign w:val="bottom"/>
            <w:tcBorders>
              <w:bottom w:val="single" w:sz="8" w:color="231F20"/>
            </w:tcBorders>
            <w:shd w:val="clear" w:color="auto" w:fill="E2E8F1"/>
          </w:tcPr>
          <w:p>
            <w:pPr>
              <w:spacing w:after="0"/>
              <w:rPr>
                <w:sz w:val="14"/>
                <w:szCs w:val="14"/>
                <w:color w:val="auto"/>
              </w:rPr>
            </w:pPr>
          </w:p>
        </w:tc>
        <w:tc>
          <w:tcPr>
            <w:tcW w:w="114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8,218.3</w:t>
            </w:r>
          </w:p>
        </w:tc>
        <w:tc>
          <w:tcPr>
            <w:tcW w:w="2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231F20"/>
            </w:tcBorders>
            <w:shd w:val="clear" w:color="auto" w:fill="E2E8F1"/>
          </w:tcPr>
          <w:p>
            <w:pPr>
              <w:spacing w:after="0"/>
              <w:rPr>
                <w:sz w:val="14"/>
                <w:szCs w:val="14"/>
                <w:color w:val="auto"/>
              </w:rPr>
            </w:pPr>
          </w:p>
        </w:tc>
        <w:tc>
          <w:tcPr>
            <w:tcW w:w="126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7,017.6</w:t>
            </w:r>
          </w:p>
        </w:tc>
        <w:tc>
          <w:tcPr>
            <w:tcW w:w="18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231F20"/>
            </w:tcBorders>
            <w:shd w:val="clear" w:color="auto" w:fill="E2E8F1"/>
          </w:tcPr>
          <w:p>
            <w:pPr>
              <w:spacing w:after="0"/>
              <w:rPr>
                <w:sz w:val="14"/>
                <w:szCs w:val="14"/>
                <w:color w:val="auto"/>
              </w:rPr>
            </w:pPr>
          </w:p>
        </w:tc>
        <w:tc>
          <w:tcPr>
            <w:tcW w:w="1240" w:type="dxa"/>
            <w:vAlign w:val="bottom"/>
            <w:tcBorders>
              <w:bottom w:val="single" w:sz="8" w:color="231F20"/>
            </w:tcBorders>
            <w:shd w:val="clear" w:color="auto" w:fill="E2E8F1"/>
          </w:tcPr>
          <w:p>
            <w:pPr>
              <w:jc w:val="right"/>
              <w:ind w:right="71"/>
              <w:spacing w:after="0"/>
              <w:rPr>
                <w:sz w:val="20"/>
                <w:szCs w:val="20"/>
                <w:color w:val="auto"/>
              </w:rPr>
            </w:pPr>
            <w:r>
              <w:rPr>
                <w:rFonts w:ascii="Arial" w:cs="Arial" w:eastAsia="Arial" w:hAnsi="Arial"/>
                <w:sz w:val="14"/>
                <w:szCs w:val="14"/>
                <w:color w:val="231F20"/>
              </w:rPr>
              <w:t>896.6</w:t>
            </w:r>
          </w:p>
        </w:tc>
        <w:tc>
          <w:tcPr>
            <w:tcW w:w="16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231F20"/>
            </w:tcBorders>
            <w:shd w:val="clear" w:color="auto" w:fill="E2E8F1"/>
          </w:tcPr>
          <w:p>
            <w:pPr>
              <w:spacing w:after="0"/>
              <w:rPr>
                <w:sz w:val="14"/>
                <w:szCs w:val="14"/>
                <w:color w:val="auto"/>
              </w:rPr>
            </w:pPr>
          </w:p>
        </w:tc>
        <w:tc>
          <w:tcPr>
            <w:tcW w:w="110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304.1</w:t>
            </w:r>
          </w:p>
        </w:tc>
      </w:tr>
      <w:tr>
        <w:trPr>
          <w:trHeight w:val="181"/>
        </w:trPr>
        <w:tc>
          <w:tcPr>
            <w:tcW w:w="5220" w:type="dxa"/>
            <w:vAlign w:val="bottom"/>
          </w:tcPr>
          <w:p>
            <w:pPr>
              <w:ind w:left="80"/>
              <w:spacing w:after="0"/>
              <w:rPr>
                <w:sz w:val="20"/>
                <w:szCs w:val="20"/>
                <w:color w:val="auto"/>
              </w:rPr>
            </w:pPr>
            <w:r>
              <w:rPr>
                <w:rFonts w:ascii="Arial" w:cs="Arial" w:eastAsia="Arial" w:hAnsi="Arial"/>
                <w:sz w:val="14"/>
                <w:szCs w:val="14"/>
                <w:color w:val="231F20"/>
              </w:rPr>
              <w:t>Northern Europe</w:t>
            </w:r>
          </w:p>
        </w:tc>
        <w:tc>
          <w:tcPr>
            <w:tcW w:w="220" w:type="dxa"/>
            <w:vAlign w:val="bottom"/>
          </w:tcPr>
          <w:p>
            <w:pPr>
              <w:spacing w:after="0"/>
              <w:rPr>
                <w:sz w:val="15"/>
                <w:szCs w:val="15"/>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231F20"/>
              </w:rPr>
              <w:t>3,304.3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231F20"/>
              </w:rPr>
              <w:t>2,728.0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71"/>
              <w:spacing w:after="0"/>
              <w:rPr>
                <w:sz w:val="20"/>
                <w:szCs w:val="20"/>
                <w:color w:val="auto"/>
              </w:rPr>
            </w:pPr>
            <w:r>
              <w:rPr>
                <w:rFonts w:ascii="Arial" w:cs="Arial" w:eastAsia="Arial" w:hAnsi="Arial"/>
                <w:sz w:val="14"/>
                <w:szCs w:val="14"/>
                <w:color w:val="231F20"/>
              </w:rPr>
              <w:t>620.9</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231F20"/>
              </w:rPr>
              <w:t>(44.6 )</w:t>
            </w:r>
          </w:p>
        </w:tc>
      </w:tr>
      <w:tr>
        <w:trPr>
          <w:trHeight w:val="177"/>
        </w:trPr>
        <w:tc>
          <w:tcPr>
            <w:tcW w:w="5220" w:type="dxa"/>
            <w:vAlign w:val="bottom"/>
            <w:tcBorders>
              <w:bottom w:val="single" w:sz="8" w:color="E2E8F1"/>
            </w:tcBorders>
            <w:shd w:val="clear" w:color="auto" w:fill="E2E8F1"/>
          </w:tcPr>
          <w:p>
            <w:pPr>
              <w:ind w:left="80"/>
              <w:spacing w:after="0"/>
              <w:rPr>
                <w:sz w:val="20"/>
                <w:szCs w:val="20"/>
                <w:color w:val="auto"/>
              </w:rPr>
            </w:pPr>
            <w:r>
              <w:rPr>
                <w:rFonts w:ascii="Arial" w:cs="Arial" w:eastAsia="Arial" w:hAnsi="Arial"/>
                <w:sz w:val="14"/>
                <w:szCs w:val="14"/>
                <w:color w:val="231F20"/>
              </w:rPr>
              <w:t>APME</w:t>
            </w:r>
          </w:p>
        </w:tc>
        <w:tc>
          <w:tcPr>
            <w:tcW w:w="220" w:type="dxa"/>
            <w:vAlign w:val="bottom"/>
            <w:tcBorders>
              <w:bottom w:val="single" w:sz="8" w:color="231F20"/>
            </w:tcBorders>
            <w:shd w:val="clear" w:color="auto" w:fill="E2E8F1"/>
          </w:tcPr>
          <w:p>
            <w:pPr>
              <w:spacing w:after="0"/>
              <w:rPr>
                <w:sz w:val="15"/>
                <w:szCs w:val="15"/>
                <w:color w:val="auto"/>
              </w:rPr>
            </w:pPr>
          </w:p>
        </w:tc>
        <w:tc>
          <w:tcPr>
            <w:tcW w:w="114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2,161.3</w:t>
            </w:r>
          </w:p>
        </w:tc>
        <w:tc>
          <w:tcPr>
            <w:tcW w:w="200" w:type="dxa"/>
            <w:vAlign w:val="bottom"/>
            <w:tcBorders>
              <w:bottom w:val="single" w:sz="8" w:color="E2E8F1"/>
            </w:tcBorders>
            <w:shd w:val="clear" w:color="auto" w:fill="E2E8F1"/>
          </w:tcPr>
          <w:p>
            <w:pPr>
              <w:spacing w:after="0"/>
              <w:rPr>
                <w:sz w:val="15"/>
                <w:szCs w:val="15"/>
                <w:color w:val="auto"/>
              </w:rPr>
            </w:pPr>
          </w:p>
        </w:tc>
        <w:tc>
          <w:tcPr>
            <w:tcW w:w="100" w:type="dxa"/>
            <w:vAlign w:val="bottom"/>
            <w:tcBorders>
              <w:bottom w:val="single" w:sz="8" w:color="231F20"/>
            </w:tcBorders>
            <w:shd w:val="clear" w:color="auto" w:fill="E2E8F1"/>
          </w:tcPr>
          <w:p>
            <w:pPr>
              <w:spacing w:after="0"/>
              <w:rPr>
                <w:sz w:val="15"/>
                <w:szCs w:val="15"/>
                <w:color w:val="auto"/>
              </w:rPr>
            </w:pPr>
          </w:p>
        </w:tc>
        <w:tc>
          <w:tcPr>
            <w:tcW w:w="126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1,820.1</w:t>
            </w:r>
          </w:p>
        </w:tc>
        <w:tc>
          <w:tcPr>
            <w:tcW w:w="180" w:type="dxa"/>
            <w:vAlign w:val="bottom"/>
            <w:tcBorders>
              <w:bottom w:val="single" w:sz="8" w:color="E2E8F1"/>
            </w:tcBorders>
            <w:shd w:val="clear" w:color="auto" w:fill="E2E8F1"/>
          </w:tcPr>
          <w:p>
            <w:pPr>
              <w:spacing w:after="0"/>
              <w:rPr>
                <w:sz w:val="15"/>
                <w:szCs w:val="15"/>
                <w:color w:val="auto"/>
              </w:rPr>
            </w:pPr>
          </w:p>
        </w:tc>
        <w:tc>
          <w:tcPr>
            <w:tcW w:w="140" w:type="dxa"/>
            <w:vAlign w:val="bottom"/>
            <w:tcBorders>
              <w:bottom w:val="single" w:sz="8" w:color="231F20"/>
            </w:tcBorders>
            <w:shd w:val="clear" w:color="auto" w:fill="E2E8F1"/>
          </w:tcPr>
          <w:p>
            <w:pPr>
              <w:spacing w:after="0"/>
              <w:rPr>
                <w:sz w:val="15"/>
                <w:szCs w:val="15"/>
                <w:color w:val="auto"/>
              </w:rPr>
            </w:pPr>
          </w:p>
        </w:tc>
        <w:tc>
          <w:tcPr>
            <w:tcW w:w="1240" w:type="dxa"/>
            <w:vAlign w:val="bottom"/>
            <w:tcBorders>
              <w:bottom w:val="single" w:sz="8" w:color="231F20"/>
            </w:tcBorders>
            <w:shd w:val="clear" w:color="auto" w:fill="E2E8F1"/>
          </w:tcPr>
          <w:p>
            <w:pPr>
              <w:jc w:val="right"/>
              <w:ind w:right="71"/>
              <w:spacing w:after="0"/>
              <w:rPr>
                <w:sz w:val="20"/>
                <w:szCs w:val="20"/>
                <w:color w:val="auto"/>
              </w:rPr>
            </w:pPr>
            <w:r>
              <w:rPr>
                <w:rFonts w:ascii="Arial" w:cs="Arial" w:eastAsia="Arial" w:hAnsi="Arial"/>
                <w:sz w:val="14"/>
                <w:szCs w:val="14"/>
                <w:color w:val="231F20"/>
              </w:rPr>
              <w:t>257.5</w:t>
            </w:r>
          </w:p>
        </w:tc>
        <w:tc>
          <w:tcPr>
            <w:tcW w:w="160" w:type="dxa"/>
            <w:vAlign w:val="bottom"/>
            <w:tcBorders>
              <w:bottom w:val="single" w:sz="8" w:color="E2E8F1"/>
            </w:tcBorders>
            <w:shd w:val="clear" w:color="auto" w:fill="E2E8F1"/>
          </w:tcPr>
          <w:p>
            <w:pPr>
              <w:spacing w:after="0"/>
              <w:rPr>
                <w:sz w:val="15"/>
                <w:szCs w:val="15"/>
                <w:color w:val="auto"/>
              </w:rPr>
            </w:pPr>
          </w:p>
        </w:tc>
        <w:tc>
          <w:tcPr>
            <w:tcW w:w="300" w:type="dxa"/>
            <w:vAlign w:val="bottom"/>
            <w:tcBorders>
              <w:bottom w:val="single" w:sz="8" w:color="231F20"/>
            </w:tcBorders>
            <w:shd w:val="clear" w:color="auto" w:fill="E2E8F1"/>
          </w:tcPr>
          <w:p>
            <w:pPr>
              <w:spacing w:after="0"/>
              <w:rPr>
                <w:sz w:val="15"/>
                <w:szCs w:val="15"/>
                <w:color w:val="auto"/>
              </w:rPr>
            </w:pPr>
          </w:p>
        </w:tc>
        <w:tc>
          <w:tcPr>
            <w:tcW w:w="110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83.7</w:t>
            </w:r>
          </w:p>
        </w:tc>
      </w:tr>
      <w:tr>
        <w:trPr>
          <w:trHeight w:val="169"/>
        </w:trPr>
        <w:tc>
          <w:tcPr>
            <w:tcW w:w="5220" w:type="dxa"/>
            <w:vAlign w:val="bottom"/>
          </w:tcPr>
          <w:p>
            <w:pPr>
              <w:ind w:left="160"/>
              <w:spacing w:after="0"/>
              <w:rPr>
                <w:sz w:val="20"/>
                <w:szCs w:val="20"/>
                <w:color w:val="auto"/>
              </w:rPr>
            </w:pPr>
            <w:r>
              <w:rPr>
                <w:rFonts w:ascii="Arial" w:cs="Arial" w:eastAsia="Arial" w:hAnsi="Arial"/>
                <w:sz w:val="14"/>
                <w:szCs w:val="14"/>
                <w:color w:val="231F20"/>
              </w:rPr>
              <w:t>Total Segments</w:t>
            </w:r>
          </w:p>
        </w:tc>
        <w:tc>
          <w:tcPr>
            <w:tcW w:w="220" w:type="dxa"/>
            <w:vAlign w:val="bottom"/>
            <w:tcBorders>
              <w:bottom w:val="single" w:sz="8" w:color="231F20"/>
            </w:tcBorders>
          </w:tcPr>
          <w:p>
            <w:pPr>
              <w:spacing w:after="0"/>
              <w:rPr>
                <w:sz w:val="14"/>
                <w:szCs w:val="14"/>
                <w:color w:val="auto"/>
              </w:rPr>
            </w:pPr>
          </w:p>
        </w:tc>
        <w:tc>
          <w:tcPr>
            <w:tcW w:w="114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17,908.8</w:t>
            </w:r>
          </w:p>
        </w:tc>
        <w:tc>
          <w:tcPr>
            <w:tcW w:w="20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126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14,818.4</w:t>
            </w:r>
          </w:p>
        </w:tc>
        <w:tc>
          <w:tcPr>
            <w:tcW w:w="180" w:type="dxa"/>
            <w:vAlign w:val="bottom"/>
          </w:tcPr>
          <w:p>
            <w:pPr>
              <w:spacing w:after="0"/>
              <w:rPr>
                <w:sz w:val="14"/>
                <w:szCs w:val="14"/>
                <w:color w:val="auto"/>
              </w:rPr>
            </w:pPr>
          </w:p>
        </w:tc>
        <w:tc>
          <w:tcPr>
            <w:tcW w:w="140" w:type="dxa"/>
            <w:vAlign w:val="bottom"/>
            <w:tcBorders>
              <w:bottom w:val="single" w:sz="8" w:color="231F20"/>
            </w:tcBorders>
          </w:tcPr>
          <w:p>
            <w:pPr>
              <w:spacing w:after="0"/>
              <w:rPr>
                <w:sz w:val="14"/>
                <w:szCs w:val="14"/>
                <w:color w:val="auto"/>
              </w:rPr>
            </w:pPr>
          </w:p>
        </w:tc>
        <w:tc>
          <w:tcPr>
            <w:tcW w:w="1240" w:type="dxa"/>
            <w:vAlign w:val="bottom"/>
            <w:tcBorders>
              <w:bottom w:val="single" w:sz="8" w:color="231F20"/>
            </w:tcBorders>
          </w:tcPr>
          <w:p>
            <w:pPr>
              <w:jc w:val="right"/>
              <w:ind w:right="71"/>
              <w:spacing w:after="0"/>
              <w:rPr>
                <w:sz w:val="20"/>
                <w:szCs w:val="20"/>
                <w:color w:val="auto"/>
              </w:rPr>
            </w:pPr>
            <w:r>
              <w:rPr>
                <w:rFonts w:ascii="Arial" w:cs="Arial" w:eastAsia="Arial" w:hAnsi="Arial"/>
                <w:sz w:val="14"/>
                <w:szCs w:val="14"/>
                <w:color w:val="231F20"/>
              </w:rPr>
              <w:t>2,605.6</w:t>
            </w:r>
          </w:p>
        </w:tc>
        <w:tc>
          <w:tcPr>
            <w:tcW w:w="160" w:type="dxa"/>
            <w:vAlign w:val="bottom"/>
          </w:tcPr>
          <w:p>
            <w:pPr>
              <w:spacing w:after="0"/>
              <w:rPr>
                <w:sz w:val="14"/>
                <w:szCs w:val="14"/>
                <w:color w:val="auto"/>
              </w:rPr>
            </w:pPr>
          </w:p>
        </w:tc>
        <w:tc>
          <w:tcPr>
            <w:tcW w:w="300" w:type="dxa"/>
            <w:vAlign w:val="bottom"/>
            <w:tcBorders>
              <w:bottom w:val="single" w:sz="8" w:color="231F20"/>
            </w:tcBorders>
          </w:tcPr>
          <w:p>
            <w:pPr>
              <w:spacing w:after="0"/>
              <w:rPr>
                <w:sz w:val="14"/>
                <w:szCs w:val="14"/>
                <w:color w:val="auto"/>
              </w:rPr>
            </w:pPr>
          </w:p>
        </w:tc>
        <w:tc>
          <w:tcPr>
            <w:tcW w:w="110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231F20"/>
              </w:rPr>
              <w:t>484.8</w:t>
            </w:r>
          </w:p>
        </w:tc>
      </w:tr>
      <w:tr>
        <w:trPr>
          <w:trHeight w:val="169"/>
        </w:trPr>
        <w:tc>
          <w:tcPr>
            <w:tcW w:w="5220" w:type="dxa"/>
            <w:vAlign w:val="bottom"/>
            <w:tcBorders>
              <w:bottom w:val="single" w:sz="8" w:color="E2E8F1"/>
            </w:tcBorders>
            <w:shd w:val="clear" w:color="auto" w:fill="E2E8F1"/>
          </w:tcPr>
          <w:p>
            <w:pPr>
              <w:ind w:left="80"/>
              <w:spacing w:after="0"/>
              <w:rPr>
                <w:sz w:val="20"/>
                <w:szCs w:val="20"/>
                <w:color w:val="auto"/>
              </w:rPr>
            </w:pPr>
            <w:r>
              <w:rPr>
                <w:rFonts w:ascii="Arial" w:cs="Arial" w:eastAsia="Arial" w:hAnsi="Arial"/>
                <w:sz w:val="14"/>
                <w:szCs w:val="14"/>
                <w:color w:val="231F20"/>
              </w:rPr>
              <w:t>Intercompany Eliminations</w:t>
            </w:r>
          </w:p>
        </w:tc>
        <w:tc>
          <w:tcPr>
            <w:tcW w:w="220" w:type="dxa"/>
            <w:vAlign w:val="bottom"/>
            <w:tcBorders>
              <w:bottom w:val="single" w:sz="8" w:color="231F20"/>
            </w:tcBorders>
            <w:shd w:val="clear" w:color="auto" w:fill="E2E8F1"/>
          </w:tcPr>
          <w:p>
            <w:pPr>
              <w:spacing w:after="0"/>
              <w:rPr>
                <w:sz w:val="14"/>
                <w:szCs w:val="14"/>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(54.9 )</w:t>
            </w:r>
          </w:p>
        </w:tc>
        <w:tc>
          <w:tcPr>
            <w:tcW w:w="2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231F20"/>
            </w:tcBorders>
            <w:shd w:val="clear" w:color="auto" w:fill="E2E8F1"/>
          </w:tcPr>
          <w:p>
            <w:pPr>
              <w:spacing w:after="0"/>
              <w:rPr>
                <w:sz w:val="14"/>
                <w:szCs w:val="14"/>
                <w:color w:val="auto"/>
              </w:rPr>
            </w:pPr>
          </w:p>
        </w:tc>
        <w:tc>
          <w:tcPr>
            <w:tcW w:w="12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(51.3 )</w:t>
            </w:r>
          </w:p>
        </w:tc>
        <w:tc>
          <w:tcPr>
            <w:tcW w:w="18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231F20"/>
            </w:tcBorders>
            <w:shd w:val="clear" w:color="auto" w:fill="E2E8F1"/>
          </w:tcPr>
          <w:p>
            <w:pPr>
              <w:spacing w:after="0"/>
              <w:rPr>
                <w:sz w:val="14"/>
                <w:szCs w:val="14"/>
                <w:color w:val="auto"/>
              </w:rPr>
            </w:pPr>
          </w:p>
        </w:tc>
        <w:tc>
          <w:tcPr>
            <w:tcW w:w="12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(3.6 )</w:t>
            </w:r>
          </w:p>
        </w:tc>
        <w:tc>
          <w:tcPr>
            <w:tcW w:w="16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231F20"/>
            </w:tcBorders>
            <w:shd w:val="clear" w:color="auto" w:fill="E2E8F1"/>
          </w:tcPr>
          <w:p>
            <w:pPr>
              <w:spacing w:after="0"/>
              <w:rPr>
                <w:sz w:val="14"/>
                <w:szCs w:val="14"/>
                <w:color w:val="auto"/>
              </w:rPr>
            </w:pPr>
          </w:p>
        </w:tc>
        <w:tc>
          <w:tcPr>
            <w:tcW w:w="110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r>
      <w:tr>
        <w:trPr>
          <w:trHeight w:val="169"/>
        </w:trPr>
        <w:tc>
          <w:tcPr>
            <w:tcW w:w="5220" w:type="dxa"/>
            <w:vAlign w:val="bottom"/>
          </w:tcPr>
          <w:p>
            <w:pPr>
              <w:spacing w:after="0"/>
              <w:rPr>
                <w:sz w:val="14"/>
                <w:szCs w:val="14"/>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231F20"/>
              </w:rPr>
              <w:t>$</w:t>
            </w:r>
          </w:p>
        </w:tc>
        <w:tc>
          <w:tcPr>
            <w:tcW w:w="1140" w:type="dxa"/>
            <w:vAlign w:val="bottom"/>
          </w:tcPr>
          <w:p>
            <w:pPr>
              <w:jc w:val="right"/>
              <w:ind w:right="50"/>
              <w:spacing w:after="0"/>
              <w:rPr>
                <w:sz w:val="20"/>
                <w:szCs w:val="20"/>
                <w:color w:val="auto"/>
              </w:rPr>
            </w:pPr>
            <w:r>
              <w:rPr>
                <w:rFonts w:ascii="Arial" w:cs="Arial" w:eastAsia="Arial" w:hAnsi="Arial"/>
                <w:sz w:val="14"/>
                <w:szCs w:val="14"/>
                <w:color w:val="231F20"/>
              </w:rPr>
              <w:t>17,853.9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231F20"/>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231F20"/>
              </w:rPr>
              <w:t>14,767.1</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231F20"/>
              </w:rPr>
              <w:t>$</w:t>
            </w:r>
          </w:p>
        </w:tc>
        <w:tc>
          <w:tcPr>
            <w:tcW w:w="1240" w:type="dxa"/>
            <w:vAlign w:val="bottom"/>
          </w:tcPr>
          <w:p>
            <w:pPr>
              <w:jc w:val="right"/>
              <w:ind w:right="71"/>
              <w:spacing w:after="0"/>
              <w:rPr>
                <w:sz w:val="20"/>
                <w:szCs w:val="20"/>
                <w:color w:val="auto"/>
              </w:rPr>
            </w:pPr>
            <w:r>
              <w:rPr>
                <w:rFonts w:ascii="Arial" w:cs="Arial" w:eastAsia="Arial" w:hAnsi="Arial"/>
                <w:sz w:val="14"/>
                <w:szCs w:val="14"/>
                <w:color w:val="231F20"/>
              </w:rPr>
              <w:t>2,602.0</w:t>
            </w:r>
          </w:p>
        </w:tc>
        <w:tc>
          <w:tcPr>
            <w:tcW w:w="460" w:type="dxa"/>
            <w:vAlign w:val="bottom"/>
            <w:gridSpan w:val="2"/>
          </w:tcPr>
          <w:p>
            <w:pPr>
              <w:jc w:val="right"/>
              <w:ind w:right="129"/>
              <w:spacing w:after="0"/>
              <w:rPr>
                <w:sz w:val="20"/>
                <w:szCs w:val="20"/>
                <w:color w:val="auto"/>
              </w:rPr>
            </w:pPr>
            <w:r>
              <w:rPr>
                <w:rFonts w:ascii="Arial" w:cs="Arial" w:eastAsia="Arial" w:hAnsi="Arial"/>
                <w:sz w:val="14"/>
                <w:szCs w:val="14"/>
                <w:color w:val="231F20"/>
              </w:rPr>
              <w:t>$</w:t>
            </w:r>
          </w:p>
        </w:tc>
        <w:tc>
          <w:tcPr>
            <w:tcW w:w="1100" w:type="dxa"/>
            <w:vAlign w:val="bottom"/>
          </w:tcPr>
          <w:p>
            <w:pPr>
              <w:jc w:val="right"/>
              <w:ind w:right="69"/>
              <w:spacing w:after="0"/>
              <w:rPr>
                <w:sz w:val="20"/>
                <w:szCs w:val="20"/>
                <w:color w:val="auto"/>
              </w:rPr>
            </w:pPr>
            <w:r>
              <w:rPr>
                <w:rFonts w:ascii="Arial" w:cs="Arial" w:eastAsia="Arial" w:hAnsi="Arial"/>
                <w:sz w:val="14"/>
                <w:szCs w:val="14"/>
                <w:color w:val="231F20"/>
              </w:rPr>
              <w:t>484.8</w:t>
            </w:r>
          </w:p>
        </w:tc>
      </w:tr>
      <w:tr>
        <w:trPr>
          <w:trHeight w:val="181"/>
        </w:trPr>
        <w:tc>
          <w:tcPr>
            <w:tcW w:w="522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Reconciliation of operating unit profit (segment OUP)</w:t>
            </w:r>
          </w:p>
        </w:tc>
        <w:tc>
          <w:tcPr>
            <w:tcW w:w="220" w:type="dxa"/>
            <w:vAlign w:val="bottom"/>
            <w:tcBorders>
              <w:top w:val="single" w:sz="8" w:color="231F20"/>
            </w:tcBorders>
            <w:shd w:val="clear" w:color="auto" w:fill="E2E8F1"/>
          </w:tcPr>
          <w:p>
            <w:pPr>
              <w:spacing w:after="0"/>
              <w:rPr>
                <w:sz w:val="15"/>
                <w:szCs w:val="15"/>
                <w:color w:val="auto"/>
              </w:rPr>
            </w:pPr>
          </w:p>
        </w:tc>
        <w:tc>
          <w:tcPr>
            <w:tcW w:w="1140" w:type="dxa"/>
            <w:vAlign w:val="bottom"/>
            <w:tcBorders>
              <w:top w:val="single" w:sz="8" w:color="231F20"/>
            </w:tcBorders>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100" w:type="dxa"/>
            <w:vAlign w:val="bottom"/>
            <w:tcBorders>
              <w:top w:val="single" w:sz="8" w:color="231F20"/>
            </w:tcBorders>
            <w:shd w:val="clear" w:color="auto" w:fill="E2E8F1"/>
          </w:tcPr>
          <w:p>
            <w:pPr>
              <w:spacing w:after="0"/>
              <w:rPr>
                <w:sz w:val="15"/>
                <w:szCs w:val="15"/>
                <w:color w:val="auto"/>
              </w:rPr>
            </w:pPr>
          </w:p>
        </w:tc>
        <w:tc>
          <w:tcPr>
            <w:tcW w:w="1260" w:type="dxa"/>
            <w:vAlign w:val="bottom"/>
            <w:tcBorders>
              <w:top w:val="single" w:sz="8" w:color="231F20"/>
            </w:tcBorders>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140" w:type="dxa"/>
            <w:vAlign w:val="bottom"/>
            <w:tcBorders>
              <w:top w:val="single" w:sz="8" w:color="231F20"/>
            </w:tcBorders>
            <w:shd w:val="clear" w:color="auto" w:fill="E2E8F1"/>
          </w:tcPr>
          <w:p>
            <w:pPr>
              <w:spacing w:after="0"/>
              <w:rPr>
                <w:sz w:val="15"/>
                <w:szCs w:val="15"/>
                <w:color w:val="auto"/>
              </w:rPr>
            </w:pPr>
          </w:p>
        </w:tc>
        <w:tc>
          <w:tcPr>
            <w:tcW w:w="1240" w:type="dxa"/>
            <w:vAlign w:val="bottom"/>
            <w:tcBorders>
              <w:top w:val="single" w:sz="8" w:color="231F20"/>
            </w:tcBorders>
            <w:shd w:val="clear" w:color="auto" w:fill="E2E8F1"/>
          </w:tcPr>
          <w:p>
            <w:pPr>
              <w:spacing w:after="0"/>
              <w:rPr>
                <w:sz w:val="15"/>
                <w:szCs w:val="15"/>
                <w:color w:val="auto"/>
              </w:rPr>
            </w:pPr>
          </w:p>
        </w:tc>
        <w:tc>
          <w:tcPr>
            <w:tcW w:w="160" w:type="dxa"/>
            <w:vAlign w:val="bottom"/>
            <w:shd w:val="clear" w:color="auto" w:fill="E2E8F1"/>
          </w:tcPr>
          <w:p>
            <w:pPr>
              <w:spacing w:after="0"/>
              <w:rPr>
                <w:sz w:val="15"/>
                <w:szCs w:val="15"/>
                <w:color w:val="auto"/>
              </w:rPr>
            </w:pPr>
          </w:p>
        </w:tc>
        <w:tc>
          <w:tcPr>
            <w:tcW w:w="300" w:type="dxa"/>
            <w:vAlign w:val="bottom"/>
            <w:tcBorders>
              <w:top w:val="single" w:sz="8" w:color="231F20"/>
            </w:tcBorders>
            <w:shd w:val="clear" w:color="auto" w:fill="E2E8F1"/>
          </w:tcPr>
          <w:p>
            <w:pPr>
              <w:spacing w:after="0"/>
              <w:rPr>
                <w:sz w:val="15"/>
                <w:szCs w:val="15"/>
                <w:color w:val="auto"/>
              </w:rPr>
            </w:pPr>
          </w:p>
        </w:tc>
        <w:tc>
          <w:tcPr>
            <w:tcW w:w="1100" w:type="dxa"/>
            <w:vAlign w:val="bottom"/>
            <w:tcBorders>
              <w:top w:val="single" w:sz="8" w:color="231F20"/>
            </w:tcBorders>
            <w:shd w:val="clear" w:color="auto" w:fill="E2E8F1"/>
          </w:tcPr>
          <w:p>
            <w:pPr>
              <w:spacing w:after="0"/>
              <w:rPr>
                <w:sz w:val="15"/>
                <w:szCs w:val="15"/>
                <w:color w:val="auto"/>
              </w:rPr>
            </w:pPr>
          </w:p>
        </w:tc>
      </w:tr>
      <w:tr>
        <w:trPr>
          <w:trHeight w:val="189"/>
        </w:trPr>
        <w:tc>
          <w:tcPr>
            <w:tcW w:w="5220" w:type="dxa"/>
            <w:vAlign w:val="bottom"/>
          </w:tcPr>
          <w:p>
            <w:pPr>
              <w:ind w:left="240"/>
              <w:spacing w:after="0"/>
              <w:rPr>
                <w:sz w:val="20"/>
                <w:szCs w:val="20"/>
                <w:color w:val="auto"/>
              </w:rPr>
            </w:pPr>
            <w:r>
              <w:rPr>
                <w:rFonts w:ascii="Arial" w:cs="Arial" w:eastAsia="Arial" w:hAnsi="Arial"/>
                <w:sz w:val="14"/>
                <w:szCs w:val="14"/>
                <w:color w:val="231F20"/>
              </w:rPr>
              <w:t>Corporate expenses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gridSpan w:val="2"/>
          </w:tcPr>
          <w:p>
            <w:pPr>
              <w:jc w:val="right"/>
              <w:ind w:right="129"/>
              <w:spacing w:after="0"/>
              <w:rPr>
                <w:sz w:val="20"/>
                <w:szCs w:val="20"/>
                <w:color w:val="auto"/>
              </w:rPr>
            </w:pPr>
            <w:r>
              <w:rPr>
                <w:rFonts w:ascii="Arial" w:cs="Arial" w:eastAsia="Arial" w:hAnsi="Arial"/>
                <w:sz w:val="14"/>
                <w:szCs w:val="14"/>
                <w:color w:val="231F20"/>
              </w:rPr>
              <w:t>$</w:t>
            </w:r>
          </w:p>
        </w:tc>
        <w:tc>
          <w:tcPr>
            <w:tcW w:w="1100" w:type="dxa"/>
            <w:vAlign w:val="bottom"/>
          </w:tcPr>
          <w:p>
            <w:pPr>
              <w:jc w:val="right"/>
              <w:spacing w:after="0"/>
              <w:rPr>
                <w:sz w:val="20"/>
                <w:szCs w:val="20"/>
                <w:color w:val="auto"/>
              </w:rPr>
            </w:pPr>
            <w:r>
              <w:rPr>
                <w:rFonts w:ascii="Arial" w:cs="Arial" w:eastAsia="Arial" w:hAnsi="Arial"/>
                <w:sz w:val="14"/>
                <w:szCs w:val="14"/>
                <w:color w:val="231F20"/>
              </w:rPr>
              <w:t>(146.1 )</w:t>
            </w:r>
          </w:p>
        </w:tc>
      </w:tr>
      <w:tr>
        <w:trPr>
          <w:trHeight w:val="189"/>
        </w:trPr>
        <w:tc>
          <w:tcPr>
            <w:tcW w:w="522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Goodwill impairment charges</w:t>
            </w:r>
          </w:p>
        </w:tc>
        <w:tc>
          <w:tcPr>
            <w:tcW w:w="220" w:type="dxa"/>
            <w:vAlign w:val="bottom"/>
            <w:shd w:val="clear" w:color="auto" w:fill="E2E8F1"/>
          </w:tcPr>
          <w:p>
            <w:pPr>
              <w:spacing w:after="0"/>
              <w:rPr>
                <w:sz w:val="16"/>
                <w:szCs w:val="16"/>
                <w:color w:val="auto"/>
              </w:rPr>
            </w:pPr>
          </w:p>
        </w:tc>
        <w:tc>
          <w:tcPr>
            <w:tcW w:w="114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124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110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w:t>
            </w:r>
          </w:p>
        </w:tc>
      </w:tr>
      <w:tr>
        <w:trPr>
          <w:trHeight w:val="177"/>
        </w:trPr>
        <w:tc>
          <w:tcPr>
            <w:tcW w:w="5220" w:type="dxa"/>
            <w:vAlign w:val="bottom"/>
          </w:tcPr>
          <w:p>
            <w:pPr>
              <w:ind w:left="240"/>
              <w:spacing w:after="0" w:line="177" w:lineRule="exact"/>
              <w:rPr>
                <w:sz w:val="20"/>
                <w:szCs w:val="20"/>
                <w:color w:val="auto"/>
              </w:rPr>
            </w:pPr>
            <w:r>
              <w:rPr>
                <w:rFonts w:ascii="Arial" w:cs="Arial" w:eastAsia="Arial" w:hAnsi="Arial"/>
                <w:sz w:val="14"/>
                <w:szCs w:val="14"/>
                <w:color w:val="231F20"/>
              </w:rPr>
              <w:t>Intangible asset amortization expense</w:t>
            </w:r>
            <w:r>
              <w:rPr>
                <w:rFonts w:ascii="Arial" w:cs="Arial" w:eastAsia="Arial" w:hAnsi="Arial"/>
                <w:sz w:val="19"/>
                <w:szCs w:val="19"/>
                <w:color w:val="231F20"/>
                <w:vertAlign w:val="superscript"/>
              </w:rPr>
              <w:t>(b)</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(32.7 )</w:t>
            </w:r>
          </w:p>
        </w:tc>
      </w:tr>
      <w:tr>
        <w:trPr>
          <w:trHeight w:val="181"/>
        </w:trPr>
        <w:tc>
          <w:tcPr>
            <w:tcW w:w="5220" w:type="dxa"/>
            <w:vAlign w:val="bottom"/>
            <w:shd w:val="clear" w:color="auto" w:fill="E2E8F1"/>
          </w:tcPr>
          <w:p>
            <w:pPr>
              <w:ind w:left="400"/>
              <w:spacing w:after="0"/>
              <w:rPr>
                <w:sz w:val="20"/>
                <w:szCs w:val="20"/>
                <w:color w:val="auto"/>
              </w:rPr>
            </w:pPr>
            <w:r>
              <w:rPr>
                <w:rFonts w:ascii="Arial" w:cs="Arial" w:eastAsia="Arial" w:hAnsi="Arial"/>
                <w:sz w:val="14"/>
                <w:szCs w:val="14"/>
                <w:color w:val="231F20"/>
              </w:rPr>
              <w:t>Operating profit</w:t>
            </w:r>
          </w:p>
        </w:tc>
        <w:tc>
          <w:tcPr>
            <w:tcW w:w="220" w:type="dxa"/>
            <w:vAlign w:val="bottom"/>
            <w:shd w:val="clear" w:color="auto" w:fill="E2E8F1"/>
          </w:tcPr>
          <w:p>
            <w:pPr>
              <w:spacing w:after="0"/>
              <w:rPr>
                <w:sz w:val="15"/>
                <w:szCs w:val="15"/>
                <w:color w:val="auto"/>
              </w:rPr>
            </w:pPr>
          </w:p>
        </w:tc>
        <w:tc>
          <w:tcPr>
            <w:tcW w:w="114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126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1240" w:type="dxa"/>
            <w:vAlign w:val="bottom"/>
            <w:shd w:val="clear" w:color="auto" w:fill="E2E8F1"/>
          </w:tcPr>
          <w:p>
            <w:pPr>
              <w:spacing w:after="0"/>
              <w:rPr>
                <w:sz w:val="15"/>
                <w:szCs w:val="15"/>
                <w:color w:val="auto"/>
              </w:rPr>
            </w:pPr>
          </w:p>
        </w:tc>
        <w:tc>
          <w:tcPr>
            <w:tcW w:w="16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110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231F20"/>
              </w:rPr>
              <w:t>306.0</w:t>
            </w:r>
          </w:p>
        </w:tc>
      </w:tr>
      <w:tr>
        <w:trPr>
          <w:trHeight w:val="177"/>
        </w:trPr>
        <w:tc>
          <w:tcPr>
            <w:tcW w:w="5220" w:type="dxa"/>
            <w:vAlign w:val="bottom"/>
          </w:tcPr>
          <w:p>
            <w:pPr>
              <w:ind w:left="240"/>
              <w:spacing w:after="0"/>
              <w:rPr>
                <w:sz w:val="20"/>
                <w:szCs w:val="20"/>
                <w:color w:val="auto"/>
              </w:rPr>
            </w:pPr>
            <w:r>
              <w:rPr>
                <w:rFonts w:ascii="Arial" w:cs="Arial" w:eastAsia="Arial" w:hAnsi="Arial"/>
                <w:sz w:val="14"/>
                <w:szCs w:val="14"/>
                <w:color w:val="231F20"/>
              </w:rPr>
              <w:t>Interest and other expenses, net</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(49.2 )</w:t>
            </w:r>
          </w:p>
        </w:tc>
      </w:tr>
      <w:tr>
        <w:trPr>
          <w:trHeight w:val="197"/>
        </w:trPr>
        <w:tc>
          <w:tcPr>
            <w:tcW w:w="5220" w:type="dxa"/>
            <w:vAlign w:val="bottom"/>
            <w:tcBorders>
              <w:bottom w:val="single" w:sz="8" w:color="E2E8F1"/>
            </w:tcBorders>
            <w:shd w:val="clear" w:color="auto" w:fill="E2E8F1"/>
          </w:tcPr>
          <w:p>
            <w:pPr>
              <w:ind w:left="240"/>
              <w:spacing w:after="0" w:line="146" w:lineRule="exact"/>
              <w:rPr>
                <w:sz w:val="20"/>
                <w:szCs w:val="20"/>
                <w:color w:val="auto"/>
              </w:rPr>
            </w:pPr>
            <w:r>
              <w:rPr>
                <w:rFonts w:ascii="Arial" w:cs="Arial" w:eastAsia="Arial" w:hAnsi="Arial"/>
                <w:sz w:val="14"/>
                <w:szCs w:val="14"/>
                <w:color w:val="231F20"/>
              </w:rPr>
              <w:t>Earnings before income taxes</w:t>
            </w:r>
          </w:p>
        </w:tc>
        <w:tc>
          <w:tcPr>
            <w:tcW w:w="220" w:type="dxa"/>
            <w:vAlign w:val="bottom"/>
            <w:tcBorders>
              <w:bottom w:val="single" w:sz="8" w:color="E2E8F1"/>
            </w:tcBorders>
            <w:shd w:val="clear" w:color="auto" w:fill="E2E8F1"/>
          </w:tcPr>
          <w:p>
            <w:pPr>
              <w:spacing w:after="0"/>
              <w:rPr>
                <w:sz w:val="17"/>
                <w:szCs w:val="17"/>
                <w:color w:val="auto"/>
              </w:rPr>
            </w:pPr>
          </w:p>
        </w:tc>
        <w:tc>
          <w:tcPr>
            <w:tcW w:w="114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E2E8F1"/>
            </w:tcBorders>
            <w:shd w:val="clear" w:color="auto" w:fill="E2E8F1"/>
          </w:tcPr>
          <w:p>
            <w:pPr>
              <w:spacing w:after="0"/>
              <w:rPr>
                <w:sz w:val="17"/>
                <w:szCs w:val="17"/>
                <w:color w:val="auto"/>
              </w:rPr>
            </w:pPr>
          </w:p>
        </w:tc>
        <w:tc>
          <w:tcPr>
            <w:tcW w:w="126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bottom w:val="single" w:sz="8" w:color="E2E8F1"/>
            </w:tcBorders>
            <w:shd w:val="clear" w:color="auto" w:fill="E2E8F1"/>
          </w:tcPr>
          <w:p>
            <w:pPr>
              <w:spacing w:after="0"/>
              <w:rPr>
                <w:sz w:val="17"/>
                <w:szCs w:val="17"/>
                <w:color w:val="auto"/>
              </w:rPr>
            </w:pPr>
          </w:p>
        </w:tc>
        <w:tc>
          <w:tcPr>
            <w:tcW w:w="124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jc w:val="right"/>
              <w:ind w:right="129"/>
              <w:spacing w:after="0" w:line="146" w:lineRule="exact"/>
              <w:rPr>
                <w:sz w:val="20"/>
                <w:szCs w:val="20"/>
                <w:color w:val="auto"/>
              </w:rPr>
            </w:pPr>
            <w:r>
              <w:rPr>
                <w:rFonts w:ascii="Arial" w:cs="Arial" w:eastAsia="Arial" w:hAnsi="Arial"/>
                <w:sz w:val="14"/>
                <w:szCs w:val="14"/>
                <w:color w:val="231F20"/>
              </w:rPr>
              <w:t>$</w:t>
            </w:r>
          </w:p>
        </w:tc>
        <w:tc>
          <w:tcPr>
            <w:tcW w:w="1100" w:type="dxa"/>
            <w:vAlign w:val="bottom"/>
            <w:tcBorders>
              <w:bottom w:val="single" w:sz="8" w:color="231F20"/>
            </w:tcBorders>
            <w:shd w:val="clear" w:color="auto" w:fill="E2E8F1"/>
          </w:tcPr>
          <w:p>
            <w:pPr>
              <w:jc w:val="right"/>
              <w:ind w:right="69"/>
              <w:spacing w:after="0" w:line="146" w:lineRule="exact"/>
              <w:rPr>
                <w:sz w:val="20"/>
                <w:szCs w:val="20"/>
                <w:color w:val="auto"/>
              </w:rPr>
            </w:pPr>
            <w:r>
              <w:rPr>
                <w:rFonts w:ascii="Arial" w:cs="Arial" w:eastAsia="Arial" w:hAnsi="Arial"/>
                <w:sz w:val="14"/>
                <w:szCs w:val="14"/>
                <w:color w:val="231F20"/>
              </w:rPr>
              <w:t>256.8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-2177415</wp:posOffset>
            </wp:positionV>
            <wp:extent cx="12001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-2177415</wp:posOffset>
            </wp:positionV>
            <wp:extent cx="11239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-2177415</wp:posOffset>
            </wp:positionV>
            <wp:extent cx="11239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-1456055</wp:posOffset>
            </wp:positionV>
            <wp:extent cx="12001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-1456055</wp:posOffset>
            </wp:positionV>
            <wp:extent cx="11239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-1456055</wp:posOffset>
            </wp:positionV>
            <wp:extent cx="11239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-1216025</wp:posOffset>
            </wp:positionV>
            <wp:extent cx="12001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-1216025</wp:posOffset>
            </wp:positionV>
            <wp:extent cx="11239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-1216025</wp:posOffset>
            </wp:positionV>
            <wp:extent cx="11239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-975360</wp:posOffset>
            </wp:positionV>
            <wp:extent cx="12001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-975360</wp:posOffset>
            </wp:positionV>
            <wp:extent cx="11239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-975360</wp:posOffset>
            </wp:positionV>
            <wp:extent cx="11239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12395" cy="7620"/>
                    </a:xfrm>
                    <a:prstGeom prst="rect">
                      <a:avLst/>
                    </a:prstGeom>
                    <a:noFill/>
                  </pic:spPr>
                </pic:pic>
              </a:graphicData>
            </a:graphic>
          </wp:anchor>
        </w:drawing>
      </w:r>
    </w:p>
    <w:p>
      <w:pPr>
        <w:ind w:left="325" w:hanging="325"/>
        <w:spacing w:after="0" w:line="190" w:lineRule="auto"/>
        <w:tabs>
          <w:tab w:leader="none" w:pos="325" w:val="left"/>
        </w:tabs>
        <w:numPr>
          <w:ilvl w:val="0"/>
          <w:numId w:val="57"/>
        </w:numPr>
        <w:rPr>
          <w:rFonts w:ascii="Arial" w:cs="Arial" w:eastAsia="Arial" w:hAnsi="Arial"/>
          <w:sz w:val="16"/>
          <w:szCs w:val="16"/>
          <w:color w:val="231F20"/>
          <w:vertAlign w:val="superscript"/>
        </w:rPr>
      </w:pPr>
      <w:r>
        <w:rPr>
          <w:rFonts w:ascii="Arial" w:cs="Arial" w:eastAsia="Arial" w:hAnsi="Arial"/>
          <w:sz w:val="12"/>
          <w:szCs w:val="12"/>
          <w:color w:val="231F20"/>
        </w:rPr>
        <w:t>The United States revenues above represent revenues from our company-owned branches and franchise fees received from our franchise operations, which were $10.7 for 2024.</w:t>
      </w:r>
    </w:p>
    <w:p>
      <w:pPr>
        <w:ind w:left="325" w:hanging="325"/>
        <w:spacing w:after="0" w:line="188" w:lineRule="auto"/>
        <w:tabs>
          <w:tab w:leader="none" w:pos="325" w:val="left"/>
        </w:tabs>
        <w:numPr>
          <w:ilvl w:val="0"/>
          <w:numId w:val="57"/>
        </w:numPr>
        <w:rPr>
          <w:rFonts w:ascii="Arial" w:cs="Arial" w:eastAsia="Arial" w:hAnsi="Arial"/>
          <w:sz w:val="15"/>
          <w:szCs w:val="15"/>
          <w:color w:val="231F20"/>
          <w:vertAlign w:val="superscript"/>
        </w:rPr>
      </w:pPr>
      <w:r>
        <w:rPr>
          <w:rFonts w:ascii="Arial" w:cs="Arial" w:eastAsia="Arial" w:hAnsi="Arial"/>
          <w:sz w:val="11"/>
          <w:szCs w:val="11"/>
          <w:color w:val="231F20"/>
        </w:rPr>
        <w:t>Intangible asset amortization related to acquisitions is excluded from operating costs within the reportable segments and corporate expenses, and shown separately.</w:t>
      </w:r>
    </w:p>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28"/>
        </w:trPr>
        <w:tc>
          <w:tcPr>
            <w:tcW w:w="6940" w:type="dxa"/>
            <w:vAlign w:val="bottom"/>
            <w:tcBorders>
              <w:top w:val="single" w:sz="8" w:color="231F20"/>
            </w:tcBorders>
            <w:shd w:val="clear" w:color="auto" w:fill="98B0CF"/>
          </w:tcPr>
          <w:p>
            <w:pPr>
              <w:spacing w:after="0"/>
              <w:rPr>
                <w:sz w:val="11"/>
                <w:szCs w:val="11"/>
                <w:color w:val="auto"/>
              </w:rPr>
            </w:pPr>
          </w:p>
        </w:tc>
        <w:tc>
          <w:tcPr>
            <w:tcW w:w="120" w:type="dxa"/>
            <w:vAlign w:val="bottom"/>
            <w:tcBorders>
              <w:top w:val="single" w:sz="8" w:color="231F20"/>
            </w:tcBorders>
            <w:shd w:val="clear" w:color="auto" w:fill="98B0CF"/>
          </w:tcPr>
          <w:p>
            <w:pPr>
              <w:spacing w:after="0"/>
              <w:rPr>
                <w:sz w:val="11"/>
                <w:szCs w:val="11"/>
                <w:color w:val="auto"/>
              </w:rPr>
            </w:pPr>
          </w:p>
        </w:tc>
        <w:tc>
          <w:tcPr>
            <w:tcW w:w="160" w:type="dxa"/>
            <w:vAlign w:val="bottom"/>
            <w:tcBorders>
              <w:top w:val="single" w:sz="8" w:color="231F20"/>
            </w:tcBorders>
            <w:shd w:val="clear" w:color="auto" w:fill="98B0CF"/>
          </w:tcPr>
          <w:p>
            <w:pPr>
              <w:spacing w:after="0"/>
              <w:rPr>
                <w:sz w:val="11"/>
                <w:szCs w:val="11"/>
                <w:color w:val="auto"/>
              </w:rPr>
            </w:pPr>
          </w:p>
        </w:tc>
        <w:tc>
          <w:tcPr>
            <w:tcW w:w="1200" w:type="dxa"/>
            <w:vAlign w:val="bottom"/>
            <w:tcBorders>
              <w:top w:val="single" w:sz="8" w:color="231F20"/>
            </w:tcBorders>
            <w:shd w:val="clear" w:color="auto" w:fill="98B0CF"/>
          </w:tcPr>
          <w:p>
            <w:pPr>
              <w:spacing w:after="0"/>
              <w:rPr>
                <w:sz w:val="11"/>
                <w:szCs w:val="11"/>
                <w:color w:val="auto"/>
              </w:rPr>
            </w:pPr>
          </w:p>
        </w:tc>
        <w:tc>
          <w:tcPr>
            <w:tcW w:w="140" w:type="dxa"/>
            <w:vAlign w:val="bottom"/>
            <w:tcBorders>
              <w:top w:val="single" w:sz="8" w:color="231F20"/>
            </w:tcBorders>
            <w:shd w:val="clear" w:color="auto" w:fill="98B0CF"/>
          </w:tcPr>
          <w:p>
            <w:pPr>
              <w:spacing w:after="0"/>
              <w:rPr>
                <w:sz w:val="11"/>
                <w:szCs w:val="11"/>
                <w:color w:val="auto"/>
              </w:rPr>
            </w:pPr>
          </w:p>
        </w:tc>
        <w:tc>
          <w:tcPr>
            <w:tcW w:w="180" w:type="dxa"/>
            <w:vAlign w:val="bottom"/>
            <w:tcBorders>
              <w:top w:val="single" w:sz="8" w:color="231F20"/>
            </w:tcBorders>
            <w:shd w:val="clear" w:color="auto" w:fill="98B0CF"/>
          </w:tcPr>
          <w:p>
            <w:pPr>
              <w:spacing w:after="0"/>
              <w:rPr>
                <w:sz w:val="11"/>
                <w:szCs w:val="11"/>
                <w:color w:val="auto"/>
              </w:rPr>
            </w:pPr>
          </w:p>
        </w:tc>
        <w:tc>
          <w:tcPr>
            <w:tcW w:w="1120" w:type="dxa"/>
            <w:vAlign w:val="bottom"/>
            <w:tcBorders>
              <w:top w:val="single" w:sz="8" w:color="231F20"/>
            </w:tcBorders>
            <w:shd w:val="clear" w:color="auto" w:fill="98B0CF"/>
          </w:tcPr>
          <w:p>
            <w:pPr>
              <w:spacing w:after="0"/>
              <w:rPr>
                <w:sz w:val="11"/>
                <w:szCs w:val="11"/>
                <w:color w:val="auto"/>
              </w:rPr>
            </w:pPr>
          </w:p>
        </w:tc>
        <w:tc>
          <w:tcPr>
            <w:tcW w:w="160" w:type="dxa"/>
            <w:vAlign w:val="bottom"/>
            <w:tcBorders>
              <w:top w:val="single" w:sz="8" w:color="231F20"/>
            </w:tcBorders>
            <w:shd w:val="clear" w:color="auto" w:fill="98B0CF"/>
          </w:tcPr>
          <w:p>
            <w:pPr>
              <w:spacing w:after="0"/>
              <w:rPr>
                <w:sz w:val="11"/>
                <w:szCs w:val="11"/>
                <w:color w:val="auto"/>
              </w:rPr>
            </w:pPr>
          </w:p>
        </w:tc>
        <w:tc>
          <w:tcPr>
            <w:tcW w:w="1240" w:type="dxa"/>
            <w:vAlign w:val="bottom"/>
            <w:tcBorders>
              <w:top w:val="single" w:sz="8" w:color="231F20"/>
            </w:tcBorders>
            <w:gridSpan w:val="2"/>
            <w:shd w:val="clear" w:color="auto" w:fill="98B0CF"/>
          </w:tcPr>
          <w:p>
            <w:pPr>
              <w:jc w:val="center"/>
              <w:ind w:right="70"/>
              <w:spacing w:after="0" w:line="128" w:lineRule="exact"/>
              <w:rPr>
                <w:sz w:val="20"/>
                <w:szCs w:val="20"/>
                <w:color w:val="auto"/>
              </w:rPr>
            </w:pPr>
            <w:r>
              <w:rPr>
                <w:rFonts w:ascii="Arial" w:cs="Arial" w:eastAsia="Arial" w:hAnsi="Arial"/>
                <w:sz w:val="13"/>
                <w:szCs w:val="13"/>
                <w:b w:val="1"/>
                <w:bCs w:val="1"/>
                <w:color w:val="231F20"/>
                <w:w w:val="96"/>
              </w:rPr>
              <w:t>Depreciation and</w:t>
            </w:r>
          </w:p>
        </w:tc>
      </w:tr>
      <w:tr>
        <w:trPr>
          <w:trHeight w:val="126"/>
        </w:trPr>
        <w:tc>
          <w:tcPr>
            <w:tcW w:w="6940" w:type="dxa"/>
            <w:vAlign w:val="bottom"/>
            <w:shd w:val="clear" w:color="auto" w:fill="98B0CF"/>
          </w:tcPr>
          <w:p>
            <w:pPr>
              <w:spacing w:after="0"/>
              <w:rPr>
                <w:sz w:val="10"/>
                <w:szCs w:val="10"/>
                <w:color w:val="auto"/>
              </w:rPr>
            </w:pPr>
          </w:p>
        </w:tc>
        <w:tc>
          <w:tcPr>
            <w:tcW w:w="120" w:type="dxa"/>
            <w:vAlign w:val="bottom"/>
            <w:shd w:val="clear" w:color="auto" w:fill="98B0CF"/>
          </w:tcPr>
          <w:p>
            <w:pPr>
              <w:spacing w:after="0"/>
              <w:rPr>
                <w:sz w:val="10"/>
                <w:szCs w:val="10"/>
                <w:color w:val="auto"/>
              </w:rPr>
            </w:pPr>
          </w:p>
        </w:tc>
        <w:tc>
          <w:tcPr>
            <w:tcW w:w="160" w:type="dxa"/>
            <w:vAlign w:val="bottom"/>
            <w:shd w:val="clear" w:color="auto" w:fill="98B0CF"/>
          </w:tcPr>
          <w:p>
            <w:pPr>
              <w:spacing w:after="0"/>
              <w:rPr>
                <w:sz w:val="10"/>
                <w:szCs w:val="10"/>
                <w:color w:val="auto"/>
              </w:rPr>
            </w:pPr>
          </w:p>
        </w:tc>
        <w:tc>
          <w:tcPr>
            <w:tcW w:w="1200" w:type="dxa"/>
            <w:vAlign w:val="bottom"/>
            <w:shd w:val="clear" w:color="auto" w:fill="98B0CF"/>
          </w:tcPr>
          <w:p>
            <w:pPr>
              <w:spacing w:after="0"/>
              <w:rPr>
                <w:sz w:val="10"/>
                <w:szCs w:val="10"/>
                <w:color w:val="auto"/>
              </w:rPr>
            </w:pPr>
          </w:p>
        </w:tc>
        <w:tc>
          <w:tcPr>
            <w:tcW w:w="140" w:type="dxa"/>
            <w:vAlign w:val="bottom"/>
            <w:shd w:val="clear" w:color="auto" w:fill="98B0CF"/>
          </w:tcPr>
          <w:p>
            <w:pPr>
              <w:spacing w:after="0"/>
              <w:rPr>
                <w:sz w:val="10"/>
                <w:szCs w:val="10"/>
                <w:color w:val="auto"/>
              </w:rPr>
            </w:pPr>
          </w:p>
        </w:tc>
        <w:tc>
          <w:tcPr>
            <w:tcW w:w="180" w:type="dxa"/>
            <w:vAlign w:val="bottom"/>
            <w:shd w:val="clear" w:color="auto" w:fill="98B0CF"/>
          </w:tcPr>
          <w:p>
            <w:pPr>
              <w:spacing w:after="0"/>
              <w:rPr>
                <w:sz w:val="10"/>
                <w:szCs w:val="10"/>
                <w:color w:val="auto"/>
              </w:rPr>
            </w:pPr>
          </w:p>
        </w:tc>
        <w:tc>
          <w:tcPr>
            <w:tcW w:w="1120" w:type="dxa"/>
            <w:vAlign w:val="bottom"/>
            <w:shd w:val="clear" w:color="auto" w:fill="98B0CF"/>
          </w:tcPr>
          <w:p>
            <w:pPr>
              <w:jc w:val="right"/>
              <w:ind w:right="330"/>
              <w:spacing w:after="0" w:line="126" w:lineRule="exact"/>
              <w:rPr>
                <w:sz w:val="20"/>
                <w:szCs w:val="20"/>
                <w:color w:val="auto"/>
              </w:rPr>
            </w:pPr>
            <w:r>
              <w:rPr>
                <w:rFonts w:ascii="Arial" w:cs="Arial" w:eastAsia="Arial" w:hAnsi="Arial"/>
                <w:sz w:val="13"/>
                <w:szCs w:val="13"/>
                <w:b w:val="1"/>
                <w:bCs w:val="1"/>
                <w:color w:val="231F20"/>
              </w:rPr>
              <w:t>Long-lived</w:t>
            </w:r>
          </w:p>
        </w:tc>
        <w:tc>
          <w:tcPr>
            <w:tcW w:w="160" w:type="dxa"/>
            <w:vAlign w:val="bottom"/>
            <w:shd w:val="clear" w:color="auto" w:fill="98B0CF"/>
          </w:tcPr>
          <w:p>
            <w:pPr>
              <w:spacing w:after="0"/>
              <w:rPr>
                <w:sz w:val="10"/>
                <w:szCs w:val="10"/>
                <w:color w:val="auto"/>
              </w:rPr>
            </w:pPr>
          </w:p>
        </w:tc>
        <w:tc>
          <w:tcPr>
            <w:tcW w:w="120" w:type="dxa"/>
            <w:vAlign w:val="bottom"/>
            <w:shd w:val="clear" w:color="auto" w:fill="98B0CF"/>
          </w:tcPr>
          <w:p>
            <w:pPr>
              <w:spacing w:after="0"/>
              <w:rPr>
                <w:sz w:val="10"/>
                <w:szCs w:val="10"/>
                <w:color w:val="auto"/>
              </w:rPr>
            </w:pPr>
          </w:p>
        </w:tc>
        <w:tc>
          <w:tcPr>
            <w:tcW w:w="1120" w:type="dxa"/>
            <w:vAlign w:val="bottom"/>
            <w:shd w:val="clear" w:color="auto" w:fill="98B0CF"/>
          </w:tcPr>
          <w:p>
            <w:pPr>
              <w:jc w:val="center"/>
              <w:ind w:right="210"/>
              <w:spacing w:after="0" w:line="126" w:lineRule="exact"/>
              <w:rPr>
                <w:sz w:val="20"/>
                <w:szCs w:val="20"/>
                <w:color w:val="auto"/>
              </w:rPr>
            </w:pPr>
            <w:r>
              <w:rPr>
                <w:rFonts w:ascii="Arial" w:cs="Arial" w:eastAsia="Arial" w:hAnsi="Arial"/>
                <w:sz w:val="13"/>
                <w:szCs w:val="13"/>
                <w:b w:val="1"/>
                <w:bCs w:val="1"/>
                <w:color w:val="231F20"/>
                <w:w w:val="95"/>
              </w:rPr>
              <w:t>Amortization</w:t>
            </w:r>
          </w:p>
        </w:tc>
      </w:tr>
      <w:tr>
        <w:trPr>
          <w:trHeight w:val="171"/>
        </w:trPr>
        <w:tc>
          <w:tcPr>
            <w:tcW w:w="6940" w:type="dxa"/>
            <w:vAlign w:val="bottom"/>
            <w:tcBorders>
              <w:bottom w:val="single" w:sz="8" w:color="231F20"/>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Year Ended December 31, 2024</w:t>
            </w:r>
          </w:p>
        </w:tc>
        <w:tc>
          <w:tcPr>
            <w:tcW w:w="120" w:type="dxa"/>
            <w:vAlign w:val="bottom"/>
            <w:tcBorders>
              <w:bottom w:val="single" w:sz="8" w:color="231F20"/>
            </w:tcBorders>
            <w:shd w:val="clear" w:color="auto" w:fill="98B0CF"/>
          </w:tcPr>
          <w:p>
            <w:pPr>
              <w:spacing w:after="0"/>
              <w:rPr>
                <w:sz w:val="14"/>
                <w:szCs w:val="14"/>
                <w:color w:val="auto"/>
              </w:rPr>
            </w:pPr>
          </w:p>
        </w:tc>
        <w:tc>
          <w:tcPr>
            <w:tcW w:w="160" w:type="dxa"/>
            <w:vAlign w:val="bottom"/>
            <w:tcBorders>
              <w:bottom w:val="single" w:sz="8" w:color="231F20"/>
            </w:tcBorders>
            <w:shd w:val="clear" w:color="auto" w:fill="98B0CF"/>
          </w:tcPr>
          <w:p>
            <w:pPr>
              <w:spacing w:after="0"/>
              <w:rPr>
                <w:sz w:val="14"/>
                <w:szCs w:val="14"/>
                <w:color w:val="auto"/>
              </w:rPr>
            </w:pPr>
          </w:p>
        </w:tc>
        <w:tc>
          <w:tcPr>
            <w:tcW w:w="1200" w:type="dxa"/>
            <w:vAlign w:val="bottom"/>
            <w:tcBorders>
              <w:bottom w:val="single" w:sz="8" w:color="231F20"/>
            </w:tcBorders>
            <w:shd w:val="clear" w:color="auto" w:fill="98B0CF"/>
          </w:tcPr>
          <w:p>
            <w:pPr>
              <w:jc w:val="right"/>
              <w:ind w:right="310"/>
              <w:spacing w:after="0"/>
              <w:rPr>
                <w:sz w:val="20"/>
                <w:szCs w:val="20"/>
                <w:color w:val="auto"/>
              </w:rPr>
            </w:pPr>
            <w:r>
              <w:rPr>
                <w:rFonts w:ascii="Arial" w:cs="Arial" w:eastAsia="Arial" w:hAnsi="Arial"/>
                <w:sz w:val="13"/>
                <w:szCs w:val="13"/>
                <w:b w:val="1"/>
                <w:bCs w:val="1"/>
                <w:color w:val="231F20"/>
              </w:rPr>
              <w:t>Total Assets</w:t>
            </w:r>
          </w:p>
        </w:tc>
        <w:tc>
          <w:tcPr>
            <w:tcW w:w="140" w:type="dxa"/>
            <w:vAlign w:val="bottom"/>
            <w:tcBorders>
              <w:bottom w:val="single" w:sz="8" w:color="231F20"/>
            </w:tcBorders>
            <w:shd w:val="clear" w:color="auto" w:fill="98B0CF"/>
          </w:tcPr>
          <w:p>
            <w:pPr>
              <w:spacing w:after="0"/>
              <w:rPr>
                <w:sz w:val="14"/>
                <w:szCs w:val="14"/>
                <w:color w:val="auto"/>
              </w:rPr>
            </w:pPr>
          </w:p>
        </w:tc>
        <w:tc>
          <w:tcPr>
            <w:tcW w:w="180" w:type="dxa"/>
            <w:vAlign w:val="bottom"/>
            <w:tcBorders>
              <w:bottom w:val="single" w:sz="8" w:color="231F20"/>
            </w:tcBorders>
            <w:shd w:val="clear" w:color="auto" w:fill="98B0CF"/>
          </w:tcPr>
          <w:p>
            <w:pPr>
              <w:spacing w:after="0"/>
              <w:rPr>
                <w:sz w:val="14"/>
                <w:szCs w:val="14"/>
                <w:color w:val="auto"/>
              </w:rPr>
            </w:pPr>
          </w:p>
        </w:tc>
        <w:tc>
          <w:tcPr>
            <w:tcW w:w="1120" w:type="dxa"/>
            <w:vAlign w:val="bottom"/>
            <w:tcBorders>
              <w:bottom w:val="single" w:sz="8" w:color="231F20"/>
            </w:tcBorders>
            <w:shd w:val="clear" w:color="auto" w:fill="98B0CF"/>
          </w:tcPr>
          <w:p>
            <w:pPr>
              <w:jc w:val="right"/>
              <w:ind w:right="370"/>
              <w:spacing w:after="0" w:line="165" w:lineRule="exact"/>
              <w:rPr>
                <w:sz w:val="20"/>
                <w:szCs w:val="20"/>
                <w:color w:val="auto"/>
              </w:rPr>
            </w:pPr>
            <w:r>
              <w:rPr>
                <w:rFonts w:ascii="Arial" w:cs="Arial" w:eastAsia="Arial" w:hAnsi="Arial"/>
                <w:sz w:val="13"/>
                <w:szCs w:val="13"/>
                <w:b w:val="1"/>
                <w:bCs w:val="1"/>
                <w:color w:val="231F20"/>
              </w:rPr>
              <w:t>Assets</w:t>
            </w:r>
            <w:r>
              <w:rPr>
                <w:rFonts w:ascii="Arial" w:cs="Arial" w:eastAsia="Arial" w:hAnsi="Arial"/>
                <w:sz w:val="16"/>
                <w:szCs w:val="16"/>
                <w:b w:val="1"/>
                <w:bCs w:val="1"/>
                <w:color w:val="231F20"/>
                <w:vertAlign w:val="superscript"/>
              </w:rPr>
              <w:t>(a)</w:t>
            </w:r>
          </w:p>
        </w:tc>
        <w:tc>
          <w:tcPr>
            <w:tcW w:w="160" w:type="dxa"/>
            <w:vAlign w:val="bottom"/>
            <w:tcBorders>
              <w:bottom w:val="single" w:sz="8" w:color="231F20"/>
            </w:tcBorders>
            <w:shd w:val="clear" w:color="auto" w:fill="98B0CF"/>
          </w:tcPr>
          <w:p>
            <w:pPr>
              <w:spacing w:after="0"/>
              <w:rPr>
                <w:sz w:val="14"/>
                <w:szCs w:val="14"/>
                <w:color w:val="auto"/>
              </w:rPr>
            </w:pPr>
          </w:p>
        </w:tc>
        <w:tc>
          <w:tcPr>
            <w:tcW w:w="120" w:type="dxa"/>
            <w:vAlign w:val="bottom"/>
            <w:tcBorders>
              <w:bottom w:val="single" w:sz="8" w:color="231F20"/>
            </w:tcBorders>
            <w:shd w:val="clear" w:color="auto" w:fill="98B0CF"/>
          </w:tcPr>
          <w:p>
            <w:pPr>
              <w:spacing w:after="0"/>
              <w:rPr>
                <w:sz w:val="14"/>
                <w:szCs w:val="14"/>
                <w:color w:val="auto"/>
              </w:rPr>
            </w:pPr>
          </w:p>
        </w:tc>
        <w:tc>
          <w:tcPr>
            <w:tcW w:w="1120" w:type="dxa"/>
            <w:vAlign w:val="bottom"/>
            <w:tcBorders>
              <w:bottom w:val="single" w:sz="8" w:color="231F20"/>
            </w:tcBorders>
            <w:shd w:val="clear" w:color="auto" w:fill="98B0CF"/>
          </w:tcPr>
          <w:p>
            <w:pPr>
              <w:jc w:val="center"/>
              <w:ind w:right="170"/>
              <w:spacing w:after="0"/>
              <w:rPr>
                <w:sz w:val="20"/>
                <w:szCs w:val="20"/>
                <w:color w:val="auto"/>
              </w:rPr>
            </w:pPr>
            <w:r>
              <w:rPr>
                <w:rFonts w:ascii="Arial" w:cs="Arial" w:eastAsia="Arial" w:hAnsi="Arial"/>
                <w:sz w:val="13"/>
                <w:szCs w:val="13"/>
                <w:b w:val="1"/>
                <w:bCs w:val="1"/>
                <w:color w:val="231F20"/>
                <w:w w:val="97"/>
              </w:rPr>
              <w:t>Expense</w:t>
            </w:r>
          </w:p>
        </w:tc>
      </w:tr>
      <w:tr>
        <w:trPr>
          <w:trHeight w:val="187"/>
        </w:trPr>
        <w:tc>
          <w:tcPr>
            <w:tcW w:w="694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Americas:</w:t>
            </w:r>
          </w:p>
        </w:tc>
        <w:tc>
          <w:tcPr>
            <w:tcW w:w="12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0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112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0" w:type="dxa"/>
            <w:vAlign w:val="bottom"/>
            <w:shd w:val="clear" w:color="auto" w:fill="E2E8F1"/>
          </w:tcPr>
          <w:p>
            <w:pPr>
              <w:spacing w:after="0"/>
              <w:rPr>
                <w:sz w:val="16"/>
                <w:szCs w:val="16"/>
                <w:color w:val="auto"/>
              </w:rPr>
            </w:pPr>
          </w:p>
        </w:tc>
        <w:tc>
          <w:tcPr>
            <w:tcW w:w="1120" w:type="dxa"/>
            <w:vAlign w:val="bottom"/>
            <w:shd w:val="clear" w:color="auto" w:fill="E2E8F1"/>
          </w:tcPr>
          <w:p>
            <w:pPr>
              <w:spacing w:after="0"/>
              <w:rPr>
                <w:sz w:val="16"/>
                <w:szCs w:val="16"/>
                <w:color w:val="auto"/>
              </w:rPr>
            </w:pPr>
          </w:p>
        </w:tc>
      </w:tr>
      <w:tr>
        <w:trPr>
          <w:trHeight w:val="189"/>
        </w:trPr>
        <w:tc>
          <w:tcPr>
            <w:tcW w:w="6940" w:type="dxa"/>
            <w:vAlign w:val="bottom"/>
          </w:tcPr>
          <w:p>
            <w:pPr>
              <w:ind w:left="240"/>
              <w:spacing w:after="0"/>
              <w:rPr>
                <w:sz w:val="20"/>
                <w:szCs w:val="20"/>
                <w:color w:val="auto"/>
              </w:rPr>
            </w:pPr>
            <w:r>
              <w:rPr>
                <w:rFonts w:ascii="Arial" w:cs="Arial" w:eastAsia="Arial" w:hAnsi="Arial"/>
                <w:sz w:val="14"/>
                <w:szCs w:val="14"/>
                <w:color w:val="231F20"/>
              </w:rPr>
              <w:t>United States</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231F20"/>
              </w:rPr>
              <w:t>$</w:t>
            </w:r>
          </w:p>
        </w:tc>
        <w:tc>
          <w:tcPr>
            <w:tcW w:w="1200" w:type="dxa"/>
            <w:vAlign w:val="bottom"/>
          </w:tcPr>
          <w:p>
            <w:pPr>
              <w:jc w:val="right"/>
              <w:ind w:right="70"/>
              <w:spacing w:after="0"/>
              <w:rPr>
                <w:sz w:val="20"/>
                <w:szCs w:val="20"/>
                <w:color w:val="auto"/>
              </w:rPr>
            </w:pPr>
            <w:r>
              <w:rPr>
                <w:rFonts w:ascii="Arial" w:cs="Arial" w:eastAsia="Arial" w:hAnsi="Arial"/>
                <w:sz w:val="14"/>
                <w:szCs w:val="14"/>
                <w:color w:val="231F20"/>
              </w:rPr>
              <w:t>2,902.4</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231F20"/>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231F20"/>
              </w:rPr>
              <w:t>77.7</w:t>
            </w:r>
          </w:p>
        </w:tc>
        <w:tc>
          <w:tcPr>
            <w:tcW w:w="280" w:type="dxa"/>
            <w:vAlign w:val="bottom"/>
            <w:gridSpan w:val="2"/>
          </w:tcPr>
          <w:p>
            <w:pPr>
              <w:jc w:val="right"/>
              <w:spacing w:after="0"/>
              <w:rPr>
                <w:sz w:val="20"/>
                <w:szCs w:val="20"/>
                <w:color w:val="auto"/>
              </w:rPr>
            </w:pPr>
            <w:r>
              <w:rPr>
                <w:rFonts w:ascii="Arial" w:cs="Arial" w:eastAsia="Arial" w:hAnsi="Arial"/>
                <w:sz w:val="14"/>
                <w:szCs w:val="14"/>
                <w:color w:val="231F20"/>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231F20"/>
              </w:rPr>
              <w:t>9.7</w:t>
            </w:r>
          </w:p>
        </w:tc>
      </w:tr>
      <w:tr>
        <w:trPr>
          <w:trHeight w:val="177"/>
        </w:trPr>
        <w:tc>
          <w:tcPr>
            <w:tcW w:w="6940" w:type="dxa"/>
            <w:vAlign w:val="bottom"/>
            <w:tcBorders>
              <w:bottom w:val="single" w:sz="8" w:color="E2E8F1"/>
            </w:tcBorders>
            <w:shd w:val="clear" w:color="auto" w:fill="E2E8F1"/>
          </w:tcPr>
          <w:p>
            <w:pPr>
              <w:ind w:left="240"/>
              <w:spacing w:after="0"/>
              <w:rPr>
                <w:sz w:val="20"/>
                <w:szCs w:val="20"/>
                <w:color w:val="auto"/>
              </w:rPr>
            </w:pPr>
            <w:r>
              <w:rPr>
                <w:rFonts w:ascii="Arial" w:cs="Arial" w:eastAsia="Arial" w:hAnsi="Arial"/>
                <w:sz w:val="14"/>
                <w:szCs w:val="14"/>
                <w:color w:val="231F20"/>
              </w:rPr>
              <w:t>Other Americas</w:t>
            </w:r>
          </w:p>
        </w:tc>
        <w:tc>
          <w:tcPr>
            <w:tcW w:w="120" w:type="dxa"/>
            <w:vAlign w:val="bottom"/>
            <w:tcBorders>
              <w:bottom w:val="single" w:sz="8" w:color="E2E8F1"/>
            </w:tcBorders>
            <w:shd w:val="clear" w:color="auto" w:fill="E2E8F1"/>
          </w:tcPr>
          <w:p>
            <w:pPr>
              <w:spacing w:after="0"/>
              <w:rPr>
                <w:sz w:val="15"/>
                <w:szCs w:val="15"/>
                <w:color w:val="auto"/>
              </w:rPr>
            </w:pPr>
          </w:p>
        </w:tc>
        <w:tc>
          <w:tcPr>
            <w:tcW w:w="160" w:type="dxa"/>
            <w:vAlign w:val="bottom"/>
            <w:tcBorders>
              <w:bottom w:val="single" w:sz="8" w:color="231F20"/>
            </w:tcBorders>
            <w:shd w:val="clear" w:color="auto" w:fill="E2E8F1"/>
          </w:tcPr>
          <w:p>
            <w:pPr>
              <w:spacing w:after="0"/>
              <w:rPr>
                <w:sz w:val="15"/>
                <w:szCs w:val="15"/>
                <w:color w:val="auto"/>
              </w:rPr>
            </w:pPr>
          </w:p>
        </w:tc>
        <w:tc>
          <w:tcPr>
            <w:tcW w:w="120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231F20"/>
              </w:rPr>
              <w:t>465.3</w:t>
            </w:r>
          </w:p>
        </w:tc>
        <w:tc>
          <w:tcPr>
            <w:tcW w:w="140" w:type="dxa"/>
            <w:vAlign w:val="bottom"/>
            <w:tcBorders>
              <w:bottom w:val="single" w:sz="8" w:color="E2E8F1"/>
            </w:tcBorders>
            <w:shd w:val="clear" w:color="auto" w:fill="E2E8F1"/>
          </w:tcPr>
          <w:p>
            <w:pPr>
              <w:spacing w:after="0"/>
              <w:rPr>
                <w:sz w:val="15"/>
                <w:szCs w:val="15"/>
                <w:color w:val="auto"/>
              </w:rPr>
            </w:pPr>
          </w:p>
        </w:tc>
        <w:tc>
          <w:tcPr>
            <w:tcW w:w="180" w:type="dxa"/>
            <w:vAlign w:val="bottom"/>
            <w:tcBorders>
              <w:bottom w:val="single" w:sz="8" w:color="231F20"/>
            </w:tcBorders>
            <w:shd w:val="clear" w:color="auto" w:fill="E2E8F1"/>
          </w:tcPr>
          <w:p>
            <w:pPr>
              <w:spacing w:after="0"/>
              <w:rPr>
                <w:sz w:val="15"/>
                <w:szCs w:val="15"/>
                <w:color w:val="auto"/>
              </w:rPr>
            </w:pPr>
          </w:p>
        </w:tc>
        <w:tc>
          <w:tcPr>
            <w:tcW w:w="112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13.3</w:t>
            </w:r>
          </w:p>
        </w:tc>
        <w:tc>
          <w:tcPr>
            <w:tcW w:w="160" w:type="dxa"/>
            <w:vAlign w:val="bottom"/>
            <w:tcBorders>
              <w:bottom w:val="single" w:sz="8" w:color="E2E8F1"/>
            </w:tcBorders>
            <w:shd w:val="clear" w:color="auto" w:fill="E2E8F1"/>
          </w:tcPr>
          <w:p>
            <w:pPr>
              <w:spacing w:after="0"/>
              <w:rPr>
                <w:sz w:val="15"/>
                <w:szCs w:val="15"/>
                <w:color w:val="auto"/>
              </w:rPr>
            </w:pPr>
          </w:p>
        </w:tc>
        <w:tc>
          <w:tcPr>
            <w:tcW w:w="120" w:type="dxa"/>
            <w:vAlign w:val="bottom"/>
            <w:tcBorders>
              <w:bottom w:val="single" w:sz="8" w:color="231F20"/>
            </w:tcBorders>
            <w:shd w:val="clear" w:color="auto" w:fill="E2E8F1"/>
          </w:tcPr>
          <w:p>
            <w:pPr>
              <w:spacing w:after="0"/>
              <w:rPr>
                <w:sz w:val="15"/>
                <w:szCs w:val="15"/>
                <w:color w:val="auto"/>
              </w:rPr>
            </w:pPr>
          </w:p>
        </w:tc>
        <w:tc>
          <w:tcPr>
            <w:tcW w:w="112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231F20"/>
              </w:rPr>
              <w:t>2.6</w:t>
            </w:r>
          </w:p>
        </w:tc>
      </w:tr>
      <w:tr>
        <w:trPr>
          <w:trHeight w:val="169"/>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231F20"/>
            </w:tcBorders>
          </w:tcPr>
          <w:p>
            <w:pPr>
              <w:spacing w:after="0"/>
              <w:rPr>
                <w:sz w:val="14"/>
                <w:szCs w:val="14"/>
                <w:color w:val="auto"/>
              </w:rPr>
            </w:pPr>
          </w:p>
        </w:tc>
        <w:tc>
          <w:tcPr>
            <w:tcW w:w="120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231F20"/>
              </w:rPr>
              <w:t>3,367.7</w:t>
            </w:r>
          </w:p>
        </w:tc>
        <w:tc>
          <w:tcPr>
            <w:tcW w:w="140" w:type="dxa"/>
            <w:vAlign w:val="bottom"/>
          </w:tcPr>
          <w:p>
            <w:pPr>
              <w:spacing w:after="0"/>
              <w:rPr>
                <w:sz w:val="14"/>
                <w:szCs w:val="14"/>
                <w:color w:val="auto"/>
              </w:rPr>
            </w:pPr>
          </w:p>
        </w:tc>
        <w:tc>
          <w:tcPr>
            <w:tcW w:w="180" w:type="dxa"/>
            <w:vAlign w:val="bottom"/>
            <w:tcBorders>
              <w:bottom w:val="single" w:sz="8" w:color="231F20"/>
            </w:tcBorders>
          </w:tcPr>
          <w:p>
            <w:pPr>
              <w:spacing w:after="0"/>
              <w:rPr>
                <w:sz w:val="14"/>
                <w:szCs w:val="14"/>
                <w:color w:val="auto"/>
              </w:rPr>
            </w:pPr>
          </w:p>
        </w:tc>
        <w:tc>
          <w:tcPr>
            <w:tcW w:w="11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91.0</w:t>
            </w:r>
          </w:p>
        </w:tc>
        <w:tc>
          <w:tcPr>
            <w:tcW w:w="160" w:type="dxa"/>
            <w:vAlign w:val="bottom"/>
          </w:tcPr>
          <w:p>
            <w:pPr>
              <w:spacing w:after="0"/>
              <w:rPr>
                <w:sz w:val="14"/>
                <w:szCs w:val="14"/>
                <w:color w:val="auto"/>
              </w:rPr>
            </w:pPr>
          </w:p>
        </w:tc>
        <w:tc>
          <w:tcPr>
            <w:tcW w:w="120" w:type="dxa"/>
            <w:vAlign w:val="bottom"/>
            <w:tcBorders>
              <w:bottom w:val="single" w:sz="8" w:color="231F20"/>
            </w:tcBorders>
          </w:tcPr>
          <w:p>
            <w:pPr>
              <w:spacing w:after="0"/>
              <w:rPr>
                <w:sz w:val="14"/>
                <w:szCs w:val="14"/>
                <w:color w:val="auto"/>
              </w:rPr>
            </w:pPr>
          </w:p>
        </w:tc>
        <w:tc>
          <w:tcPr>
            <w:tcW w:w="112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231F20"/>
              </w:rPr>
              <w:t>12.3</w:t>
            </w:r>
          </w:p>
        </w:tc>
      </w:tr>
      <w:tr>
        <w:trPr>
          <w:trHeight w:val="181"/>
        </w:trPr>
        <w:tc>
          <w:tcPr>
            <w:tcW w:w="694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Southern Europe:</w:t>
            </w:r>
          </w:p>
        </w:tc>
        <w:tc>
          <w:tcPr>
            <w:tcW w:w="120" w:type="dxa"/>
            <w:vAlign w:val="bottom"/>
            <w:shd w:val="clear" w:color="auto" w:fill="E2E8F1"/>
          </w:tcPr>
          <w:p>
            <w:pPr>
              <w:spacing w:after="0"/>
              <w:rPr>
                <w:sz w:val="15"/>
                <w:szCs w:val="15"/>
                <w:color w:val="auto"/>
              </w:rPr>
            </w:pPr>
          </w:p>
        </w:tc>
        <w:tc>
          <w:tcPr>
            <w:tcW w:w="160" w:type="dxa"/>
            <w:vAlign w:val="bottom"/>
            <w:shd w:val="clear" w:color="auto" w:fill="E2E8F1"/>
          </w:tcPr>
          <w:p>
            <w:pPr>
              <w:spacing w:after="0"/>
              <w:rPr>
                <w:sz w:val="15"/>
                <w:szCs w:val="15"/>
                <w:color w:val="auto"/>
              </w:rPr>
            </w:pPr>
          </w:p>
        </w:tc>
        <w:tc>
          <w:tcPr>
            <w:tcW w:w="120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1120" w:type="dxa"/>
            <w:vAlign w:val="bottom"/>
            <w:shd w:val="clear" w:color="auto" w:fill="E2E8F1"/>
          </w:tcPr>
          <w:p>
            <w:pPr>
              <w:spacing w:after="0"/>
              <w:rPr>
                <w:sz w:val="15"/>
                <w:szCs w:val="15"/>
                <w:color w:val="auto"/>
              </w:rPr>
            </w:pPr>
          </w:p>
        </w:tc>
        <w:tc>
          <w:tcPr>
            <w:tcW w:w="160" w:type="dxa"/>
            <w:vAlign w:val="bottom"/>
            <w:shd w:val="clear" w:color="auto" w:fill="E2E8F1"/>
          </w:tcPr>
          <w:p>
            <w:pPr>
              <w:spacing w:after="0"/>
              <w:rPr>
                <w:sz w:val="15"/>
                <w:szCs w:val="15"/>
                <w:color w:val="auto"/>
              </w:rPr>
            </w:pPr>
          </w:p>
        </w:tc>
        <w:tc>
          <w:tcPr>
            <w:tcW w:w="120" w:type="dxa"/>
            <w:vAlign w:val="bottom"/>
            <w:shd w:val="clear" w:color="auto" w:fill="E2E8F1"/>
          </w:tcPr>
          <w:p>
            <w:pPr>
              <w:spacing w:after="0"/>
              <w:rPr>
                <w:sz w:val="15"/>
                <w:szCs w:val="15"/>
                <w:color w:val="auto"/>
              </w:rPr>
            </w:pPr>
          </w:p>
        </w:tc>
        <w:tc>
          <w:tcPr>
            <w:tcW w:w="1120" w:type="dxa"/>
            <w:vAlign w:val="bottom"/>
            <w:shd w:val="clear" w:color="auto" w:fill="E2E8F1"/>
          </w:tcPr>
          <w:p>
            <w:pPr>
              <w:spacing w:after="0"/>
              <w:rPr>
                <w:sz w:val="15"/>
                <w:szCs w:val="15"/>
                <w:color w:val="auto"/>
              </w:rPr>
            </w:pPr>
          </w:p>
        </w:tc>
      </w:tr>
      <w:tr>
        <w:trPr>
          <w:trHeight w:val="189"/>
        </w:trPr>
        <w:tc>
          <w:tcPr>
            <w:tcW w:w="6940" w:type="dxa"/>
            <w:vAlign w:val="bottom"/>
          </w:tcPr>
          <w:p>
            <w:pPr>
              <w:ind w:left="240"/>
              <w:spacing w:after="0"/>
              <w:rPr>
                <w:sz w:val="20"/>
                <w:szCs w:val="20"/>
                <w:color w:val="auto"/>
              </w:rPr>
            </w:pPr>
            <w:r>
              <w:rPr>
                <w:rFonts w:ascii="Arial" w:cs="Arial" w:eastAsia="Arial" w:hAnsi="Arial"/>
                <w:sz w:val="14"/>
                <w:szCs w:val="14"/>
                <w:color w:val="231F20"/>
              </w:rPr>
              <w:t>France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70"/>
              <w:spacing w:after="0"/>
              <w:rPr>
                <w:sz w:val="20"/>
                <w:szCs w:val="20"/>
                <w:color w:val="auto"/>
              </w:rPr>
            </w:pPr>
            <w:r>
              <w:rPr>
                <w:rFonts w:ascii="Arial" w:cs="Arial" w:eastAsia="Arial" w:hAnsi="Arial"/>
                <w:sz w:val="14"/>
                <w:szCs w:val="14"/>
                <w:color w:val="231F20"/>
              </w:rPr>
              <w:t>2,049.8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231F20"/>
              </w:rPr>
              <w:t>171.8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231F20"/>
              </w:rPr>
              <w:t>15.2</w:t>
            </w:r>
          </w:p>
        </w:tc>
      </w:tr>
      <w:tr>
        <w:trPr>
          <w:trHeight w:val="189"/>
        </w:trPr>
        <w:tc>
          <w:tcPr>
            <w:tcW w:w="694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Italy</w:t>
            </w:r>
          </w:p>
        </w:tc>
        <w:tc>
          <w:tcPr>
            <w:tcW w:w="12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479.3</w:t>
            </w:r>
          </w:p>
        </w:tc>
        <w:tc>
          <w:tcPr>
            <w:tcW w:w="14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112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231F20"/>
              </w:rPr>
              <w:t>45.6</w:t>
            </w:r>
          </w:p>
        </w:tc>
        <w:tc>
          <w:tcPr>
            <w:tcW w:w="160" w:type="dxa"/>
            <w:vAlign w:val="bottom"/>
            <w:shd w:val="clear" w:color="auto" w:fill="E2E8F1"/>
          </w:tcPr>
          <w:p>
            <w:pPr>
              <w:spacing w:after="0"/>
              <w:rPr>
                <w:sz w:val="16"/>
                <w:szCs w:val="16"/>
                <w:color w:val="auto"/>
              </w:rPr>
            </w:pPr>
          </w:p>
        </w:tc>
        <w:tc>
          <w:tcPr>
            <w:tcW w:w="120" w:type="dxa"/>
            <w:vAlign w:val="bottom"/>
            <w:shd w:val="clear" w:color="auto" w:fill="E2E8F1"/>
          </w:tcPr>
          <w:p>
            <w:pPr>
              <w:spacing w:after="0"/>
              <w:rPr>
                <w:sz w:val="16"/>
                <w:szCs w:val="16"/>
                <w:color w:val="auto"/>
              </w:rPr>
            </w:pPr>
          </w:p>
        </w:tc>
        <w:tc>
          <w:tcPr>
            <w:tcW w:w="112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2.0</w:t>
            </w:r>
          </w:p>
        </w:tc>
      </w:tr>
      <w:tr>
        <w:trPr>
          <w:trHeight w:val="177"/>
        </w:trPr>
        <w:tc>
          <w:tcPr>
            <w:tcW w:w="6940" w:type="dxa"/>
            <w:vAlign w:val="bottom"/>
          </w:tcPr>
          <w:p>
            <w:pPr>
              <w:ind w:left="240"/>
              <w:spacing w:after="0"/>
              <w:rPr>
                <w:sz w:val="20"/>
                <w:szCs w:val="20"/>
                <w:color w:val="auto"/>
              </w:rPr>
            </w:pPr>
            <w:r>
              <w:rPr>
                <w:rFonts w:ascii="Arial" w:cs="Arial" w:eastAsia="Arial" w:hAnsi="Arial"/>
                <w:sz w:val="14"/>
                <w:szCs w:val="14"/>
                <w:color w:val="231F20"/>
              </w:rPr>
              <w:t>Other Southern Europe</w:t>
            </w:r>
          </w:p>
        </w:tc>
        <w:tc>
          <w:tcPr>
            <w:tcW w:w="12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120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231F20"/>
              </w:rPr>
              <w:t>762.3</w:t>
            </w:r>
          </w:p>
        </w:tc>
        <w:tc>
          <w:tcPr>
            <w:tcW w:w="140" w:type="dxa"/>
            <w:vAlign w:val="bottom"/>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231F20"/>
              </w:rPr>
              <w:t>45.5</w:t>
            </w:r>
          </w:p>
        </w:tc>
        <w:tc>
          <w:tcPr>
            <w:tcW w:w="16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231F20"/>
              </w:rPr>
              <w:t>3.9</w:t>
            </w:r>
          </w:p>
        </w:tc>
      </w:tr>
      <w:tr>
        <w:trPr>
          <w:trHeight w:val="169"/>
        </w:trPr>
        <w:tc>
          <w:tcPr>
            <w:tcW w:w="694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231F20"/>
            </w:tcBorders>
            <w:shd w:val="clear" w:color="auto" w:fill="E2E8F1"/>
          </w:tcPr>
          <w:p>
            <w:pPr>
              <w:spacing w:after="0"/>
              <w:rPr>
                <w:sz w:val="14"/>
                <w:szCs w:val="14"/>
                <w:color w:val="auto"/>
              </w:rPr>
            </w:pPr>
          </w:p>
        </w:tc>
        <w:tc>
          <w:tcPr>
            <w:tcW w:w="120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231F20"/>
              </w:rPr>
              <w:t>3,291.4</w:t>
            </w:r>
          </w:p>
        </w:tc>
        <w:tc>
          <w:tcPr>
            <w:tcW w:w="140" w:type="dxa"/>
            <w:vAlign w:val="bottom"/>
            <w:tcBorders>
              <w:bottom w:val="single" w:sz="8" w:color="E2E8F1"/>
            </w:tcBorders>
            <w:shd w:val="clear" w:color="auto" w:fill="E2E8F1"/>
          </w:tcPr>
          <w:p>
            <w:pPr>
              <w:spacing w:after="0"/>
              <w:rPr>
                <w:sz w:val="14"/>
                <w:szCs w:val="14"/>
                <w:color w:val="auto"/>
              </w:rPr>
            </w:pPr>
          </w:p>
        </w:tc>
        <w:tc>
          <w:tcPr>
            <w:tcW w:w="180" w:type="dxa"/>
            <w:vAlign w:val="bottom"/>
            <w:tcBorders>
              <w:bottom w:val="single" w:sz="8" w:color="231F20"/>
            </w:tcBorders>
            <w:shd w:val="clear" w:color="auto" w:fill="E2E8F1"/>
          </w:tcPr>
          <w:p>
            <w:pPr>
              <w:spacing w:after="0"/>
              <w:rPr>
                <w:sz w:val="14"/>
                <w:szCs w:val="14"/>
                <w:color w:val="auto"/>
              </w:rPr>
            </w:pPr>
          </w:p>
        </w:tc>
        <w:tc>
          <w:tcPr>
            <w:tcW w:w="112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262.9</w:t>
            </w:r>
          </w:p>
        </w:tc>
        <w:tc>
          <w:tcPr>
            <w:tcW w:w="16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231F20"/>
            </w:tcBorders>
            <w:shd w:val="clear" w:color="auto" w:fill="E2E8F1"/>
          </w:tcPr>
          <w:p>
            <w:pPr>
              <w:spacing w:after="0"/>
              <w:rPr>
                <w:sz w:val="14"/>
                <w:szCs w:val="14"/>
                <w:color w:val="auto"/>
              </w:rPr>
            </w:pPr>
          </w:p>
        </w:tc>
        <w:tc>
          <w:tcPr>
            <w:tcW w:w="112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231F20"/>
              </w:rPr>
              <w:t>21.1</w:t>
            </w:r>
          </w:p>
        </w:tc>
      </w:tr>
      <w:tr>
        <w:trPr>
          <w:trHeight w:val="181"/>
        </w:trPr>
        <w:tc>
          <w:tcPr>
            <w:tcW w:w="6940" w:type="dxa"/>
            <w:vAlign w:val="bottom"/>
          </w:tcPr>
          <w:p>
            <w:pPr>
              <w:ind w:left="80"/>
              <w:spacing w:after="0"/>
              <w:rPr>
                <w:sz w:val="20"/>
                <w:szCs w:val="20"/>
                <w:color w:val="auto"/>
              </w:rPr>
            </w:pPr>
            <w:r>
              <w:rPr>
                <w:rFonts w:ascii="Arial" w:cs="Arial" w:eastAsia="Arial" w:hAnsi="Arial"/>
                <w:sz w:val="14"/>
                <w:szCs w:val="14"/>
                <w:color w:val="231F20"/>
              </w:rPr>
              <w:t>Northern Europe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70"/>
              <w:spacing w:after="0"/>
              <w:rPr>
                <w:sz w:val="20"/>
                <w:szCs w:val="20"/>
                <w:color w:val="auto"/>
              </w:rPr>
            </w:pPr>
            <w:r>
              <w:rPr>
                <w:rFonts w:ascii="Arial" w:cs="Arial" w:eastAsia="Arial" w:hAnsi="Arial"/>
                <w:sz w:val="14"/>
                <w:szCs w:val="14"/>
                <w:color w:val="231F20"/>
              </w:rPr>
              <w:t>597.7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231F20"/>
              </w:rPr>
              <w:t>115.1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231F20"/>
              </w:rPr>
              <w:t>10.9</w:t>
            </w:r>
          </w:p>
        </w:tc>
      </w:tr>
      <w:tr>
        <w:trPr>
          <w:trHeight w:val="189"/>
        </w:trPr>
        <w:tc>
          <w:tcPr>
            <w:tcW w:w="694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APME</w:t>
            </w:r>
          </w:p>
        </w:tc>
        <w:tc>
          <w:tcPr>
            <w:tcW w:w="12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2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615.0</w:t>
            </w:r>
          </w:p>
        </w:tc>
        <w:tc>
          <w:tcPr>
            <w:tcW w:w="14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112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231F20"/>
              </w:rPr>
              <w:t>39.7</w:t>
            </w:r>
          </w:p>
        </w:tc>
        <w:tc>
          <w:tcPr>
            <w:tcW w:w="160" w:type="dxa"/>
            <w:vAlign w:val="bottom"/>
            <w:shd w:val="clear" w:color="auto" w:fill="E2E8F1"/>
          </w:tcPr>
          <w:p>
            <w:pPr>
              <w:spacing w:after="0"/>
              <w:rPr>
                <w:sz w:val="16"/>
                <w:szCs w:val="16"/>
                <w:color w:val="auto"/>
              </w:rPr>
            </w:pPr>
          </w:p>
        </w:tc>
        <w:tc>
          <w:tcPr>
            <w:tcW w:w="120" w:type="dxa"/>
            <w:vAlign w:val="bottom"/>
            <w:shd w:val="clear" w:color="auto" w:fill="E2E8F1"/>
          </w:tcPr>
          <w:p>
            <w:pPr>
              <w:spacing w:after="0"/>
              <w:rPr>
                <w:sz w:val="16"/>
                <w:szCs w:val="16"/>
                <w:color w:val="auto"/>
              </w:rPr>
            </w:pPr>
          </w:p>
        </w:tc>
        <w:tc>
          <w:tcPr>
            <w:tcW w:w="112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5.5</w:t>
            </w:r>
          </w:p>
        </w:tc>
      </w:tr>
      <w:tr>
        <w:trPr>
          <w:trHeight w:val="189"/>
        </w:trPr>
        <w:tc>
          <w:tcPr>
            <w:tcW w:w="6940" w:type="dxa"/>
            <w:vAlign w:val="bottom"/>
          </w:tcPr>
          <w:p>
            <w:pPr>
              <w:ind w:left="80"/>
              <w:spacing w:after="0" w:line="189" w:lineRule="exact"/>
              <w:rPr>
                <w:sz w:val="20"/>
                <w:szCs w:val="20"/>
                <w:color w:val="auto"/>
              </w:rPr>
            </w:pPr>
            <w:r>
              <w:rPr>
                <w:rFonts w:ascii="Arial" w:cs="Arial" w:eastAsia="Arial" w:hAnsi="Arial"/>
                <w:sz w:val="14"/>
                <w:szCs w:val="14"/>
                <w:color w:val="231F20"/>
              </w:rPr>
              <w:t>Corporate</w:t>
            </w:r>
            <w:r>
              <w:rPr>
                <w:rFonts w:ascii="Arial" w:cs="Arial" w:eastAsia="Arial" w:hAnsi="Arial"/>
                <w:sz w:val="19"/>
                <w:szCs w:val="19"/>
                <w:color w:val="231F20"/>
                <w:vertAlign w:val="superscript"/>
              </w:rPr>
              <w:t>(b)</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70"/>
              <w:spacing w:after="0"/>
              <w:rPr>
                <w:sz w:val="20"/>
                <w:szCs w:val="20"/>
                <w:color w:val="auto"/>
              </w:rPr>
            </w:pPr>
            <w:r>
              <w:rPr>
                <w:rFonts w:ascii="Arial" w:cs="Arial" w:eastAsia="Arial" w:hAnsi="Arial"/>
                <w:sz w:val="14"/>
                <w:szCs w:val="14"/>
                <w:color w:val="231F20"/>
              </w:rPr>
              <w:t>329.2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231F20"/>
              </w:rPr>
              <w:t>7.5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color w:val="231F20"/>
              </w:rPr>
              <w:t>4.1</w:t>
            </w:r>
          </w:p>
        </w:tc>
      </w:tr>
      <w:tr>
        <w:trPr>
          <w:trHeight w:val="177"/>
        </w:trPr>
        <w:tc>
          <w:tcPr>
            <w:tcW w:w="6940" w:type="dxa"/>
            <w:vAlign w:val="bottom"/>
            <w:tcBorders>
              <w:bottom w:val="single" w:sz="8" w:color="E2E8F1"/>
            </w:tcBorders>
            <w:shd w:val="clear" w:color="auto" w:fill="E2E8F1"/>
          </w:tcPr>
          <w:p>
            <w:pPr>
              <w:ind w:left="80"/>
              <w:spacing w:after="0" w:line="177" w:lineRule="exact"/>
              <w:rPr>
                <w:sz w:val="20"/>
                <w:szCs w:val="20"/>
                <w:color w:val="auto"/>
              </w:rPr>
            </w:pPr>
            <w:r>
              <w:rPr>
                <w:rFonts w:ascii="Arial" w:cs="Arial" w:eastAsia="Arial" w:hAnsi="Arial"/>
                <w:sz w:val="14"/>
                <w:szCs w:val="14"/>
                <w:color w:val="231F20"/>
              </w:rPr>
              <w:t>Intangible asset amortization expense</w:t>
            </w:r>
            <w:r>
              <w:rPr>
                <w:rFonts w:ascii="Arial" w:cs="Arial" w:eastAsia="Arial" w:hAnsi="Arial"/>
                <w:sz w:val="19"/>
                <w:szCs w:val="19"/>
                <w:color w:val="231F20"/>
                <w:vertAlign w:val="superscript"/>
              </w:rPr>
              <w:t>(c)</w:t>
            </w:r>
          </w:p>
        </w:tc>
        <w:tc>
          <w:tcPr>
            <w:tcW w:w="120" w:type="dxa"/>
            <w:vAlign w:val="bottom"/>
            <w:tcBorders>
              <w:bottom w:val="single" w:sz="8" w:color="E2E8F1"/>
            </w:tcBorders>
            <w:shd w:val="clear" w:color="auto" w:fill="E2E8F1"/>
          </w:tcPr>
          <w:p>
            <w:pPr>
              <w:spacing w:after="0"/>
              <w:rPr>
                <w:sz w:val="15"/>
                <w:szCs w:val="15"/>
                <w:color w:val="auto"/>
              </w:rPr>
            </w:pPr>
          </w:p>
        </w:tc>
        <w:tc>
          <w:tcPr>
            <w:tcW w:w="160" w:type="dxa"/>
            <w:vAlign w:val="bottom"/>
            <w:tcBorders>
              <w:bottom w:val="single" w:sz="8" w:color="231F20"/>
            </w:tcBorders>
            <w:shd w:val="clear" w:color="auto" w:fill="E2E8F1"/>
          </w:tcPr>
          <w:p>
            <w:pPr>
              <w:spacing w:after="0"/>
              <w:rPr>
                <w:sz w:val="15"/>
                <w:szCs w:val="15"/>
                <w:color w:val="auto"/>
              </w:rPr>
            </w:pPr>
          </w:p>
        </w:tc>
        <w:tc>
          <w:tcPr>
            <w:tcW w:w="120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E2E8F1"/>
            </w:tcBorders>
            <w:shd w:val="clear" w:color="auto" w:fill="E2E8F1"/>
          </w:tcPr>
          <w:p>
            <w:pPr>
              <w:spacing w:after="0"/>
              <w:rPr>
                <w:sz w:val="15"/>
                <w:szCs w:val="15"/>
                <w:color w:val="auto"/>
              </w:rPr>
            </w:pPr>
          </w:p>
        </w:tc>
        <w:tc>
          <w:tcPr>
            <w:tcW w:w="180" w:type="dxa"/>
            <w:vAlign w:val="bottom"/>
            <w:tcBorders>
              <w:bottom w:val="single" w:sz="8" w:color="231F20"/>
            </w:tcBorders>
            <w:shd w:val="clear" w:color="auto" w:fill="E2E8F1"/>
          </w:tcPr>
          <w:p>
            <w:pPr>
              <w:spacing w:after="0"/>
              <w:rPr>
                <w:sz w:val="15"/>
                <w:szCs w:val="15"/>
                <w:color w:val="auto"/>
              </w:rPr>
            </w:pPr>
          </w:p>
        </w:tc>
        <w:tc>
          <w:tcPr>
            <w:tcW w:w="112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231F20"/>
              </w:rPr>
              <w:t>—</w:t>
            </w:r>
          </w:p>
        </w:tc>
        <w:tc>
          <w:tcPr>
            <w:tcW w:w="160" w:type="dxa"/>
            <w:vAlign w:val="bottom"/>
            <w:tcBorders>
              <w:bottom w:val="single" w:sz="8" w:color="E2E8F1"/>
            </w:tcBorders>
            <w:shd w:val="clear" w:color="auto" w:fill="E2E8F1"/>
          </w:tcPr>
          <w:p>
            <w:pPr>
              <w:spacing w:after="0"/>
              <w:rPr>
                <w:sz w:val="15"/>
                <w:szCs w:val="15"/>
                <w:color w:val="auto"/>
              </w:rPr>
            </w:pPr>
          </w:p>
        </w:tc>
        <w:tc>
          <w:tcPr>
            <w:tcW w:w="120" w:type="dxa"/>
            <w:vAlign w:val="bottom"/>
            <w:tcBorders>
              <w:bottom w:val="single" w:sz="8" w:color="231F20"/>
            </w:tcBorders>
            <w:shd w:val="clear" w:color="auto" w:fill="E2E8F1"/>
          </w:tcPr>
          <w:p>
            <w:pPr>
              <w:spacing w:after="0"/>
              <w:rPr>
                <w:sz w:val="15"/>
                <w:szCs w:val="15"/>
                <w:color w:val="auto"/>
              </w:rPr>
            </w:pPr>
          </w:p>
        </w:tc>
        <w:tc>
          <w:tcPr>
            <w:tcW w:w="112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231F20"/>
              </w:rPr>
              <w:t>32.7</w:t>
            </w:r>
          </w:p>
        </w:tc>
      </w:tr>
      <w:tr>
        <w:trPr>
          <w:trHeight w:val="160"/>
        </w:trPr>
        <w:tc>
          <w:tcPr>
            <w:tcW w:w="694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231F20"/>
              </w:rPr>
              <w:t>$</w:t>
            </w:r>
          </w:p>
        </w:tc>
        <w:tc>
          <w:tcPr>
            <w:tcW w:w="1200" w:type="dxa"/>
            <w:vAlign w:val="bottom"/>
          </w:tcPr>
          <w:p>
            <w:pPr>
              <w:jc w:val="right"/>
              <w:ind w:right="70"/>
              <w:spacing w:after="0"/>
              <w:rPr>
                <w:sz w:val="20"/>
                <w:szCs w:val="20"/>
                <w:color w:val="auto"/>
              </w:rPr>
            </w:pPr>
            <w:r>
              <w:rPr>
                <w:rFonts w:ascii="Arial" w:cs="Arial" w:eastAsia="Arial" w:hAnsi="Arial"/>
                <w:sz w:val="14"/>
                <w:szCs w:val="14"/>
                <w:color w:val="231F20"/>
              </w:rPr>
              <w:t>8,201.0</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231F20"/>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231F20"/>
              </w:rPr>
              <w:t>516.2</w:t>
            </w:r>
          </w:p>
        </w:tc>
        <w:tc>
          <w:tcPr>
            <w:tcW w:w="280" w:type="dxa"/>
            <w:vAlign w:val="bottom"/>
            <w:gridSpan w:val="2"/>
          </w:tcPr>
          <w:p>
            <w:pPr>
              <w:jc w:val="right"/>
              <w:spacing w:after="0"/>
              <w:rPr>
                <w:sz w:val="20"/>
                <w:szCs w:val="20"/>
                <w:color w:val="auto"/>
              </w:rPr>
            </w:pPr>
            <w:r>
              <w:rPr>
                <w:rFonts w:ascii="Arial" w:cs="Arial" w:eastAsia="Arial" w:hAnsi="Arial"/>
                <w:sz w:val="14"/>
                <w:szCs w:val="14"/>
                <w:color w:val="231F20"/>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231F20"/>
              </w:rPr>
              <w:t>86.6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5346700</wp:posOffset>
            </wp:positionH>
            <wp:positionV relativeFrom="paragraph">
              <wp:posOffset>-1315085</wp:posOffset>
            </wp:positionV>
            <wp:extent cx="9779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6270625</wp:posOffset>
            </wp:positionH>
            <wp:positionV relativeFrom="paragraph">
              <wp:posOffset>-1315085</wp:posOffset>
            </wp:positionV>
            <wp:extent cx="9017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90170" cy="7620"/>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-594360</wp:posOffset>
            </wp:positionV>
            <wp:extent cx="9779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6270625</wp:posOffset>
            </wp:positionH>
            <wp:positionV relativeFrom="paragraph">
              <wp:posOffset>-594360</wp:posOffset>
            </wp:positionV>
            <wp:extent cx="9017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90170" cy="7620"/>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-113665</wp:posOffset>
            </wp:positionV>
            <wp:extent cx="9779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6270625</wp:posOffset>
            </wp:positionH>
            <wp:positionV relativeFrom="paragraph">
              <wp:posOffset>-113665</wp:posOffset>
            </wp:positionV>
            <wp:extent cx="9017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90170" cy="7620"/>
                    </a:xfrm>
                    <a:prstGeom prst="rect">
                      <a:avLst/>
                    </a:prstGeom>
                    <a:noFill/>
                  </pic:spPr>
                </pic:pic>
              </a:graphicData>
            </a:graphic>
          </wp:anchor>
        </w:drawing>
      </w:r>
    </w:p>
    <w:p>
      <w:pPr>
        <w:ind w:left="325" w:hanging="325"/>
        <w:spacing w:after="0" w:line="186" w:lineRule="auto"/>
        <w:tabs>
          <w:tab w:leader="none" w:pos="325" w:val="left"/>
        </w:tabs>
        <w:numPr>
          <w:ilvl w:val="0"/>
          <w:numId w:val="58"/>
        </w:numPr>
        <w:rPr>
          <w:rFonts w:ascii="Arial" w:cs="Arial" w:eastAsia="Arial" w:hAnsi="Arial"/>
          <w:sz w:val="16"/>
          <w:szCs w:val="16"/>
          <w:color w:val="231F20"/>
          <w:vertAlign w:val="superscript"/>
        </w:rPr>
      </w:pPr>
      <w:r>
        <w:rPr>
          <w:rFonts w:ascii="Arial" w:cs="Arial" w:eastAsia="Arial" w:hAnsi="Arial"/>
          <w:sz w:val="12"/>
          <w:szCs w:val="12"/>
          <w:color w:val="231F20"/>
        </w:rPr>
        <w:t>Long-lived assets consist of net property and equipment, net capitalized software and right-of-use assets.</w:t>
      </w:r>
    </w:p>
    <w:p>
      <w:pPr>
        <w:ind w:left="325" w:hanging="325"/>
        <w:spacing w:after="0" w:line="185" w:lineRule="auto"/>
        <w:tabs>
          <w:tab w:leader="none" w:pos="325" w:val="left"/>
        </w:tabs>
        <w:numPr>
          <w:ilvl w:val="0"/>
          <w:numId w:val="58"/>
        </w:numPr>
        <w:rPr>
          <w:rFonts w:ascii="Arial" w:cs="Arial" w:eastAsia="Arial" w:hAnsi="Arial"/>
          <w:sz w:val="16"/>
          <w:szCs w:val="16"/>
          <w:color w:val="231F20"/>
          <w:vertAlign w:val="superscript"/>
        </w:rPr>
      </w:pPr>
      <w:r>
        <w:rPr>
          <w:rFonts w:ascii="Arial" w:cs="Arial" w:eastAsia="Arial" w:hAnsi="Arial"/>
          <w:sz w:val="12"/>
          <w:szCs w:val="12"/>
          <w:color w:val="231F20"/>
        </w:rPr>
        <w:t>Corporate assets include assets that were not used in the operations of any segment, the most significant of which were purchased intangibles and cash.</w:t>
      </w:r>
    </w:p>
    <w:p>
      <w:pPr>
        <w:ind w:left="325" w:hanging="325"/>
        <w:spacing w:after="0" w:line="189" w:lineRule="auto"/>
        <w:tabs>
          <w:tab w:leader="none" w:pos="325" w:val="left"/>
        </w:tabs>
        <w:numPr>
          <w:ilvl w:val="0"/>
          <w:numId w:val="58"/>
        </w:numPr>
        <w:rPr>
          <w:rFonts w:ascii="Arial" w:cs="Arial" w:eastAsia="Arial" w:hAnsi="Arial"/>
          <w:sz w:val="17"/>
          <w:szCs w:val="17"/>
          <w:color w:val="231F20"/>
          <w:vertAlign w:val="superscript"/>
        </w:rPr>
      </w:pPr>
      <w:r>
        <w:rPr>
          <w:rFonts w:ascii="Arial" w:cs="Arial" w:eastAsia="Arial" w:hAnsi="Arial"/>
          <w:sz w:val="13"/>
          <w:szCs w:val="13"/>
          <w:color w:val="231F20"/>
        </w:rPr>
        <w:t>Intangible asset amortization related to acquisitions is excluded from operating costs within the reportable segments and corporate expenses, and shown separately.</w:t>
      </w:r>
    </w:p>
    <w:p>
      <w:pPr>
        <w:spacing w:after="0" w:line="15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84" w:name="page85"/>
    <w:bookmarkEnd w:id="84"/>
    <w:tbl>
      <w:tblPr>
        <w:tblLayout w:type="fixed"/>
        <w:tblInd w:w="5" w:type="dxa"/>
        <w:tblCellMar>
          <w:top w:w="0" w:type="dxa"/>
          <w:left w:w="0" w:type="dxa"/>
          <w:bottom w:w="0" w:type="dxa"/>
          <w:right w:w="0" w:type="dxa"/>
        </w:tblCellMar>
      </w:tblPr>
      <w:tr>
        <w:trPr>
          <w:trHeight w:val="213"/>
        </w:trPr>
        <w:tc>
          <w:tcPr>
            <w:tcW w:w="5000" w:type="dxa"/>
            <w:vAlign w:val="bottom"/>
            <w:shd w:val="clear" w:color="auto" w:fill="5B89B4"/>
          </w:tcPr>
          <w:p>
            <w:pPr>
              <w:spacing w:after="0"/>
              <w:rPr>
                <w:sz w:val="18"/>
                <w:szCs w:val="18"/>
                <w:color w:val="auto"/>
              </w:rPr>
            </w:pPr>
          </w:p>
        </w:tc>
        <w:tc>
          <w:tcPr>
            <w:tcW w:w="220" w:type="dxa"/>
            <w:vAlign w:val="bottom"/>
            <w:shd w:val="clear" w:color="auto" w:fill="5B89B4"/>
          </w:tcPr>
          <w:p>
            <w:pPr>
              <w:spacing w:after="0"/>
              <w:rPr>
                <w:sz w:val="18"/>
                <w:szCs w:val="18"/>
                <w:color w:val="auto"/>
              </w:rPr>
            </w:pPr>
          </w:p>
        </w:tc>
        <w:tc>
          <w:tcPr>
            <w:tcW w:w="220" w:type="dxa"/>
            <w:vAlign w:val="bottom"/>
            <w:shd w:val="clear" w:color="auto" w:fill="5B89B4"/>
          </w:tcPr>
          <w:p>
            <w:pPr>
              <w:spacing w:after="0"/>
              <w:rPr>
                <w:sz w:val="18"/>
                <w:szCs w:val="18"/>
                <w:color w:val="auto"/>
              </w:rPr>
            </w:pPr>
          </w:p>
        </w:tc>
        <w:tc>
          <w:tcPr>
            <w:tcW w:w="1140" w:type="dxa"/>
            <w:vAlign w:val="bottom"/>
            <w:shd w:val="clear" w:color="auto" w:fill="5B89B4"/>
          </w:tcPr>
          <w:p>
            <w:pPr>
              <w:spacing w:after="0"/>
              <w:rPr>
                <w:sz w:val="18"/>
                <w:szCs w:val="18"/>
                <w:color w:val="auto"/>
              </w:rPr>
            </w:pPr>
          </w:p>
        </w:tc>
        <w:tc>
          <w:tcPr>
            <w:tcW w:w="200" w:type="dxa"/>
            <w:vAlign w:val="bottom"/>
            <w:shd w:val="clear" w:color="auto" w:fill="5B89B4"/>
          </w:tcPr>
          <w:p>
            <w:pPr>
              <w:spacing w:after="0"/>
              <w:rPr>
                <w:sz w:val="18"/>
                <w:szCs w:val="18"/>
                <w:color w:val="auto"/>
              </w:rPr>
            </w:pPr>
          </w:p>
        </w:tc>
        <w:tc>
          <w:tcPr>
            <w:tcW w:w="100" w:type="dxa"/>
            <w:vAlign w:val="bottom"/>
            <w:shd w:val="clear" w:color="auto" w:fill="5B89B4"/>
          </w:tcPr>
          <w:p>
            <w:pPr>
              <w:spacing w:after="0"/>
              <w:rPr>
                <w:sz w:val="18"/>
                <w:szCs w:val="18"/>
                <w:color w:val="auto"/>
              </w:rPr>
            </w:pPr>
          </w:p>
        </w:tc>
        <w:tc>
          <w:tcPr>
            <w:tcW w:w="1260" w:type="dxa"/>
            <w:vAlign w:val="bottom"/>
            <w:shd w:val="clear" w:color="auto" w:fill="5B89B4"/>
          </w:tcPr>
          <w:p>
            <w:pPr>
              <w:spacing w:after="0"/>
              <w:rPr>
                <w:sz w:val="18"/>
                <w:szCs w:val="18"/>
                <w:color w:val="auto"/>
              </w:rPr>
            </w:pPr>
          </w:p>
        </w:tc>
        <w:tc>
          <w:tcPr>
            <w:tcW w:w="180" w:type="dxa"/>
            <w:vAlign w:val="bottom"/>
            <w:shd w:val="clear" w:color="auto" w:fill="5B89B4"/>
          </w:tcPr>
          <w:p>
            <w:pPr>
              <w:spacing w:after="0"/>
              <w:rPr>
                <w:sz w:val="18"/>
                <w:szCs w:val="18"/>
                <w:color w:val="auto"/>
              </w:rPr>
            </w:pPr>
          </w:p>
        </w:tc>
        <w:tc>
          <w:tcPr>
            <w:tcW w:w="140" w:type="dxa"/>
            <w:vAlign w:val="bottom"/>
            <w:shd w:val="clear" w:color="auto" w:fill="5B89B4"/>
          </w:tcPr>
          <w:p>
            <w:pPr>
              <w:spacing w:after="0"/>
              <w:rPr>
                <w:sz w:val="18"/>
                <w:szCs w:val="18"/>
                <w:color w:val="auto"/>
              </w:rPr>
            </w:pPr>
          </w:p>
        </w:tc>
        <w:tc>
          <w:tcPr>
            <w:tcW w:w="1240" w:type="dxa"/>
            <w:vAlign w:val="bottom"/>
            <w:shd w:val="clear" w:color="auto" w:fill="5B89B4"/>
          </w:tcPr>
          <w:p>
            <w:pPr>
              <w:spacing w:after="0"/>
              <w:rPr>
                <w:sz w:val="18"/>
                <w:szCs w:val="18"/>
                <w:color w:val="auto"/>
              </w:rPr>
            </w:pPr>
          </w:p>
        </w:tc>
        <w:tc>
          <w:tcPr>
            <w:tcW w:w="160" w:type="dxa"/>
            <w:vAlign w:val="bottom"/>
            <w:shd w:val="clear" w:color="auto" w:fill="5B89B4"/>
          </w:tcPr>
          <w:p>
            <w:pPr>
              <w:spacing w:after="0"/>
              <w:rPr>
                <w:sz w:val="18"/>
                <w:szCs w:val="18"/>
                <w:color w:val="auto"/>
              </w:rPr>
            </w:pPr>
          </w:p>
        </w:tc>
        <w:tc>
          <w:tcPr>
            <w:tcW w:w="300" w:type="dxa"/>
            <w:vAlign w:val="bottom"/>
            <w:shd w:val="clear" w:color="auto" w:fill="5B89B4"/>
          </w:tcPr>
          <w:p>
            <w:pPr>
              <w:spacing w:after="0"/>
              <w:rPr>
                <w:sz w:val="18"/>
                <w:szCs w:val="18"/>
                <w:color w:val="auto"/>
              </w:rPr>
            </w:pPr>
          </w:p>
        </w:tc>
        <w:tc>
          <w:tcPr>
            <w:tcW w:w="1100" w:type="dxa"/>
            <w:vAlign w:val="bottom"/>
            <w:shd w:val="clear" w:color="auto" w:fill="5B89B4"/>
          </w:tcPr>
          <w:p>
            <w:pPr>
              <w:jc w:val="right"/>
              <w:ind w:right="9"/>
              <w:spacing w:after="0"/>
              <w:rPr>
                <w:sz w:val="20"/>
                <w:szCs w:val="20"/>
                <w:color w:val="auto"/>
              </w:rPr>
            </w:pPr>
            <w:r>
              <w:rPr>
                <w:rFonts w:ascii="Arial" w:cs="Arial" w:eastAsia="Arial" w:hAnsi="Arial"/>
                <w:sz w:val="16"/>
                <w:szCs w:val="16"/>
                <w:color w:val="FFFFFF"/>
              </w:rPr>
              <w:t>Part II</w:t>
            </w:r>
          </w:p>
        </w:tc>
      </w:tr>
      <w:tr>
        <w:trPr>
          <w:trHeight w:val="83"/>
        </w:trPr>
        <w:tc>
          <w:tcPr>
            <w:tcW w:w="5000" w:type="dxa"/>
            <w:vAlign w:val="bottom"/>
            <w:tcBorders>
              <w:bottom w:val="single" w:sz="8" w:color="231F20"/>
            </w:tcBorders>
          </w:tcPr>
          <w:p>
            <w:pPr>
              <w:spacing w:after="0"/>
              <w:rPr>
                <w:sz w:val="7"/>
                <w:szCs w:val="7"/>
                <w:color w:val="auto"/>
              </w:rPr>
            </w:pPr>
          </w:p>
        </w:tc>
        <w:tc>
          <w:tcPr>
            <w:tcW w:w="220" w:type="dxa"/>
            <w:vAlign w:val="bottom"/>
            <w:tcBorders>
              <w:bottom w:val="single" w:sz="8" w:color="231F20"/>
            </w:tcBorders>
          </w:tcPr>
          <w:p>
            <w:pPr>
              <w:spacing w:after="0"/>
              <w:rPr>
                <w:sz w:val="7"/>
                <w:szCs w:val="7"/>
                <w:color w:val="auto"/>
              </w:rPr>
            </w:pPr>
          </w:p>
        </w:tc>
        <w:tc>
          <w:tcPr>
            <w:tcW w:w="220" w:type="dxa"/>
            <w:vAlign w:val="bottom"/>
            <w:tcBorders>
              <w:bottom w:val="single" w:sz="8" w:color="231F20"/>
            </w:tcBorders>
          </w:tcPr>
          <w:p>
            <w:pPr>
              <w:spacing w:after="0"/>
              <w:rPr>
                <w:sz w:val="7"/>
                <w:szCs w:val="7"/>
                <w:color w:val="auto"/>
              </w:rPr>
            </w:pPr>
          </w:p>
        </w:tc>
        <w:tc>
          <w:tcPr>
            <w:tcW w:w="1140" w:type="dxa"/>
            <w:vAlign w:val="bottom"/>
            <w:tcBorders>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100" w:type="dxa"/>
            <w:vAlign w:val="bottom"/>
            <w:tcBorders>
              <w:bottom w:val="single" w:sz="8" w:color="231F20"/>
            </w:tcBorders>
          </w:tcPr>
          <w:p>
            <w:pPr>
              <w:spacing w:after="0"/>
              <w:rPr>
                <w:sz w:val="7"/>
                <w:szCs w:val="7"/>
                <w:color w:val="auto"/>
              </w:rPr>
            </w:pPr>
          </w:p>
        </w:tc>
        <w:tc>
          <w:tcPr>
            <w:tcW w:w="1260" w:type="dxa"/>
            <w:vAlign w:val="bottom"/>
            <w:tcBorders>
              <w:bottom w:val="single" w:sz="8" w:color="231F20"/>
            </w:tcBorders>
          </w:tcPr>
          <w:p>
            <w:pPr>
              <w:spacing w:after="0"/>
              <w:rPr>
                <w:sz w:val="7"/>
                <w:szCs w:val="7"/>
                <w:color w:val="auto"/>
              </w:rPr>
            </w:pPr>
          </w:p>
        </w:tc>
        <w:tc>
          <w:tcPr>
            <w:tcW w:w="180" w:type="dxa"/>
            <w:vAlign w:val="bottom"/>
            <w:tcBorders>
              <w:bottom w:val="single" w:sz="8" w:color="231F20"/>
            </w:tcBorders>
          </w:tcPr>
          <w:p>
            <w:pPr>
              <w:spacing w:after="0"/>
              <w:rPr>
                <w:sz w:val="7"/>
                <w:szCs w:val="7"/>
                <w:color w:val="auto"/>
              </w:rPr>
            </w:pPr>
          </w:p>
        </w:tc>
        <w:tc>
          <w:tcPr>
            <w:tcW w:w="140" w:type="dxa"/>
            <w:vAlign w:val="bottom"/>
            <w:tcBorders>
              <w:bottom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300" w:type="dxa"/>
            <w:vAlign w:val="bottom"/>
            <w:tcBorders>
              <w:bottom w:val="single" w:sz="8" w:color="231F20"/>
            </w:tcBorders>
          </w:tcPr>
          <w:p>
            <w:pPr>
              <w:spacing w:after="0"/>
              <w:rPr>
                <w:sz w:val="7"/>
                <w:szCs w:val="7"/>
                <w:color w:val="auto"/>
              </w:rPr>
            </w:pPr>
          </w:p>
        </w:tc>
        <w:tc>
          <w:tcPr>
            <w:tcW w:w="1100" w:type="dxa"/>
            <w:vAlign w:val="bottom"/>
            <w:tcBorders>
              <w:bottom w:val="single" w:sz="8" w:color="231F20"/>
            </w:tcBorders>
          </w:tcPr>
          <w:p>
            <w:pPr>
              <w:spacing w:after="0"/>
              <w:rPr>
                <w:sz w:val="7"/>
                <w:szCs w:val="7"/>
                <w:color w:val="auto"/>
              </w:rPr>
            </w:pPr>
          </w:p>
        </w:tc>
      </w:tr>
      <w:tr>
        <w:trPr>
          <w:trHeight w:val="126"/>
        </w:trPr>
        <w:tc>
          <w:tcPr>
            <w:tcW w:w="5000" w:type="dxa"/>
            <w:vAlign w:val="bottom"/>
            <w:shd w:val="clear" w:color="auto" w:fill="98B0CF"/>
          </w:tcPr>
          <w:p>
            <w:pPr>
              <w:spacing w:after="0"/>
              <w:rPr>
                <w:sz w:val="10"/>
                <w:szCs w:val="10"/>
                <w:color w:val="auto"/>
              </w:rPr>
            </w:pPr>
          </w:p>
        </w:tc>
        <w:tc>
          <w:tcPr>
            <w:tcW w:w="220" w:type="dxa"/>
            <w:vAlign w:val="bottom"/>
            <w:shd w:val="clear" w:color="auto" w:fill="98B0CF"/>
          </w:tcPr>
          <w:p>
            <w:pPr>
              <w:spacing w:after="0"/>
              <w:rPr>
                <w:sz w:val="10"/>
                <w:szCs w:val="10"/>
                <w:color w:val="auto"/>
              </w:rPr>
            </w:pPr>
          </w:p>
        </w:tc>
        <w:tc>
          <w:tcPr>
            <w:tcW w:w="220" w:type="dxa"/>
            <w:vAlign w:val="bottom"/>
            <w:shd w:val="clear" w:color="auto" w:fill="98B0CF"/>
          </w:tcPr>
          <w:p>
            <w:pPr>
              <w:spacing w:after="0"/>
              <w:rPr>
                <w:sz w:val="10"/>
                <w:szCs w:val="10"/>
                <w:color w:val="auto"/>
              </w:rPr>
            </w:pPr>
          </w:p>
        </w:tc>
        <w:tc>
          <w:tcPr>
            <w:tcW w:w="1140" w:type="dxa"/>
            <w:vAlign w:val="bottom"/>
            <w:shd w:val="clear" w:color="auto" w:fill="98B0CF"/>
          </w:tcPr>
          <w:p>
            <w:pPr>
              <w:spacing w:after="0"/>
              <w:rPr>
                <w:sz w:val="10"/>
                <w:szCs w:val="10"/>
                <w:color w:val="auto"/>
              </w:rPr>
            </w:pPr>
          </w:p>
        </w:tc>
        <w:tc>
          <w:tcPr>
            <w:tcW w:w="200" w:type="dxa"/>
            <w:vAlign w:val="bottom"/>
            <w:shd w:val="clear" w:color="auto" w:fill="98B0CF"/>
          </w:tcPr>
          <w:p>
            <w:pPr>
              <w:spacing w:after="0"/>
              <w:rPr>
                <w:sz w:val="10"/>
                <w:szCs w:val="10"/>
                <w:color w:val="auto"/>
              </w:rPr>
            </w:pPr>
          </w:p>
        </w:tc>
        <w:tc>
          <w:tcPr>
            <w:tcW w:w="100" w:type="dxa"/>
            <w:vAlign w:val="bottom"/>
            <w:shd w:val="clear" w:color="auto" w:fill="98B0CF"/>
          </w:tcPr>
          <w:p>
            <w:pPr>
              <w:spacing w:after="0"/>
              <w:rPr>
                <w:sz w:val="10"/>
                <w:szCs w:val="10"/>
                <w:color w:val="auto"/>
              </w:rPr>
            </w:pPr>
          </w:p>
        </w:tc>
        <w:tc>
          <w:tcPr>
            <w:tcW w:w="1260" w:type="dxa"/>
            <w:vAlign w:val="bottom"/>
            <w:shd w:val="clear" w:color="auto" w:fill="98B0CF"/>
          </w:tcPr>
          <w:p>
            <w:pPr>
              <w:spacing w:after="0"/>
              <w:rPr>
                <w:sz w:val="10"/>
                <w:szCs w:val="10"/>
                <w:color w:val="auto"/>
              </w:rPr>
            </w:pPr>
          </w:p>
        </w:tc>
        <w:tc>
          <w:tcPr>
            <w:tcW w:w="180" w:type="dxa"/>
            <w:vAlign w:val="bottom"/>
            <w:shd w:val="clear" w:color="auto" w:fill="98B0CF"/>
          </w:tcPr>
          <w:p>
            <w:pPr>
              <w:spacing w:after="0"/>
              <w:rPr>
                <w:sz w:val="10"/>
                <w:szCs w:val="10"/>
                <w:color w:val="auto"/>
              </w:rPr>
            </w:pPr>
          </w:p>
        </w:tc>
        <w:tc>
          <w:tcPr>
            <w:tcW w:w="140" w:type="dxa"/>
            <w:vAlign w:val="bottom"/>
            <w:shd w:val="clear" w:color="auto" w:fill="98B0CF"/>
          </w:tcPr>
          <w:p>
            <w:pPr>
              <w:spacing w:after="0"/>
              <w:rPr>
                <w:sz w:val="10"/>
                <w:szCs w:val="10"/>
                <w:color w:val="auto"/>
              </w:rPr>
            </w:pPr>
          </w:p>
        </w:tc>
        <w:tc>
          <w:tcPr>
            <w:tcW w:w="1240" w:type="dxa"/>
            <w:vAlign w:val="bottom"/>
            <w:shd w:val="clear" w:color="auto" w:fill="98B0CF"/>
          </w:tcPr>
          <w:p>
            <w:pPr>
              <w:jc w:val="center"/>
              <w:ind w:right="191"/>
              <w:spacing w:after="0" w:line="126" w:lineRule="exact"/>
              <w:rPr>
                <w:sz w:val="20"/>
                <w:szCs w:val="20"/>
                <w:color w:val="auto"/>
              </w:rPr>
            </w:pPr>
            <w:r>
              <w:rPr>
                <w:rFonts w:ascii="Arial" w:cs="Arial" w:eastAsia="Arial" w:hAnsi="Arial"/>
                <w:sz w:val="13"/>
                <w:szCs w:val="13"/>
                <w:b w:val="1"/>
                <w:bCs w:val="1"/>
                <w:color w:val="auto"/>
                <w:w w:val="95"/>
              </w:rPr>
              <w:t>Selling and</w:t>
            </w:r>
          </w:p>
        </w:tc>
        <w:tc>
          <w:tcPr>
            <w:tcW w:w="160" w:type="dxa"/>
            <w:vAlign w:val="bottom"/>
            <w:shd w:val="clear" w:color="auto" w:fill="98B0CF"/>
          </w:tcPr>
          <w:p>
            <w:pPr>
              <w:spacing w:after="0"/>
              <w:rPr>
                <w:sz w:val="10"/>
                <w:szCs w:val="10"/>
                <w:color w:val="auto"/>
              </w:rPr>
            </w:pPr>
          </w:p>
        </w:tc>
        <w:tc>
          <w:tcPr>
            <w:tcW w:w="300" w:type="dxa"/>
            <w:vAlign w:val="bottom"/>
            <w:shd w:val="clear" w:color="auto" w:fill="98B0CF"/>
          </w:tcPr>
          <w:p>
            <w:pPr>
              <w:spacing w:after="0"/>
              <w:rPr>
                <w:sz w:val="10"/>
                <w:szCs w:val="10"/>
                <w:color w:val="auto"/>
              </w:rPr>
            </w:pPr>
          </w:p>
        </w:tc>
        <w:tc>
          <w:tcPr>
            <w:tcW w:w="1100" w:type="dxa"/>
            <w:vAlign w:val="bottom"/>
            <w:shd w:val="clear" w:color="auto" w:fill="98B0CF"/>
          </w:tcPr>
          <w:p>
            <w:pPr>
              <w:spacing w:after="0"/>
              <w:rPr>
                <w:sz w:val="10"/>
                <w:szCs w:val="10"/>
                <w:color w:val="auto"/>
              </w:rPr>
            </w:pPr>
          </w:p>
        </w:tc>
      </w:tr>
      <w:tr>
        <w:trPr>
          <w:trHeight w:val="142"/>
        </w:trPr>
        <w:tc>
          <w:tcPr>
            <w:tcW w:w="500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114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260" w:type="dxa"/>
            <w:vAlign w:val="bottom"/>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1240" w:type="dxa"/>
            <w:vAlign w:val="bottom"/>
            <w:shd w:val="clear" w:color="auto" w:fill="98B0CF"/>
          </w:tcPr>
          <w:p>
            <w:pPr>
              <w:jc w:val="center"/>
              <w:ind w:right="191"/>
              <w:spacing w:after="0" w:line="142" w:lineRule="exact"/>
              <w:rPr>
                <w:sz w:val="20"/>
                <w:szCs w:val="20"/>
                <w:color w:val="auto"/>
              </w:rPr>
            </w:pPr>
            <w:r>
              <w:rPr>
                <w:rFonts w:ascii="Arial" w:cs="Arial" w:eastAsia="Arial" w:hAnsi="Arial"/>
                <w:sz w:val="13"/>
                <w:szCs w:val="13"/>
                <w:b w:val="1"/>
                <w:bCs w:val="1"/>
                <w:color w:val="auto"/>
                <w:w w:val="95"/>
              </w:rPr>
              <w:t>Administrative</w:t>
            </w:r>
          </w:p>
        </w:tc>
        <w:tc>
          <w:tcPr>
            <w:tcW w:w="160" w:type="dxa"/>
            <w:vAlign w:val="bottom"/>
            <w:shd w:val="clear" w:color="auto" w:fill="98B0CF"/>
          </w:tcPr>
          <w:p>
            <w:pPr>
              <w:spacing w:after="0"/>
              <w:rPr>
                <w:sz w:val="12"/>
                <w:szCs w:val="12"/>
                <w:color w:val="auto"/>
              </w:rPr>
            </w:pPr>
          </w:p>
        </w:tc>
        <w:tc>
          <w:tcPr>
            <w:tcW w:w="300" w:type="dxa"/>
            <w:vAlign w:val="bottom"/>
            <w:shd w:val="clear" w:color="auto" w:fill="98B0CF"/>
          </w:tcPr>
          <w:p>
            <w:pPr>
              <w:spacing w:after="0"/>
              <w:rPr>
                <w:sz w:val="12"/>
                <w:szCs w:val="12"/>
                <w:color w:val="auto"/>
              </w:rPr>
            </w:pPr>
          </w:p>
        </w:tc>
        <w:tc>
          <w:tcPr>
            <w:tcW w:w="1100" w:type="dxa"/>
            <w:vAlign w:val="bottom"/>
            <w:shd w:val="clear" w:color="auto" w:fill="98B0CF"/>
          </w:tcPr>
          <w:p>
            <w:pPr>
              <w:spacing w:after="0"/>
              <w:rPr>
                <w:sz w:val="12"/>
                <w:szCs w:val="12"/>
                <w:color w:val="auto"/>
              </w:rPr>
            </w:pPr>
          </w:p>
        </w:tc>
      </w:tr>
      <w:tr>
        <w:trPr>
          <w:trHeight w:val="156"/>
        </w:trPr>
        <w:tc>
          <w:tcPr>
            <w:tcW w:w="5000" w:type="dxa"/>
            <w:vAlign w:val="bottom"/>
            <w:tcBorders>
              <w:bottom w:val="single" w:sz="8" w:color="231F20"/>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Year Ended December 31, 2023</w:t>
            </w:r>
          </w:p>
        </w:tc>
        <w:tc>
          <w:tcPr>
            <w:tcW w:w="220" w:type="dxa"/>
            <w:vAlign w:val="bottom"/>
            <w:tcBorders>
              <w:bottom w:val="single" w:sz="8" w:color="231F20"/>
            </w:tcBorders>
            <w:shd w:val="clear" w:color="auto" w:fill="98B0CF"/>
          </w:tcPr>
          <w:p>
            <w:pPr>
              <w:spacing w:after="0"/>
              <w:rPr>
                <w:sz w:val="13"/>
                <w:szCs w:val="13"/>
                <w:color w:val="auto"/>
              </w:rPr>
            </w:pPr>
          </w:p>
        </w:tc>
        <w:tc>
          <w:tcPr>
            <w:tcW w:w="220" w:type="dxa"/>
            <w:vAlign w:val="bottom"/>
            <w:tcBorders>
              <w:bottom w:val="single" w:sz="8" w:color="231F20"/>
            </w:tcBorders>
            <w:shd w:val="clear" w:color="auto" w:fill="98B0CF"/>
          </w:tcPr>
          <w:p>
            <w:pPr>
              <w:spacing w:after="0"/>
              <w:rPr>
                <w:sz w:val="13"/>
                <w:szCs w:val="13"/>
                <w:color w:val="auto"/>
              </w:rPr>
            </w:pPr>
          </w:p>
        </w:tc>
        <w:tc>
          <w:tcPr>
            <w:tcW w:w="1140" w:type="dxa"/>
            <w:vAlign w:val="bottom"/>
            <w:tcBorders>
              <w:bottom w:val="single" w:sz="8" w:color="231F20"/>
            </w:tcBorders>
            <w:shd w:val="clear" w:color="auto" w:fill="98B0CF"/>
          </w:tcPr>
          <w:p>
            <w:pPr>
              <w:jc w:val="right"/>
              <w:ind w:right="410"/>
              <w:spacing w:after="0"/>
              <w:rPr>
                <w:sz w:val="20"/>
                <w:szCs w:val="20"/>
                <w:color w:val="auto"/>
              </w:rPr>
            </w:pPr>
            <w:r>
              <w:rPr>
                <w:rFonts w:ascii="Arial" w:cs="Arial" w:eastAsia="Arial" w:hAnsi="Arial"/>
                <w:sz w:val="13"/>
                <w:szCs w:val="13"/>
                <w:b w:val="1"/>
                <w:bCs w:val="1"/>
                <w:color w:val="auto"/>
              </w:rPr>
              <w:t>Revenue</w:t>
            </w:r>
          </w:p>
        </w:tc>
        <w:tc>
          <w:tcPr>
            <w:tcW w:w="200" w:type="dxa"/>
            <w:vAlign w:val="bottom"/>
            <w:tcBorders>
              <w:bottom w:val="single" w:sz="8" w:color="231F20"/>
            </w:tcBorders>
            <w:shd w:val="clear" w:color="auto" w:fill="98B0CF"/>
          </w:tcPr>
          <w:p>
            <w:pPr>
              <w:spacing w:after="0"/>
              <w:rPr>
                <w:sz w:val="13"/>
                <w:szCs w:val="13"/>
                <w:color w:val="auto"/>
              </w:rPr>
            </w:pPr>
          </w:p>
        </w:tc>
        <w:tc>
          <w:tcPr>
            <w:tcW w:w="100" w:type="dxa"/>
            <w:vAlign w:val="bottom"/>
            <w:tcBorders>
              <w:bottom w:val="single" w:sz="8" w:color="231F20"/>
            </w:tcBorders>
            <w:shd w:val="clear" w:color="auto" w:fill="98B0CF"/>
          </w:tcPr>
          <w:p>
            <w:pPr>
              <w:spacing w:after="0"/>
              <w:rPr>
                <w:sz w:val="13"/>
                <w:szCs w:val="13"/>
                <w:color w:val="auto"/>
              </w:rPr>
            </w:pPr>
          </w:p>
        </w:tc>
        <w:tc>
          <w:tcPr>
            <w:tcW w:w="1260" w:type="dxa"/>
            <w:vAlign w:val="bottom"/>
            <w:tcBorders>
              <w:bottom w:val="single" w:sz="8" w:color="231F20"/>
            </w:tcBorders>
            <w:shd w:val="clear" w:color="auto" w:fill="98B0CF"/>
          </w:tcPr>
          <w:p>
            <w:pPr>
              <w:jc w:val="right"/>
              <w:ind w:right="170"/>
              <w:spacing w:after="0"/>
              <w:rPr>
                <w:sz w:val="20"/>
                <w:szCs w:val="20"/>
                <w:color w:val="auto"/>
              </w:rPr>
            </w:pPr>
            <w:r>
              <w:rPr>
                <w:rFonts w:ascii="Arial" w:cs="Arial" w:eastAsia="Arial" w:hAnsi="Arial"/>
                <w:sz w:val="13"/>
                <w:szCs w:val="13"/>
                <w:b w:val="1"/>
                <w:bCs w:val="1"/>
                <w:color w:val="auto"/>
                <w:w w:val="98"/>
              </w:rPr>
              <w:t>Cost of Services</w:t>
            </w:r>
          </w:p>
        </w:tc>
        <w:tc>
          <w:tcPr>
            <w:tcW w:w="180" w:type="dxa"/>
            <w:vAlign w:val="bottom"/>
            <w:tcBorders>
              <w:bottom w:val="single" w:sz="8" w:color="231F20"/>
            </w:tcBorders>
            <w:shd w:val="clear" w:color="auto" w:fill="98B0CF"/>
          </w:tcPr>
          <w:p>
            <w:pPr>
              <w:spacing w:after="0"/>
              <w:rPr>
                <w:sz w:val="13"/>
                <w:szCs w:val="13"/>
                <w:color w:val="auto"/>
              </w:rPr>
            </w:pPr>
          </w:p>
        </w:tc>
        <w:tc>
          <w:tcPr>
            <w:tcW w:w="140" w:type="dxa"/>
            <w:vAlign w:val="bottom"/>
            <w:tcBorders>
              <w:bottom w:val="single" w:sz="8" w:color="231F20"/>
            </w:tcBorders>
            <w:shd w:val="clear" w:color="auto" w:fill="98B0CF"/>
          </w:tcPr>
          <w:p>
            <w:pPr>
              <w:spacing w:after="0"/>
              <w:rPr>
                <w:sz w:val="13"/>
                <w:szCs w:val="13"/>
                <w:color w:val="auto"/>
              </w:rPr>
            </w:pPr>
          </w:p>
        </w:tc>
        <w:tc>
          <w:tcPr>
            <w:tcW w:w="1240" w:type="dxa"/>
            <w:vAlign w:val="bottom"/>
            <w:tcBorders>
              <w:bottom w:val="single" w:sz="8" w:color="231F20"/>
            </w:tcBorders>
            <w:shd w:val="clear" w:color="auto" w:fill="98B0CF"/>
          </w:tcPr>
          <w:p>
            <w:pPr>
              <w:jc w:val="center"/>
              <w:ind w:right="191"/>
              <w:spacing w:after="0"/>
              <w:rPr>
                <w:sz w:val="20"/>
                <w:szCs w:val="20"/>
                <w:color w:val="auto"/>
              </w:rPr>
            </w:pPr>
            <w:r>
              <w:rPr>
                <w:rFonts w:ascii="Arial" w:cs="Arial" w:eastAsia="Arial" w:hAnsi="Arial"/>
                <w:sz w:val="13"/>
                <w:szCs w:val="13"/>
                <w:b w:val="1"/>
                <w:bCs w:val="1"/>
                <w:color w:val="auto"/>
                <w:w w:val="95"/>
              </w:rPr>
              <w:t>Expenses</w:t>
            </w:r>
          </w:p>
        </w:tc>
        <w:tc>
          <w:tcPr>
            <w:tcW w:w="160" w:type="dxa"/>
            <w:vAlign w:val="bottom"/>
            <w:tcBorders>
              <w:bottom w:val="single" w:sz="8" w:color="231F20"/>
            </w:tcBorders>
            <w:shd w:val="clear" w:color="auto" w:fill="98B0CF"/>
          </w:tcPr>
          <w:p>
            <w:pPr>
              <w:spacing w:after="0"/>
              <w:rPr>
                <w:sz w:val="13"/>
                <w:szCs w:val="13"/>
                <w:color w:val="auto"/>
              </w:rPr>
            </w:pPr>
          </w:p>
        </w:tc>
        <w:tc>
          <w:tcPr>
            <w:tcW w:w="300" w:type="dxa"/>
            <w:vAlign w:val="bottom"/>
            <w:tcBorders>
              <w:bottom w:val="single" w:sz="8" w:color="231F20"/>
            </w:tcBorders>
            <w:shd w:val="clear" w:color="auto" w:fill="98B0CF"/>
          </w:tcPr>
          <w:p>
            <w:pPr>
              <w:spacing w:after="0"/>
              <w:rPr>
                <w:sz w:val="13"/>
                <w:szCs w:val="13"/>
                <w:color w:val="auto"/>
              </w:rPr>
            </w:pPr>
          </w:p>
        </w:tc>
        <w:tc>
          <w:tcPr>
            <w:tcW w:w="1100" w:type="dxa"/>
            <w:vAlign w:val="bottom"/>
            <w:tcBorders>
              <w:bottom w:val="single" w:sz="8" w:color="231F20"/>
            </w:tcBorders>
            <w:shd w:val="clear" w:color="auto" w:fill="98B0CF"/>
          </w:tcPr>
          <w:p>
            <w:pPr>
              <w:jc w:val="right"/>
              <w:ind w:right="549"/>
              <w:spacing w:after="0"/>
              <w:rPr>
                <w:sz w:val="20"/>
                <w:szCs w:val="20"/>
                <w:color w:val="auto"/>
              </w:rPr>
            </w:pPr>
            <w:r>
              <w:rPr>
                <w:rFonts w:ascii="Arial" w:cs="Arial" w:eastAsia="Arial" w:hAnsi="Arial"/>
                <w:sz w:val="13"/>
                <w:szCs w:val="13"/>
                <w:b w:val="1"/>
                <w:bCs w:val="1"/>
                <w:color w:val="auto"/>
              </w:rPr>
              <w:t>OUP</w:t>
            </w:r>
          </w:p>
        </w:tc>
      </w:tr>
      <w:tr>
        <w:trPr>
          <w:trHeight w:val="187"/>
        </w:trPr>
        <w:tc>
          <w:tcPr>
            <w:tcW w:w="5000" w:type="dxa"/>
            <w:vAlign w:val="bottom"/>
            <w:shd w:val="clear" w:color="auto" w:fill="E2E8F1"/>
          </w:tcPr>
          <w:p>
            <w:pPr>
              <w:ind w:left="80"/>
              <w:spacing w:after="0" w:line="187" w:lineRule="exact"/>
              <w:rPr>
                <w:sz w:val="20"/>
                <w:szCs w:val="20"/>
                <w:color w:val="auto"/>
              </w:rPr>
            </w:pPr>
            <w:r>
              <w:rPr>
                <w:rFonts w:ascii="Arial" w:cs="Arial" w:eastAsia="Arial" w:hAnsi="Arial"/>
                <w:sz w:val="14"/>
                <w:szCs w:val="14"/>
                <w:color w:val="auto"/>
              </w:rPr>
              <w:t>Americas:</w:t>
            </w:r>
            <w:r>
              <w:rPr>
                <w:rFonts w:ascii="Arial" w:cs="Arial" w:eastAsia="Arial" w:hAnsi="Arial"/>
                <w:sz w:val="19"/>
                <w:szCs w:val="19"/>
                <w:color w:val="auto"/>
                <w:vertAlign w:val="superscript"/>
              </w:rPr>
              <w:t>(a)</w:t>
            </w:r>
          </w:p>
        </w:tc>
        <w:tc>
          <w:tcPr>
            <w:tcW w:w="22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114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124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1100" w:type="dxa"/>
            <w:vAlign w:val="bottom"/>
            <w:shd w:val="clear" w:color="auto" w:fill="E2E8F1"/>
          </w:tcPr>
          <w:p>
            <w:pPr>
              <w:spacing w:after="0"/>
              <w:rPr>
                <w:sz w:val="16"/>
                <w:szCs w:val="16"/>
                <w:color w:val="auto"/>
              </w:rPr>
            </w:pPr>
          </w:p>
        </w:tc>
      </w:tr>
      <w:tr>
        <w:trPr>
          <w:trHeight w:val="189"/>
        </w:trPr>
        <w:tc>
          <w:tcPr>
            <w:tcW w:w="5000" w:type="dxa"/>
            <w:vAlign w:val="bottom"/>
          </w:tcPr>
          <w:p>
            <w:pPr>
              <w:ind w:left="240"/>
              <w:spacing w:after="0" w:line="189" w:lineRule="exact"/>
              <w:rPr>
                <w:sz w:val="20"/>
                <w:szCs w:val="20"/>
                <w:color w:val="auto"/>
              </w:rPr>
            </w:pPr>
            <w:r>
              <w:rPr>
                <w:rFonts w:ascii="Arial" w:cs="Arial" w:eastAsia="Arial" w:hAnsi="Arial"/>
                <w:sz w:val="14"/>
                <w:szCs w:val="14"/>
                <w:color w:val="auto"/>
              </w:rPr>
              <w:t>United States</w:t>
            </w:r>
            <w:r>
              <w:rPr>
                <w:rFonts w:ascii="Arial" w:cs="Arial" w:eastAsia="Arial" w:hAnsi="Arial"/>
                <w:sz w:val="19"/>
                <w:szCs w:val="19"/>
                <w:color w:val="auto"/>
                <w:vertAlign w:val="superscript"/>
              </w:rPr>
              <w:t>(b)</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2,866.2</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2,081.6</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71"/>
              <w:spacing w:after="0"/>
              <w:rPr>
                <w:sz w:val="20"/>
                <w:szCs w:val="20"/>
                <w:color w:val="auto"/>
              </w:rPr>
            </w:pPr>
            <w:r>
              <w:rPr>
                <w:rFonts w:ascii="Arial" w:cs="Arial" w:eastAsia="Arial" w:hAnsi="Arial"/>
                <w:sz w:val="14"/>
                <w:szCs w:val="14"/>
                <w:color w:val="auto"/>
              </w:rPr>
              <w:t>690.2</w:t>
            </w: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94.4</w:t>
            </w:r>
          </w:p>
        </w:tc>
      </w:tr>
      <w:tr>
        <w:trPr>
          <w:trHeight w:val="177"/>
        </w:trPr>
        <w:tc>
          <w:tcPr>
            <w:tcW w:w="5000" w:type="dxa"/>
            <w:vAlign w:val="bottom"/>
            <w:tcBorders>
              <w:bottom w:val="single" w:sz="8" w:color="E2E8F1"/>
            </w:tcBorders>
            <w:shd w:val="clear" w:color="auto" w:fill="E2E8F1"/>
          </w:tcPr>
          <w:p>
            <w:pPr>
              <w:ind w:left="240"/>
              <w:spacing w:after="0"/>
              <w:rPr>
                <w:sz w:val="20"/>
                <w:szCs w:val="20"/>
                <w:color w:val="auto"/>
              </w:rPr>
            </w:pPr>
            <w:r>
              <w:rPr>
                <w:rFonts w:ascii="Arial" w:cs="Arial" w:eastAsia="Arial" w:hAnsi="Arial"/>
                <w:sz w:val="14"/>
                <w:szCs w:val="14"/>
                <w:color w:val="auto"/>
              </w:rPr>
              <w:t>Other Americas</w:t>
            </w:r>
          </w:p>
        </w:tc>
        <w:tc>
          <w:tcPr>
            <w:tcW w:w="220" w:type="dxa"/>
            <w:vAlign w:val="bottom"/>
            <w:tcBorders>
              <w:bottom w:val="single" w:sz="8" w:color="E2E8F1"/>
            </w:tcBorders>
            <w:shd w:val="clear" w:color="auto" w:fill="E2E8F1"/>
          </w:tcPr>
          <w:p>
            <w:pPr>
              <w:spacing w:after="0"/>
              <w:rPr>
                <w:sz w:val="15"/>
                <w:szCs w:val="15"/>
                <w:color w:val="auto"/>
              </w:rPr>
            </w:pPr>
          </w:p>
        </w:tc>
        <w:tc>
          <w:tcPr>
            <w:tcW w:w="220" w:type="dxa"/>
            <w:vAlign w:val="bottom"/>
            <w:tcBorders>
              <w:bottom w:val="single" w:sz="8" w:color="231F20"/>
            </w:tcBorders>
            <w:shd w:val="clear" w:color="auto" w:fill="E2E8F1"/>
          </w:tcPr>
          <w:p>
            <w:pPr>
              <w:spacing w:after="0"/>
              <w:rPr>
                <w:sz w:val="15"/>
                <w:szCs w:val="15"/>
                <w:color w:val="auto"/>
              </w:rPr>
            </w:pPr>
          </w:p>
        </w:tc>
        <w:tc>
          <w:tcPr>
            <w:tcW w:w="114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auto"/>
              </w:rPr>
              <w:t>1,548.6</w:t>
            </w:r>
          </w:p>
        </w:tc>
        <w:tc>
          <w:tcPr>
            <w:tcW w:w="200" w:type="dxa"/>
            <w:vAlign w:val="bottom"/>
            <w:tcBorders>
              <w:bottom w:val="single" w:sz="8" w:color="E2E8F1"/>
            </w:tcBorders>
            <w:shd w:val="clear" w:color="auto" w:fill="E2E8F1"/>
          </w:tcPr>
          <w:p>
            <w:pPr>
              <w:spacing w:after="0"/>
              <w:rPr>
                <w:sz w:val="15"/>
                <w:szCs w:val="15"/>
                <w:color w:val="auto"/>
              </w:rPr>
            </w:pPr>
          </w:p>
        </w:tc>
        <w:tc>
          <w:tcPr>
            <w:tcW w:w="100" w:type="dxa"/>
            <w:vAlign w:val="bottom"/>
            <w:tcBorders>
              <w:bottom w:val="single" w:sz="8" w:color="231F20"/>
            </w:tcBorders>
            <w:shd w:val="clear" w:color="auto" w:fill="E2E8F1"/>
          </w:tcPr>
          <w:p>
            <w:pPr>
              <w:spacing w:after="0"/>
              <w:rPr>
                <w:sz w:val="15"/>
                <w:szCs w:val="15"/>
                <w:color w:val="auto"/>
              </w:rPr>
            </w:pPr>
          </w:p>
        </w:tc>
        <w:tc>
          <w:tcPr>
            <w:tcW w:w="126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auto"/>
              </w:rPr>
              <w:t>1,294.5</w:t>
            </w:r>
          </w:p>
        </w:tc>
        <w:tc>
          <w:tcPr>
            <w:tcW w:w="180" w:type="dxa"/>
            <w:vAlign w:val="bottom"/>
            <w:tcBorders>
              <w:bottom w:val="single" w:sz="8" w:color="E2E8F1"/>
            </w:tcBorders>
            <w:shd w:val="clear" w:color="auto" w:fill="E2E8F1"/>
          </w:tcPr>
          <w:p>
            <w:pPr>
              <w:spacing w:after="0"/>
              <w:rPr>
                <w:sz w:val="15"/>
                <w:szCs w:val="15"/>
                <w:color w:val="auto"/>
              </w:rPr>
            </w:pPr>
          </w:p>
        </w:tc>
        <w:tc>
          <w:tcPr>
            <w:tcW w:w="140" w:type="dxa"/>
            <w:vAlign w:val="bottom"/>
            <w:tcBorders>
              <w:bottom w:val="single" w:sz="8" w:color="231F20"/>
            </w:tcBorders>
            <w:shd w:val="clear" w:color="auto" w:fill="E2E8F1"/>
          </w:tcPr>
          <w:p>
            <w:pPr>
              <w:spacing w:after="0"/>
              <w:rPr>
                <w:sz w:val="15"/>
                <w:szCs w:val="15"/>
                <w:color w:val="auto"/>
              </w:rPr>
            </w:pPr>
          </w:p>
        </w:tc>
        <w:tc>
          <w:tcPr>
            <w:tcW w:w="1240" w:type="dxa"/>
            <w:vAlign w:val="bottom"/>
            <w:tcBorders>
              <w:bottom w:val="single" w:sz="8" w:color="231F20"/>
            </w:tcBorders>
            <w:shd w:val="clear" w:color="auto" w:fill="E2E8F1"/>
          </w:tcPr>
          <w:p>
            <w:pPr>
              <w:jc w:val="right"/>
              <w:ind w:right="71"/>
              <w:spacing w:after="0"/>
              <w:rPr>
                <w:sz w:val="20"/>
                <w:szCs w:val="20"/>
                <w:color w:val="auto"/>
              </w:rPr>
            </w:pPr>
            <w:r>
              <w:rPr>
                <w:rFonts w:ascii="Arial" w:cs="Arial" w:eastAsia="Arial" w:hAnsi="Arial"/>
                <w:sz w:val="14"/>
                <w:szCs w:val="14"/>
                <w:color w:val="auto"/>
              </w:rPr>
              <w:t>182.9</w:t>
            </w:r>
          </w:p>
        </w:tc>
        <w:tc>
          <w:tcPr>
            <w:tcW w:w="160" w:type="dxa"/>
            <w:vAlign w:val="bottom"/>
            <w:tcBorders>
              <w:bottom w:val="single" w:sz="8" w:color="E2E8F1"/>
            </w:tcBorders>
            <w:shd w:val="clear" w:color="auto" w:fill="E2E8F1"/>
          </w:tcPr>
          <w:p>
            <w:pPr>
              <w:spacing w:after="0"/>
              <w:rPr>
                <w:sz w:val="15"/>
                <w:szCs w:val="15"/>
                <w:color w:val="auto"/>
              </w:rPr>
            </w:pPr>
          </w:p>
        </w:tc>
        <w:tc>
          <w:tcPr>
            <w:tcW w:w="300" w:type="dxa"/>
            <w:vAlign w:val="bottom"/>
            <w:tcBorders>
              <w:bottom w:val="single" w:sz="8" w:color="231F20"/>
            </w:tcBorders>
            <w:shd w:val="clear" w:color="auto" w:fill="E2E8F1"/>
          </w:tcPr>
          <w:p>
            <w:pPr>
              <w:spacing w:after="0"/>
              <w:rPr>
                <w:sz w:val="15"/>
                <w:szCs w:val="15"/>
                <w:color w:val="auto"/>
              </w:rPr>
            </w:pPr>
          </w:p>
        </w:tc>
        <w:tc>
          <w:tcPr>
            <w:tcW w:w="110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auto"/>
              </w:rPr>
              <w:t>71.2</w:t>
            </w:r>
          </w:p>
        </w:tc>
      </w:tr>
      <w:tr>
        <w:trPr>
          <w:trHeight w:val="169"/>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231F20"/>
            </w:tcBorders>
          </w:tcPr>
          <w:p>
            <w:pPr>
              <w:spacing w:after="0"/>
              <w:rPr>
                <w:sz w:val="14"/>
                <w:szCs w:val="14"/>
                <w:color w:val="auto"/>
              </w:rPr>
            </w:pPr>
          </w:p>
        </w:tc>
        <w:tc>
          <w:tcPr>
            <w:tcW w:w="114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4,414.8</w:t>
            </w:r>
          </w:p>
        </w:tc>
        <w:tc>
          <w:tcPr>
            <w:tcW w:w="20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126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3,376.1</w:t>
            </w:r>
          </w:p>
        </w:tc>
        <w:tc>
          <w:tcPr>
            <w:tcW w:w="180" w:type="dxa"/>
            <w:vAlign w:val="bottom"/>
          </w:tcPr>
          <w:p>
            <w:pPr>
              <w:spacing w:after="0"/>
              <w:rPr>
                <w:sz w:val="14"/>
                <w:szCs w:val="14"/>
                <w:color w:val="auto"/>
              </w:rPr>
            </w:pPr>
          </w:p>
        </w:tc>
        <w:tc>
          <w:tcPr>
            <w:tcW w:w="140" w:type="dxa"/>
            <w:vAlign w:val="bottom"/>
            <w:tcBorders>
              <w:bottom w:val="single" w:sz="8" w:color="231F20"/>
            </w:tcBorders>
          </w:tcPr>
          <w:p>
            <w:pPr>
              <w:spacing w:after="0"/>
              <w:rPr>
                <w:sz w:val="14"/>
                <w:szCs w:val="14"/>
                <w:color w:val="auto"/>
              </w:rPr>
            </w:pPr>
          </w:p>
        </w:tc>
        <w:tc>
          <w:tcPr>
            <w:tcW w:w="1240" w:type="dxa"/>
            <w:vAlign w:val="bottom"/>
            <w:tcBorders>
              <w:bottom w:val="single" w:sz="8" w:color="231F20"/>
            </w:tcBorders>
          </w:tcPr>
          <w:p>
            <w:pPr>
              <w:jc w:val="right"/>
              <w:ind w:right="71"/>
              <w:spacing w:after="0"/>
              <w:rPr>
                <w:sz w:val="20"/>
                <w:szCs w:val="20"/>
                <w:color w:val="auto"/>
              </w:rPr>
            </w:pPr>
            <w:r>
              <w:rPr>
                <w:rFonts w:ascii="Arial" w:cs="Arial" w:eastAsia="Arial" w:hAnsi="Arial"/>
                <w:sz w:val="14"/>
                <w:szCs w:val="14"/>
                <w:color w:val="auto"/>
              </w:rPr>
              <w:t>873.1</w:t>
            </w:r>
          </w:p>
        </w:tc>
        <w:tc>
          <w:tcPr>
            <w:tcW w:w="160" w:type="dxa"/>
            <w:vAlign w:val="bottom"/>
          </w:tcPr>
          <w:p>
            <w:pPr>
              <w:spacing w:after="0"/>
              <w:rPr>
                <w:sz w:val="14"/>
                <w:szCs w:val="14"/>
                <w:color w:val="auto"/>
              </w:rPr>
            </w:pPr>
          </w:p>
        </w:tc>
        <w:tc>
          <w:tcPr>
            <w:tcW w:w="300" w:type="dxa"/>
            <w:vAlign w:val="bottom"/>
            <w:tcBorders>
              <w:bottom w:val="single" w:sz="8" w:color="231F20"/>
            </w:tcBorders>
          </w:tcPr>
          <w:p>
            <w:pPr>
              <w:spacing w:after="0"/>
              <w:rPr>
                <w:sz w:val="14"/>
                <w:szCs w:val="14"/>
                <w:color w:val="auto"/>
              </w:rPr>
            </w:pPr>
          </w:p>
        </w:tc>
        <w:tc>
          <w:tcPr>
            <w:tcW w:w="110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auto"/>
              </w:rPr>
              <w:t>165.6</w:t>
            </w:r>
          </w:p>
        </w:tc>
      </w:tr>
      <w:tr>
        <w:trPr>
          <w:trHeight w:val="181"/>
        </w:trPr>
        <w:tc>
          <w:tcPr>
            <w:tcW w:w="5000" w:type="dxa"/>
            <w:vAlign w:val="bottom"/>
            <w:shd w:val="clear" w:color="auto" w:fill="E2E8F1"/>
          </w:tcPr>
          <w:p>
            <w:pPr>
              <w:ind w:left="80"/>
              <w:spacing w:after="0"/>
              <w:rPr>
                <w:sz w:val="20"/>
                <w:szCs w:val="20"/>
                <w:color w:val="auto"/>
              </w:rPr>
            </w:pPr>
            <w:r>
              <w:rPr>
                <w:rFonts w:ascii="Arial" w:cs="Arial" w:eastAsia="Arial" w:hAnsi="Arial"/>
                <w:sz w:val="14"/>
                <w:szCs w:val="14"/>
                <w:color w:val="auto"/>
              </w:rPr>
              <w:t>Southern Europe:</w:t>
            </w:r>
          </w:p>
        </w:tc>
        <w:tc>
          <w:tcPr>
            <w:tcW w:w="220" w:type="dxa"/>
            <w:vAlign w:val="bottom"/>
            <w:shd w:val="clear" w:color="auto" w:fill="E2E8F1"/>
          </w:tcPr>
          <w:p>
            <w:pPr>
              <w:spacing w:after="0"/>
              <w:rPr>
                <w:sz w:val="15"/>
                <w:szCs w:val="15"/>
                <w:color w:val="auto"/>
              </w:rPr>
            </w:pPr>
          </w:p>
        </w:tc>
        <w:tc>
          <w:tcPr>
            <w:tcW w:w="220" w:type="dxa"/>
            <w:vAlign w:val="bottom"/>
            <w:shd w:val="clear" w:color="auto" w:fill="E2E8F1"/>
          </w:tcPr>
          <w:p>
            <w:pPr>
              <w:spacing w:after="0"/>
              <w:rPr>
                <w:sz w:val="15"/>
                <w:szCs w:val="15"/>
                <w:color w:val="auto"/>
              </w:rPr>
            </w:pPr>
          </w:p>
        </w:tc>
        <w:tc>
          <w:tcPr>
            <w:tcW w:w="114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126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1240" w:type="dxa"/>
            <w:vAlign w:val="bottom"/>
            <w:shd w:val="clear" w:color="auto" w:fill="E2E8F1"/>
          </w:tcPr>
          <w:p>
            <w:pPr>
              <w:spacing w:after="0"/>
              <w:rPr>
                <w:sz w:val="15"/>
                <w:szCs w:val="15"/>
                <w:color w:val="auto"/>
              </w:rPr>
            </w:pPr>
          </w:p>
        </w:tc>
        <w:tc>
          <w:tcPr>
            <w:tcW w:w="16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1100" w:type="dxa"/>
            <w:vAlign w:val="bottom"/>
            <w:shd w:val="clear" w:color="auto" w:fill="E2E8F1"/>
          </w:tcPr>
          <w:p>
            <w:pPr>
              <w:spacing w:after="0"/>
              <w:rPr>
                <w:sz w:val="15"/>
                <w:szCs w:val="15"/>
                <w:color w:val="auto"/>
              </w:rPr>
            </w:pPr>
          </w:p>
        </w:tc>
      </w:tr>
      <w:tr>
        <w:trPr>
          <w:trHeight w:val="189"/>
        </w:trPr>
        <w:tc>
          <w:tcPr>
            <w:tcW w:w="5000" w:type="dxa"/>
            <w:vAlign w:val="bottom"/>
          </w:tcPr>
          <w:p>
            <w:pPr>
              <w:ind w:left="240"/>
              <w:spacing w:after="0"/>
              <w:rPr>
                <w:sz w:val="20"/>
                <w:szCs w:val="20"/>
                <w:color w:val="auto"/>
              </w:rPr>
            </w:pPr>
            <w:r>
              <w:rPr>
                <w:rFonts w:ascii="Arial" w:cs="Arial" w:eastAsia="Arial" w:hAnsi="Arial"/>
                <w:sz w:val="14"/>
                <w:szCs w:val="14"/>
                <w:color w:val="auto"/>
              </w:rPr>
              <w:t>France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4,867.1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4,145.9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71"/>
              <w:spacing w:after="0"/>
              <w:rPr>
                <w:sz w:val="20"/>
                <w:szCs w:val="20"/>
                <w:color w:val="auto"/>
              </w:rPr>
            </w:pPr>
            <w:r>
              <w:rPr>
                <w:rFonts w:ascii="Arial" w:cs="Arial" w:eastAsia="Arial" w:hAnsi="Arial"/>
                <w:sz w:val="14"/>
                <w:szCs w:val="14"/>
                <w:color w:val="auto"/>
              </w:rPr>
              <w:t>532.9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188.3</w:t>
            </w:r>
          </w:p>
        </w:tc>
      </w:tr>
      <w:tr>
        <w:trPr>
          <w:trHeight w:val="189"/>
        </w:trPr>
        <w:tc>
          <w:tcPr>
            <w:tcW w:w="5000" w:type="dxa"/>
            <w:vAlign w:val="bottom"/>
            <w:shd w:val="clear" w:color="auto" w:fill="E2E8F1"/>
          </w:tcPr>
          <w:p>
            <w:pPr>
              <w:ind w:left="240"/>
              <w:spacing w:after="0"/>
              <w:rPr>
                <w:sz w:val="20"/>
                <w:szCs w:val="20"/>
                <w:color w:val="auto"/>
              </w:rPr>
            </w:pPr>
            <w:r>
              <w:rPr>
                <w:rFonts w:ascii="Arial" w:cs="Arial" w:eastAsia="Arial" w:hAnsi="Arial"/>
                <w:sz w:val="14"/>
                <w:szCs w:val="14"/>
                <w:color w:val="auto"/>
              </w:rPr>
              <w:t>Italy</w:t>
            </w:r>
          </w:p>
        </w:tc>
        <w:tc>
          <w:tcPr>
            <w:tcW w:w="22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114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auto"/>
              </w:rPr>
              <w:t>1,708.8</w:t>
            </w:r>
          </w:p>
        </w:tc>
        <w:tc>
          <w:tcPr>
            <w:tcW w:w="20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126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auto"/>
              </w:rPr>
              <w:t>1,418.4</w:t>
            </w:r>
          </w:p>
        </w:tc>
        <w:tc>
          <w:tcPr>
            <w:tcW w:w="18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124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165.7</w:t>
            </w:r>
          </w:p>
        </w:tc>
        <w:tc>
          <w:tcPr>
            <w:tcW w:w="16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1100" w:type="dxa"/>
            <w:vAlign w:val="bottom"/>
            <w:shd w:val="clear" w:color="auto" w:fill="E2E8F1"/>
          </w:tcPr>
          <w:p>
            <w:pPr>
              <w:jc w:val="right"/>
              <w:ind w:right="69"/>
              <w:spacing w:after="0"/>
              <w:rPr>
                <w:sz w:val="20"/>
                <w:szCs w:val="20"/>
                <w:color w:val="auto"/>
              </w:rPr>
            </w:pPr>
            <w:r>
              <w:rPr>
                <w:rFonts w:ascii="Arial" w:cs="Arial" w:eastAsia="Arial" w:hAnsi="Arial"/>
                <w:sz w:val="14"/>
                <w:szCs w:val="14"/>
                <w:color w:val="auto"/>
              </w:rPr>
              <w:t>124.7</w:t>
            </w:r>
          </w:p>
        </w:tc>
      </w:tr>
      <w:tr>
        <w:trPr>
          <w:trHeight w:val="177"/>
        </w:trPr>
        <w:tc>
          <w:tcPr>
            <w:tcW w:w="5000" w:type="dxa"/>
            <w:vAlign w:val="bottom"/>
          </w:tcPr>
          <w:p>
            <w:pPr>
              <w:ind w:left="240"/>
              <w:spacing w:after="0"/>
              <w:rPr>
                <w:sz w:val="20"/>
                <w:szCs w:val="20"/>
                <w:color w:val="auto"/>
              </w:rPr>
            </w:pPr>
            <w:r>
              <w:rPr>
                <w:rFonts w:ascii="Arial" w:cs="Arial" w:eastAsia="Arial" w:hAnsi="Arial"/>
                <w:sz w:val="14"/>
                <w:szCs w:val="14"/>
                <w:color w:val="auto"/>
              </w:rPr>
              <w:t>Other Southern Europe</w:t>
            </w:r>
          </w:p>
        </w:tc>
        <w:tc>
          <w:tcPr>
            <w:tcW w:w="220" w:type="dxa"/>
            <w:vAlign w:val="bottom"/>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114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1,939.4</w:t>
            </w:r>
          </w:p>
        </w:tc>
        <w:tc>
          <w:tcPr>
            <w:tcW w:w="20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26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1,662.6</w:t>
            </w:r>
          </w:p>
        </w:tc>
        <w:tc>
          <w:tcPr>
            <w:tcW w:w="18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jc w:val="right"/>
              <w:ind w:right="71"/>
              <w:spacing w:after="0"/>
              <w:rPr>
                <w:sz w:val="20"/>
                <w:szCs w:val="20"/>
                <w:color w:val="auto"/>
              </w:rPr>
            </w:pPr>
            <w:r>
              <w:rPr>
                <w:rFonts w:ascii="Arial" w:cs="Arial" w:eastAsia="Arial" w:hAnsi="Arial"/>
                <w:sz w:val="14"/>
                <w:szCs w:val="14"/>
                <w:color w:val="auto"/>
              </w:rPr>
              <w:t>232.1</w:t>
            </w:r>
          </w:p>
        </w:tc>
        <w:tc>
          <w:tcPr>
            <w:tcW w:w="160" w:type="dxa"/>
            <w:vAlign w:val="bottom"/>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auto"/>
              </w:rPr>
              <w:t>44.7</w:t>
            </w:r>
          </w:p>
        </w:tc>
      </w:tr>
      <w:tr>
        <w:trPr>
          <w:trHeight w:val="169"/>
        </w:trPr>
        <w:tc>
          <w:tcPr>
            <w:tcW w:w="5000" w:type="dxa"/>
            <w:vAlign w:val="bottom"/>
            <w:tcBorders>
              <w:bottom w:val="single" w:sz="8" w:color="E2E8F1"/>
            </w:tcBorders>
            <w:shd w:val="clear" w:color="auto" w:fill="E2E8F1"/>
          </w:tcPr>
          <w:p>
            <w:pPr>
              <w:spacing w:after="0"/>
              <w:rPr>
                <w:sz w:val="14"/>
                <w:szCs w:val="14"/>
                <w:color w:val="auto"/>
              </w:rPr>
            </w:pPr>
          </w:p>
        </w:tc>
        <w:tc>
          <w:tcPr>
            <w:tcW w:w="220" w:type="dxa"/>
            <w:vAlign w:val="bottom"/>
            <w:tcBorders>
              <w:bottom w:val="single" w:sz="8" w:color="E2E8F1"/>
            </w:tcBorders>
            <w:shd w:val="clear" w:color="auto" w:fill="E2E8F1"/>
          </w:tcPr>
          <w:p>
            <w:pPr>
              <w:spacing w:after="0"/>
              <w:rPr>
                <w:sz w:val="14"/>
                <w:szCs w:val="14"/>
                <w:color w:val="auto"/>
              </w:rPr>
            </w:pPr>
          </w:p>
        </w:tc>
        <w:tc>
          <w:tcPr>
            <w:tcW w:w="220" w:type="dxa"/>
            <w:vAlign w:val="bottom"/>
            <w:tcBorders>
              <w:bottom w:val="single" w:sz="8" w:color="231F20"/>
            </w:tcBorders>
            <w:shd w:val="clear" w:color="auto" w:fill="E2E8F1"/>
          </w:tcPr>
          <w:p>
            <w:pPr>
              <w:spacing w:after="0"/>
              <w:rPr>
                <w:sz w:val="14"/>
                <w:szCs w:val="14"/>
                <w:color w:val="auto"/>
              </w:rPr>
            </w:pPr>
          </w:p>
        </w:tc>
        <w:tc>
          <w:tcPr>
            <w:tcW w:w="114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auto"/>
              </w:rPr>
              <w:t>8,515.3</w:t>
            </w:r>
          </w:p>
        </w:tc>
        <w:tc>
          <w:tcPr>
            <w:tcW w:w="2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231F20"/>
            </w:tcBorders>
            <w:shd w:val="clear" w:color="auto" w:fill="E2E8F1"/>
          </w:tcPr>
          <w:p>
            <w:pPr>
              <w:spacing w:after="0"/>
              <w:rPr>
                <w:sz w:val="14"/>
                <w:szCs w:val="14"/>
                <w:color w:val="auto"/>
              </w:rPr>
            </w:pPr>
          </w:p>
        </w:tc>
        <w:tc>
          <w:tcPr>
            <w:tcW w:w="126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auto"/>
              </w:rPr>
              <w:t>7,226.9</w:t>
            </w:r>
          </w:p>
        </w:tc>
        <w:tc>
          <w:tcPr>
            <w:tcW w:w="18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231F20"/>
            </w:tcBorders>
            <w:shd w:val="clear" w:color="auto" w:fill="E2E8F1"/>
          </w:tcPr>
          <w:p>
            <w:pPr>
              <w:spacing w:after="0"/>
              <w:rPr>
                <w:sz w:val="14"/>
                <w:szCs w:val="14"/>
                <w:color w:val="auto"/>
              </w:rPr>
            </w:pPr>
          </w:p>
        </w:tc>
        <w:tc>
          <w:tcPr>
            <w:tcW w:w="1240" w:type="dxa"/>
            <w:vAlign w:val="bottom"/>
            <w:tcBorders>
              <w:bottom w:val="single" w:sz="8" w:color="231F20"/>
            </w:tcBorders>
            <w:shd w:val="clear" w:color="auto" w:fill="E2E8F1"/>
          </w:tcPr>
          <w:p>
            <w:pPr>
              <w:jc w:val="right"/>
              <w:ind w:right="71"/>
              <w:spacing w:after="0"/>
              <w:rPr>
                <w:sz w:val="20"/>
                <w:szCs w:val="20"/>
                <w:color w:val="auto"/>
              </w:rPr>
            </w:pPr>
            <w:r>
              <w:rPr>
                <w:rFonts w:ascii="Arial" w:cs="Arial" w:eastAsia="Arial" w:hAnsi="Arial"/>
                <w:sz w:val="14"/>
                <w:szCs w:val="14"/>
                <w:color w:val="auto"/>
              </w:rPr>
              <w:t>930.7</w:t>
            </w:r>
          </w:p>
        </w:tc>
        <w:tc>
          <w:tcPr>
            <w:tcW w:w="16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231F20"/>
            </w:tcBorders>
            <w:shd w:val="clear" w:color="auto" w:fill="E2E8F1"/>
          </w:tcPr>
          <w:p>
            <w:pPr>
              <w:spacing w:after="0"/>
              <w:rPr>
                <w:sz w:val="14"/>
                <w:szCs w:val="14"/>
                <w:color w:val="auto"/>
              </w:rPr>
            </w:pPr>
          </w:p>
        </w:tc>
        <w:tc>
          <w:tcPr>
            <w:tcW w:w="110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auto"/>
              </w:rPr>
              <w:t>357.7</w:t>
            </w:r>
          </w:p>
        </w:tc>
      </w:tr>
      <w:tr>
        <w:trPr>
          <w:trHeight w:val="181"/>
        </w:trPr>
        <w:tc>
          <w:tcPr>
            <w:tcW w:w="5000" w:type="dxa"/>
            <w:vAlign w:val="bottom"/>
          </w:tcPr>
          <w:p>
            <w:pPr>
              <w:ind w:left="80"/>
              <w:spacing w:after="0"/>
              <w:rPr>
                <w:sz w:val="20"/>
                <w:szCs w:val="20"/>
                <w:color w:val="auto"/>
              </w:rPr>
            </w:pPr>
            <w:r>
              <w:rPr>
                <w:rFonts w:ascii="Arial" w:cs="Arial" w:eastAsia="Arial" w:hAnsi="Arial"/>
                <w:sz w:val="14"/>
                <w:szCs w:val="14"/>
                <w:color w:val="auto"/>
              </w:rPr>
              <w:t>Northern Europe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3,748.0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3,099.0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71"/>
              <w:spacing w:after="0"/>
              <w:rPr>
                <w:sz w:val="20"/>
                <w:szCs w:val="20"/>
                <w:color w:val="auto"/>
              </w:rPr>
            </w:pPr>
            <w:r>
              <w:rPr>
                <w:rFonts w:ascii="Arial" w:cs="Arial" w:eastAsia="Arial" w:hAnsi="Arial"/>
                <w:sz w:val="14"/>
                <w:szCs w:val="14"/>
                <w:color w:val="auto"/>
              </w:rPr>
              <w:t>765.7</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(116.7 )</w:t>
            </w:r>
          </w:p>
        </w:tc>
      </w:tr>
      <w:tr>
        <w:trPr>
          <w:trHeight w:val="177"/>
        </w:trPr>
        <w:tc>
          <w:tcPr>
            <w:tcW w:w="5000" w:type="dxa"/>
            <w:vAlign w:val="bottom"/>
            <w:tcBorders>
              <w:bottom w:val="single" w:sz="8" w:color="E2E8F1"/>
            </w:tcBorders>
            <w:shd w:val="clear" w:color="auto" w:fill="E2E8F1"/>
          </w:tcPr>
          <w:p>
            <w:pPr>
              <w:ind w:left="80"/>
              <w:spacing w:after="0"/>
              <w:rPr>
                <w:sz w:val="20"/>
                <w:szCs w:val="20"/>
                <w:color w:val="auto"/>
              </w:rPr>
            </w:pPr>
            <w:r>
              <w:rPr>
                <w:rFonts w:ascii="Arial" w:cs="Arial" w:eastAsia="Arial" w:hAnsi="Arial"/>
                <w:sz w:val="14"/>
                <w:szCs w:val="14"/>
                <w:color w:val="auto"/>
              </w:rPr>
              <w:t>APME</w:t>
            </w:r>
          </w:p>
        </w:tc>
        <w:tc>
          <w:tcPr>
            <w:tcW w:w="220" w:type="dxa"/>
            <w:vAlign w:val="bottom"/>
            <w:tcBorders>
              <w:bottom w:val="single" w:sz="8" w:color="E2E8F1"/>
            </w:tcBorders>
            <w:shd w:val="clear" w:color="auto" w:fill="E2E8F1"/>
          </w:tcPr>
          <w:p>
            <w:pPr>
              <w:spacing w:after="0"/>
              <w:rPr>
                <w:sz w:val="15"/>
                <w:szCs w:val="15"/>
                <w:color w:val="auto"/>
              </w:rPr>
            </w:pPr>
          </w:p>
        </w:tc>
        <w:tc>
          <w:tcPr>
            <w:tcW w:w="220" w:type="dxa"/>
            <w:vAlign w:val="bottom"/>
            <w:tcBorders>
              <w:bottom w:val="single" w:sz="8" w:color="231F20"/>
            </w:tcBorders>
            <w:shd w:val="clear" w:color="auto" w:fill="E2E8F1"/>
          </w:tcPr>
          <w:p>
            <w:pPr>
              <w:spacing w:after="0"/>
              <w:rPr>
                <w:sz w:val="15"/>
                <w:szCs w:val="15"/>
                <w:color w:val="auto"/>
              </w:rPr>
            </w:pPr>
          </w:p>
        </w:tc>
        <w:tc>
          <w:tcPr>
            <w:tcW w:w="114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auto"/>
              </w:rPr>
              <w:t>2,322.3</w:t>
            </w:r>
          </w:p>
        </w:tc>
        <w:tc>
          <w:tcPr>
            <w:tcW w:w="200" w:type="dxa"/>
            <w:vAlign w:val="bottom"/>
            <w:tcBorders>
              <w:bottom w:val="single" w:sz="8" w:color="E2E8F1"/>
            </w:tcBorders>
            <w:shd w:val="clear" w:color="auto" w:fill="E2E8F1"/>
          </w:tcPr>
          <w:p>
            <w:pPr>
              <w:spacing w:after="0"/>
              <w:rPr>
                <w:sz w:val="15"/>
                <w:szCs w:val="15"/>
                <w:color w:val="auto"/>
              </w:rPr>
            </w:pPr>
          </w:p>
        </w:tc>
        <w:tc>
          <w:tcPr>
            <w:tcW w:w="100" w:type="dxa"/>
            <w:vAlign w:val="bottom"/>
            <w:tcBorders>
              <w:bottom w:val="single" w:sz="8" w:color="231F20"/>
            </w:tcBorders>
            <w:shd w:val="clear" w:color="auto" w:fill="E2E8F1"/>
          </w:tcPr>
          <w:p>
            <w:pPr>
              <w:spacing w:after="0"/>
              <w:rPr>
                <w:sz w:val="15"/>
                <w:szCs w:val="15"/>
                <w:color w:val="auto"/>
              </w:rPr>
            </w:pPr>
          </w:p>
        </w:tc>
        <w:tc>
          <w:tcPr>
            <w:tcW w:w="126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auto"/>
              </w:rPr>
              <w:t>1,940.2</w:t>
            </w:r>
          </w:p>
        </w:tc>
        <w:tc>
          <w:tcPr>
            <w:tcW w:w="180" w:type="dxa"/>
            <w:vAlign w:val="bottom"/>
            <w:tcBorders>
              <w:bottom w:val="single" w:sz="8" w:color="E2E8F1"/>
            </w:tcBorders>
            <w:shd w:val="clear" w:color="auto" w:fill="E2E8F1"/>
          </w:tcPr>
          <w:p>
            <w:pPr>
              <w:spacing w:after="0"/>
              <w:rPr>
                <w:sz w:val="15"/>
                <w:szCs w:val="15"/>
                <w:color w:val="auto"/>
              </w:rPr>
            </w:pPr>
          </w:p>
        </w:tc>
        <w:tc>
          <w:tcPr>
            <w:tcW w:w="140" w:type="dxa"/>
            <w:vAlign w:val="bottom"/>
            <w:tcBorders>
              <w:bottom w:val="single" w:sz="8" w:color="231F20"/>
            </w:tcBorders>
            <w:shd w:val="clear" w:color="auto" w:fill="E2E8F1"/>
          </w:tcPr>
          <w:p>
            <w:pPr>
              <w:spacing w:after="0"/>
              <w:rPr>
                <w:sz w:val="15"/>
                <w:szCs w:val="15"/>
                <w:color w:val="auto"/>
              </w:rPr>
            </w:pPr>
          </w:p>
        </w:tc>
        <w:tc>
          <w:tcPr>
            <w:tcW w:w="1240" w:type="dxa"/>
            <w:vAlign w:val="bottom"/>
            <w:tcBorders>
              <w:bottom w:val="single" w:sz="8" w:color="231F20"/>
            </w:tcBorders>
            <w:shd w:val="clear" w:color="auto" w:fill="E2E8F1"/>
          </w:tcPr>
          <w:p>
            <w:pPr>
              <w:jc w:val="right"/>
              <w:ind w:right="71"/>
              <w:spacing w:after="0"/>
              <w:rPr>
                <w:sz w:val="20"/>
                <w:szCs w:val="20"/>
                <w:color w:val="auto"/>
              </w:rPr>
            </w:pPr>
            <w:r>
              <w:rPr>
                <w:rFonts w:ascii="Arial" w:cs="Arial" w:eastAsia="Arial" w:hAnsi="Arial"/>
                <w:sz w:val="14"/>
                <w:szCs w:val="14"/>
                <w:color w:val="auto"/>
              </w:rPr>
              <w:t>289.5</w:t>
            </w:r>
          </w:p>
        </w:tc>
        <w:tc>
          <w:tcPr>
            <w:tcW w:w="160" w:type="dxa"/>
            <w:vAlign w:val="bottom"/>
            <w:tcBorders>
              <w:bottom w:val="single" w:sz="8" w:color="E2E8F1"/>
            </w:tcBorders>
            <w:shd w:val="clear" w:color="auto" w:fill="E2E8F1"/>
          </w:tcPr>
          <w:p>
            <w:pPr>
              <w:spacing w:after="0"/>
              <w:rPr>
                <w:sz w:val="15"/>
                <w:szCs w:val="15"/>
                <w:color w:val="auto"/>
              </w:rPr>
            </w:pPr>
          </w:p>
        </w:tc>
        <w:tc>
          <w:tcPr>
            <w:tcW w:w="300" w:type="dxa"/>
            <w:vAlign w:val="bottom"/>
            <w:tcBorders>
              <w:bottom w:val="single" w:sz="8" w:color="231F20"/>
            </w:tcBorders>
            <w:shd w:val="clear" w:color="auto" w:fill="E2E8F1"/>
          </w:tcPr>
          <w:p>
            <w:pPr>
              <w:spacing w:after="0"/>
              <w:rPr>
                <w:sz w:val="15"/>
                <w:szCs w:val="15"/>
                <w:color w:val="auto"/>
              </w:rPr>
            </w:pPr>
          </w:p>
        </w:tc>
        <w:tc>
          <w:tcPr>
            <w:tcW w:w="110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auto"/>
              </w:rPr>
              <w:t>92.6</w:t>
            </w:r>
          </w:p>
        </w:tc>
      </w:tr>
      <w:tr>
        <w:trPr>
          <w:trHeight w:val="169"/>
        </w:trPr>
        <w:tc>
          <w:tcPr>
            <w:tcW w:w="5000" w:type="dxa"/>
            <w:vAlign w:val="bottom"/>
          </w:tcPr>
          <w:p>
            <w:pPr>
              <w:ind w:left="160"/>
              <w:spacing w:after="0"/>
              <w:rPr>
                <w:sz w:val="20"/>
                <w:szCs w:val="20"/>
                <w:color w:val="auto"/>
              </w:rPr>
            </w:pPr>
            <w:r>
              <w:rPr>
                <w:rFonts w:ascii="Arial" w:cs="Arial" w:eastAsia="Arial" w:hAnsi="Arial"/>
                <w:sz w:val="14"/>
                <w:szCs w:val="14"/>
                <w:color w:val="auto"/>
              </w:rPr>
              <w:t>Total Segments</w:t>
            </w:r>
          </w:p>
        </w:tc>
        <w:tc>
          <w:tcPr>
            <w:tcW w:w="220" w:type="dxa"/>
            <w:vAlign w:val="bottom"/>
          </w:tcPr>
          <w:p>
            <w:pPr>
              <w:spacing w:after="0"/>
              <w:rPr>
                <w:sz w:val="14"/>
                <w:szCs w:val="14"/>
                <w:color w:val="auto"/>
              </w:rPr>
            </w:pPr>
          </w:p>
        </w:tc>
        <w:tc>
          <w:tcPr>
            <w:tcW w:w="220" w:type="dxa"/>
            <w:vAlign w:val="bottom"/>
            <w:tcBorders>
              <w:bottom w:val="single" w:sz="8" w:color="231F20"/>
            </w:tcBorders>
          </w:tcPr>
          <w:p>
            <w:pPr>
              <w:spacing w:after="0"/>
              <w:rPr>
                <w:sz w:val="14"/>
                <w:szCs w:val="14"/>
                <w:color w:val="auto"/>
              </w:rPr>
            </w:pPr>
          </w:p>
        </w:tc>
        <w:tc>
          <w:tcPr>
            <w:tcW w:w="114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19,000.4</w:t>
            </w:r>
          </w:p>
        </w:tc>
        <w:tc>
          <w:tcPr>
            <w:tcW w:w="20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126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15,642.2</w:t>
            </w:r>
          </w:p>
        </w:tc>
        <w:tc>
          <w:tcPr>
            <w:tcW w:w="180" w:type="dxa"/>
            <w:vAlign w:val="bottom"/>
          </w:tcPr>
          <w:p>
            <w:pPr>
              <w:spacing w:after="0"/>
              <w:rPr>
                <w:sz w:val="14"/>
                <w:szCs w:val="14"/>
                <w:color w:val="auto"/>
              </w:rPr>
            </w:pPr>
          </w:p>
        </w:tc>
        <w:tc>
          <w:tcPr>
            <w:tcW w:w="140" w:type="dxa"/>
            <w:vAlign w:val="bottom"/>
            <w:tcBorders>
              <w:bottom w:val="single" w:sz="8" w:color="231F20"/>
            </w:tcBorders>
          </w:tcPr>
          <w:p>
            <w:pPr>
              <w:spacing w:after="0"/>
              <w:rPr>
                <w:sz w:val="14"/>
                <w:szCs w:val="14"/>
                <w:color w:val="auto"/>
              </w:rPr>
            </w:pPr>
          </w:p>
        </w:tc>
        <w:tc>
          <w:tcPr>
            <w:tcW w:w="1240" w:type="dxa"/>
            <w:vAlign w:val="bottom"/>
            <w:tcBorders>
              <w:bottom w:val="single" w:sz="8" w:color="231F20"/>
            </w:tcBorders>
          </w:tcPr>
          <w:p>
            <w:pPr>
              <w:jc w:val="right"/>
              <w:ind w:right="71"/>
              <w:spacing w:after="0"/>
              <w:rPr>
                <w:sz w:val="20"/>
                <w:szCs w:val="20"/>
                <w:color w:val="auto"/>
              </w:rPr>
            </w:pPr>
            <w:r>
              <w:rPr>
                <w:rFonts w:ascii="Arial" w:cs="Arial" w:eastAsia="Arial" w:hAnsi="Arial"/>
                <w:sz w:val="14"/>
                <w:szCs w:val="14"/>
                <w:color w:val="auto"/>
              </w:rPr>
              <w:t>2,859.0</w:t>
            </w:r>
          </w:p>
        </w:tc>
        <w:tc>
          <w:tcPr>
            <w:tcW w:w="160" w:type="dxa"/>
            <w:vAlign w:val="bottom"/>
          </w:tcPr>
          <w:p>
            <w:pPr>
              <w:spacing w:after="0"/>
              <w:rPr>
                <w:sz w:val="14"/>
                <w:szCs w:val="14"/>
                <w:color w:val="auto"/>
              </w:rPr>
            </w:pPr>
          </w:p>
        </w:tc>
        <w:tc>
          <w:tcPr>
            <w:tcW w:w="300" w:type="dxa"/>
            <w:vAlign w:val="bottom"/>
            <w:tcBorders>
              <w:bottom w:val="single" w:sz="8" w:color="231F20"/>
            </w:tcBorders>
          </w:tcPr>
          <w:p>
            <w:pPr>
              <w:spacing w:after="0"/>
              <w:rPr>
                <w:sz w:val="14"/>
                <w:szCs w:val="14"/>
                <w:color w:val="auto"/>
              </w:rPr>
            </w:pPr>
          </w:p>
        </w:tc>
        <w:tc>
          <w:tcPr>
            <w:tcW w:w="1100" w:type="dxa"/>
            <w:vAlign w:val="bottom"/>
            <w:tcBorders>
              <w:bottom w:val="single" w:sz="8" w:color="231F20"/>
            </w:tcBorders>
          </w:tcPr>
          <w:p>
            <w:pPr>
              <w:jc w:val="right"/>
              <w:ind w:right="69"/>
              <w:spacing w:after="0"/>
              <w:rPr>
                <w:sz w:val="20"/>
                <w:szCs w:val="20"/>
                <w:color w:val="auto"/>
              </w:rPr>
            </w:pPr>
            <w:r>
              <w:rPr>
                <w:rFonts w:ascii="Arial" w:cs="Arial" w:eastAsia="Arial" w:hAnsi="Arial"/>
                <w:sz w:val="14"/>
                <w:szCs w:val="14"/>
                <w:color w:val="auto"/>
              </w:rPr>
              <w:t>499.2</w:t>
            </w:r>
          </w:p>
        </w:tc>
      </w:tr>
      <w:tr>
        <w:trPr>
          <w:trHeight w:val="169"/>
        </w:trPr>
        <w:tc>
          <w:tcPr>
            <w:tcW w:w="5000" w:type="dxa"/>
            <w:vAlign w:val="bottom"/>
            <w:tcBorders>
              <w:bottom w:val="single" w:sz="8" w:color="E2E8F1"/>
            </w:tcBorders>
            <w:shd w:val="clear" w:color="auto" w:fill="E2E8F1"/>
          </w:tcPr>
          <w:p>
            <w:pPr>
              <w:ind w:left="80"/>
              <w:spacing w:after="0"/>
              <w:rPr>
                <w:sz w:val="20"/>
                <w:szCs w:val="20"/>
                <w:color w:val="auto"/>
              </w:rPr>
            </w:pPr>
            <w:r>
              <w:rPr>
                <w:rFonts w:ascii="Arial" w:cs="Arial" w:eastAsia="Arial" w:hAnsi="Arial"/>
                <w:sz w:val="14"/>
                <w:szCs w:val="14"/>
                <w:color w:val="auto"/>
              </w:rPr>
              <w:t>Intercompany Eliminations</w:t>
            </w:r>
          </w:p>
        </w:tc>
        <w:tc>
          <w:tcPr>
            <w:tcW w:w="220" w:type="dxa"/>
            <w:vAlign w:val="bottom"/>
            <w:tcBorders>
              <w:bottom w:val="single" w:sz="8" w:color="E2E8F1"/>
            </w:tcBorders>
            <w:shd w:val="clear" w:color="auto" w:fill="E2E8F1"/>
          </w:tcPr>
          <w:p>
            <w:pPr>
              <w:spacing w:after="0"/>
              <w:rPr>
                <w:sz w:val="14"/>
                <w:szCs w:val="14"/>
                <w:color w:val="auto"/>
              </w:rPr>
            </w:pPr>
          </w:p>
        </w:tc>
        <w:tc>
          <w:tcPr>
            <w:tcW w:w="220" w:type="dxa"/>
            <w:vAlign w:val="bottom"/>
            <w:tcBorders>
              <w:bottom w:val="single" w:sz="8" w:color="231F20"/>
            </w:tcBorders>
            <w:shd w:val="clear" w:color="auto" w:fill="E2E8F1"/>
          </w:tcPr>
          <w:p>
            <w:pPr>
              <w:spacing w:after="0"/>
              <w:rPr>
                <w:sz w:val="14"/>
                <w:szCs w:val="14"/>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(85.9 )</w:t>
            </w:r>
          </w:p>
        </w:tc>
        <w:tc>
          <w:tcPr>
            <w:tcW w:w="2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231F20"/>
            </w:tcBorders>
            <w:shd w:val="clear" w:color="auto" w:fill="E2E8F1"/>
          </w:tcPr>
          <w:p>
            <w:pPr>
              <w:spacing w:after="0"/>
              <w:rPr>
                <w:sz w:val="14"/>
                <w:szCs w:val="14"/>
                <w:color w:val="auto"/>
              </w:rPr>
            </w:pPr>
          </w:p>
        </w:tc>
        <w:tc>
          <w:tcPr>
            <w:tcW w:w="12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(85.9 )</w:t>
            </w:r>
          </w:p>
        </w:tc>
        <w:tc>
          <w:tcPr>
            <w:tcW w:w="18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231F20"/>
            </w:tcBorders>
            <w:shd w:val="clear" w:color="auto" w:fill="E2E8F1"/>
          </w:tcPr>
          <w:p>
            <w:pPr>
              <w:spacing w:after="0"/>
              <w:rPr>
                <w:sz w:val="14"/>
                <w:szCs w:val="14"/>
                <w:color w:val="auto"/>
              </w:rPr>
            </w:pPr>
          </w:p>
        </w:tc>
        <w:tc>
          <w:tcPr>
            <w:tcW w:w="1240" w:type="dxa"/>
            <w:vAlign w:val="bottom"/>
            <w:tcBorders>
              <w:bottom w:val="single" w:sz="8" w:color="231F20"/>
            </w:tcBorders>
            <w:shd w:val="clear" w:color="auto" w:fill="E2E8F1"/>
          </w:tcPr>
          <w:p>
            <w:pPr>
              <w:jc w:val="right"/>
              <w:ind w:right="7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231F20"/>
            </w:tcBorders>
            <w:shd w:val="clear" w:color="auto" w:fill="E2E8F1"/>
          </w:tcPr>
          <w:p>
            <w:pPr>
              <w:spacing w:after="0"/>
              <w:rPr>
                <w:sz w:val="14"/>
                <w:szCs w:val="14"/>
                <w:color w:val="auto"/>
              </w:rPr>
            </w:pPr>
          </w:p>
        </w:tc>
        <w:tc>
          <w:tcPr>
            <w:tcW w:w="1100" w:type="dxa"/>
            <w:vAlign w:val="bottom"/>
            <w:tcBorders>
              <w:bottom w:val="single" w:sz="8" w:color="231F20"/>
            </w:tcBorders>
            <w:shd w:val="clear" w:color="auto" w:fill="E2E8F1"/>
          </w:tcPr>
          <w:p>
            <w:pPr>
              <w:jc w:val="right"/>
              <w:ind w:right="69"/>
              <w:spacing w:after="0"/>
              <w:rPr>
                <w:sz w:val="20"/>
                <w:szCs w:val="20"/>
                <w:color w:val="auto"/>
              </w:rPr>
            </w:pPr>
            <w:r>
              <w:rPr>
                <w:rFonts w:ascii="Arial" w:cs="Arial" w:eastAsia="Arial" w:hAnsi="Arial"/>
                <w:sz w:val="14"/>
                <w:szCs w:val="14"/>
                <w:color w:val="auto"/>
              </w:rPr>
              <w:t>—</w:t>
            </w:r>
          </w:p>
        </w:tc>
      </w:tr>
      <w:tr>
        <w:trPr>
          <w:trHeight w:val="157"/>
        </w:trPr>
        <w:tc>
          <w:tcPr>
            <w:tcW w:w="5000" w:type="dxa"/>
            <w:vAlign w:val="bottom"/>
          </w:tcPr>
          <w:p>
            <w:pPr>
              <w:spacing w:after="0"/>
              <w:rPr>
                <w:sz w:val="13"/>
                <w:szCs w:val="13"/>
                <w:color w:val="auto"/>
              </w:rPr>
            </w:pPr>
          </w:p>
        </w:tc>
        <w:tc>
          <w:tcPr>
            <w:tcW w:w="4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50"/>
              <w:spacing w:after="0" w:line="157" w:lineRule="exact"/>
              <w:rPr>
                <w:sz w:val="20"/>
                <w:szCs w:val="20"/>
                <w:color w:val="auto"/>
              </w:rPr>
            </w:pPr>
            <w:r>
              <w:rPr>
                <w:rFonts w:ascii="Arial" w:cs="Arial" w:eastAsia="Arial" w:hAnsi="Arial"/>
                <w:sz w:val="14"/>
                <w:szCs w:val="14"/>
                <w:color w:val="auto"/>
              </w:rPr>
              <w:t>18,914.5</w:t>
            </w:r>
          </w:p>
        </w:tc>
        <w:tc>
          <w:tcPr>
            <w:tcW w:w="3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50"/>
              <w:spacing w:after="0" w:line="157" w:lineRule="exact"/>
              <w:rPr>
                <w:sz w:val="20"/>
                <w:szCs w:val="20"/>
                <w:color w:val="auto"/>
              </w:rPr>
            </w:pPr>
            <w:r>
              <w:rPr>
                <w:rFonts w:ascii="Arial" w:cs="Arial" w:eastAsia="Arial" w:hAnsi="Arial"/>
                <w:sz w:val="14"/>
                <w:szCs w:val="14"/>
                <w:color w:val="auto"/>
              </w:rPr>
              <w:t>15,556.3</w:t>
            </w:r>
          </w:p>
        </w:tc>
        <w:tc>
          <w:tcPr>
            <w:tcW w:w="3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71"/>
              <w:spacing w:after="0" w:line="157" w:lineRule="exact"/>
              <w:rPr>
                <w:sz w:val="20"/>
                <w:szCs w:val="20"/>
                <w:color w:val="auto"/>
              </w:rPr>
            </w:pPr>
            <w:r>
              <w:rPr>
                <w:rFonts w:ascii="Arial" w:cs="Arial" w:eastAsia="Arial" w:hAnsi="Arial"/>
                <w:sz w:val="14"/>
                <w:szCs w:val="14"/>
                <w:color w:val="auto"/>
              </w:rPr>
              <w:t>2,859.0</w:t>
            </w:r>
          </w:p>
        </w:tc>
        <w:tc>
          <w:tcPr>
            <w:tcW w:w="4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69"/>
              <w:spacing w:after="0" w:line="157" w:lineRule="exact"/>
              <w:rPr>
                <w:sz w:val="20"/>
                <w:szCs w:val="20"/>
                <w:color w:val="auto"/>
              </w:rPr>
            </w:pPr>
            <w:r>
              <w:rPr>
                <w:rFonts w:ascii="Arial" w:cs="Arial" w:eastAsia="Arial" w:hAnsi="Arial"/>
                <w:sz w:val="14"/>
                <w:szCs w:val="14"/>
                <w:color w:val="auto"/>
              </w:rPr>
              <w:t>499.2</w:t>
            </w:r>
          </w:p>
        </w:tc>
      </w:tr>
      <w:tr>
        <w:trPr>
          <w:trHeight w:val="20"/>
        </w:trPr>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26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9465" cy="1200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-1336040</wp:posOffset>
            </wp:positionV>
            <wp:extent cx="12001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-1336040</wp:posOffset>
            </wp:positionV>
            <wp:extent cx="11239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-1336040</wp:posOffset>
            </wp:positionV>
            <wp:extent cx="11239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-615315</wp:posOffset>
            </wp:positionV>
            <wp:extent cx="12001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-615315</wp:posOffset>
            </wp:positionV>
            <wp:extent cx="11239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-615315</wp:posOffset>
            </wp:positionV>
            <wp:extent cx="11239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-374650</wp:posOffset>
            </wp:positionV>
            <wp:extent cx="12001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-374650</wp:posOffset>
            </wp:positionV>
            <wp:extent cx="11239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-374650</wp:posOffset>
            </wp:positionV>
            <wp:extent cx="11239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-134620</wp:posOffset>
            </wp:positionV>
            <wp:extent cx="12001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-134620</wp:posOffset>
            </wp:positionV>
            <wp:extent cx="11239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-134620</wp:posOffset>
            </wp:positionV>
            <wp:extent cx="11239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12395" cy="7620"/>
                    </a:xfrm>
                    <a:prstGeom prst="rect">
                      <a:avLst/>
                    </a:prstGeom>
                    <a:noFill/>
                  </pic:spPr>
                </pic:pic>
              </a:graphicData>
            </a:graphic>
          </wp:anchor>
        </w:drawing>
      </w:r>
    </w:p>
    <w:p>
      <w:pPr>
        <w:sectPr>
          <w:pgSz w:w="11900" w:h="16838" w:orient="portrait"/>
          <w:cols w:equalWidth="0" w:num="1">
            <w:col w:w="11265"/>
          </w:cols>
          <w:pgMar w:left="315" w:top="707" w:right="319" w:bottom="1440" w:gutter="0" w:footer="0" w:header="0"/>
        </w:sectPr>
      </w:pPr>
    </w:p>
    <w:p>
      <w:pPr>
        <w:spacing w:after="0" w:line="11" w:lineRule="exact"/>
        <w:rPr>
          <w:sz w:val="20"/>
          <w:szCs w:val="20"/>
          <w:color w:val="auto"/>
        </w:rPr>
      </w:pPr>
    </w:p>
    <w:p>
      <w:pPr>
        <w:ind w:left="85"/>
        <w:spacing w:after="0"/>
        <w:rPr>
          <w:sz w:val="20"/>
          <w:szCs w:val="20"/>
          <w:color w:val="auto"/>
        </w:rPr>
      </w:pPr>
      <w:r>
        <w:rPr>
          <w:rFonts w:ascii="Arial" w:cs="Arial" w:eastAsia="Arial" w:hAnsi="Arial"/>
          <w:sz w:val="14"/>
          <w:szCs w:val="14"/>
          <w:color w:val="auto"/>
        </w:rPr>
        <w:t>Reconciliation of operating unit profit (segment OUP)</w:t>
      </w:r>
    </w:p>
    <w:p>
      <w:pPr>
        <w:spacing w:after="0" w:line="28" w:lineRule="exact"/>
        <w:rPr>
          <w:sz w:val="20"/>
          <w:szCs w:val="20"/>
          <w:color w:val="auto"/>
        </w:rPr>
      </w:pPr>
    </w:p>
    <w:p>
      <w:pPr>
        <w:ind w:left="245"/>
        <w:spacing w:after="0"/>
        <w:rPr>
          <w:sz w:val="20"/>
          <w:szCs w:val="20"/>
          <w:color w:val="auto"/>
        </w:rPr>
      </w:pPr>
      <w:r>
        <w:rPr>
          <w:rFonts w:ascii="Arial" w:cs="Arial" w:eastAsia="Arial" w:hAnsi="Arial"/>
          <w:sz w:val="14"/>
          <w:szCs w:val="14"/>
          <w:color w:val="auto"/>
        </w:rPr>
        <w:t>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9465" cy="1200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8" w:lineRule="exact"/>
        <w:rPr>
          <w:sz w:val="20"/>
          <w:szCs w:val="20"/>
          <w:color w:val="auto"/>
        </w:rPr>
      </w:pPr>
    </w:p>
    <w:p>
      <w:pPr>
        <w:ind w:left="245"/>
        <w:spacing w:after="0"/>
        <w:rPr>
          <w:sz w:val="20"/>
          <w:szCs w:val="20"/>
          <w:color w:val="auto"/>
        </w:rPr>
      </w:pPr>
      <w:r>
        <w:rPr>
          <w:rFonts w:ascii="Arial" w:cs="Arial" w:eastAsia="Arial" w:hAnsi="Arial"/>
          <w:sz w:val="14"/>
          <w:szCs w:val="14"/>
          <w:color w:val="auto"/>
        </w:rPr>
        <w:t>Goodwill impairment charges</w:t>
      </w:r>
    </w:p>
    <w:p>
      <w:pPr>
        <w:ind w:left="245"/>
        <w:spacing w:after="0" w:line="237" w:lineRule="auto"/>
        <w:rPr>
          <w:sz w:val="20"/>
          <w:szCs w:val="20"/>
          <w:color w:val="auto"/>
        </w:rPr>
      </w:pPr>
      <w:r>
        <w:rPr>
          <w:rFonts w:ascii="Arial" w:cs="Arial" w:eastAsia="Arial" w:hAnsi="Arial"/>
          <w:sz w:val="14"/>
          <w:szCs w:val="14"/>
          <w:color w:val="auto"/>
        </w:rPr>
        <w:t>Intangible asset amortization expense</w:t>
      </w:r>
      <w:r>
        <w:rPr>
          <w:rFonts w:ascii="Arial" w:cs="Arial" w:eastAsia="Arial" w:hAnsi="Arial"/>
          <w:sz w:val="19"/>
          <w:szCs w:val="19"/>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9465" cy="1200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ind w:left="405"/>
        <w:spacing w:after="0"/>
        <w:rPr>
          <w:sz w:val="20"/>
          <w:szCs w:val="20"/>
          <w:color w:val="auto"/>
        </w:rPr>
      </w:pPr>
      <w:r>
        <w:rPr>
          <w:rFonts w:ascii="Arial" w:cs="Arial" w:eastAsia="Arial" w:hAnsi="Arial"/>
          <w:sz w:val="14"/>
          <w:szCs w:val="14"/>
          <w:color w:val="auto"/>
        </w:rPr>
        <w:t>Operating profit</w:t>
      </w:r>
    </w:p>
    <w:p>
      <w:pPr>
        <w:spacing w:after="0" w:line="28" w:lineRule="exact"/>
        <w:rPr>
          <w:sz w:val="20"/>
          <w:szCs w:val="20"/>
          <w:color w:val="auto"/>
        </w:rPr>
      </w:pPr>
    </w:p>
    <w:p>
      <w:pPr>
        <w:ind w:left="245"/>
        <w:spacing w:after="0"/>
        <w:rPr>
          <w:sz w:val="20"/>
          <w:szCs w:val="20"/>
          <w:color w:val="auto"/>
        </w:rPr>
      </w:pPr>
      <w:r>
        <w:rPr>
          <w:rFonts w:ascii="Arial" w:cs="Arial" w:eastAsia="Arial" w:hAnsi="Arial"/>
          <w:sz w:val="14"/>
          <w:szCs w:val="14"/>
          <w:color w:val="auto"/>
        </w:rPr>
        <w:t>Interest and other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9465" cy="1276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spacing w:after="0" w:line="20" w:lineRule="exact"/>
        <w:rPr>
          <w:sz w:val="20"/>
          <w:szCs w:val="20"/>
          <w:color w:val="auto"/>
        </w:rPr>
      </w:pPr>
    </w:p>
    <w:p>
      <w:pPr>
        <w:ind w:left="245"/>
        <w:spacing w:after="0"/>
        <w:rPr>
          <w:sz w:val="20"/>
          <w:szCs w:val="20"/>
          <w:color w:val="auto"/>
        </w:rPr>
      </w:pPr>
      <w:r>
        <w:rPr>
          <w:rFonts w:ascii="Arial" w:cs="Arial" w:eastAsia="Arial" w:hAnsi="Arial"/>
          <w:sz w:val="14"/>
          <w:szCs w:val="14"/>
          <w:color w:val="auto"/>
        </w:rPr>
        <w:t>Earnings before income taxes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840" w:hanging="838"/>
        <w:spacing w:after="0"/>
        <w:tabs>
          <w:tab w:leader="none" w:pos="8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(153.7 )</w:t>
      </w:r>
    </w:p>
    <w:p>
      <w:pPr>
        <w:spacing w:after="0" w:line="39" w:lineRule="exact"/>
        <w:rPr>
          <w:rFonts w:ascii="Arial" w:cs="Arial" w:eastAsia="Arial" w:hAnsi="Arial"/>
          <w:sz w:val="13"/>
          <w:szCs w:val="13"/>
          <w:color w:val="auto"/>
        </w:rPr>
      </w:pPr>
    </w:p>
    <w:p>
      <w:pPr>
        <w:ind w:left="900"/>
        <w:spacing w:after="0"/>
        <w:rPr>
          <w:rFonts w:ascii="Arial" w:cs="Arial" w:eastAsia="Arial" w:hAnsi="Arial"/>
          <w:sz w:val="13"/>
          <w:szCs w:val="13"/>
          <w:color w:val="auto"/>
        </w:rPr>
      </w:pPr>
      <w:r>
        <w:rPr>
          <w:rFonts w:ascii="Arial" w:cs="Arial" w:eastAsia="Arial" w:hAnsi="Arial"/>
          <w:sz w:val="14"/>
          <w:szCs w:val="14"/>
          <w:color w:val="auto"/>
        </w:rPr>
        <w:t>(55.1 )</w:t>
      </w:r>
    </w:p>
    <w:p>
      <w:pPr>
        <w:spacing w:after="0" w:line="25" w:lineRule="exact"/>
        <w:rPr>
          <w:rFonts w:ascii="Arial" w:cs="Arial" w:eastAsia="Arial" w:hAnsi="Arial"/>
          <w:sz w:val="13"/>
          <w:szCs w:val="13"/>
          <w:color w:val="auto"/>
        </w:rPr>
      </w:pPr>
    </w:p>
    <w:p>
      <w:pPr>
        <w:ind w:left="900"/>
        <w:spacing w:after="0"/>
        <w:rPr>
          <w:rFonts w:ascii="Arial" w:cs="Arial" w:eastAsia="Arial" w:hAnsi="Arial"/>
          <w:sz w:val="13"/>
          <w:szCs w:val="13"/>
          <w:color w:val="auto"/>
        </w:rPr>
      </w:pPr>
      <w:r>
        <w:rPr>
          <w:rFonts w:ascii="Arial" w:cs="Arial" w:eastAsia="Arial" w:hAnsi="Arial"/>
          <w:sz w:val="14"/>
          <w:szCs w:val="14"/>
          <w:color w:val="auto"/>
        </w:rPr>
        <w:t>(34.6 )</w:t>
      </w:r>
    </w:p>
    <w:p>
      <w:pPr>
        <w:spacing w:after="0" w:line="31"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4"/>
          <w:szCs w:val="14"/>
          <w:color w:val="auto"/>
        </w:rPr>
        <w:t>255.8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87884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878840" cy="7620"/>
                    </a:xfrm>
                    <a:prstGeom prst="rect">
                      <a:avLst/>
                    </a:prstGeom>
                    <a:noFill/>
                  </pic:spPr>
                </pic:pic>
              </a:graphicData>
            </a:graphic>
          </wp:anchor>
        </w:drawing>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(49.9 )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87884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878840" cy="7620"/>
                    </a:xfrm>
                    <a:prstGeom prst="rect">
                      <a:avLst/>
                    </a:prstGeom>
                    <a:noFill/>
                  </pic:spPr>
                </pic:pic>
              </a:graphicData>
            </a:graphic>
          </wp:anchor>
        </w:drawing>
      </w:r>
    </w:p>
    <w:p>
      <w:pPr>
        <w:ind w:left="880" w:hanging="878"/>
        <w:spacing w:after="0"/>
        <w:tabs>
          <w:tab w:leader="none" w:pos="8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205.9</w:t>
      </w:r>
    </w:p>
    <w:p>
      <w:pPr>
        <w:spacing w:after="0" w:line="46" w:lineRule="exact"/>
        <w:rPr>
          <w:sz w:val="20"/>
          <w:szCs w:val="20"/>
          <w:color w:val="auto"/>
        </w:rPr>
      </w:pPr>
    </w:p>
    <w:p>
      <w:pPr>
        <w:sectPr>
          <w:pgSz w:w="11900" w:h="16838" w:orient="portrait"/>
          <w:cols w:equalWidth="0" w:num="2">
            <w:col w:w="9165" w:space="720"/>
            <w:col w:w="1380"/>
          </w:cols>
          <w:pgMar w:left="315" w:top="707" w:right="319" w:bottom="1440" w:gutter="0" w:footer="0" w:header="0"/>
          <w:type w:val="continuous"/>
        </w:sectPr>
      </w:pPr>
    </w:p>
    <w:p>
      <w:pPr>
        <w:ind w:left="325" w:right="20" w:hanging="325"/>
        <w:spacing w:after="0" w:line="198" w:lineRule="auto"/>
        <w:tabs>
          <w:tab w:leader="none" w:pos="325" w:val="left"/>
        </w:tabs>
        <w:numPr>
          <w:ilvl w:val="0"/>
          <w:numId w:val="61"/>
        </w:numPr>
        <w:rPr>
          <w:rFonts w:ascii="Arial" w:cs="Arial" w:eastAsia="Arial" w:hAnsi="Arial"/>
          <w:sz w:val="17"/>
          <w:szCs w:val="17"/>
          <w:color w:val="231F20"/>
          <w:vertAlign w:val="superscript"/>
        </w:rPr>
      </w:pPr>
      <w:r>
        <w:rPr>
          <w:rFonts w:ascii="Arial" w:cs="Arial" w:eastAsia="Arial" w:hAnsi="Arial"/>
          <w:sz w:val="13"/>
          <w:szCs w:val="13"/>
          <w:color w:val="231F20"/>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ind w:left="325" w:hanging="325"/>
        <w:spacing w:after="0" w:line="185" w:lineRule="auto"/>
        <w:tabs>
          <w:tab w:leader="none" w:pos="325" w:val="left"/>
        </w:tabs>
        <w:numPr>
          <w:ilvl w:val="0"/>
          <w:numId w:val="61"/>
        </w:numPr>
        <w:rPr>
          <w:rFonts w:ascii="Arial" w:cs="Arial" w:eastAsia="Arial" w:hAnsi="Arial"/>
          <w:sz w:val="16"/>
          <w:szCs w:val="16"/>
          <w:color w:val="231F20"/>
          <w:vertAlign w:val="superscript"/>
        </w:rPr>
      </w:pPr>
      <w:r>
        <w:rPr>
          <w:rFonts w:ascii="Arial" w:cs="Arial" w:eastAsia="Arial" w:hAnsi="Arial"/>
          <w:sz w:val="12"/>
          <w:szCs w:val="12"/>
          <w:color w:val="231F20"/>
        </w:rPr>
        <w:t>The United States revenues above represent revenues from our company-owned branches and franchise fees received from our franchise operations, which were $11.9 for 2023.</w:t>
      </w:r>
    </w:p>
    <w:p>
      <w:pPr>
        <w:ind w:left="325" w:hanging="325"/>
        <w:spacing w:after="0" w:line="191" w:lineRule="auto"/>
        <w:tabs>
          <w:tab w:leader="none" w:pos="325" w:val="left"/>
        </w:tabs>
        <w:numPr>
          <w:ilvl w:val="0"/>
          <w:numId w:val="61"/>
        </w:numPr>
        <w:rPr>
          <w:rFonts w:ascii="Arial" w:cs="Arial" w:eastAsia="Arial" w:hAnsi="Arial"/>
          <w:sz w:val="15"/>
          <w:szCs w:val="15"/>
          <w:color w:val="231F20"/>
          <w:vertAlign w:val="superscript"/>
        </w:rPr>
      </w:pPr>
      <w:r>
        <w:rPr>
          <w:rFonts w:ascii="Arial" w:cs="Arial" w:eastAsia="Arial" w:hAnsi="Arial"/>
          <w:sz w:val="11"/>
          <w:szCs w:val="11"/>
          <w:color w:val="231F20"/>
        </w:rPr>
        <w:t>Intangible asset amortization related to acquisitions is excluded from operating costs within the reportable segments and corporate expenses, and shown separately.</w:t>
      </w:r>
    </w:p>
    <w:tbl>
      <w:tblPr>
        <w:tblLayout w:type="fixed"/>
        <w:tblInd w:w="5" w:type="dxa"/>
        <w:tblCellMar>
          <w:top w:w="0" w:type="dxa"/>
          <w:left w:w="0" w:type="dxa"/>
          <w:bottom w:w="0" w:type="dxa"/>
          <w:right w:w="0" w:type="dxa"/>
        </w:tblCellMar>
      </w:tblPr>
      <w:tr>
        <w:trPr>
          <w:trHeight w:val="126"/>
        </w:trPr>
        <w:tc>
          <w:tcPr>
            <w:tcW w:w="7000" w:type="dxa"/>
            <w:vAlign w:val="bottom"/>
            <w:tcBorders>
              <w:top w:val="single" w:sz="8" w:color="231F20"/>
            </w:tcBorders>
            <w:shd w:val="clear" w:color="auto" w:fill="98B0CF"/>
          </w:tcPr>
          <w:p>
            <w:pPr>
              <w:spacing w:after="0"/>
              <w:rPr>
                <w:sz w:val="10"/>
                <w:szCs w:val="10"/>
                <w:color w:val="auto"/>
              </w:rPr>
            </w:pPr>
          </w:p>
        </w:tc>
        <w:tc>
          <w:tcPr>
            <w:tcW w:w="160" w:type="dxa"/>
            <w:vAlign w:val="bottom"/>
            <w:tcBorders>
              <w:top w:val="single" w:sz="8" w:color="231F20"/>
            </w:tcBorders>
            <w:shd w:val="clear" w:color="auto" w:fill="98B0CF"/>
          </w:tcPr>
          <w:p>
            <w:pPr>
              <w:spacing w:after="0"/>
              <w:rPr>
                <w:sz w:val="10"/>
                <w:szCs w:val="10"/>
                <w:color w:val="auto"/>
              </w:rPr>
            </w:pPr>
          </w:p>
        </w:tc>
        <w:tc>
          <w:tcPr>
            <w:tcW w:w="140" w:type="dxa"/>
            <w:vAlign w:val="bottom"/>
            <w:tcBorders>
              <w:top w:val="single" w:sz="8" w:color="231F20"/>
            </w:tcBorders>
            <w:shd w:val="clear" w:color="auto" w:fill="98B0CF"/>
          </w:tcPr>
          <w:p>
            <w:pPr>
              <w:spacing w:after="0"/>
              <w:rPr>
                <w:sz w:val="10"/>
                <w:szCs w:val="10"/>
                <w:color w:val="auto"/>
              </w:rPr>
            </w:pPr>
          </w:p>
        </w:tc>
        <w:tc>
          <w:tcPr>
            <w:tcW w:w="1160" w:type="dxa"/>
            <w:vAlign w:val="bottom"/>
            <w:tcBorders>
              <w:top w:val="single" w:sz="8" w:color="231F20"/>
            </w:tcBorders>
            <w:shd w:val="clear" w:color="auto" w:fill="98B0CF"/>
          </w:tcPr>
          <w:p>
            <w:pPr>
              <w:spacing w:after="0"/>
              <w:rPr>
                <w:sz w:val="10"/>
                <w:szCs w:val="10"/>
                <w:color w:val="auto"/>
              </w:rPr>
            </w:pPr>
          </w:p>
        </w:tc>
        <w:tc>
          <w:tcPr>
            <w:tcW w:w="140" w:type="dxa"/>
            <w:vAlign w:val="bottom"/>
            <w:tcBorders>
              <w:top w:val="single" w:sz="8" w:color="231F20"/>
            </w:tcBorders>
            <w:shd w:val="clear" w:color="auto" w:fill="98B0CF"/>
          </w:tcPr>
          <w:p>
            <w:pPr>
              <w:spacing w:after="0"/>
              <w:rPr>
                <w:sz w:val="10"/>
                <w:szCs w:val="10"/>
                <w:color w:val="auto"/>
              </w:rPr>
            </w:pPr>
          </w:p>
        </w:tc>
        <w:tc>
          <w:tcPr>
            <w:tcW w:w="160" w:type="dxa"/>
            <w:vAlign w:val="bottom"/>
            <w:tcBorders>
              <w:top w:val="single" w:sz="8" w:color="231F20"/>
            </w:tcBorders>
            <w:shd w:val="clear" w:color="auto" w:fill="98B0CF"/>
          </w:tcPr>
          <w:p>
            <w:pPr>
              <w:spacing w:after="0"/>
              <w:rPr>
                <w:sz w:val="10"/>
                <w:szCs w:val="10"/>
                <w:color w:val="auto"/>
              </w:rPr>
            </w:pPr>
          </w:p>
        </w:tc>
        <w:tc>
          <w:tcPr>
            <w:tcW w:w="1100" w:type="dxa"/>
            <w:vAlign w:val="bottom"/>
            <w:tcBorders>
              <w:top w:val="single" w:sz="8" w:color="231F20"/>
            </w:tcBorders>
            <w:shd w:val="clear" w:color="auto" w:fill="98B0CF"/>
          </w:tcPr>
          <w:p>
            <w:pPr>
              <w:spacing w:after="0"/>
              <w:rPr>
                <w:sz w:val="10"/>
                <w:szCs w:val="10"/>
                <w:color w:val="auto"/>
              </w:rPr>
            </w:pPr>
          </w:p>
        </w:tc>
        <w:tc>
          <w:tcPr>
            <w:tcW w:w="140" w:type="dxa"/>
            <w:vAlign w:val="bottom"/>
            <w:tcBorders>
              <w:top w:val="single" w:sz="8" w:color="231F20"/>
            </w:tcBorders>
            <w:shd w:val="clear" w:color="auto" w:fill="98B0CF"/>
          </w:tcPr>
          <w:p>
            <w:pPr>
              <w:spacing w:after="0"/>
              <w:rPr>
                <w:sz w:val="10"/>
                <w:szCs w:val="10"/>
                <w:color w:val="auto"/>
              </w:rPr>
            </w:pPr>
          </w:p>
        </w:tc>
        <w:tc>
          <w:tcPr>
            <w:tcW w:w="1260" w:type="dxa"/>
            <w:vAlign w:val="bottom"/>
            <w:tcBorders>
              <w:top w:val="single" w:sz="8" w:color="231F20"/>
            </w:tcBorders>
            <w:gridSpan w:val="2"/>
            <w:shd w:val="clear" w:color="auto" w:fill="98B0CF"/>
          </w:tcPr>
          <w:p>
            <w:pPr>
              <w:jc w:val="center"/>
              <w:ind w:right="50"/>
              <w:spacing w:after="0" w:line="126" w:lineRule="exact"/>
              <w:rPr>
                <w:sz w:val="20"/>
                <w:szCs w:val="20"/>
                <w:color w:val="auto"/>
              </w:rPr>
            </w:pPr>
            <w:r>
              <w:rPr>
                <w:rFonts w:ascii="Arial" w:cs="Arial" w:eastAsia="Arial" w:hAnsi="Arial"/>
                <w:sz w:val="13"/>
                <w:szCs w:val="13"/>
                <w:b w:val="1"/>
                <w:bCs w:val="1"/>
                <w:color w:val="231F20"/>
                <w:w w:val="96"/>
              </w:rPr>
              <w:t>Depreciation and</w:t>
            </w:r>
          </w:p>
        </w:tc>
      </w:tr>
      <w:tr>
        <w:trPr>
          <w:trHeight w:val="126"/>
        </w:trPr>
        <w:tc>
          <w:tcPr>
            <w:tcW w:w="7000" w:type="dxa"/>
            <w:vAlign w:val="bottom"/>
            <w:shd w:val="clear" w:color="auto" w:fill="98B0CF"/>
          </w:tcPr>
          <w:p>
            <w:pPr>
              <w:spacing w:after="0"/>
              <w:rPr>
                <w:sz w:val="10"/>
                <w:szCs w:val="10"/>
                <w:color w:val="auto"/>
              </w:rPr>
            </w:pPr>
          </w:p>
        </w:tc>
        <w:tc>
          <w:tcPr>
            <w:tcW w:w="160" w:type="dxa"/>
            <w:vAlign w:val="bottom"/>
            <w:shd w:val="clear" w:color="auto" w:fill="98B0CF"/>
          </w:tcPr>
          <w:p>
            <w:pPr>
              <w:spacing w:after="0"/>
              <w:rPr>
                <w:sz w:val="10"/>
                <w:szCs w:val="10"/>
                <w:color w:val="auto"/>
              </w:rPr>
            </w:pPr>
          </w:p>
        </w:tc>
        <w:tc>
          <w:tcPr>
            <w:tcW w:w="140" w:type="dxa"/>
            <w:vAlign w:val="bottom"/>
            <w:shd w:val="clear" w:color="auto" w:fill="98B0CF"/>
          </w:tcPr>
          <w:p>
            <w:pPr>
              <w:spacing w:after="0"/>
              <w:rPr>
                <w:sz w:val="10"/>
                <w:szCs w:val="10"/>
                <w:color w:val="auto"/>
              </w:rPr>
            </w:pPr>
          </w:p>
        </w:tc>
        <w:tc>
          <w:tcPr>
            <w:tcW w:w="1160" w:type="dxa"/>
            <w:vAlign w:val="bottom"/>
            <w:shd w:val="clear" w:color="auto" w:fill="98B0CF"/>
          </w:tcPr>
          <w:p>
            <w:pPr>
              <w:spacing w:after="0"/>
              <w:rPr>
                <w:sz w:val="10"/>
                <w:szCs w:val="10"/>
                <w:color w:val="auto"/>
              </w:rPr>
            </w:pPr>
          </w:p>
        </w:tc>
        <w:tc>
          <w:tcPr>
            <w:tcW w:w="140" w:type="dxa"/>
            <w:vAlign w:val="bottom"/>
            <w:shd w:val="clear" w:color="auto" w:fill="98B0CF"/>
          </w:tcPr>
          <w:p>
            <w:pPr>
              <w:spacing w:after="0"/>
              <w:rPr>
                <w:sz w:val="10"/>
                <w:szCs w:val="10"/>
                <w:color w:val="auto"/>
              </w:rPr>
            </w:pPr>
          </w:p>
        </w:tc>
        <w:tc>
          <w:tcPr>
            <w:tcW w:w="160" w:type="dxa"/>
            <w:vAlign w:val="bottom"/>
            <w:shd w:val="clear" w:color="auto" w:fill="98B0CF"/>
          </w:tcPr>
          <w:p>
            <w:pPr>
              <w:spacing w:after="0"/>
              <w:rPr>
                <w:sz w:val="10"/>
                <w:szCs w:val="10"/>
                <w:color w:val="auto"/>
              </w:rPr>
            </w:pPr>
          </w:p>
        </w:tc>
        <w:tc>
          <w:tcPr>
            <w:tcW w:w="1100" w:type="dxa"/>
            <w:vAlign w:val="bottom"/>
            <w:shd w:val="clear" w:color="auto" w:fill="98B0CF"/>
          </w:tcPr>
          <w:p>
            <w:pPr>
              <w:jc w:val="right"/>
              <w:ind w:right="310"/>
              <w:spacing w:after="0" w:line="126" w:lineRule="exact"/>
              <w:rPr>
                <w:sz w:val="20"/>
                <w:szCs w:val="20"/>
                <w:color w:val="auto"/>
              </w:rPr>
            </w:pPr>
            <w:r>
              <w:rPr>
                <w:rFonts w:ascii="Arial" w:cs="Arial" w:eastAsia="Arial" w:hAnsi="Arial"/>
                <w:sz w:val="13"/>
                <w:szCs w:val="13"/>
                <w:b w:val="1"/>
                <w:bCs w:val="1"/>
                <w:color w:val="231F20"/>
              </w:rPr>
              <w:t>Long-lived</w:t>
            </w:r>
          </w:p>
        </w:tc>
        <w:tc>
          <w:tcPr>
            <w:tcW w:w="140" w:type="dxa"/>
            <w:vAlign w:val="bottom"/>
            <w:shd w:val="clear" w:color="auto" w:fill="98B0CF"/>
          </w:tcPr>
          <w:p>
            <w:pPr>
              <w:spacing w:after="0"/>
              <w:rPr>
                <w:sz w:val="10"/>
                <w:szCs w:val="10"/>
                <w:color w:val="auto"/>
              </w:rPr>
            </w:pPr>
          </w:p>
        </w:tc>
        <w:tc>
          <w:tcPr>
            <w:tcW w:w="120" w:type="dxa"/>
            <w:vAlign w:val="bottom"/>
            <w:shd w:val="clear" w:color="auto" w:fill="98B0CF"/>
          </w:tcPr>
          <w:p>
            <w:pPr>
              <w:spacing w:after="0"/>
              <w:rPr>
                <w:sz w:val="10"/>
                <w:szCs w:val="10"/>
                <w:color w:val="auto"/>
              </w:rPr>
            </w:pPr>
          </w:p>
        </w:tc>
        <w:tc>
          <w:tcPr>
            <w:tcW w:w="1140" w:type="dxa"/>
            <w:vAlign w:val="bottom"/>
            <w:shd w:val="clear" w:color="auto" w:fill="98B0CF"/>
          </w:tcPr>
          <w:p>
            <w:pPr>
              <w:jc w:val="center"/>
              <w:ind w:right="210"/>
              <w:spacing w:after="0" w:line="126" w:lineRule="exact"/>
              <w:rPr>
                <w:sz w:val="20"/>
                <w:szCs w:val="20"/>
                <w:color w:val="auto"/>
              </w:rPr>
            </w:pPr>
            <w:r>
              <w:rPr>
                <w:rFonts w:ascii="Arial" w:cs="Arial" w:eastAsia="Arial" w:hAnsi="Arial"/>
                <w:sz w:val="13"/>
                <w:szCs w:val="13"/>
                <w:b w:val="1"/>
                <w:bCs w:val="1"/>
                <w:color w:val="231F20"/>
                <w:w w:val="98"/>
              </w:rPr>
              <w:t>Amortization</w:t>
            </w:r>
          </w:p>
        </w:tc>
      </w:tr>
      <w:tr>
        <w:trPr>
          <w:trHeight w:val="171"/>
        </w:trPr>
        <w:tc>
          <w:tcPr>
            <w:tcW w:w="7000" w:type="dxa"/>
            <w:vAlign w:val="bottom"/>
            <w:tcBorders>
              <w:bottom w:val="single" w:sz="8" w:color="231F20"/>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Year Ended December 31, 2023</w:t>
            </w:r>
          </w:p>
        </w:tc>
        <w:tc>
          <w:tcPr>
            <w:tcW w:w="160" w:type="dxa"/>
            <w:vAlign w:val="bottom"/>
            <w:tcBorders>
              <w:bottom w:val="single" w:sz="8" w:color="231F20"/>
            </w:tcBorders>
            <w:shd w:val="clear" w:color="auto" w:fill="98B0CF"/>
          </w:tcPr>
          <w:p>
            <w:pPr>
              <w:spacing w:after="0"/>
              <w:rPr>
                <w:sz w:val="14"/>
                <w:szCs w:val="14"/>
                <w:color w:val="auto"/>
              </w:rPr>
            </w:pPr>
          </w:p>
        </w:tc>
        <w:tc>
          <w:tcPr>
            <w:tcW w:w="140" w:type="dxa"/>
            <w:vAlign w:val="bottom"/>
            <w:tcBorders>
              <w:bottom w:val="single" w:sz="8" w:color="231F20"/>
            </w:tcBorders>
            <w:shd w:val="clear" w:color="auto" w:fill="98B0CF"/>
          </w:tcPr>
          <w:p>
            <w:pPr>
              <w:spacing w:after="0"/>
              <w:rPr>
                <w:sz w:val="14"/>
                <w:szCs w:val="14"/>
                <w:color w:val="auto"/>
              </w:rPr>
            </w:pPr>
          </w:p>
        </w:tc>
        <w:tc>
          <w:tcPr>
            <w:tcW w:w="1160" w:type="dxa"/>
            <w:vAlign w:val="bottom"/>
            <w:tcBorders>
              <w:bottom w:val="single" w:sz="8" w:color="231F20"/>
            </w:tcBorders>
            <w:shd w:val="clear" w:color="auto" w:fill="98B0CF"/>
          </w:tcPr>
          <w:p>
            <w:pPr>
              <w:jc w:val="right"/>
              <w:ind w:right="270"/>
              <w:spacing w:after="0"/>
              <w:rPr>
                <w:sz w:val="20"/>
                <w:szCs w:val="20"/>
                <w:color w:val="auto"/>
              </w:rPr>
            </w:pPr>
            <w:r>
              <w:rPr>
                <w:rFonts w:ascii="Arial" w:cs="Arial" w:eastAsia="Arial" w:hAnsi="Arial"/>
                <w:sz w:val="13"/>
                <w:szCs w:val="13"/>
                <w:b w:val="1"/>
                <w:bCs w:val="1"/>
                <w:color w:val="231F20"/>
              </w:rPr>
              <w:t>Total Assets</w:t>
            </w:r>
          </w:p>
        </w:tc>
        <w:tc>
          <w:tcPr>
            <w:tcW w:w="140" w:type="dxa"/>
            <w:vAlign w:val="bottom"/>
            <w:tcBorders>
              <w:bottom w:val="single" w:sz="8" w:color="231F20"/>
            </w:tcBorders>
            <w:shd w:val="clear" w:color="auto" w:fill="98B0CF"/>
          </w:tcPr>
          <w:p>
            <w:pPr>
              <w:spacing w:after="0"/>
              <w:rPr>
                <w:sz w:val="14"/>
                <w:szCs w:val="14"/>
                <w:color w:val="auto"/>
              </w:rPr>
            </w:pPr>
          </w:p>
        </w:tc>
        <w:tc>
          <w:tcPr>
            <w:tcW w:w="160" w:type="dxa"/>
            <w:vAlign w:val="bottom"/>
            <w:tcBorders>
              <w:bottom w:val="single" w:sz="8" w:color="231F20"/>
            </w:tcBorders>
            <w:shd w:val="clear" w:color="auto" w:fill="98B0CF"/>
          </w:tcPr>
          <w:p>
            <w:pPr>
              <w:spacing w:after="0"/>
              <w:rPr>
                <w:sz w:val="14"/>
                <w:szCs w:val="14"/>
                <w:color w:val="auto"/>
              </w:rPr>
            </w:pPr>
          </w:p>
        </w:tc>
        <w:tc>
          <w:tcPr>
            <w:tcW w:w="1100" w:type="dxa"/>
            <w:vAlign w:val="bottom"/>
            <w:tcBorders>
              <w:bottom w:val="single" w:sz="8" w:color="231F20"/>
            </w:tcBorders>
            <w:shd w:val="clear" w:color="auto" w:fill="98B0CF"/>
          </w:tcPr>
          <w:p>
            <w:pPr>
              <w:jc w:val="right"/>
              <w:ind w:right="350"/>
              <w:spacing w:after="0" w:line="165" w:lineRule="exact"/>
              <w:rPr>
                <w:sz w:val="20"/>
                <w:szCs w:val="20"/>
                <w:color w:val="auto"/>
              </w:rPr>
            </w:pPr>
            <w:r>
              <w:rPr>
                <w:rFonts w:ascii="Arial" w:cs="Arial" w:eastAsia="Arial" w:hAnsi="Arial"/>
                <w:sz w:val="13"/>
                <w:szCs w:val="13"/>
                <w:b w:val="1"/>
                <w:bCs w:val="1"/>
                <w:color w:val="231F20"/>
              </w:rPr>
              <w:t>Assets</w:t>
            </w:r>
            <w:r>
              <w:rPr>
                <w:rFonts w:ascii="Arial" w:cs="Arial" w:eastAsia="Arial" w:hAnsi="Arial"/>
                <w:sz w:val="16"/>
                <w:szCs w:val="16"/>
                <w:b w:val="1"/>
                <w:bCs w:val="1"/>
                <w:color w:val="231F20"/>
                <w:vertAlign w:val="superscript"/>
              </w:rPr>
              <w:t>(a)</w:t>
            </w:r>
          </w:p>
        </w:tc>
        <w:tc>
          <w:tcPr>
            <w:tcW w:w="140" w:type="dxa"/>
            <w:vAlign w:val="bottom"/>
            <w:tcBorders>
              <w:bottom w:val="single" w:sz="8" w:color="231F20"/>
            </w:tcBorders>
            <w:shd w:val="clear" w:color="auto" w:fill="98B0CF"/>
          </w:tcPr>
          <w:p>
            <w:pPr>
              <w:spacing w:after="0"/>
              <w:rPr>
                <w:sz w:val="14"/>
                <w:szCs w:val="14"/>
                <w:color w:val="auto"/>
              </w:rPr>
            </w:pPr>
          </w:p>
        </w:tc>
        <w:tc>
          <w:tcPr>
            <w:tcW w:w="120" w:type="dxa"/>
            <w:vAlign w:val="bottom"/>
            <w:tcBorders>
              <w:bottom w:val="single" w:sz="8" w:color="231F20"/>
            </w:tcBorders>
            <w:shd w:val="clear" w:color="auto" w:fill="98B0CF"/>
          </w:tcPr>
          <w:p>
            <w:pPr>
              <w:spacing w:after="0"/>
              <w:rPr>
                <w:sz w:val="14"/>
                <w:szCs w:val="14"/>
                <w:color w:val="auto"/>
              </w:rPr>
            </w:pPr>
          </w:p>
        </w:tc>
        <w:tc>
          <w:tcPr>
            <w:tcW w:w="1140" w:type="dxa"/>
            <w:vAlign w:val="bottom"/>
            <w:tcBorders>
              <w:bottom w:val="single" w:sz="8" w:color="231F20"/>
            </w:tcBorders>
            <w:shd w:val="clear" w:color="auto" w:fill="98B0CF"/>
          </w:tcPr>
          <w:p>
            <w:pPr>
              <w:jc w:val="center"/>
              <w:ind w:right="190"/>
              <w:spacing w:after="0"/>
              <w:rPr>
                <w:sz w:val="20"/>
                <w:szCs w:val="20"/>
                <w:color w:val="auto"/>
              </w:rPr>
            </w:pPr>
            <w:r>
              <w:rPr>
                <w:rFonts w:ascii="Arial" w:cs="Arial" w:eastAsia="Arial" w:hAnsi="Arial"/>
                <w:sz w:val="13"/>
                <w:szCs w:val="13"/>
                <w:b w:val="1"/>
                <w:bCs w:val="1"/>
                <w:color w:val="231F20"/>
                <w:w w:val="97"/>
              </w:rPr>
              <w:t>Expense</w:t>
            </w:r>
          </w:p>
        </w:tc>
      </w:tr>
      <w:tr>
        <w:trPr>
          <w:trHeight w:val="163"/>
        </w:trPr>
        <w:tc>
          <w:tcPr>
            <w:tcW w:w="7000" w:type="dxa"/>
            <w:vAlign w:val="bottom"/>
            <w:shd w:val="clear" w:color="auto" w:fill="E2E8F1"/>
          </w:tcPr>
          <w:p>
            <w:pPr>
              <w:ind w:left="80"/>
              <w:spacing w:after="0" w:line="163" w:lineRule="exact"/>
              <w:rPr>
                <w:sz w:val="20"/>
                <w:szCs w:val="20"/>
                <w:color w:val="auto"/>
              </w:rPr>
            </w:pPr>
            <w:r>
              <w:rPr>
                <w:rFonts w:ascii="Arial" w:cs="Arial" w:eastAsia="Arial" w:hAnsi="Arial"/>
                <w:sz w:val="13"/>
                <w:szCs w:val="13"/>
                <w:color w:val="231F20"/>
              </w:rPr>
              <w:t>Americas:</w:t>
            </w:r>
            <w:r>
              <w:rPr>
                <w:rFonts w:ascii="Arial" w:cs="Arial" w:eastAsia="Arial" w:hAnsi="Arial"/>
                <w:sz w:val="18"/>
                <w:szCs w:val="18"/>
                <w:color w:val="231F20"/>
                <w:vertAlign w:val="superscript"/>
              </w:rPr>
              <w:t>(b)</w:t>
            </w:r>
          </w:p>
        </w:tc>
        <w:tc>
          <w:tcPr>
            <w:tcW w:w="1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1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1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140" w:type="dxa"/>
            <w:vAlign w:val="bottom"/>
            <w:shd w:val="clear" w:color="auto" w:fill="E2E8F1"/>
          </w:tcPr>
          <w:p>
            <w:pPr>
              <w:spacing w:after="0"/>
              <w:rPr>
                <w:sz w:val="14"/>
                <w:szCs w:val="14"/>
                <w:color w:val="auto"/>
              </w:rPr>
            </w:pPr>
          </w:p>
        </w:tc>
      </w:tr>
      <w:tr>
        <w:trPr>
          <w:trHeight w:val="166"/>
        </w:trPr>
        <w:tc>
          <w:tcPr>
            <w:tcW w:w="7000" w:type="dxa"/>
            <w:vAlign w:val="bottom"/>
          </w:tcPr>
          <w:p>
            <w:pPr>
              <w:ind w:left="240"/>
              <w:spacing w:after="0"/>
              <w:rPr>
                <w:sz w:val="20"/>
                <w:szCs w:val="20"/>
                <w:color w:val="auto"/>
              </w:rPr>
            </w:pPr>
            <w:r>
              <w:rPr>
                <w:rFonts w:ascii="Arial" w:cs="Arial" w:eastAsia="Arial" w:hAnsi="Arial"/>
                <w:sz w:val="14"/>
                <w:szCs w:val="14"/>
                <w:color w:val="231F20"/>
              </w:rPr>
              <w:t>United States</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231F20"/>
              </w:rPr>
              <w:t>$</w:t>
            </w:r>
          </w:p>
        </w:tc>
        <w:tc>
          <w:tcPr>
            <w:tcW w:w="1160" w:type="dxa"/>
            <w:vAlign w:val="bottom"/>
          </w:tcPr>
          <w:p>
            <w:pPr>
              <w:jc w:val="right"/>
              <w:ind w:right="70"/>
              <w:spacing w:after="0"/>
              <w:rPr>
                <w:sz w:val="20"/>
                <w:szCs w:val="20"/>
                <w:color w:val="auto"/>
              </w:rPr>
            </w:pPr>
            <w:r>
              <w:rPr>
                <w:rFonts w:ascii="Arial" w:cs="Arial" w:eastAsia="Arial" w:hAnsi="Arial"/>
                <w:sz w:val="14"/>
                <w:szCs w:val="14"/>
                <w:color w:val="231F20"/>
              </w:rPr>
              <w:t>3,050.4</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1100" w:type="dxa"/>
            <w:vAlign w:val="bottom"/>
          </w:tcPr>
          <w:p>
            <w:pPr>
              <w:jc w:val="right"/>
              <w:ind w:right="70"/>
              <w:spacing w:after="0"/>
              <w:rPr>
                <w:sz w:val="20"/>
                <w:szCs w:val="20"/>
                <w:color w:val="auto"/>
              </w:rPr>
            </w:pPr>
            <w:r>
              <w:rPr>
                <w:rFonts w:ascii="Arial" w:cs="Arial" w:eastAsia="Arial" w:hAnsi="Arial"/>
                <w:sz w:val="14"/>
                <w:szCs w:val="14"/>
                <w:color w:val="231F20"/>
              </w:rPr>
              <w:t>87.9</w:t>
            </w:r>
          </w:p>
        </w:tc>
        <w:tc>
          <w:tcPr>
            <w:tcW w:w="260" w:type="dxa"/>
            <w:vAlign w:val="bottom"/>
            <w:gridSpan w:val="2"/>
          </w:tcPr>
          <w:p>
            <w:pPr>
              <w:jc w:val="right"/>
              <w:spacing w:after="0"/>
              <w:rPr>
                <w:sz w:val="20"/>
                <w:szCs w:val="20"/>
                <w:color w:val="auto"/>
              </w:rPr>
            </w:pPr>
            <w:r>
              <w:rPr>
                <w:rFonts w:ascii="Arial" w:cs="Arial" w:eastAsia="Arial" w:hAnsi="Arial"/>
                <w:sz w:val="14"/>
                <w:szCs w:val="14"/>
                <w:color w:val="231F20"/>
              </w:rPr>
              <w:t>$</w:t>
            </w:r>
          </w:p>
        </w:tc>
        <w:tc>
          <w:tcPr>
            <w:tcW w:w="1140" w:type="dxa"/>
            <w:vAlign w:val="bottom"/>
          </w:tcPr>
          <w:p>
            <w:pPr>
              <w:jc w:val="right"/>
              <w:ind w:right="70"/>
              <w:spacing w:after="0"/>
              <w:rPr>
                <w:sz w:val="20"/>
                <w:szCs w:val="20"/>
                <w:color w:val="auto"/>
              </w:rPr>
            </w:pPr>
            <w:r>
              <w:rPr>
                <w:rFonts w:ascii="Arial" w:cs="Arial" w:eastAsia="Arial" w:hAnsi="Arial"/>
                <w:sz w:val="14"/>
                <w:szCs w:val="14"/>
                <w:color w:val="231F20"/>
              </w:rPr>
              <w:t>9.5</w:t>
            </w:r>
          </w:p>
        </w:tc>
      </w:tr>
      <w:tr>
        <w:trPr>
          <w:trHeight w:val="166"/>
        </w:trPr>
        <w:tc>
          <w:tcPr>
            <w:tcW w:w="7000" w:type="dxa"/>
            <w:vAlign w:val="bottom"/>
            <w:tcBorders>
              <w:bottom w:val="single" w:sz="8" w:color="E2E8F1"/>
            </w:tcBorders>
            <w:shd w:val="clear" w:color="auto" w:fill="E2E8F1"/>
          </w:tcPr>
          <w:p>
            <w:pPr>
              <w:ind w:left="240"/>
              <w:spacing w:after="0"/>
              <w:rPr>
                <w:sz w:val="20"/>
                <w:szCs w:val="20"/>
                <w:color w:val="auto"/>
              </w:rPr>
            </w:pPr>
            <w:r>
              <w:rPr>
                <w:rFonts w:ascii="Arial" w:cs="Arial" w:eastAsia="Arial" w:hAnsi="Arial"/>
                <w:sz w:val="14"/>
                <w:szCs w:val="14"/>
                <w:color w:val="231F20"/>
              </w:rPr>
              <w:t>Other Americas</w:t>
            </w:r>
          </w:p>
        </w:tc>
        <w:tc>
          <w:tcPr>
            <w:tcW w:w="16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231F20"/>
            </w:tcBorders>
            <w:shd w:val="clear" w:color="auto" w:fill="E2E8F1"/>
          </w:tcPr>
          <w:p>
            <w:pPr>
              <w:spacing w:after="0"/>
              <w:rPr>
                <w:sz w:val="14"/>
                <w:szCs w:val="14"/>
                <w:color w:val="auto"/>
              </w:rPr>
            </w:pPr>
          </w:p>
        </w:tc>
        <w:tc>
          <w:tcPr>
            <w:tcW w:w="116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231F20"/>
              </w:rPr>
              <w:t>437.8</w:t>
            </w:r>
          </w:p>
        </w:tc>
        <w:tc>
          <w:tcPr>
            <w:tcW w:w="14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231F20"/>
            </w:tcBorders>
            <w:shd w:val="clear" w:color="auto" w:fill="E2E8F1"/>
          </w:tcPr>
          <w:p>
            <w:pPr>
              <w:spacing w:after="0"/>
              <w:rPr>
                <w:sz w:val="14"/>
                <w:szCs w:val="14"/>
                <w:color w:val="auto"/>
              </w:rPr>
            </w:pPr>
          </w:p>
        </w:tc>
        <w:tc>
          <w:tcPr>
            <w:tcW w:w="110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231F20"/>
              </w:rPr>
              <w:t>16.5</w:t>
            </w:r>
          </w:p>
        </w:tc>
        <w:tc>
          <w:tcPr>
            <w:tcW w:w="14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231F20"/>
            </w:tcBorders>
            <w:shd w:val="clear" w:color="auto" w:fill="E2E8F1"/>
          </w:tcPr>
          <w:p>
            <w:pPr>
              <w:spacing w:after="0"/>
              <w:rPr>
                <w:sz w:val="14"/>
                <w:szCs w:val="14"/>
                <w:color w:val="auto"/>
              </w:rPr>
            </w:pPr>
          </w:p>
        </w:tc>
        <w:tc>
          <w:tcPr>
            <w:tcW w:w="114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231F20"/>
              </w:rPr>
              <w:t>2.2</w:t>
            </w:r>
          </w:p>
        </w:tc>
      </w:tr>
      <w:tr>
        <w:trPr>
          <w:trHeight w:val="157"/>
        </w:trPr>
        <w:tc>
          <w:tcPr>
            <w:tcW w:w="7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231F20"/>
            </w:tcBorders>
          </w:tcPr>
          <w:p>
            <w:pPr>
              <w:spacing w:after="0"/>
              <w:rPr>
                <w:sz w:val="13"/>
                <w:szCs w:val="13"/>
                <w:color w:val="auto"/>
              </w:rPr>
            </w:pPr>
          </w:p>
        </w:tc>
        <w:tc>
          <w:tcPr>
            <w:tcW w:w="1160" w:type="dxa"/>
            <w:vAlign w:val="bottom"/>
            <w:tcBorders>
              <w:bottom w:val="single" w:sz="8" w:color="231F20"/>
            </w:tcBorders>
          </w:tcPr>
          <w:p>
            <w:pPr>
              <w:jc w:val="right"/>
              <w:ind w:right="70"/>
              <w:spacing w:after="0" w:line="157" w:lineRule="exact"/>
              <w:rPr>
                <w:sz w:val="20"/>
                <w:szCs w:val="20"/>
                <w:color w:val="auto"/>
              </w:rPr>
            </w:pPr>
            <w:r>
              <w:rPr>
                <w:rFonts w:ascii="Arial" w:cs="Arial" w:eastAsia="Arial" w:hAnsi="Arial"/>
                <w:sz w:val="14"/>
                <w:szCs w:val="14"/>
                <w:color w:val="231F20"/>
              </w:rPr>
              <w:t>3,488.2</w:t>
            </w:r>
          </w:p>
        </w:tc>
        <w:tc>
          <w:tcPr>
            <w:tcW w:w="140" w:type="dxa"/>
            <w:vAlign w:val="bottom"/>
          </w:tcPr>
          <w:p>
            <w:pPr>
              <w:spacing w:after="0"/>
              <w:rPr>
                <w:sz w:val="13"/>
                <w:szCs w:val="13"/>
                <w:color w:val="auto"/>
              </w:rPr>
            </w:pPr>
          </w:p>
        </w:tc>
        <w:tc>
          <w:tcPr>
            <w:tcW w:w="160" w:type="dxa"/>
            <w:vAlign w:val="bottom"/>
            <w:tcBorders>
              <w:bottom w:val="single" w:sz="8" w:color="231F20"/>
            </w:tcBorders>
          </w:tcPr>
          <w:p>
            <w:pPr>
              <w:spacing w:after="0"/>
              <w:rPr>
                <w:sz w:val="13"/>
                <w:szCs w:val="13"/>
                <w:color w:val="auto"/>
              </w:rPr>
            </w:pPr>
          </w:p>
        </w:tc>
        <w:tc>
          <w:tcPr>
            <w:tcW w:w="1100" w:type="dxa"/>
            <w:vAlign w:val="bottom"/>
            <w:tcBorders>
              <w:bottom w:val="single" w:sz="8" w:color="231F20"/>
            </w:tcBorders>
          </w:tcPr>
          <w:p>
            <w:pPr>
              <w:jc w:val="right"/>
              <w:ind w:right="70"/>
              <w:spacing w:after="0" w:line="157" w:lineRule="exact"/>
              <w:rPr>
                <w:sz w:val="20"/>
                <w:szCs w:val="20"/>
                <w:color w:val="auto"/>
              </w:rPr>
            </w:pPr>
            <w:r>
              <w:rPr>
                <w:rFonts w:ascii="Arial" w:cs="Arial" w:eastAsia="Arial" w:hAnsi="Arial"/>
                <w:sz w:val="14"/>
                <w:szCs w:val="14"/>
                <w:color w:val="231F20"/>
              </w:rPr>
              <w:t>104.4</w:t>
            </w:r>
          </w:p>
        </w:tc>
        <w:tc>
          <w:tcPr>
            <w:tcW w:w="140" w:type="dxa"/>
            <w:vAlign w:val="bottom"/>
          </w:tcPr>
          <w:p>
            <w:pPr>
              <w:spacing w:after="0"/>
              <w:rPr>
                <w:sz w:val="13"/>
                <w:szCs w:val="13"/>
                <w:color w:val="auto"/>
              </w:rPr>
            </w:pPr>
          </w:p>
        </w:tc>
        <w:tc>
          <w:tcPr>
            <w:tcW w:w="120" w:type="dxa"/>
            <w:vAlign w:val="bottom"/>
            <w:tcBorders>
              <w:bottom w:val="single" w:sz="8" w:color="231F20"/>
            </w:tcBorders>
          </w:tcPr>
          <w:p>
            <w:pPr>
              <w:spacing w:after="0"/>
              <w:rPr>
                <w:sz w:val="13"/>
                <w:szCs w:val="13"/>
                <w:color w:val="auto"/>
              </w:rPr>
            </w:pPr>
          </w:p>
        </w:tc>
        <w:tc>
          <w:tcPr>
            <w:tcW w:w="1140" w:type="dxa"/>
            <w:vAlign w:val="bottom"/>
            <w:tcBorders>
              <w:bottom w:val="single" w:sz="8" w:color="231F20"/>
            </w:tcBorders>
          </w:tcPr>
          <w:p>
            <w:pPr>
              <w:jc w:val="right"/>
              <w:ind w:right="70"/>
              <w:spacing w:after="0" w:line="157" w:lineRule="exact"/>
              <w:rPr>
                <w:sz w:val="20"/>
                <w:szCs w:val="20"/>
                <w:color w:val="auto"/>
              </w:rPr>
            </w:pPr>
            <w:r>
              <w:rPr>
                <w:rFonts w:ascii="Arial" w:cs="Arial" w:eastAsia="Arial" w:hAnsi="Arial"/>
                <w:sz w:val="14"/>
                <w:szCs w:val="14"/>
                <w:color w:val="231F20"/>
              </w:rPr>
              <w:t>11.7</w:t>
            </w:r>
          </w:p>
        </w:tc>
      </w:tr>
      <w:tr>
        <w:trPr>
          <w:trHeight w:val="157"/>
        </w:trPr>
        <w:tc>
          <w:tcPr>
            <w:tcW w:w="700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color w:val="231F20"/>
              </w:rPr>
              <w:t>Southern Europe:</w:t>
            </w:r>
          </w:p>
        </w:tc>
        <w:tc>
          <w:tcPr>
            <w:tcW w:w="16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116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11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140" w:type="dxa"/>
            <w:vAlign w:val="bottom"/>
            <w:shd w:val="clear" w:color="auto" w:fill="E2E8F1"/>
          </w:tcPr>
          <w:p>
            <w:pPr>
              <w:spacing w:after="0"/>
              <w:rPr>
                <w:sz w:val="13"/>
                <w:szCs w:val="13"/>
                <w:color w:val="auto"/>
              </w:rPr>
            </w:pPr>
          </w:p>
        </w:tc>
      </w:tr>
      <w:tr>
        <w:trPr>
          <w:trHeight w:val="166"/>
        </w:trPr>
        <w:tc>
          <w:tcPr>
            <w:tcW w:w="7000" w:type="dxa"/>
            <w:vAlign w:val="bottom"/>
          </w:tcPr>
          <w:p>
            <w:pPr>
              <w:ind w:left="240"/>
              <w:spacing w:after="0"/>
              <w:rPr>
                <w:sz w:val="20"/>
                <w:szCs w:val="20"/>
                <w:color w:val="auto"/>
              </w:rPr>
            </w:pPr>
            <w:r>
              <w:rPr>
                <w:rFonts w:ascii="Arial" w:cs="Arial" w:eastAsia="Arial" w:hAnsi="Arial"/>
                <w:sz w:val="14"/>
                <w:szCs w:val="14"/>
                <w:color w:val="231F20"/>
              </w:rPr>
              <w:t>France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70"/>
              <w:spacing w:after="0"/>
              <w:rPr>
                <w:sz w:val="20"/>
                <w:szCs w:val="20"/>
                <w:color w:val="auto"/>
              </w:rPr>
            </w:pPr>
            <w:r>
              <w:rPr>
                <w:rFonts w:ascii="Arial" w:cs="Arial" w:eastAsia="Arial" w:hAnsi="Arial"/>
                <w:sz w:val="14"/>
                <w:szCs w:val="14"/>
                <w:color w:val="231F20"/>
              </w:rPr>
              <w:t>2,253.6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color w:val="231F20"/>
              </w:rPr>
              <w:t>182.9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70"/>
              <w:spacing w:after="0"/>
              <w:rPr>
                <w:sz w:val="20"/>
                <w:szCs w:val="20"/>
                <w:color w:val="auto"/>
              </w:rPr>
            </w:pPr>
            <w:r>
              <w:rPr>
                <w:rFonts w:ascii="Arial" w:cs="Arial" w:eastAsia="Arial" w:hAnsi="Arial"/>
                <w:sz w:val="14"/>
                <w:szCs w:val="14"/>
                <w:color w:val="231F20"/>
              </w:rPr>
              <w:t>12.7</w:t>
            </w:r>
          </w:p>
        </w:tc>
      </w:tr>
      <w:tr>
        <w:trPr>
          <w:trHeight w:val="166"/>
        </w:trPr>
        <w:tc>
          <w:tcPr>
            <w:tcW w:w="7000" w:type="dxa"/>
            <w:vAlign w:val="bottom"/>
            <w:shd w:val="clear" w:color="auto" w:fill="E2E8F1"/>
          </w:tcPr>
          <w:p>
            <w:pPr>
              <w:ind w:left="240"/>
              <w:spacing w:after="0"/>
              <w:rPr>
                <w:sz w:val="20"/>
                <w:szCs w:val="20"/>
                <w:color w:val="auto"/>
              </w:rPr>
            </w:pPr>
            <w:r>
              <w:rPr>
                <w:rFonts w:ascii="Arial" w:cs="Arial" w:eastAsia="Arial" w:hAnsi="Arial"/>
                <w:sz w:val="14"/>
                <w:szCs w:val="14"/>
                <w:color w:val="231F20"/>
              </w:rPr>
              <w:t>Italy</w:t>
            </w:r>
          </w:p>
        </w:tc>
        <w:tc>
          <w:tcPr>
            <w:tcW w:w="1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1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487.0</w:t>
            </w: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1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50.6</w:t>
            </w:r>
          </w:p>
        </w:tc>
        <w:tc>
          <w:tcPr>
            <w:tcW w:w="1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1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2.2</w:t>
            </w:r>
          </w:p>
        </w:tc>
      </w:tr>
      <w:tr>
        <w:trPr>
          <w:trHeight w:val="166"/>
        </w:trPr>
        <w:tc>
          <w:tcPr>
            <w:tcW w:w="7000" w:type="dxa"/>
            <w:vAlign w:val="bottom"/>
          </w:tcPr>
          <w:p>
            <w:pPr>
              <w:ind w:left="240"/>
              <w:spacing w:after="0"/>
              <w:rPr>
                <w:sz w:val="20"/>
                <w:szCs w:val="20"/>
                <w:color w:val="auto"/>
              </w:rPr>
            </w:pPr>
            <w:r>
              <w:rPr>
                <w:rFonts w:ascii="Arial" w:cs="Arial" w:eastAsia="Arial" w:hAnsi="Arial"/>
                <w:sz w:val="14"/>
                <w:szCs w:val="14"/>
                <w:color w:val="231F20"/>
              </w:rPr>
              <w:t>Other Southern Europe</w:t>
            </w:r>
          </w:p>
        </w:tc>
        <w:tc>
          <w:tcPr>
            <w:tcW w:w="160" w:type="dxa"/>
            <w:vAlign w:val="bottom"/>
          </w:tcPr>
          <w:p>
            <w:pPr>
              <w:spacing w:after="0"/>
              <w:rPr>
                <w:sz w:val="14"/>
                <w:szCs w:val="14"/>
                <w:color w:val="auto"/>
              </w:rPr>
            </w:pPr>
          </w:p>
        </w:tc>
        <w:tc>
          <w:tcPr>
            <w:tcW w:w="140" w:type="dxa"/>
            <w:vAlign w:val="bottom"/>
            <w:tcBorders>
              <w:bottom w:val="single" w:sz="8" w:color="231F20"/>
            </w:tcBorders>
          </w:tcPr>
          <w:p>
            <w:pPr>
              <w:spacing w:after="0"/>
              <w:rPr>
                <w:sz w:val="14"/>
                <w:szCs w:val="14"/>
                <w:color w:val="auto"/>
              </w:rPr>
            </w:pPr>
          </w:p>
        </w:tc>
        <w:tc>
          <w:tcPr>
            <w:tcW w:w="116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231F20"/>
              </w:rPr>
              <w:t>800.4</w:t>
            </w:r>
          </w:p>
        </w:tc>
        <w:tc>
          <w:tcPr>
            <w:tcW w:w="140" w:type="dxa"/>
            <w:vAlign w:val="bottom"/>
          </w:tcPr>
          <w:p>
            <w:pPr>
              <w:spacing w:after="0"/>
              <w:rPr>
                <w:sz w:val="14"/>
                <w:szCs w:val="14"/>
                <w:color w:val="auto"/>
              </w:rPr>
            </w:pPr>
          </w:p>
        </w:tc>
        <w:tc>
          <w:tcPr>
            <w:tcW w:w="160" w:type="dxa"/>
            <w:vAlign w:val="bottom"/>
            <w:tcBorders>
              <w:bottom w:val="single" w:sz="8" w:color="231F20"/>
            </w:tcBorders>
          </w:tcPr>
          <w:p>
            <w:pPr>
              <w:spacing w:after="0"/>
              <w:rPr>
                <w:sz w:val="14"/>
                <w:szCs w:val="14"/>
                <w:color w:val="auto"/>
              </w:rPr>
            </w:pPr>
          </w:p>
        </w:tc>
        <w:tc>
          <w:tcPr>
            <w:tcW w:w="110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231F20"/>
              </w:rPr>
              <w:t>55.9</w:t>
            </w:r>
          </w:p>
        </w:tc>
        <w:tc>
          <w:tcPr>
            <w:tcW w:w="140" w:type="dxa"/>
            <w:vAlign w:val="bottom"/>
          </w:tcPr>
          <w:p>
            <w:pPr>
              <w:spacing w:after="0"/>
              <w:rPr>
                <w:sz w:val="14"/>
                <w:szCs w:val="14"/>
                <w:color w:val="auto"/>
              </w:rPr>
            </w:pPr>
          </w:p>
        </w:tc>
        <w:tc>
          <w:tcPr>
            <w:tcW w:w="120" w:type="dxa"/>
            <w:vAlign w:val="bottom"/>
            <w:tcBorders>
              <w:bottom w:val="single" w:sz="8" w:color="231F20"/>
            </w:tcBorders>
          </w:tcPr>
          <w:p>
            <w:pPr>
              <w:spacing w:after="0"/>
              <w:rPr>
                <w:sz w:val="14"/>
                <w:szCs w:val="14"/>
                <w:color w:val="auto"/>
              </w:rPr>
            </w:pPr>
          </w:p>
        </w:tc>
        <w:tc>
          <w:tcPr>
            <w:tcW w:w="114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231F20"/>
              </w:rPr>
              <w:t>4.4</w:t>
            </w:r>
          </w:p>
        </w:tc>
      </w:tr>
      <w:tr>
        <w:trPr>
          <w:trHeight w:val="157"/>
        </w:trPr>
        <w:tc>
          <w:tcPr>
            <w:tcW w:w="70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231F20"/>
            </w:tcBorders>
            <w:shd w:val="clear" w:color="auto" w:fill="E2E8F1"/>
          </w:tcPr>
          <w:p>
            <w:pPr>
              <w:spacing w:after="0"/>
              <w:rPr>
                <w:sz w:val="13"/>
                <w:szCs w:val="13"/>
                <w:color w:val="auto"/>
              </w:rPr>
            </w:pPr>
          </w:p>
        </w:tc>
        <w:tc>
          <w:tcPr>
            <w:tcW w:w="1160" w:type="dxa"/>
            <w:vAlign w:val="bottom"/>
            <w:tcBorders>
              <w:bottom w:val="single" w:sz="8" w:color="231F20"/>
            </w:tcBorders>
            <w:shd w:val="clear" w:color="auto" w:fill="E2E8F1"/>
          </w:tcPr>
          <w:p>
            <w:pPr>
              <w:jc w:val="right"/>
              <w:ind w:right="70"/>
              <w:spacing w:after="0" w:line="157" w:lineRule="exact"/>
              <w:rPr>
                <w:sz w:val="20"/>
                <w:szCs w:val="20"/>
                <w:color w:val="auto"/>
              </w:rPr>
            </w:pPr>
            <w:r>
              <w:rPr>
                <w:rFonts w:ascii="Arial" w:cs="Arial" w:eastAsia="Arial" w:hAnsi="Arial"/>
                <w:sz w:val="14"/>
                <w:szCs w:val="14"/>
                <w:color w:val="231F20"/>
              </w:rPr>
              <w:t>3,541.0</w:t>
            </w:r>
          </w:p>
        </w:tc>
        <w:tc>
          <w:tcPr>
            <w:tcW w:w="14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231F20"/>
            </w:tcBorders>
            <w:shd w:val="clear" w:color="auto" w:fill="E2E8F1"/>
          </w:tcPr>
          <w:p>
            <w:pPr>
              <w:spacing w:after="0"/>
              <w:rPr>
                <w:sz w:val="13"/>
                <w:szCs w:val="13"/>
                <w:color w:val="auto"/>
              </w:rPr>
            </w:pPr>
          </w:p>
        </w:tc>
        <w:tc>
          <w:tcPr>
            <w:tcW w:w="1100" w:type="dxa"/>
            <w:vAlign w:val="bottom"/>
            <w:tcBorders>
              <w:bottom w:val="single" w:sz="8" w:color="231F20"/>
            </w:tcBorders>
            <w:shd w:val="clear" w:color="auto" w:fill="E2E8F1"/>
          </w:tcPr>
          <w:p>
            <w:pPr>
              <w:jc w:val="right"/>
              <w:ind w:right="70"/>
              <w:spacing w:after="0" w:line="157" w:lineRule="exact"/>
              <w:rPr>
                <w:sz w:val="20"/>
                <w:szCs w:val="20"/>
                <w:color w:val="auto"/>
              </w:rPr>
            </w:pPr>
            <w:r>
              <w:rPr>
                <w:rFonts w:ascii="Arial" w:cs="Arial" w:eastAsia="Arial" w:hAnsi="Arial"/>
                <w:sz w:val="14"/>
                <w:szCs w:val="14"/>
                <w:color w:val="231F20"/>
              </w:rPr>
              <w:t>289.4</w:t>
            </w:r>
          </w:p>
        </w:tc>
        <w:tc>
          <w:tcPr>
            <w:tcW w:w="14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231F20"/>
            </w:tcBorders>
            <w:shd w:val="clear" w:color="auto" w:fill="E2E8F1"/>
          </w:tcPr>
          <w:p>
            <w:pPr>
              <w:spacing w:after="0"/>
              <w:rPr>
                <w:sz w:val="13"/>
                <w:szCs w:val="13"/>
                <w:color w:val="auto"/>
              </w:rPr>
            </w:pPr>
          </w:p>
        </w:tc>
        <w:tc>
          <w:tcPr>
            <w:tcW w:w="1140" w:type="dxa"/>
            <w:vAlign w:val="bottom"/>
            <w:tcBorders>
              <w:bottom w:val="single" w:sz="8" w:color="231F20"/>
            </w:tcBorders>
            <w:shd w:val="clear" w:color="auto" w:fill="E2E8F1"/>
          </w:tcPr>
          <w:p>
            <w:pPr>
              <w:jc w:val="right"/>
              <w:ind w:right="70"/>
              <w:spacing w:after="0" w:line="157" w:lineRule="exact"/>
              <w:rPr>
                <w:sz w:val="20"/>
                <w:szCs w:val="20"/>
                <w:color w:val="auto"/>
              </w:rPr>
            </w:pPr>
            <w:r>
              <w:rPr>
                <w:rFonts w:ascii="Arial" w:cs="Arial" w:eastAsia="Arial" w:hAnsi="Arial"/>
                <w:sz w:val="14"/>
                <w:szCs w:val="14"/>
                <w:color w:val="231F20"/>
              </w:rPr>
              <w:t>19.3</w:t>
            </w:r>
          </w:p>
        </w:tc>
      </w:tr>
      <w:tr>
        <w:trPr>
          <w:trHeight w:val="157"/>
        </w:trPr>
        <w:tc>
          <w:tcPr>
            <w:tcW w:w="7000" w:type="dxa"/>
            <w:vAlign w:val="bottom"/>
          </w:tcPr>
          <w:p>
            <w:pPr>
              <w:ind w:left="80"/>
              <w:spacing w:after="0" w:line="157" w:lineRule="exact"/>
              <w:rPr>
                <w:sz w:val="20"/>
                <w:szCs w:val="20"/>
                <w:color w:val="auto"/>
              </w:rPr>
            </w:pPr>
            <w:r>
              <w:rPr>
                <w:rFonts w:ascii="Arial" w:cs="Arial" w:eastAsia="Arial" w:hAnsi="Arial"/>
                <w:sz w:val="14"/>
                <w:szCs w:val="14"/>
                <w:color w:val="231F20"/>
              </w:rPr>
              <w:t>Northern Europe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70"/>
              <w:spacing w:after="0" w:line="157" w:lineRule="exact"/>
              <w:rPr>
                <w:sz w:val="20"/>
                <w:szCs w:val="20"/>
                <w:color w:val="auto"/>
              </w:rPr>
            </w:pPr>
            <w:r>
              <w:rPr>
                <w:rFonts w:ascii="Arial" w:cs="Arial" w:eastAsia="Arial" w:hAnsi="Arial"/>
                <w:sz w:val="14"/>
                <w:szCs w:val="14"/>
                <w:color w:val="231F20"/>
              </w:rPr>
              <w:t>586.3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70"/>
              <w:spacing w:after="0" w:line="157" w:lineRule="exact"/>
              <w:rPr>
                <w:sz w:val="20"/>
                <w:szCs w:val="20"/>
                <w:color w:val="auto"/>
              </w:rPr>
            </w:pPr>
            <w:r>
              <w:rPr>
                <w:rFonts w:ascii="Arial" w:cs="Arial" w:eastAsia="Arial" w:hAnsi="Arial"/>
                <w:sz w:val="14"/>
                <w:szCs w:val="14"/>
                <w:color w:val="231F20"/>
              </w:rPr>
              <w:t>138.0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70"/>
              <w:spacing w:after="0" w:line="157" w:lineRule="exact"/>
              <w:rPr>
                <w:sz w:val="20"/>
                <w:szCs w:val="20"/>
                <w:color w:val="auto"/>
              </w:rPr>
            </w:pPr>
            <w:r>
              <w:rPr>
                <w:rFonts w:ascii="Arial" w:cs="Arial" w:eastAsia="Arial" w:hAnsi="Arial"/>
                <w:sz w:val="14"/>
                <w:szCs w:val="14"/>
                <w:color w:val="231F20"/>
              </w:rPr>
              <w:t>13.9</w:t>
            </w:r>
          </w:p>
        </w:tc>
      </w:tr>
      <w:tr>
        <w:trPr>
          <w:trHeight w:val="166"/>
        </w:trPr>
        <w:tc>
          <w:tcPr>
            <w:tcW w:w="7000" w:type="dxa"/>
            <w:vAlign w:val="bottom"/>
            <w:shd w:val="clear" w:color="auto" w:fill="E2E8F1"/>
          </w:tcPr>
          <w:p>
            <w:pPr>
              <w:ind w:left="80"/>
              <w:spacing w:after="0"/>
              <w:rPr>
                <w:sz w:val="20"/>
                <w:szCs w:val="20"/>
                <w:color w:val="auto"/>
              </w:rPr>
            </w:pPr>
            <w:r>
              <w:rPr>
                <w:rFonts w:ascii="Arial" w:cs="Arial" w:eastAsia="Arial" w:hAnsi="Arial"/>
                <w:sz w:val="14"/>
                <w:szCs w:val="14"/>
                <w:color w:val="231F20"/>
              </w:rPr>
              <w:t>APME</w:t>
            </w:r>
          </w:p>
        </w:tc>
        <w:tc>
          <w:tcPr>
            <w:tcW w:w="1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16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719.1</w:t>
            </w: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1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46.1</w:t>
            </w:r>
          </w:p>
        </w:tc>
        <w:tc>
          <w:tcPr>
            <w:tcW w:w="1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1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231F20"/>
              </w:rPr>
              <w:t>6.3</w:t>
            </w:r>
          </w:p>
        </w:tc>
      </w:tr>
      <w:tr>
        <w:trPr>
          <w:trHeight w:val="166"/>
        </w:trPr>
        <w:tc>
          <w:tcPr>
            <w:tcW w:w="7000" w:type="dxa"/>
            <w:vAlign w:val="bottom"/>
          </w:tcPr>
          <w:p>
            <w:pPr>
              <w:ind w:left="80"/>
              <w:spacing w:after="0" w:line="165" w:lineRule="exact"/>
              <w:rPr>
                <w:sz w:val="20"/>
                <w:szCs w:val="20"/>
                <w:color w:val="auto"/>
              </w:rPr>
            </w:pPr>
            <w:r>
              <w:rPr>
                <w:rFonts w:ascii="Arial" w:cs="Arial" w:eastAsia="Arial" w:hAnsi="Arial"/>
                <w:sz w:val="14"/>
                <w:szCs w:val="14"/>
                <w:color w:val="231F20"/>
              </w:rPr>
              <w:t>Corporate</w:t>
            </w:r>
            <w:r>
              <w:rPr>
                <w:rFonts w:ascii="Arial" w:cs="Arial" w:eastAsia="Arial" w:hAnsi="Arial"/>
                <w:sz w:val="19"/>
                <w:szCs w:val="19"/>
                <w:color w:val="231F20"/>
                <w:vertAlign w:val="superscript"/>
              </w:rPr>
              <w:t>(c)</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70"/>
              <w:spacing w:after="0"/>
              <w:rPr>
                <w:sz w:val="20"/>
                <w:szCs w:val="20"/>
                <w:color w:val="auto"/>
              </w:rPr>
            </w:pPr>
            <w:r>
              <w:rPr>
                <w:rFonts w:ascii="Arial" w:cs="Arial" w:eastAsia="Arial" w:hAnsi="Arial"/>
                <w:sz w:val="14"/>
                <w:szCs w:val="14"/>
                <w:color w:val="231F20"/>
              </w:rPr>
              <w:t>495.6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color w:val="231F20"/>
              </w:rPr>
              <w:t>10.7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70"/>
              <w:spacing w:after="0"/>
              <w:rPr>
                <w:sz w:val="20"/>
                <w:szCs w:val="20"/>
                <w:color w:val="auto"/>
              </w:rPr>
            </w:pPr>
            <w:r>
              <w:rPr>
                <w:rFonts w:ascii="Arial" w:cs="Arial" w:eastAsia="Arial" w:hAnsi="Arial"/>
                <w:sz w:val="14"/>
                <w:szCs w:val="14"/>
                <w:color w:val="231F20"/>
              </w:rPr>
              <w:t>2.8</w:t>
            </w:r>
          </w:p>
        </w:tc>
      </w:tr>
      <w:tr>
        <w:trPr>
          <w:trHeight w:val="166"/>
        </w:trPr>
        <w:tc>
          <w:tcPr>
            <w:tcW w:w="7000" w:type="dxa"/>
            <w:vAlign w:val="bottom"/>
            <w:tcBorders>
              <w:bottom w:val="single" w:sz="8" w:color="E2E8F1"/>
            </w:tcBorders>
            <w:shd w:val="clear" w:color="auto" w:fill="E2E8F1"/>
          </w:tcPr>
          <w:p>
            <w:pPr>
              <w:ind w:left="80"/>
              <w:spacing w:after="0" w:line="165" w:lineRule="exact"/>
              <w:rPr>
                <w:sz w:val="20"/>
                <w:szCs w:val="20"/>
                <w:color w:val="auto"/>
              </w:rPr>
            </w:pPr>
            <w:r>
              <w:rPr>
                <w:rFonts w:ascii="Arial" w:cs="Arial" w:eastAsia="Arial" w:hAnsi="Arial"/>
                <w:sz w:val="14"/>
                <w:szCs w:val="14"/>
                <w:color w:val="231F20"/>
              </w:rPr>
              <w:t>Intangible asset amortization expense</w:t>
            </w:r>
            <w:r>
              <w:rPr>
                <w:rFonts w:ascii="Arial" w:cs="Arial" w:eastAsia="Arial" w:hAnsi="Arial"/>
                <w:sz w:val="19"/>
                <w:szCs w:val="19"/>
                <w:color w:val="231F20"/>
                <w:vertAlign w:val="superscript"/>
              </w:rPr>
              <w:t>(d)</w:t>
            </w:r>
          </w:p>
        </w:tc>
        <w:tc>
          <w:tcPr>
            <w:tcW w:w="16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231F20"/>
            </w:tcBorders>
            <w:shd w:val="clear" w:color="auto" w:fill="E2E8F1"/>
          </w:tcPr>
          <w:p>
            <w:pPr>
              <w:spacing w:after="0"/>
              <w:rPr>
                <w:sz w:val="14"/>
                <w:szCs w:val="14"/>
                <w:color w:val="auto"/>
              </w:rPr>
            </w:pPr>
          </w:p>
        </w:tc>
        <w:tc>
          <w:tcPr>
            <w:tcW w:w="116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231F20"/>
            </w:tcBorders>
            <w:shd w:val="clear" w:color="auto" w:fill="E2E8F1"/>
          </w:tcPr>
          <w:p>
            <w:pPr>
              <w:spacing w:after="0"/>
              <w:rPr>
                <w:sz w:val="14"/>
                <w:szCs w:val="14"/>
                <w:color w:val="auto"/>
              </w:rPr>
            </w:pPr>
          </w:p>
        </w:tc>
        <w:tc>
          <w:tcPr>
            <w:tcW w:w="110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231F20"/>
            </w:tcBorders>
            <w:shd w:val="clear" w:color="auto" w:fill="E2E8F1"/>
          </w:tcPr>
          <w:p>
            <w:pPr>
              <w:spacing w:after="0"/>
              <w:rPr>
                <w:sz w:val="14"/>
                <w:szCs w:val="14"/>
                <w:color w:val="auto"/>
              </w:rPr>
            </w:pPr>
          </w:p>
        </w:tc>
        <w:tc>
          <w:tcPr>
            <w:tcW w:w="114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231F20"/>
              </w:rPr>
              <w:t>34.6</w:t>
            </w:r>
          </w:p>
        </w:tc>
      </w:tr>
      <w:tr>
        <w:trPr>
          <w:trHeight w:val="160"/>
        </w:trPr>
        <w:tc>
          <w:tcPr>
            <w:tcW w:w="700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231F20"/>
              </w:rPr>
              <w:t>$</w:t>
            </w:r>
          </w:p>
        </w:tc>
        <w:tc>
          <w:tcPr>
            <w:tcW w:w="1160" w:type="dxa"/>
            <w:vAlign w:val="bottom"/>
          </w:tcPr>
          <w:p>
            <w:pPr>
              <w:jc w:val="right"/>
              <w:ind w:right="70"/>
              <w:spacing w:after="0"/>
              <w:rPr>
                <w:sz w:val="20"/>
                <w:szCs w:val="20"/>
                <w:color w:val="auto"/>
              </w:rPr>
            </w:pPr>
            <w:r>
              <w:rPr>
                <w:rFonts w:ascii="Arial" w:cs="Arial" w:eastAsia="Arial" w:hAnsi="Arial"/>
                <w:sz w:val="14"/>
                <w:szCs w:val="14"/>
                <w:color w:val="231F20"/>
              </w:rPr>
              <w:t>8,830.2</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1100" w:type="dxa"/>
            <w:vAlign w:val="bottom"/>
          </w:tcPr>
          <w:p>
            <w:pPr>
              <w:jc w:val="right"/>
              <w:ind w:right="70"/>
              <w:spacing w:after="0"/>
              <w:rPr>
                <w:sz w:val="20"/>
                <w:szCs w:val="20"/>
                <w:color w:val="auto"/>
              </w:rPr>
            </w:pPr>
            <w:r>
              <w:rPr>
                <w:rFonts w:ascii="Arial" w:cs="Arial" w:eastAsia="Arial" w:hAnsi="Arial"/>
                <w:sz w:val="14"/>
                <w:szCs w:val="14"/>
                <w:color w:val="231F20"/>
              </w:rPr>
              <w:t>588.6</w:t>
            </w:r>
          </w:p>
        </w:tc>
        <w:tc>
          <w:tcPr>
            <w:tcW w:w="260" w:type="dxa"/>
            <w:vAlign w:val="bottom"/>
            <w:gridSpan w:val="2"/>
          </w:tcPr>
          <w:p>
            <w:pPr>
              <w:jc w:val="right"/>
              <w:spacing w:after="0"/>
              <w:rPr>
                <w:sz w:val="20"/>
                <w:szCs w:val="20"/>
                <w:color w:val="auto"/>
              </w:rPr>
            </w:pPr>
            <w:r>
              <w:rPr>
                <w:rFonts w:ascii="Arial" w:cs="Arial" w:eastAsia="Arial" w:hAnsi="Arial"/>
                <w:sz w:val="14"/>
                <w:szCs w:val="14"/>
                <w:color w:val="231F20"/>
              </w:rPr>
              <w:t>$</w:t>
            </w:r>
          </w:p>
        </w:tc>
        <w:tc>
          <w:tcPr>
            <w:tcW w:w="1140" w:type="dxa"/>
            <w:vAlign w:val="bottom"/>
          </w:tcPr>
          <w:p>
            <w:pPr>
              <w:jc w:val="right"/>
              <w:ind w:right="70"/>
              <w:spacing w:after="0"/>
              <w:rPr>
                <w:sz w:val="20"/>
                <w:szCs w:val="20"/>
                <w:color w:val="auto"/>
              </w:rPr>
            </w:pPr>
            <w:r>
              <w:rPr>
                <w:rFonts w:ascii="Arial" w:cs="Arial" w:eastAsia="Arial" w:hAnsi="Arial"/>
                <w:sz w:val="14"/>
                <w:szCs w:val="14"/>
                <w:color w:val="231F20"/>
              </w:rPr>
              <w:t>88.6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5369560</wp:posOffset>
            </wp:positionH>
            <wp:positionV relativeFrom="paragraph">
              <wp:posOffset>-1195070</wp:posOffset>
            </wp:positionV>
            <wp:extent cx="9779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-1195070</wp:posOffset>
            </wp:positionV>
            <wp:extent cx="9017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90170" cy="7620"/>
                    </a:xfrm>
                    <a:prstGeom prst="rect">
                      <a:avLst/>
                    </a:prstGeom>
                    <a:noFill/>
                  </pic:spPr>
                </pic:pic>
              </a:graphicData>
            </a:graphic>
          </wp:anchor>
        </w:drawing>
        <w:drawing>
          <wp:anchor simplePos="0" relativeHeight="251657728" behindDoc="1" locked="0" layoutInCell="0" allowOverlap="1">
            <wp:simplePos x="0" y="0"/>
            <wp:positionH relativeFrom="column">
              <wp:posOffset>5369560</wp:posOffset>
            </wp:positionH>
            <wp:positionV relativeFrom="paragraph">
              <wp:posOffset>-541655</wp:posOffset>
            </wp:positionV>
            <wp:extent cx="9779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-541655</wp:posOffset>
            </wp:positionV>
            <wp:extent cx="9017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90170" cy="7620"/>
                    </a:xfrm>
                    <a:prstGeom prst="rect">
                      <a:avLst/>
                    </a:prstGeom>
                    <a:noFill/>
                  </pic:spPr>
                </pic:pic>
              </a:graphicData>
            </a:graphic>
          </wp:anchor>
        </w:drawing>
        <w:drawing>
          <wp:anchor simplePos="0" relativeHeight="251657728" behindDoc="1" locked="0" layoutInCell="0" allowOverlap="1">
            <wp:simplePos x="0" y="0"/>
            <wp:positionH relativeFrom="column">
              <wp:posOffset>5369560</wp:posOffset>
            </wp:positionH>
            <wp:positionV relativeFrom="paragraph">
              <wp:posOffset>-113665</wp:posOffset>
            </wp:positionV>
            <wp:extent cx="9779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-113665</wp:posOffset>
            </wp:positionV>
            <wp:extent cx="9017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90170" cy="7620"/>
                    </a:xfrm>
                    <a:prstGeom prst="rect">
                      <a:avLst/>
                    </a:prstGeom>
                    <a:noFill/>
                  </pic:spPr>
                </pic:pic>
              </a:graphicData>
            </a:graphic>
          </wp:anchor>
        </w:drawing>
      </w:r>
    </w:p>
    <w:p>
      <w:pPr>
        <w:ind w:left="325" w:hanging="325"/>
        <w:spacing w:after="0" w:line="187" w:lineRule="auto"/>
        <w:tabs>
          <w:tab w:leader="none" w:pos="325" w:val="left"/>
        </w:tabs>
        <w:numPr>
          <w:ilvl w:val="0"/>
          <w:numId w:val="62"/>
        </w:numPr>
        <w:rPr>
          <w:rFonts w:ascii="Arial" w:cs="Arial" w:eastAsia="Arial" w:hAnsi="Arial"/>
          <w:sz w:val="16"/>
          <w:szCs w:val="16"/>
          <w:color w:val="231F20"/>
          <w:vertAlign w:val="superscript"/>
        </w:rPr>
      </w:pPr>
      <w:r>
        <w:rPr>
          <w:rFonts w:ascii="Arial" w:cs="Arial" w:eastAsia="Arial" w:hAnsi="Arial"/>
          <w:sz w:val="12"/>
          <w:szCs w:val="12"/>
          <w:color w:val="231F20"/>
        </w:rPr>
        <w:t>Long-lived assets consist of net property and equipment, net capitalized software and right-of-use assets.</w:t>
      </w:r>
    </w:p>
    <w:p>
      <w:pPr>
        <w:ind w:left="325" w:right="20" w:hanging="325"/>
        <w:spacing w:after="0" w:line="197" w:lineRule="auto"/>
        <w:tabs>
          <w:tab w:leader="none" w:pos="325" w:val="left"/>
        </w:tabs>
        <w:numPr>
          <w:ilvl w:val="0"/>
          <w:numId w:val="62"/>
        </w:numPr>
        <w:rPr>
          <w:rFonts w:ascii="Arial" w:cs="Arial" w:eastAsia="Arial" w:hAnsi="Arial"/>
          <w:sz w:val="17"/>
          <w:szCs w:val="17"/>
          <w:color w:val="231F20"/>
          <w:vertAlign w:val="superscript"/>
        </w:rPr>
      </w:pPr>
      <w:r>
        <w:rPr>
          <w:rFonts w:ascii="Arial" w:cs="Arial" w:eastAsia="Arial" w:hAnsi="Arial"/>
          <w:sz w:val="13"/>
          <w:szCs w:val="13"/>
          <w:color w:val="231F20"/>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ind w:left="325" w:hanging="325"/>
        <w:spacing w:after="0" w:line="185" w:lineRule="auto"/>
        <w:tabs>
          <w:tab w:leader="none" w:pos="325" w:val="left"/>
        </w:tabs>
        <w:numPr>
          <w:ilvl w:val="0"/>
          <w:numId w:val="62"/>
        </w:numPr>
        <w:rPr>
          <w:rFonts w:ascii="Arial" w:cs="Arial" w:eastAsia="Arial" w:hAnsi="Arial"/>
          <w:sz w:val="16"/>
          <w:szCs w:val="16"/>
          <w:color w:val="231F20"/>
          <w:vertAlign w:val="superscript"/>
        </w:rPr>
      </w:pPr>
      <w:r>
        <w:rPr>
          <w:rFonts w:ascii="Arial" w:cs="Arial" w:eastAsia="Arial" w:hAnsi="Arial"/>
          <w:sz w:val="12"/>
          <w:szCs w:val="12"/>
          <w:color w:val="231F20"/>
        </w:rPr>
        <w:t>Corporate assets include assets that were not used in the operations of any segment, the most significant of which were purchased intangibles and cash.</w:t>
      </w:r>
    </w:p>
    <w:p>
      <w:pPr>
        <w:ind w:left="325" w:hanging="325"/>
        <w:spacing w:after="0" w:line="189" w:lineRule="auto"/>
        <w:tabs>
          <w:tab w:leader="none" w:pos="325" w:val="left"/>
        </w:tabs>
        <w:numPr>
          <w:ilvl w:val="0"/>
          <w:numId w:val="62"/>
        </w:numPr>
        <w:rPr>
          <w:rFonts w:ascii="Arial" w:cs="Arial" w:eastAsia="Arial" w:hAnsi="Arial"/>
          <w:sz w:val="17"/>
          <w:szCs w:val="17"/>
          <w:color w:val="231F20"/>
          <w:vertAlign w:val="superscript"/>
        </w:rPr>
      </w:pPr>
      <w:r>
        <w:rPr>
          <w:rFonts w:ascii="Arial" w:cs="Arial" w:eastAsia="Arial" w:hAnsi="Arial"/>
          <w:sz w:val="13"/>
          <w:szCs w:val="13"/>
          <w:color w:val="231F20"/>
        </w:rPr>
        <w:t>Intangible asset amortization related to acquisitions is excluded from operating costs within the reportable segments and corporate expenses, and shown separately.</w:t>
      </w:r>
    </w:p>
    <w:p>
      <w:pPr>
        <w:spacing w:after="0" w:line="15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7" w:right="319" w:bottom="1440" w:gutter="0" w:footer="0" w:header="0"/>
          <w:type w:val="continuous"/>
        </w:sectPr>
      </w:pPr>
    </w:p>
    <w:bookmarkStart w:id="85" w:name="page86"/>
    <w:bookmarkEnd w:id="85"/>
    <w:p>
      <w:pPr>
        <w:ind w:left="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75" w:lineRule="exact"/>
        <w:rPr>
          <w:sz w:val="20"/>
          <w:szCs w:val="20"/>
          <w:color w:val="auto"/>
        </w:rPr>
      </w:pPr>
    </w:p>
    <w:tbl>
      <w:tblPr>
        <w:tblLayout w:type="fixed"/>
        <w:tblInd w:w="5" w:type="dxa"/>
        <w:tblCellMar>
          <w:top w:w="0" w:type="dxa"/>
          <w:left w:w="0" w:type="dxa"/>
          <w:bottom w:w="0" w:type="dxa"/>
          <w:right w:w="0" w:type="dxa"/>
        </w:tblCellMar>
      </w:tblPr>
      <w:tr>
        <w:trPr>
          <w:trHeight w:val="146"/>
        </w:trPr>
        <w:tc>
          <w:tcPr>
            <w:tcW w:w="5000" w:type="dxa"/>
            <w:vAlign w:val="bottom"/>
            <w:tcBorders>
              <w:top w:val="single" w:sz="8" w:color="231F20"/>
            </w:tcBorders>
            <w:shd w:val="clear" w:color="auto" w:fill="98B0CF"/>
          </w:tcPr>
          <w:p>
            <w:pPr>
              <w:spacing w:after="0"/>
              <w:rPr>
                <w:sz w:val="12"/>
                <w:szCs w:val="12"/>
                <w:color w:val="auto"/>
              </w:rPr>
            </w:pPr>
          </w:p>
        </w:tc>
        <w:tc>
          <w:tcPr>
            <w:tcW w:w="220" w:type="dxa"/>
            <w:vAlign w:val="bottom"/>
            <w:tcBorders>
              <w:top w:val="single" w:sz="8" w:color="231F20"/>
            </w:tcBorders>
            <w:shd w:val="clear" w:color="auto" w:fill="98B0CF"/>
          </w:tcPr>
          <w:p>
            <w:pPr>
              <w:spacing w:after="0"/>
              <w:rPr>
                <w:sz w:val="12"/>
                <w:szCs w:val="12"/>
                <w:color w:val="auto"/>
              </w:rPr>
            </w:pPr>
          </w:p>
        </w:tc>
        <w:tc>
          <w:tcPr>
            <w:tcW w:w="220" w:type="dxa"/>
            <w:vAlign w:val="bottom"/>
            <w:tcBorders>
              <w:top w:val="single" w:sz="8" w:color="231F20"/>
            </w:tcBorders>
            <w:shd w:val="clear" w:color="auto" w:fill="98B0CF"/>
          </w:tcPr>
          <w:p>
            <w:pPr>
              <w:spacing w:after="0"/>
              <w:rPr>
                <w:sz w:val="12"/>
                <w:szCs w:val="12"/>
                <w:color w:val="auto"/>
              </w:rPr>
            </w:pPr>
          </w:p>
        </w:tc>
        <w:tc>
          <w:tcPr>
            <w:tcW w:w="1140" w:type="dxa"/>
            <w:vAlign w:val="bottom"/>
            <w:tcBorders>
              <w:top w:val="single" w:sz="8" w:color="231F20"/>
            </w:tcBorders>
            <w:shd w:val="clear" w:color="auto" w:fill="98B0CF"/>
          </w:tcPr>
          <w:p>
            <w:pPr>
              <w:spacing w:after="0"/>
              <w:rPr>
                <w:sz w:val="12"/>
                <w:szCs w:val="12"/>
                <w:color w:val="auto"/>
              </w:rPr>
            </w:pPr>
          </w:p>
        </w:tc>
        <w:tc>
          <w:tcPr>
            <w:tcW w:w="200" w:type="dxa"/>
            <w:vAlign w:val="bottom"/>
            <w:tcBorders>
              <w:top w:val="single" w:sz="8" w:color="231F20"/>
            </w:tcBorders>
            <w:shd w:val="clear" w:color="auto" w:fill="98B0CF"/>
          </w:tcPr>
          <w:p>
            <w:pPr>
              <w:spacing w:after="0"/>
              <w:rPr>
                <w:sz w:val="12"/>
                <w:szCs w:val="12"/>
                <w:color w:val="auto"/>
              </w:rPr>
            </w:pPr>
          </w:p>
        </w:tc>
        <w:tc>
          <w:tcPr>
            <w:tcW w:w="100" w:type="dxa"/>
            <w:vAlign w:val="bottom"/>
            <w:tcBorders>
              <w:top w:val="single" w:sz="8" w:color="231F20"/>
            </w:tcBorders>
            <w:shd w:val="clear" w:color="auto" w:fill="98B0CF"/>
          </w:tcPr>
          <w:p>
            <w:pPr>
              <w:spacing w:after="0"/>
              <w:rPr>
                <w:sz w:val="12"/>
                <w:szCs w:val="12"/>
                <w:color w:val="auto"/>
              </w:rPr>
            </w:pPr>
          </w:p>
        </w:tc>
        <w:tc>
          <w:tcPr>
            <w:tcW w:w="1260" w:type="dxa"/>
            <w:vAlign w:val="bottom"/>
            <w:tcBorders>
              <w:top w:val="single" w:sz="8" w:color="231F20"/>
            </w:tcBorders>
            <w:shd w:val="clear" w:color="auto" w:fill="98B0CF"/>
          </w:tcPr>
          <w:p>
            <w:pPr>
              <w:spacing w:after="0"/>
              <w:rPr>
                <w:sz w:val="12"/>
                <w:szCs w:val="12"/>
                <w:color w:val="auto"/>
              </w:rPr>
            </w:pPr>
          </w:p>
        </w:tc>
        <w:tc>
          <w:tcPr>
            <w:tcW w:w="180" w:type="dxa"/>
            <w:vAlign w:val="bottom"/>
            <w:tcBorders>
              <w:top w:val="single" w:sz="8" w:color="231F20"/>
            </w:tcBorders>
            <w:shd w:val="clear" w:color="auto" w:fill="98B0CF"/>
          </w:tcPr>
          <w:p>
            <w:pPr>
              <w:spacing w:after="0"/>
              <w:rPr>
                <w:sz w:val="12"/>
                <w:szCs w:val="12"/>
                <w:color w:val="auto"/>
              </w:rPr>
            </w:pPr>
          </w:p>
        </w:tc>
        <w:tc>
          <w:tcPr>
            <w:tcW w:w="140" w:type="dxa"/>
            <w:vAlign w:val="bottom"/>
            <w:tcBorders>
              <w:top w:val="single" w:sz="8" w:color="231F20"/>
            </w:tcBorders>
            <w:shd w:val="clear" w:color="auto" w:fill="98B0CF"/>
          </w:tcPr>
          <w:p>
            <w:pPr>
              <w:spacing w:after="0"/>
              <w:rPr>
                <w:sz w:val="12"/>
                <w:szCs w:val="12"/>
                <w:color w:val="auto"/>
              </w:rPr>
            </w:pPr>
          </w:p>
        </w:tc>
        <w:tc>
          <w:tcPr>
            <w:tcW w:w="1240" w:type="dxa"/>
            <w:vAlign w:val="bottom"/>
            <w:tcBorders>
              <w:top w:val="single" w:sz="8" w:color="231F20"/>
            </w:tcBorders>
            <w:shd w:val="clear" w:color="auto" w:fill="98B0CF"/>
          </w:tcPr>
          <w:p>
            <w:pPr>
              <w:jc w:val="center"/>
              <w:ind w:right="191"/>
              <w:spacing w:after="0" w:line="146" w:lineRule="exact"/>
              <w:rPr>
                <w:sz w:val="20"/>
                <w:szCs w:val="20"/>
                <w:color w:val="auto"/>
              </w:rPr>
            </w:pPr>
            <w:r>
              <w:rPr>
                <w:rFonts w:ascii="Arial" w:cs="Arial" w:eastAsia="Arial" w:hAnsi="Arial"/>
                <w:sz w:val="13"/>
                <w:szCs w:val="13"/>
                <w:b w:val="1"/>
                <w:bCs w:val="1"/>
                <w:color w:val="auto"/>
                <w:w w:val="95"/>
              </w:rPr>
              <w:t>Selling and</w:t>
            </w:r>
          </w:p>
        </w:tc>
        <w:tc>
          <w:tcPr>
            <w:tcW w:w="160" w:type="dxa"/>
            <w:vAlign w:val="bottom"/>
            <w:tcBorders>
              <w:top w:val="single" w:sz="8" w:color="231F20"/>
            </w:tcBorders>
            <w:shd w:val="clear" w:color="auto" w:fill="98B0CF"/>
          </w:tcPr>
          <w:p>
            <w:pPr>
              <w:spacing w:after="0"/>
              <w:rPr>
                <w:sz w:val="12"/>
                <w:szCs w:val="12"/>
                <w:color w:val="auto"/>
              </w:rPr>
            </w:pPr>
          </w:p>
        </w:tc>
        <w:tc>
          <w:tcPr>
            <w:tcW w:w="300" w:type="dxa"/>
            <w:vAlign w:val="bottom"/>
            <w:tcBorders>
              <w:top w:val="single" w:sz="8" w:color="231F20"/>
            </w:tcBorders>
            <w:shd w:val="clear" w:color="auto" w:fill="98B0CF"/>
          </w:tcPr>
          <w:p>
            <w:pPr>
              <w:spacing w:after="0"/>
              <w:rPr>
                <w:sz w:val="12"/>
                <w:szCs w:val="12"/>
                <w:color w:val="auto"/>
              </w:rPr>
            </w:pPr>
          </w:p>
        </w:tc>
        <w:tc>
          <w:tcPr>
            <w:tcW w:w="1100" w:type="dxa"/>
            <w:vAlign w:val="bottom"/>
            <w:tcBorders>
              <w:top w:val="single" w:sz="8" w:color="231F20"/>
            </w:tcBorders>
            <w:shd w:val="clear" w:color="auto" w:fill="98B0CF"/>
          </w:tcPr>
          <w:p>
            <w:pPr>
              <w:spacing w:after="0"/>
              <w:rPr>
                <w:sz w:val="12"/>
                <w:szCs w:val="12"/>
                <w:color w:val="auto"/>
              </w:rPr>
            </w:pPr>
          </w:p>
        </w:tc>
      </w:tr>
      <w:tr>
        <w:trPr>
          <w:trHeight w:val="142"/>
        </w:trPr>
        <w:tc>
          <w:tcPr>
            <w:tcW w:w="500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114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260" w:type="dxa"/>
            <w:vAlign w:val="bottom"/>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1240" w:type="dxa"/>
            <w:vAlign w:val="bottom"/>
            <w:shd w:val="clear" w:color="auto" w:fill="98B0CF"/>
          </w:tcPr>
          <w:p>
            <w:pPr>
              <w:jc w:val="center"/>
              <w:ind w:right="191"/>
              <w:spacing w:after="0" w:line="142" w:lineRule="exact"/>
              <w:rPr>
                <w:sz w:val="20"/>
                <w:szCs w:val="20"/>
                <w:color w:val="auto"/>
              </w:rPr>
            </w:pPr>
            <w:r>
              <w:rPr>
                <w:rFonts w:ascii="Arial" w:cs="Arial" w:eastAsia="Arial" w:hAnsi="Arial"/>
                <w:sz w:val="13"/>
                <w:szCs w:val="13"/>
                <w:b w:val="1"/>
                <w:bCs w:val="1"/>
                <w:color w:val="auto"/>
                <w:w w:val="95"/>
              </w:rPr>
              <w:t>Administrative</w:t>
            </w:r>
          </w:p>
        </w:tc>
        <w:tc>
          <w:tcPr>
            <w:tcW w:w="160" w:type="dxa"/>
            <w:vAlign w:val="bottom"/>
            <w:shd w:val="clear" w:color="auto" w:fill="98B0CF"/>
          </w:tcPr>
          <w:p>
            <w:pPr>
              <w:spacing w:after="0"/>
              <w:rPr>
                <w:sz w:val="12"/>
                <w:szCs w:val="12"/>
                <w:color w:val="auto"/>
              </w:rPr>
            </w:pPr>
          </w:p>
        </w:tc>
        <w:tc>
          <w:tcPr>
            <w:tcW w:w="300" w:type="dxa"/>
            <w:vAlign w:val="bottom"/>
            <w:shd w:val="clear" w:color="auto" w:fill="98B0CF"/>
          </w:tcPr>
          <w:p>
            <w:pPr>
              <w:spacing w:after="0"/>
              <w:rPr>
                <w:sz w:val="12"/>
                <w:szCs w:val="12"/>
                <w:color w:val="auto"/>
              </w:rPr>
            </w:pPr>
          </w:p>
        </w:tc>
        <w:tc>
          <w:tcPr>
            <w:tcW w:w="1100" w:type="dxa"/>
            <w:vAlign w:val="bottom"/>
            <w:shd w:val="clear" w:color="auto" w:fill="98B0CF"/>
          </w:tcPr>
          <w:p>
            <w:pPr>
              <w:spacing w:after="0"/>
              <w:rPr>
                <w:sz w:val="12"/>
                <w:szCs w:val="12"/>
                <w:color w:val="auto"/>
              </w:rPr>
            </w:pPr>
          </w:p>
        </w:tc>
      </w:tr>
      <w:tr>
        <w:trPr>
          <w:trHeight w:val="156"/>
        </w:trPr>
        <w:tc>
          <w:tcPr>
            <w:tcW w:w="5000" w:type="dxa"/>
            <w:vAlign w:val="bottom"/>
            <w:tcBorders>
              <w:bottom w:val="single" w:sz="8" w:color="231F20"/>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Year Ended December 31, 2022</w:t>
            </w:r>
          </w:p>
        </w:tc>
        <w:tc>
          <w:tcPr>
            <w:tcW w:w="220" w:type="dxa"/>
            <w:vAlign w:val="bottom"/>
            <w:tcBorders>
              <w:bottom w:val="single" w:sz="8" w:color="231F20"/>
            </w:tcBorders>
            <w:shd w:val="clear" w:color="auto" w:fill="98B0CF"/>
          </w:tcPr>
          <w:p>
            <w:pPr>
              <w:spacing w:after="0"/>
              <w:rPr>
                <w:sz w:val="13"/>
                <w:szCs w:val="13"/>
                <w:color w:val="auto"/>
              </w:rPr>
            </w:pPr>
          </w:p>
        </w:tc>
        <w:tc>
          <w:tcPr>
            <w:tcW w:w="220" w:type="dxa"/>
            <w:vAlign w:val="bottom"/>
            <w:tcBorders>
              <w:bottom w:val="single" w:sz="8" w:color="231F20"/>
            </w:tcBorders>
            <w:shd w:val="clear" w:color="auto" w:fill="98B0CF"/>
          </w:tcPr>
          <w:p>
            <w:pPr>
              <w:spacing w:after="0"/>
              <w:rPr>
                <w:sz w:val="13"/>
                <w:szCs w:val="13"/>
                <w:color w:val="auto"/>
              </w:rPr>
            </w:pPr>
          </w:p>
        </w:tc>
        <w:tc>
          <w:tcPr>
            <w:tcW w:w="1140" w:type="dxa"/>
            <w:vAlign w:val="bottom"/>
            <w:tcBorders>
              <w:bottom w:val="single" w:sz="8" w:color="231F20"/>
            </w:tcBorders>
            <w:shd w:val="clear" w:color="auto" w:fill="98B0CF"/>
          </w:tcPr>
          <w:p>
            <w:pPr>
              <w:jc w:val="right"/>
              <w:ind w:right="410"/>
              <w:spacing w:after="0"/>
              <w:rPr>
                <w:sz w:val="20"/>
                <w:szCs w:val="20"/>
                <w:color w:val="auto"/>
              </w:rPr>
            </w:pPr>
            <w:r>
              <w:rPr>
                <w:rFonts w:ascii="Arial" w:cs="Arial" w:eastAsia="Arial" w:hAnsi="Arial"/>
                <w:sz w:val="13"/>
                <w:szCs w:val="13"/>
                <w:b w:val="1"/>
                <w:bCs w:val="1"/>
                <w:color w:val="auto"/>
              </w:rPr>
              <w:t>Revenue</w:t>
            </w:r>
          </w:p>
        </w:tc>
        <w:tc>
          <w:tcPr>
            <w:tcW w:w="200" w:type="dxa"/>
            <w:vAlign w:val="bottom"/>
            <w:tcBorders>
              <w:bottom w:val="single" w:sz="8" w:color="231F20"/>
            </w:tcBorders>
            <w:shd w:val="clear" w:color="auto" w:fill="98B0CF"/>
          </w:tcPr>
          <w:p>
            <w:pPr>
              <w:spacing w:after="0"/>
              <w:rPr>
                <w:sz w:val="13"/>
                <w:szCs w:val="13"/>
                <w:color w:val="auto"/>
              </w:rPr>
            </w:pPr>
          </w:p>
        </w:tc>
        <w:tc>
          <w:tcPr>
            <w:tcW w:w="100" w:type="dxa"/>
            <w:vAlign w:val="bottom"/>
            <w:tcBorders>
              <w:bottom w:val="single" w:sz="8" w:color="231F20"/>
            </w:tcBorders>
            <w:shd w:val="clear" w:color="auto" w:fill="98B0CF"/>
          </w:tcPr>
          <w:p>
            <w:pPr>
              <w:spacing w:after="0"/>
              <w:rPr>
                <w:sz w:val="13"/>
                <w:szCs w:val="13"/>
                <w:color w:val="auto"/>
              </w:rPr>
            </w:pPr>
          </w:p>
        </w:tc>
        <w:tc>
          <w:tcPr>
            <w:tcW w:w="1260" w:type="dxa"/>
            <w:vAlign w:val="bottom"/>
            <w:tcBorders>
              <w:bottom w:val="single" w:sz="8" w:color="231F20"/>
            </w:tcBorders>
            <w:shd w:val="clear" w:color="auto" w:fill="98B0CF"/>
          </w:tcPr>
          <w:p>
            <w:pPr>
              <w:jc w:val="right"/>
              <w:ind w:right="170"/>
              <w:spacing w:after="0"/>
              <w:rPr>
                <w:sz w:val="20"/>
                <w:szCs w:val="20"/>
                <w:color w:val="auto"/>
              </w:rPr>
            </w:pPr>
            <w:r>
              <w:rPr>
                <w:rFonts w:ascii="Arial" w:cs="Arial" w:eastAsia="Arial" w:hAnsi="Arial"/>
                <w:sz w:val="13"/>
                <w:szCs w:val="13"/>
                <w:b w:val="1"/>
                <w:bCs w:val="1"/>
                <w:color w:val="auto"/>
                <w:w w:val="98"/>
              </w:rPr>
              <w:t>Cost of Services</w:t>
            </w:r>
          </w:p>
        </w:tc>
        <w:tc>
          <w:tcPr>
            <w:tcW w:w="180" w:type="dxa"/>
            <w:vAlign w:val="bottom"/>
            <w:tcBorders>
              <w:bottom w:val="single" w:sz="8" w:color="231F20"/>
            </w:tcBorders>
            <w:shd w:val="clear" w:color="auto" w:fill="98B0CF"/>
          </w:tcPr>
          <w:p>
            <w:pPr>
              <w:spacing w:after="0"/>
              <w:rPr>
                <w:sz w:val="13"/>
                <w:szCs w:val="13"/>
                <w:color w:val="auto"/>
              </w:rPr>
            </w:pPr>
          </w:p>
        </w:tc>
        <w:tc>
          <w:tcPr>
            <w:tcW w:w="140" w:type="dxa"/>
            <w:vAlign w:val="bottom"/>
            <w:tcBorders>
              <w:bottom w:val="single" w:sz="8" w:color="231F20"/>
            </w:tcBorders>
            <w:shd w:val="clear" w:color="auto" w:fill="98B0CF"/>
          </w:tcPr>
          <w:p>
            <w:pPr>
              <w:spacing w:after="0"/>
              <w:rPr>
                <w:sz w:val="13"/>
                <w:szCs w:val="13"/>
                <w:color w:val="auto"/>
              </w:rPr>
            </w:pPr>
          </w:p>
        </w:tc>
        <w:tc>
          <w:tcPr>
            <w:tcW w:w="1240" w:type="dxa"/>
            <w:vAlign w:val="bottom"/>
            <w:tcBorders>
              <w:bottom w:val="single" w:sz="8" w:color="231F20"/>
            </w:tcBorders>
            <w:shd w:val="clear" w:color="auto" w:fill="98B0CF"/>
          </w:tcPr>
          <w:p>
            <w:pPr>
              <w:jc w:val="center"/>
              <w:ind w:right="191"/>
              <w:spacing w:after="0"/>
              <w:rPr>
                <w:sz w:val="20"/>
                <w:szCs w:val="20"/>
                <w:color w:val="auto"/>
              </w:rPr>
            </w:pPr>
            <w:r>
              <w:rPr>
                <w:rFonts w:ascii="Arial" w:cs="Arial" w:eastAsia="Arial" w:hAnsi="Arial"/>
                <w:sz w:val="13"/>
                <w:szCs w:val="13"/>
                <w:b w:val="1"/>
                <w:bCs w:val="1"/>
                <w:color w:val="auto"/>
                <w:w w:val="95"/>
              </w:rPr>
              <w:t>Expenses</w:t>
            </w:r>
          </w:p>
        </w:tc>
        <w:tc>
          <w:tcPr>
            <w:tcW w:w="160" w:type="dxa"/>
            <w:vAlign w:val="bottom"/>
            <w:tcBorders>
              <w:bottom w:val="single" w:sz="8" w:color="231F20"/>
            </w:tcBorders>
            <w:shd w:val="clear" w:color="auto" w:fill="98B0CF"/>
          </w:tcPr>
          <w:p>
            <w:pPr>
              <w:spacing w:after="0"/>
              <w:rPr>
                <w:sz w:val="13"/>
                <w:szCs w:val="13"/>
                <w:color w:val="auto"/>
              </w:rPr>
            </w:pPr>
          </w:p>
        </w:tc>
        <w:tc>
          <w:tcPr>
            <w:tcW w:w="300" w:type="dxa"/>
            <w:vAlign w:val="bottom"/>
            <w:tcBorders>
              <w:bottom w:val="single" w:sz="8" w:color="231F20"/>
            </w:tcBorders>
            <w:shd w:val="clear" w:color="auto" w:fill="98B0CF"/>
          </w:tcPr>
          <w:p>
            <w:pPr>
              <w:spacing w:after="0"/>
              <w:rPr>
                <w:sz w:val="13"/>
                <w:szCs w:val="13"/>
                <w:color w:val="auto"/>
              </w:rPr>
            </w:pPr>
          </w:p>
        </w:tc>
        <w:tc>
          <w:tcPr>
            <w:tcW w:w="1100" w:type="dxa"/>
            <w:vAlign w:val="bottom"/>
            <w:tcBorders>
              <w:bottom w:val="single" w:sz="8" w:color="231F20"/>
            </w:tcBorders>
            <w:shd w:val="clear" w:color="auto" w:fill="98B0CF"/>
          </w:tcPr>
          <w:p>
            <w:pPr>
              <w:jc w:val="right"/>
              <w:ind w:right="550"/>
              <w:spacing w:after="0"/>
              <w:rPr>
                <w:sz w:val="20"/>
                <w:szCs w:val="20"/>
                <w:color w:val="auto"/>
              </w:rPr>
            </w:pPr>
            <w:r>
              <w:rPr>
                <w:rFonts w:ascii="Arial" w:cs="Arial" w:eastAsia="Arial" w:hAnsi="Arial"/>
                <w:sz w:val="13"/>
                <w:szCs w:val="13"/>
                <w:b w:val="1"/>
                <w:bCs w:val="1"/>
                <w:color w:val="auto"/>
              </w:rPr>
              <w:t>OUP</w:t>
            </w:r>
          </w:p>
        </w:tc>
      </w:tr>
      <w:tr>
        <w:trPr>
          <w:trHeight w:val="187"/>
        </w:trPr>
        <w:tc>
          <w:tcPr>
            <w:tcW w:w="5000" w:type="dxa"/>
            <w:vAlign w:val="bottom"/>
            <w:shd w:val="clear" w:color="auto" w:fill="E3E8F1"/>
          </w:tcPr>
          <w:p>
            <w:pPr>
              <w:ind w:left="80"/>
              <w:spacing w:after="0" w:line="187" w:lineRule="exact"/>
              <w:rPr>
                <w:sz w:val="20"/>
                <w:szCs w:val="20"/>
                <w:color w:val="auto"/>
              </w:rPr>
            </w:pPr>
            <w:r>
              <w:rPr>
                <w:rFonts w:ascii="Arial" w:cs="Arial" w:eastAsia="Arial" w:hAnsi="Arial"/>
                <w:sz w:val="14"/>
                <w:szCs w:val="14"/>
                <w:color w:val="auto"/>
              </w:rPr>
              <w:t>Americas:</w:t>
            </w:r>
            <w:r>
              <w:rPr>
                <w:rFonts w:ascii="Arial" w:cs="Arial" w:eastAsia="Arial" w:hAnsi="Arial"/>
                <w:sz w:val="19"/>
                <w:szCs w:val="19"/>
                <w:color w:val="auto"/>
                <w:vertAlign w:val="superscript"/>
              </w:rPr>
              <w:t>(a)</w:t>
            </w:r>
          </w:p>
        </w:tc>
        <w:tc>
          <w:tcPr>
            <w:tcW w:w="22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114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126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124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1100" w:type="dxa"/>
            <w:vAlign w:val="bottom"/>
            <w:shd w:val="clear" w:color="auto" w:fill="E2E8F1"/>
          </w:tcPr>
          <w:p>
            <w:pPr>
              <w:spacing w:after="0"/>
              <w:rPr>
                <w:sz w:val="16"/>
                <w:szCs w:val="16"/>
                <w:color w:val="auto"/>
              </w:rPr>
            </w:pPr>
          </w:p>
        </w:tc>
      </w:tr>
      <w:tr>
        <w:trPr>
          <w:trHeight w:val="189"/>
        </w:trPr>
        <w:tc>
          <w:tcPr>
            <w:tcW w:w="5000" w:type="dxa"/>
            <w:vAlign w:val="bottom"/>
          </w:tcPr>
          <w:p>
            <w:pPr>
              <w:ind w:left="240"/>
              <w:spacing w:after="0" w:line="189" w:lineRule="exact"/>
              <w:rPr>
                <w:sz w:val="20"/>
                <w:szCs w:val="20"/>
                <w:color w:val="auto"/>
              </w:rPr>
            </w:pPr>
            <w:r>
              <w:rPr>
                <w:rFonts w:ascii="Arial" w:cs="Arial" w:eastAsia="Arial" w:hAnsi="Arial"/>
                <w:sz w:val="14"/>
                <w:szCs w:val="14"/>
                <w:color w:val="auto"/>
              </w:rPr>
              <w:t>United States</w:t>
            </w:r>
            <w:r>
              <w:rPr>
                <w:rFonts w:ascii="Arial" w:cs="Arial" w:eastAsia="Arial" w:hAnsi="Arial"/>
                <w:sz w:val="19"/>
                <w:szCs w:val="19"/>
                <w:color w:val="auto"/>
                <w:vertAlign w:val="superscript"/>
              </w:rPr>
              <w:t>(b)</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3,368.1</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2,412.5</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71"/>
              <w:spacing w:after="0"/>
              <w:rPr>
                <w:sz w:val="20"/>
                <w:szCs w:val="20"/>
                <w:color w:val="auto"/>
              </w:rPr>
            </w:pPr>
            <w:r>
              <w:rPr>
                <w:rFonts w:ascii="Arial" w:cs="Arial" w:eastAsia="Arial" w:hAnsi="Arial"/>
                <w:sz w:val="14"/>
                <w:szCs w:val="14"/>
                <w:color w:val="auto"/>
              </w:rPr>
              <w:t>751.2</w:t>
            </w: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204.4</w:t>
            </w:r>
          </w:p>
        </w:tc>
      </w:tr>
      <w:tr>
        <w:trPr>
          <w:trHeight w:val="177"/>
        </w:trPr>
        <w:tc>
          <w:tcPr>
            <w:tcW w:w="5000" w:type="dxa"/>
            <w:vAlign w:val="bottom"/>
            <w:tcBorders>
              <w:bottom w:val="single" w:sz="8" w:color="E2E8F1"/>
            </w:tcBorders>
            <w:shd w:val="clear" w:color="auto" w:fill="E2E8F1"/>
          </w:tcPr>
          <w:p>
            <w:pPr>
              <w:ind w:left="240"/>
              <w:spacing w:after="0"/>
              <w:rPr>
                <w:sz w:val="20"/>
                <w:szCs w:val="20"/>
                <w:color w:val="auto"/>
              </w:rPr>
            </w:pPr>
            <w:r>
              <w:rPr>
                <w:rFonts w:ascii="Arial" w:cs="Arial" w:eastAsia="Arial" w:hAnsi="Arial"/>
                <w:sz w:val="14"/>
                <w:szCs w:val="14"/>
                <w:color w:val="auto"/>
              </w:rPr>
              <w:t>Other Americas</w:t>
            </w:r>
          </w:p>
        </w:tc>
        <w:tc>
          <w:tcPr>
            <w:tcW w:w="220" w:type="dxa"/>
            <w:vAlign w:val="bottom"/>
            <w:tcBorders>
              <w:bottom w:val="single" w:sz="8" w:color="E2E8F1"/>
            </w:tcBorders>
            <w:shd w:val="clear" w:color="auto" w:fill="E2E8F1"/>
          </w:tcPr>
          <w:p>
            <w:pPr>
              <w:spacing w:after="0"/>
              <w:rPr>
                <w:sz w:val="15"/>
                <w:szCs w:val="15"/>
                <w:color w:val="auto"/>
              </w:rPr>
            </w:pPr>
          </w:p>
        </w:tc>
        <w:tc>
          <w:tcPr>
            <w:tcW w:w="220" w:type="dxa"/>
            <w:vAlign w:val="bottom"/>
            <w:tcBorders>
              <w:bottom w:val="single" w:sz="8" w:color="231F20"/>
            </w:tcBorders>
            <w:shd w:val="clear" w:color="auto" w:fill="E2E8F1"/>
          </w:tcPr>
          <w:p>
            <w:pPr>
              <w:spacing w:after="0"/>
              <w:rPr>
                <w:sz w:val="15"/>
                <w:szCs w:val="15"/>
                <w:color w:val="auto"/>
              </w:rPr>
            </w:pPr>
          </w:p>
        </w:tc>
        <w:tc>
          <w:tcPr>
            <w:tcW w:w="114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auto"/>
              </w:rPr>
              <w:t>1,567.6</w:t>
            </w:r>
          </w:p>
        </w:tc>
        <w:tc>
          <w:tcPr>
            <w:tcW w:w="200" w:type="dxa"/>
            <w:vAlign w:val="bottom"/>
            <w:tcBorders>
              <w:bottom w:val="single" w:sz="8" w:color="E2E8F1"/>
            </w:tcBorders>
            <w:shd w:val="clear" w:color="auto" w:fill="E2E8F1"/>
          </w:tcPr>
          <w:p>
            <w:pPr>
              <w:spacing w:after="0"/>
              <w:rPr>
                <w:sz w:val="15"/>
                <w:szCs w:val="15"/>
                <w:color w:val="auto"/>
              </w:rPr>
            </w:pPr>
          </w:p>
        </w:tc>
        <w:tc>
          <w:tcPr>
            <w:tcW w:w="100" w:type="dxa"/>
            <w:vAlign w:val="bottom"/>
            <w:tcBorders>
              <w:bottom w:val="single" w:sz="8" w:color="231F20"/>
            </w:tcBorders>
            <w:shd w:val="clear" w:color="auto" w:fill="E2E8F1"/>
          </w:tcPr>
          <w:p>
            <w:pPr>
              <w:spacing w:after="0"/>
              <w:rPr>
                <w:sz w:val="15"/>
                <w:szCs w:val="15"/>
                <w:color w:val="auto"/>
              </w:rPr>
            </w:pPr>
          </w:p>
        </w:tc>
        <w:tc>
          <w:tcPr>
            <w:tcW w:w="126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auto"/>
              </w:rPr>
              <w:t>1,324.0</w:t>
            </w:r>
          </w:p>
        </w:tc>
        <w:tc>
          <w:tcPr>
            <w:tcW w:w="180" w:type="dxa"/>
            <w:vAlign w:val="bottom"/>
            <w:tcBorders>
              <w:bottom w:val="single" w:sz="8" w:color="E2E8F1"/>
            </w:tcBorders>
            <w:shd w:val="clear" w:color="auto" w:fill="E2E8F1"/>
          </w:tcPr>
          <w:p>
            <w:pPr>
              <w:spacing w:after="0"/>
              <w:rPr>
                <w:sz w:val="15"/>
                <w:szCs w:val="15"/>
                <w:color w:val="auto"/>
              </w:rPr>
            </w:pPr>
          </w:p>
        </w:tc>
        <w:tc>
          <w:tcPr>
            <w:tcW w:w="140" w:type="dxa"/>
            <w:vAlign w:val="bottom"/>
            <w:tcBorders>
              <w:bottom w:val="single" w:sz="8" w:color="231F20"/>
            </w:tcBorders>
            <w:shd w:val="clear" w:color="auto" w:fill="E2E8F1"/>
          </w:tcPr>
          <w:p>
            <w:pPr>
              <w:spacing w:after="0"/>
              <w:rPr>
                <w:sz w:val="15"/>
                <w:szCs w:val="15"/>
                <w:color w:val="auto"/>
              </w:rPr>
            </w:pPr>
          </w:p>
        </w:tc>
        <w:tc>
          <w:tcPr>
            <w:tcW w:w="1240" w:type="dxa"/>
            <w:vAlign w:val="bottom"/>
            <w:tcBorders>
              <w:bottom w:val="single" w:sz="8" w:color="231F20"/>
            </w:tcBorders>
            <w:shd w:val="clear" w:color="auto" w:fill="E2E8F1"/>
          </w:tcPr>
          <w:p>
            <w:pPr>
              <w:jc w:val="right"/>
              <w:ind w:right="71"/>
              <w:spacing w:after="0"/>
              <w:rPr>
                <w:sz w:val="20"/>
                <w:szCs w:val="20"/>
                <w:color w:val="auto"/>
              </w:rPr>
            </w:pPr>
            <w:r>
              <w:rPr>
                <w:rFonts w:ascii="Arial" w:cs="Arial" w:eastAsia="Arial" w:hAnsi="Arial"/>
                <w:sz w:val="14"/>
                <w:szCs w:val="14"/>
                <w:color w:val="auto"/>
              </w:rPr>
              <w:t>165.4</w:t>
            </w:r>
          </w:p>
        </w:tc>
        <w:tc>
          <w:tcPr>
            <w:tcW w:w="160" w:type="dxa"/>
            <w:vAlign w:val="bottom"/>
            <w:tcBorders>
              <w:bottom w:val="single" w:sz="8" w:color="E2E8F1"/>
            </w:tcBorders>
            <w:shd w:val="clear" w:color="auto" w:fill="E2E8F1"/>
          </w:tcPr>
          <w:p>
            <w:pPr>
              <w:spacing w:after="0"/>
              <w:rPr>
                <w:sz w:val="15"/>
                <w:szCs w:val="15"/>
                <w:color w:val="auto"/>
              </w:rPr>
            </w:pPr>
          </w:p>
        </w:tc>
        <w:tc>
          <w:tcPr>
            <w:tcW w:w="300" w:type="dxa"/>
            <w:vAlign w:val="bottom"/>
            <w:tcBorders>
              <w:bottom w:val="single" w:sz="8" w:color="231F20"/>
            </w:tcBorders>
            <w:shd w:val="clear" w:color="auto" w:fill="E2E8F1"/>
          </w:tcPr>
          <w:p>
            <w:pPr>
              <w:spacing w:after="0"/>
              <w:rPr>
                <w:sz w:val="15"/>
                <w:szCs w:val="15"/>
                <w:color w:val="auto"/>
              </w:rPr>
            </w:pPr>
          </w:p>
        </w:tc>
        <w:tc>
          <w:tcPr>
            <w:tcW w:w="110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78.2</w:t>
            </w:r>
          </w:p>
        </w:tc>
      </w:tr>
      <w:tr>
        <w:trPr>
          <w:trHeight w:val="169"/>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231F20"/>
            </w:tcBorders>
          </w:tcPr>
          <w:p>
            <w:pPr>
              <w:spacing w:after="0"/>
              <w:rPr>
                <w:sz w:val="14"/>
                <w:szCs w:val="14"/>
                <w:color w:val="auto"/>
              </w:rPr>
            </w:pPr>
          </w:p>
        </w:tc>
        <w:tc>
          <w:tcPr>
            <w:tcW w:w="114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4,935.7</w:t>
            </w:r>
          </w:p>
        </w:tc>
        <w:tc>
          <w:tcPr>
            <w:tcW w:w="20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126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3,736.5</w:t>
            </w:r>
          </w:p>
        </w:tc>
        <w:tc>
          <w:tcPr>
            <w:tcW w:w="180" w:type="dxa"/>
            <w:vAlign w:val="bottom"/>
          </w:tcPr>
          <w:p>
            <w:pPr>
              <w:spacing w:after="0"/>
              <w:rPr>
                <w:sz w:val="14"/>
                <w:szCs w:val="14"/>
                <w:color w:val="auto"/>
              </w:rPr>
            </w:pPr>
          </w:p>
        </w:tc>
        <w:tc>
          <w:tcPr>
            <w:tcW w:w="140" w:type="dxa"/>
            <w:vAlign w:val="bottom"/>
            <w:tcBorders>
              <w:bottom w:val="single" w:sz="8" w:color="231F20"/>
            </w:tcBorders>
          </w:tcPr>
          <w:p>
            <w:pPr>
              <w:spacing w:after="0"/>
              <w:rPr>
                <w:sz w:val="14"/>
                <w:szCs w:val="14"/>
                <w:color w:val="auto"/>
              </w:rPr>
            </w:pPr>
          </w:p>
        </w:tc>
        <w:tc>
          <w:tcPr>
            <w:tcW w:w="1240" w:type="dxa"/>
            <w:vAlign w:val="bottom"/>
            <w:tcBorders>
              <w:bottom w:val="single" w:sz="8" w:color="231F20"/>
            </w:tcBorders>
          </w:tcPr>
          <w:p>
            <w:pPr>
              <w:jc w:val="right"/>
              <w:ind w:right="71"/>
              <w:spacing w:after="0"/>
              <w:rPr>
                <w:sz w:val="20"/>
                <w:szCs w:val="20"/>
                <w:color w:val="auto"/>
              </w:rPr>
            </w:pPr>
            <w:r>
              <w:rPr>
                <w:rFonts w:ascii="Arial" w:cs="Arial" w:eastAsia="Arial" w:hAnsi="Arial"/>
                <w:sz w:val="14"/>
                <w:szCs w:val="14"/>
                <w:color w:val="auto"/>
              </w:rPr>
              <w:t>916.6</w:t>
            </w:r>
          </w:p>
        </w:tc>
        <w:tc>
          <w:tcPr>
            <w:tcW w:w="160" w:type="dxa"/>
            <w:vAlign w:val="bottom"/>
          </w:tcPr>
          <w:p>
            <w:pPr>
              <w:spacing w:after="0"/>
              <w:rPr>
                <w:sz w:val="14"/>
                <w:szCs w:val="14"/>
                <w:color w:val="auto"/>
              </w:rPr>
            </w:pPr>
          </w:p>
        </w:tc>
        <w:tc>
          <w:tcPr>
            <w:tcW w:w="300" w:type="dxa"/>
            <w:vAlign w:val="bottom"/>
            <w:tcBorders>
              <w:bottom w:val="single" w:sz="8" w:color="231F20"/>
            </w:tcBorders>
          </w:tcPr>
          <w:p>
            <w:pPr>
              <w:spacing w:after="0"/>
              <w:rPr>
                <w:sz w:val="14"/>
                <w:szCs w:val="14"/>
                <w:color w:val="auto"/>
              </w:rPr>
            </w:pPr>
          </w:p>
        </w:tc>
        <w:tc>
          <w:tcPr>
            <w:tcW w:w="110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282.6</w:t>
            </w:r>
          </w:p>
        </w:tc>
      </w:tr>
      <w:tr>
        <w:trPr>
          <w:trHeight w:val="181"/>
        </w:trPr>
        <w:tc>
          <w:tcPr>
            <w:tcW w:w="5000" w:type="dxa"/>
            <w:vAlign w:val="bottom"/>
            <w:shd w:val="clear" w:color="auto" w:fill="E2E8F1"/>
          </w:tcPr>
          <w:p>
            <w:pPr>
              <w:ind w:left="80"/>
              <w:spacing w:after="0"/>
              <w:rPr>
                <w:sz w:val="20"/>
                <w:szCs w:val="20"/>
                <w:color w:val="auto"/>
              </w:rPr>
            </w:pPr>
            <w:r>
              <w:rPr>
                <w:rFonts w:ascii="Arial" w:cs="Arial" w:eastAsia="Arial" w:hAnsi="Arial"/>
                <w:sz w:val="14"/>
                <w:szCs w:val="14"/>
                <w:color w:val="auto"/>
              </w:rPr>
              <w:t>Southern Europe:</w:t>
            </w:r>
          </w:p>
        </w:tc>
        <w:tc>
          <w:tcPr>
            <w:tcW w:w="220" w:type="dxa"/>
            <w:vAlign w:val="bottom"/>
            <w:shd w:val="clear" w:color="auto" w:fill="E2E8F1"/>
          </w:tcPr>
          <w:p>
            <w:pPr>
              <w:spacing w:after="0"/>
              <w:rPr>
                <w:sz w:val="15"/>
                <w:szCs w:val="15"/>
                <w:color w:val="auto"/>
              </w:rPr>
            </w:pPr>
          </w:p>
        </w:tc>
        <w:tc>
          <w:tcPr>
            <w:tcW w:w="220" w:type="dxa"/>
            <w:vAlign w:val="bottom"/>
            <w:shd w:val="clear" w:color="auto" w:fill="E2E8F1"/>
          </w:tcPr>
          <w:p>
            <w:pPr>
              <w:spacing w:after="0"/>
              <w:rPr>
                <w:sz w:val="15"/>
                <w:szCs w:val="15"/>
                <w:color w:val="auto"/>
              </w:rPr>
            </w:pPr>
          </w:p>
        </w:tc>
        <w:tc>
          <w:tcPr>
            <w:tcW w:w="114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126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1240" w:type="dxa"/>
            <w:vAlign w:val="bottom"/>
            <w:shd w:val="clear" w:color="auto" w:fill="E2E8F1"/>
          </w:tcPr>
          <w:p>
            <w:pPr>
              <w:spacing w:after="0"/>
              <w:rPr>
                <w:sz w:val="15"/>
                <w:szCs w:val="15"/>
                <w:color w:val="auto"/>
              </w:rPr>
            </w:pPr>
          </w:p>
        </w:tc>
        <w:tc>
          <w:tcPr>
            <w:tcW w:w="16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1100" w:type="dxa"/>
            <w:vAlign w:val="bottom"/>
            <w:shd w:val="clear" w:color="auto" w:fill="E2E8F1"/>
          </w:tcPr>
          <w:p>
            <w:pPr>
              <w:spacing w:after="0"/>
              <w:rPr>
                <w:sz w:val="15"/>
                <w:szCs w:val="15"/>
                <w:color w:val="auto"/>
              </w:rPr>
            </w:pPr>
          </w:p>
        </w:tc>
      </w:tr>
      <w:tr>
        <w:trPr>
          <w:trHeight w:val="189"/>
        </w:trPr>
        <w:tc>
          <w:tcPr>
            <w:tcW w:w="5000" w:type="dxa"/>
            <w:vAlign w:val="bottom"/>
          </w:tcPr>
          <w:p>
            <w:pPr>
              <w:ind w:left="240"/>
              <w:spacing w:after="0"/>
              <w:rPr>
                <w:sz w:val="20"/>
                <w:szCs w:val="20"/>
                <w:color w:val="auto"/>
              </w:rPr>
            </w:pPr>
            <w:r>
              <w:rPr>
                <w:rFonts w:ascii="Arial" w:cs="Arial" w:eastAsia="Arial" w:hAnsi="Arial"/>
                <w:sz w:val="14"/>
                <w:szCs w:val="14"/>
                <w:color w:val="auto"/>
              </w:rPr>
              <w:t>France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4,785.0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4,077.2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71"/>
              <w:spacing w:after="0"/>
              <w:rPr>
                <w:sz w:val="20"/>
                <w:szCs w:val="20"/>
                <w:color w:val="auto"/>
              </w:rPr>
            </w:pPr>
            <w:r>
              <w:rPr>
                <w:rFonts w:ascii="Arial" w:cs="Arial" w:eastAsia="Arial" w:hAnsi="Arial"/>
                <w:sz w:val="14"/>
                <w:szCs w:val="14"/>
                <w:color w:val="auto"/>
              </w:rPr>
              <w:t>481.1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226.7</w:t>
            </w:r>
          </w:p>
        </w:tc>
      </w:tr>
      <w:tr>
        <w:trPr>
          <w:trHeight w:val="189"/>
        </w:trPr>
        <w:tc>
          <w:tcPr>
            <w:tcW w:w="5000" w:type="dxa"/>
            <w:vAlign w:val="bottom"/>
            <w:shd w:val="clear" w:color="auto" w:fill="E2E8F1"/>
          </w:tcPr>
          <w:p>
            <w:pPr>
              <w:ind w:left="240"/>
              <w:spacing w:after="0"/>
              <w:rPr>
                <w:sz w:val="20"/>
                <w:szCs w:val="20"/>
                <w:color w:val="auto"/>
              </w:rPr>
            </w:pPr>
            <w:r>
              <w:rPr>
                <w:rFonts w:ascii="Arial" w:cs="Arial" w:eastAsia="Arial" w:hAnsi="Arial"/>
                <w:sz w:val="14"/>
                <w:szCs w:val="14"/>
                <w:color w:val="auto"/>
              </w:rPr>
              <w:t>Italy</w:t>
            </w:r>
          </w:p>
        </w:tc>
        <w:tc>
          <w:tcPr>
            <w:tcW w:w="22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114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auto"/>
              </w:rPr>
              <w:t>1,706.9</w:t>
            </w:r>
          </w:p>
        </w:tc>
        <w:tc>
          <w:tcPr>
            <w:tcW w:w="20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1260" w:type="dxa"/>
            <w:vAlign w:val="bottom"/>
            <w:shd w:val="clear" w:color="auto" w:fill="E2E8F1"/>
          </w:tcPr>
          <w:p>
            <w:pPr>
              <w:jc w:val="right"/>
              <w:ind w:right="50"/>
              <w:spacing w:after="0"/>
              <w:rPr>
                <w:sz w:val="20"/>
                <w:szCs w:val="20"/>
                <w:color w:val="auto"/>
              </w:rPr>
            </w:pPr>
            <w:r>
              <w:rPr>
                <w:rFonts w:ascii="Arial" w:cs="Arial" w:eastAsia="Arial" w:hAnsi="Arial"/>
                <w:sz w:val="14"/>
                <w:szCs w:val="14"/>
                <w:color w:val="auto"/>
              </w:rPr>
              <w:t>1,431.6</w:t>
            </w:r>
          </w:p>
        </w:tc>
        <w:tc>
          <w:tcPr>
            <w:tcW w:w="18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1240" w:type="dxa"/>
            <w:vAlign w:val="bottom"/>
            <w:shd w:val="clear" w:color="auto" w:fill="E2E8F1"/>
          </w:tcPr>
          <w:p>
            <w:pPr>
              <w:jc w:val="right"/>
              <w:ind w:right="71"/>
              <w:spacing w:after="0"/>
              <w:rPr>
                <w:sz w:val="20"/>
                <w:szCs w:val="20"/>
                <w:color w:val="auto"/>
              </w:rPr>
            </w:pPr>
            <w:r>
              <w:rPr>
                <w:rFonts w:ascii="Arial" w:cs="Arial" w:eastAsia="Arial" w:hAnsi="Arial"/>
                <w:sz w:val="14"/>
                <w:szCs w:val="14"/>
                <w:color w:val="auto"/>
              </w:rPr>
              <w:t>152.4</w:t>
            </w:r>
          </w:p>
        </w:tc>
        <w:tc>
          <w:tcPr>
            <w:tcW w:w="16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11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122.9</w:t>
            </w:r>
          </w:p>
        </w:tc>
      </w:tr>
      <w:tr>
        <w:trPr>
          <w:trHeight w:val="177"/>
        </w:trPr>
        <w:tc>
          <w:tcPr>
            <w:tcW w:w="5000" w:type="dxa"/>
            <w:vAlign w:val="bottom"/>
          </w:tcPr>
          <w:p>
            <w:pPr>
              <w:ind w:left="240"/>
              <w:spacing w:after="0"/>
              <w:rPr>
                <w:sz w:val="20"/>
                <w:szCs w:val="20"/>
                <w:color w:val="auto"/>
              </w:rPr>
            </w:pPr>
            <w:r>
              <w:rPr>
                <w:rFonts w:ascii="Arial" w:cs="Arial" w:eastAsia="Arial" w:hAnsi="Arial"/>
                <w:sz w:val="14"/>
                <w:szCs w:val="14"/>
                <w:color w:val="auto"/>
              </w:rPr>
              <w:t>Other Southern Europe</w:t>
            </w:r>
          </w:p>
        </w:tc>
        <w:tc>
          <w:tcPr>
            <w:tcW w:w="220" w:type="dxa"/>
            <w:vAlign w:val="bottom"/>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114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2,044.4</w:t>
            </w:r>
          </w:p>
        </w:tc>
        <w:tc>
          <w:tcPr>
            <w:tcW w:w="20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26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1,756.8</w:t>
            </w:r>
          </w:p>
        </w:tc>
        <w:tc>
          <w:tcPr>
            <w:tcW w:w="18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jc w:val="right"/>
              <w:ind w:right="71"/>
              <w:spacing w:after="0"/>
              <w:rPr>
                <w:sz w:val="20"/>
                <w:szCs w:val="20"/>
                <w:color w:val="auto"/>
              </w:rPr>
            </w:pPr>
            <w:r>
              <w:rPr>
                <w:rFonts w:ascii="Arial" w:cs="Arial" w:eastAsia="Arial" w:hAnsi="Arial"/>
                <w:sz w:val="14"/>
                <w:szCs w:val="14"/>
                <w:color w:val="auto"/>
              </w:rPr>
              <w:t>224.2</w:t>
            </w:r>
          </w:p>
        </w:tc>
        <w:tc>
          <w:tcPr>
            <w:tcW w:w="160" w:type="dxa"/>
            <w:vAlign w:val="bottom"/>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63.4</w:t>
            </w:r>
          </w:p>
        </w:tc>
      </w:tr>
      <w:tr>
        <w:trPr>
          <w:trHeight w:val="169"/>
        </w:trPr>
        <w:tc>
          <w:tcPr>
            <w:tcW w:w="5000" w:type="dxa"/>
            <w:vAlign w:val="bottom"/>
            <w:tcBorders>
              <w:bottom w:val="single" w:sz="8" w:color="E2E8F1"/>
            </w:tcBorders>
            <w:shd w:val="clear" w:color="auto" w:fill="E2E8F1"/>
          </w:tcPr>
          <w:p>
            <w:pPr>
              <w:spacing w:after="0"/>
              <w:rPr>
                <w:sz w:val="14"/>
                <w:szCs w:val="14"/>
                <w:color w:val="auto"/>
              </w:rPr>
            </w:pPr>
          </w:p>
        </w:tc>
        <w:tc>
          <w:tcPr>
            <w:tcW w:w="220" w:type="dxa"/>
            <w:vAlign w:val="bottom"/>
            <w:tcBorders>
              <w:bottom w:val="single" w:sz="8" w:color="E2E8F1"/>
            </w:tcBorders>
            <w:shd w:val="clear" w:color="auto" w:fill="E2E8F1"/>
          </w:tcPr>
          <w:p>
            <w:pPr>
              <w:spacing w:after="0"/>
              <w:rPr>
                <w:sz w:val="14"/>
                <w:szCs w:val="14"/>
                <w:color w:val="auto"/>
              </w:rPr>
            </w:pPr>
          </w:p>
        </w:tc>
        <w:tc>
          <w:tcPr>
            <w:tcW w:w="220" w:type="dxa"/>
            <w:vAlign w:val="bottom"/>
            <w:tcBorders>
              <w:bottom w:val="single" w:sz="8" w:color="231F20"/>
            </w:tcBorders>
            <w:shd w:val="clear" w:color="auto" w:fill="E2E8F1"/>
          </w:tcPr>
          <w:p>
            <w:pPr>
              <w:spacing w:after="0"/>
              <w:rPr>
                <w:sz w:val="14"/>
                <w:szCs w:val="14"/>
                <w:color w:val="auto"/>
              </w:rPr>
            </w:pPr>
          </w:p>
        </w:tc>
        <w:tc>
          <w:tcPr>
            <w:tcW w:w="114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auto"/>
              </w:rPr>
              <w:t>8,536.3</w:t>
            </w:r>
          </w:p>
        </w:tc>
        <w:tc>
          <w:tcPr>
            <w:tcW w:w="2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231F20"/>
            </w:tcBorders>
            <w:shd w:val="clear" w:color="auto" w:fill="E2E8F1"/>
          </w:tcPr>
          <w:p>
            <w:pPr>
              <w:spacing w:after="0"/>
              <w:rPr>
                <w:sz w:val="14"/>
                <w:szCs w:val="14"/>
                <w:color w:val="auto"/>
              </w:rPr>
            </w:pPr>
          </w:p>
        </w:tc>
        <w:tc>
          <w:tcPr>
            <w:tcW w:w="126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auto"/>
              </w:rPr>
              <w:t>7,265.6</w:t>
            </w:r>
          </w:p>
        </w:tc>
        <w:tc>
          <w:tcPr>
            <w:tcW w:w="18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231F20"/>
            </w:tcBorders>
            <w:shd w:val="clear" w:color="auto" w:fill="E2E8F1"/>
          </w:tcPr>
          <w:p>
            <w:pPr>
              <w:spacing w:after="0"/>
              <w:rPr>
                <w:sz w:val="14"/>
                <w:szCs w:val="14"/>
                <w:color w:val="auto"/>
              </w:rPr>
            </w:pPr>
          </w:p>
        </w:tc>
        <w:tc>
          <w:tcPr>
            <w:tcW w:w="1240" w:type="dxa"/>
            <w:vAlign w:val="bottom"/>
            <w:tcBorders>
              <w:bottom w:val="single" w:sz="8" w:color="231F20"/>
            </w:tcBorders>
            <w:shd w:val="clear" w:color="auto" w:fill="E2E8F1"/>
          </w:tcPr>
          <w:p>
            <w:pPr>
              <w:jc w:val="right"/>
              <w:ind w:right="71"/>
              <w:spacing w:after="0"/>
              <w:rPr>
                <w:sz w:val="20"/>
                <w:szCs w:val="20"/>
                <w:color w:val="auto"/>
              </w:rPr>
            </w:pPr>
            <w:r>
              <w:rPr>
                <w:rFonts w:ascii="Arial" w:cs="Arial" w:eastAsia="Arial" w:hAnsi="Arial"/>
                <w:sz w:val="14"/>
                <w:szCs w:val="14"/>
                <w:color w:val="auto"/>
              </w:rPr>
              <w:t>857.7</w:t>
            </w:r>
          </w:p>
        </w:tc>
        <w:tc>
          <w:tcPr>
            <w:tcW w:w="16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231F20"/>
            </w:tcBorders>
            <w:shd w:val="clear" w:color="auto" w:fill="E2E8F1"/>
          </w:tcPr>
          <w:p>
            <w:pPr>
              <w:spacing w:after="0"/>
              <w:rPr>
                <w:sz w:val="14"/>
                <w:szCs w:val="14"/>
                <w:color w:val="auto"/>
              </w:rPr>
            </w:pPr>
          </w:p>
        </w:tc>
        <w:tc>
          <w:tcPr>
            <w:tcW w:w="110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413.0</w:t>
            </w:r>
          </w:p>
        </w:tc>
      </w:tr>
      <w:tr>
        <w:trPr>
          <w:trHeight w:val="181"/>
        </w:trPr>
        <w:tc>
          <w:tcPr>
            <w:tcW w:w="5000" w:type="dxa"/>
            <w:vAlign w:val="bottom"/>
          </w:tcPr>
          <w:p>
            <w:pPr>
              <w:ind w:left="80"/>
              <w:spacing w:after="0"/>
              <w:rPr>
                <w:sz w:val="20"/>
                <w:szCs w:val="20"/>
                <w:color w:val="auto"/>
              </w:rPr>
            </w:pPr>
            <w:r>
              <w:rPr>
                <w:rFonts w:ascii="Arial" w:cs="Arial" w:eastAsia="Arial" w:hAnsi="Arial"/>
                <w:sz w:val="14"/>
                <w:szCs w:val="14"/>
                <w:color w:val="auto"/>
              </w:rPr>
              <w:t>Northern Europe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4,048.3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3,344.6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71"/>
              <w:spacing w:after="0"/>
              <w:rPr>
                <w:sz w:val="20"/>
                <w:szCs w:val="20"/>
                <w:color w:val="auto"/>
              </w:rPr>
            </w:pPr>
            <w:r>
              <w:rPr>
                <w:rFonts w:ascii="Arial" w:cs="Arial" w:eastAsia="Arial" w:hAnsi="Arial"/>
                <w:sz w:val="14"/>
                <w:szCs w:val="14"/>
                <w:color w:val="auto"/>
              </w:rPr>
              <w:t>661.3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42.4</w:t>
            </w:r>
          </w:p>
        </w:tc>
      </w:tr>
      <w:tr>
        <w:trPr>
          <w:trHeight w:val="177"/>
        </w:trPr>
        <w:tc>
          <w:tcPr>
            <w:tcW w:w="5000" w:type="dxa"/>
            <w:vAlign w:val="bottom"/>
            <w:tcBorders>
              <w:bottom w:val="single" w:sz="8" w:color="E2E8F1"/>
            </w:tcBorders>
            <w:shd w:val="clear" w:color="auto" w:fill="E2E8F1"/>
          </w:tcPr>
          <w:p>
            <w:pPr>
              <w:ind w:left="80"/>
              <w:spacing w:after="0"/>
              <w:rPr>
                <w:sz w:val="20"/>
                <w:szCs w:val="20"/>
                <w:color w:val="auto"/>
              </w:rPr>
            </w:pPr>
            <w:r>
              <w:rPr>
                <w:rFonts w:ascii="Arial" w:cs="Arial" w:eastAsia="Arial" w:hAnsi="Arial"/>
                <w:sz w:val="14"/>
                <w:szCs w:val="14"/>
                <w:color w:val="auto"/>
              </w:rPr>
              <w:t>APME</w:t>
            </w:r>
          </w:p>
        </w:tc>
        <w:tc>
          <w:tcPr>
            <w:tcW w:w="220" w:type="dxa"/>
            <w:vAlign w:val="bottom"/>
            <w:tcBorders>
              <w:bottom w:val="single" w:sz="8" w:color="E2E8F1"/>
            </w:tcBorders>
            <w:shd w:val="clear" w:color="auto" w:fill="E2E8F1"/>
          </w:tcPr>
          <w:p>
            <w:pPr>
              <w:spacing w:after="0"/>
              <w:rPr>
                <w:sz w:val="15"/>
                <w:szCs w:val="15"/>
                <w:color w:val="auto"/>
              </w:rPr>
            </w:pPr>
          </w:p>
        </w:tc>
        <w:tc>
          <w:tcPr>
            <w:tcW w:w="220" w:type="dxa"/>
            <w:vAlign w:val="bottom"/>
            <w:tcBorders>
              <w:bottom w:val="single" w:sz="8" w:color="231F20"/>
            </w:tcBorders>
            <w:shd w:val="clear" w:color="auto" w:fill="E2E8F1"/>
          </w:tcPr>
          <w:p>
            <w:pPr>
              <w:spacing w:after="0"/>
              <w:rPr>
                <w:sz w:val="15"/>
                <w:szCs w:val="15"/>
                <w:color w:val="auto"/>
              </w:rPr>
            </w:pPr>
          </w:p>
        </w:tc>
        <w:tc>
          <w:tcPr>
            <w:tcW w:w="114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auto"/>
              </w:rPr>
              <w:t>2,387.3</w:t>
            </w:r>
          </w:p>
        </w:tc>
        <w:tc>
          <w:tcPr>
            <w:tcW w:w="200" w:type="dxa"/>
            <w:vAlign w:val="bottom"/>
            <w:tcBorders>
              <w:bottom w:val="single" w:sz="8" w:color="E2E8F1"/>
            </w:tcBorders>
            <w:shd w:val="clear" w:color="auto" w:fill="E2E8F1"/>
          </w:tcPr>
          <w:p>
            <w:pPr>
              <w:spacing w:after="0"/>
              <w:rPr>
                <w:sz w:val="15"/>
                <w:szCs w:val="15"/>
                <w:color w:val="auto"/>
              </w:rPr>
            </w:pPr>
          </w:p>
        </w:tc>
        <w:tc>
          <w:tcPr>
            <w:tcW w:w="100" w:type="dxa"/>
            <w:vAlign w:val="bottom"/>
            <w:tcBorders>
              <w:bottom w:val="single" w:sz="8" w:color="231F20"/>
            </w:tcBorders>
            <w:shd w:val="clear" w:color="auto" w:fill="E2E8F1"/>
          </w:tcPr>
          <w:p>
            <w:pPr>
              <w:spacing w:after="0"/>
              <w:rPr>
                <w:sz w:val="15"/>
                <w:szCs w:val="15"/>
                <w:color w:val="auto"/>
              </w:rPr>
            </w:pPr>
          </w:p>
        </w:tc>
        <w:tc>
          <w:tcPr>
            <w:tcW w:w="1260" w:type="dxa"/>
            <w:vAlign w:val="bottom"/>
            <w:tcBorders>
              <w:bottom w:val="single" w:sz="8" w:color="231F20"/>
            </w:tcBorders>
            <w:shd w:val="clear" w:color="auto" w:fill="E2E8F1"/>
          </w:tcPr>
          <w:p>
            <w:pPr>
              <w:jc w:val="right"/>
              <w:ind w:right="50"/>
              <w:spacing w:after="0"/>
              <w:rPr>
                <w:sz w:val="20"/>
                <w:szCs w:val="20"/>
                <w:color w:val="auto"/>
              </w:rPr>
            </w:pPr>
            <w:r>
              <w:rPr>
                <w:rFonts w:ascii="Arial" w:cs="Arial" w:eastAsia="Arial" w:hAnsi="Arial"/>
                <w:sz w:val="14"/>
                <w:szCs w:val="14"/>
                <w:color w:val="auto"/>
              </w:rPr>
              <w:t>1,988.6</w:t>
            </w:r>
          </w:p>
        </w:tc>
        <w:tc>
          <w:tcPr>
            <w:tcW w:w="180" w:type="dxa"/>
            <w:vAlign w:val="bottom"/>
            <w:tcBorders>
              <w:bottom w:val="single" w:sz="8" w:color="E2E8F1"/>
            </w:tcBorders>
            <w:shd w:val="clear" w:color="auto" w:fill="E2E8F1"/>
          </w:tcPr>
          <w:p>
            <w:pPr>
              <w:spacing w:after="0"/>
              <w:rPr>
                <w:sz w:val="15"/>
                <w:szCs w:val="15"/>
                <w:color w:val="auto"/>
              </w:rPr>
            </w:pPr>
          </w:p>
        </w:tc>
        <w:tc>
          <w:tcPr>
            <w:tcW w:w="140" w:type="dxa"/>
            <w:vAlign w:val="bottom"/>
            <w:tcBorders>
              <w:bottom w:val="single" w:sz="8" w:color="231F20"/>
            </w:tcBorders>
            <w:shd w:val="clear" w:color="auto" w:fill="E2E8F1"/>
          </w:tcPr>
          <w:p>
            <w:pPr>
              <w:spacing w:after="0"/>
              <w:rPr>
                <w:sz w:val="15"/>
                <w:szCs w:val="15"/>
                <w:color w:val="auto"/>
              </w:rPr>
            </w:pPr>
          </w:p>
        </w:tc>
        <w:tc>
          <w:tcPr>
            <w:tcW w:w="1240" w:type="dxa"/>
            <w:vAlign w:val="bottom"/>
            <w:tcBorders>
              <w:bottom w:val="single" w:sz="8" w:color="231F20"/>
            </w:tcBorders>
            <w:shd w:val="clear" w:color="auto" w:fill="E2E8F1"/>
          </w:tcPr>
          <w:p>
            <w:pPr>
              <w:jc w:val="right"/>
              <w:ind w:right="71"/>
              <w:spacing w:after="0"/>
              <w:rPr>
                <w:sz w:val="20"/>
                <w:szCs w:val="20"/>
                <w:color w:val="auto"/>
              </w:rPr>
            </w:pPr>
            <w:r>
              <w:rPr>
                <w:rFonts w:ascii="Arial" w:cs="Arial" w:eastAsia="Arial" w:hAnsi="Arial"/>
                <w:sz w:val="14"/>
                <w:szCs w:val="14"/>
                <w:color w:val="auto"/>
              </w:rPr>
              <w:t>310.9</w:t>
            </w:r>
          </w:p>
        </w:tc>
        <w:tc>
          <w:tcPr>
            <w:tcW w:w="160" w:type="dxa"/>
            <w:vAlign w:val="bottom"/>
            <w:tcBorders>
              <w:bottom w:val="single" w:sz="8" w:color="E2E8F1"/>
            </w:tcBorders>
            <w:shd w:val="clear" w:color="auto" w:fill="E2E8F1"/>
          </w:tcPr>
          <w:p>
            <w:pPr>
              <w:spacing w:after="0"/>
              <w:rPr>
                <w:sz w:val="15"/>
                <w:szCs w:val="15"/>
                <w:color w:val="auto"/>
              </w:rPr>
            </w:pPr>
          </w:p>
        </w:tc>
        <w:tc>
          <w:tcPr>
            <w:tcW w:w="300" w:type="dxa"/>
            <w:vAlign w:val="bottom"/>
            <w:tcBorders>
              <w:bottom w:val="single" w:sz="8" w:color="231F20"/>
            </w:tcBorders>
            <w:shd w:val="clear" w:color="auto" w:fill="E2E8F1"/>
          </w:tcPr>
          <w:p>
            <w:pPr>
              <w:spacing w:after="0"/>
              <w:rPr>
                <w:sz w:val="15"/>
                <w:szCs w:val="15"/>
                <w:color w:val="auto"/>
              </w:rPr>
            </w:pPr>
          </w:p>
        </w:tc>
        <w:tc>
          <w:tcPr>
            <w:tcW w:w="110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87.8</w:t>
            </w:r>
          </w:p>
        </w:tc>
      </w:tr>
      <w:tr>
        <w:trPr>
          <w:trHeight w:val="169"/>
        </w:trPr>
        <w:tc>
          <w:tcPr>
            <w:tcW w:w="5000" w:type="dxa"/>
            <w:vAlign w:val="bottom"/>
          </w:tcPr>
          <w:p>
            <w:pPr>
              <w:ind w:left="160"/>
              <w:spacing w:after="0"/>
              <w:rPr>
                <w:sz w:val="20"/>
                <w:szCs w:val="20"/>
                <w:color w:val="auto"/>
              </w:rPr>
            </w:pPr>
            <w:r>
              <w:rPr>
                <w:rFonts w:ascii="Arial" w:cs="Arial" w:eastAsia="Arial" w:hAnsi="Arial"/>
                <w:sz w:val="14"/>
                <w:szCs w:val="14"/>
                <w:color w:val="auto"/>
              </w:rPr>
              <w:t>Total Segments</w:t>
            </w:r>
          </w:p>
        </w:tc>
        <w:tc>
          <w:tcPr>
            <w:tcW w:w="220" w:type="dxa"/>
            <w:vAlign w:val="bottom"/>
          </w:tcPr>
          <w:p>
            <w:pPr>
              <w:spacing w:after="0"/>
              <w:rPr>
                <w:sz w:val="14"/>
                <w:szCs w:val="14"/>
                <w:color w:val="auto"/>
              </w:rPr>
            </w:pPr>
          </w:p>
        </w:tc>
        <w:tc>
          <w:tcPr>
            <w:tcW w:w="220" w:type="dxa"/>
            <w:vAlign w:val="bottom"/>
            <w:tcBorders>
              <w:bottom w:val="single" w:sz="8" w:color="231F20"/>
            </w:tcBorders>
          </w:tcPr>
          <w:p>
            <w:pPr>
              <w:spacing w:after="0"/>
              <w:rPr>
                <w:sz w:val="14"/>
                <w:szCs w:val="14"/>
                <w:color w:val="auto"/>
              </w:rPr>
            </w:pPr>
          </w:p>
        </w:tc>
        <w:tc>
          <w:tcPr>
            <w:tcW w:w="114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19,907.6</w:t>
            </w:r>
          </w:p>
        </w:tc>
        <w:tc>
          <w:tcPr>
            <w:tcW w:w="20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1260" w:type="dxa"/>
            <w:vAlign w:val="bottom"/>
            <w:tcBorders>
              <w:bottom w:val="single" w:sz="8" w:color="231F20"/>
            </w:tcBorders>
          </w:tcPr>
          <w:p>
            <w:pPr>
              <w:jc w:val="right"/>
              <w:ind w:right="50"/>
              <w:spacing w:after="0"/>
              <w:rPr>
                <w:sz w:val="20"/>
                <w:szCs w:val="20"/>
                <w:color w:val="auto"/>
              </w:rPr>
            </w:pPr>
            <w:r>
              <w:rPr>
                <w:rFonts w:ascii="Arial" w:cs="Arial" w:eastAsia="Arial" w:hAnsi="Arial"/>
                <w:sz w:val="14"/>
                <w:szCs w:val="14"/>
                <w:color w:val="auto"/>
              </w:rPr>
              <w:t>16,335.3</w:t>
            </w:r>
          </w:p>
        </w:tc>
        <w:tc>
          <w:tcPr>
            <w:tcW w:w="180" w:type="dxa"/>
            <w:vAlign w:val="bottom"/>
          </w:tcPr>
          <w:p>
            <w:pPr>
              <w:spacing w:after="0"/>
              <w:rPr>
                <w:sz w:val="14"/>
                <w:szCs w:val="14"/>
                <w:color w:val="auto"/>
              </w:rPr>
            </w:pPr>
          </w:p>
        </w:tc>
        <w:tc>
          <w:tcPr>
            <w:tcW w:w="140" w:type="dxa"/>
            <w:vAlign w:val="bottom"/>
            <w:tcBorders>
              <w:bottom w:val="single" w:sz="8" w:color="231F20"/>
            </w:tcBorders>
          </w:tcPr>
          <w:p>
            <w:pPr>
              <w:spacing w:after="0"/>
              <w:rPr>
                <w:sz w:val="14"/>
                <w:szCs w:val="14"/>
                <w:color w:val="auto"/>
              </w:rPr>
            </w:pPr>
          </w:p>
        </w:tc>
        <w:tc>
          <w:tcPr>
            <w:tcW w:w="1240" w:type="dxa"/>
            <w:vAlign w:val="bottom"/>
            <w:tcBorders>
              <w:bottom w:val="single" w:sz="8" w:color="231F20"/>
            </w:tcBorders>
          </w:tcPr>
          <w:p>
            <w:pPr>
              <w:jc w:val="right"/>
              <w:ind w:right="71"/>
              <w:spacing w:after="0"/>
              <w:rPr>
                <w:sz w:val="20"/>
                <w:szCs w:val="20"/>
                <w:color w:val="auto"/>
              </w:rPr>
            </w:pPr>
            <w:r>
              <w:rPr>
                <w:rFonts w:ascii="Arial" w:cs="Arial" w:eastAsia="Arial" w:hAnsi="Arial"/>
                <w:sz w:val="14"/>
                <w:szCs w:val="14"/>
                <w:color w:val="auto"/>
              </w:rPr>
              <w:t>2,746.5</w:t>
            </w:r>
          </w:p>
        </w:tc>
        <w:tc>
          <w:tcPr>
            <w:tcW w:w="160" w:type="dxa"/>
            <w:vAlign w:val="bottom"/>
          </w:tcPr>
          <w:p>
            <w:pPr>
              <w:spacing w:after="0"/>
              <w:rPr>
                <w:sz w:val="14"/>
                <w:szCs w:val="14"/>
                <w:color w:val="auto"/>
              </w:rPr>
            </w:pPr>
          </w:p>
        </w:tc>
        <w:tc>
          <w:tcPr>
            <w:tcW w:w="300" w:type="dxa"/>
            <w:vAlign w:val="bottom"/>
            <w:tcBorders>
              <w:bottom w:val="single" w:sz="8" w:color="231F20"/>
            </w:tcBorders>
          </w:tcPr>
          <w:p>
            <w:pPr>
              <w:spacing w:after="0"/>
              <w:rPr>
                <w:sz w:val="14"/>
                <w:szCs w:val="14"/>
                <w:color w:val="auto"/>
              </w:rPr>
            </w:pPr>
          </w:p>
        </w:tc>
        <w:tc>
          <w:tcPr>
            <w:tcW w:w="110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825.8</w:t>
            </w:r>
          </w:p>
        </w:tc>
      </w:tr>
      <w:tr>
        <w:trPr>
          <w:trHeight w:val="169"/>
        </w:trPr>
        <w:tc>
          <w:tcPr>
            <w:tcW w:w="5000" w:type="dxa"/>
            <w:vAlign w:val="bottom"/>
            <w:tcBorders>
              <w:bottom w:val="single" w:sz="8" w:color="E2E8F1"/>
            </w:tcBorders>
            <w:shd w:val="clear" w:color="auto" w:fill="E2E8F1"/>
          </w:tcPr>
          <w:p>
            <w:pPr>
              <w:ind w:left="80"/>
              <w:spacing w:after="0"/>
              <w:rPr>
                <w:sz w:val="20"/>
                <w:szCs w:val="20"/>
                <w:color w:val="auto"/>
              </w:rPr>
            </w:pPr>
            <w:r>
              <w:rPr>
                <w:rFonts w:ascii="Arial" w:cs="Arial" w:eastAsia="Arial" w:hAnsi="Arial"/>
                <w:sz w:val="14"/>
                <w:szCs w:val="14"/>
                <w:color w:val="auto"/>
              </w:rPr>
              <w:t>Intercompany Eliminations</w:t>
            </w:r>
          </w:p>
        </w:tc>
        <w:tc>
          <w:tcPr>
            <w:tcW w:w="220" w:type="dxa"/>
            <w:vAlign w:val="bottom"/>
            <w:tcBorders>
              <w:bottom w:val="single" w:sz="8" w:color="E2E8F1"/>
            </w:tcBorders>
            <w:shd w:val="clear" w:color="auto" w:fill="E2E8F1"/>
          </w:tcPr>
          <w:p>
            <w:pPr>
              <w:spacing w:after="0"/>
              <w:rPr>
                <w:sz w:val="14"/>
                <w:szCs w:val="14"/>
                <w:color w:val="auto"/>
              </w:rPr>
            </w:pPr>
          </w:p>
        </w:tc>
        <w:tc>
          <w:tcPr>
            <w:tcW w:w="220" w:type="dxa"/>
            <w:vAlign w:val="bottom"/>
            <w:tcBorders>
              <w:bottom w:val="single" w:sz="8" w:color="231F20"/>
            </w:tcBorders>
            <w:shd w:val="clear" w:color="auto" w:fill="E2E8F1"/>
          </w:tcPr>
          <w:p>
            <w:pPr>
              <w:spacing w:after="0"/>
              <w:rPr>
                <w:sz w:val="14"/>
                <w:szCs w:val="14"/>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(80.1 )</w:t>
            </w:r>
          </w:p>
        </w:tc>
        <w:tc>
          <w:tcPr>
            <w:tcW w:w="2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231F20"/>
            </w:tcBorders>
            <w:shd w:val="clear" w:color="auto" w:fill="E2E8F1"/>
          </w:tcPr>
          <w:p>
            <w:pPr>
              <w:spacing w:after="0"/>
              <w:rPr>
                <w:sz w:val="14"/>
                <w:szCs w:val="14"/>
                <w:color w:val="auto"/>
              </w:rPr>
            </w:pPr>
          </w:p>
        </w:tc>
        <w:tc>
          <w:tcPr>
            <w:tcW w:w="12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(80.1 )</w:t>
            </w:r>
          </w:p>
        </w:tc>
        <w:tc>
          <w:tcPr>
            <w:tcW w:w="18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231F20"/>
            </w:tcBorders>
            <w:shd w:val="clear" w:color="auto" w:fill="E2E8F1"/>
          </w:tcPr>
          <w:p>
            <w:pPr>
              <w:spacing w:after="0"/>
              <w:rPr>
                <w:sz w:val="14"/>
                <w:szCs w:val="14"/>
                <w:color w:val="auto"/>
              </w:rPr>
            </w:pPr>
          </w:p>
        </w:tc>
        <w:tc>
          <w:tcPr>
            <w:tcW w:w="1240" w:type="dxa"/>
            <w:vAlign w:val="bottom"/>
            <w:tcBorders>
              <w:bottom w:val="single" w:sz="8" w:color="231F20"/>
            </w:tcBorders>
            <w:shd w:val="clear" w:color="auto" w:fill="E2E8F1"/>
          </w:tcPr>
          <w:p>
            <w:pPr>
              <w:jc w:val="right"/>
              <w:ind w:right="7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231F20"/>
            </w:tcBorders>
            <w:shd w:val="clear" w:color="auto" w:fill="E2E8F1"/>
          </w:tcPr>
          <w:p>
            <w:pPr>
              <w:spacing w:after="0"/>
              <w:rPr>
                <w:sz w:val="14"/>
                <w:szCs w:val="14"/>
                <w:color w:val="auto"/>
              </w:rPr>
            </w:pPr>
          </w:p>
        </w:tc>
        <w:tc>
          <w:tcPr>
            <w:tcW w:w="110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w:t>
            </w:r>
          </w:p>
        </w:tc>
      </w:tr>
      <w:tr>
        <w:trPr>
          <w:trHeight w:val="157"/>
        </w:trPr>
        <w:tc>
          <w:tcPr>
            <w:tcW w:w="5000" w:type="dxa"/>
            <w:vAlign w:val="bottom"/>
          </w:tcPr>
          <w:p>
            <w:pPr>
              <w:spacing w:after="0"/>
              <w:rPr>
                <w:sz w:val="13"/>
                <w:szCs w:val="13"/>
                <w:color w:val="auto"/>
              </w:rPr>
            </w:pPr>
          </w:p>
        </w:tc>
        <w:tc>
          <w:tcPr>
            <w:tcW w:w="4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50"/>
              <w:spacing w:after="0" w:line="157" w:lineRule="exact"/>
              <w:rPr>
                <w:sz w:val="20"/>
                <w:szCs w:val="20"/>
                <w:color w:val="auto"/>
              </w:rPr>
            </w:pPr>
            <w:r>
              <w:rPr>
                <w:rFonts w:ascii="Arial" w:cs="Arial" w:eastAsia="Arial" w:hAnsi="Arial"/>
                <w:sz w:val="14"/>
                <w:szCs w:val="14"/>
                <w:color w:val="auto"/>
              </w:rPr>
              <w:t>19,827.5</w:t>
            </w:r>
          </w:p>
        </w:tc>
        <w:tc>
          <w:tcPr>
            <w:tcW w:w="3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50"/>
              <w:spacing w:after="0" w:line="157" w:lineRule="exact"/>
              <w:rPr>
                <w:sz w:val="20"/>
                <w:szCs w:val="20"/>
                <w:color w:val="auto"/>
              </w:rPr>
            </w:pPr>
            <w:r>
              <w:rPr>
                <w:rFonts w:ascii="Arial" w:cs="Arial" w:eastAsia="Arial" w:hAnsi="Arial"/>
                <w:sz w:val="14"/>
                <w:szCs w:val="14"/>
                <w:color w:val="auto"/>
              </w:rPr>
              <w:t>16,255.2</w:t>
            </w:r>
          </w:p>
        </w:tc>
        <w:tc>
          <w:tcPr>
            <w:tcW w:w="3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71"/>
              <w:spacing w:after="0" w:line="157" w:lineRule="exact"/>
              <w:rPr>
                <w:sz w:val="20"/>
                <w:szCs w:val="20"/>
                <w:color w:val="auto"/>
              </w:rPr>
            </w:pPr>
            <w:r>
              <w:rPr>
                <w:rFonts w:ascii="Arial" w:cs="Arial" w:eastAsia="Arial" w:hAnsi="Arial"/>
                <w:sz w:val="14"/>
                <w:szCs w:val="14"/>
                <w:color w:val="auto"/>
              </w:rPr>
              <w:t>2,746.5</w:t>
            </w:r>
          </w:p>
        </w:tc>
        <w:tc>
          <w:tcPr>
            <w:tcW w:w="4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70"/>
              <w:spacing w:after="0" w:line="157" w:lineRule="exact"/>
              <w:rPr>
                <w:sz w:val="20"/>
                <w:szCs w:val="20"/>
                <w:color w:val="auto"/>
              </w:rPr>
            </w:pPr>
            <w:r>
              <w:rPr>
                <w:rFonts w:ascii="Arial" w:cs="Arial" w:eastAsia="Arial" w:hAnsi="Arial"/>
                <w:sz w:val="14"/>
                <w:szCs w:val="14"/>
                <w:color w:val="auto"/>
              </w:rPr>
              <w:t>825.8</w:t>
            </w:r>
          </w:p>
        </w:tc>
      </w:tr>
      <w:tr>
        <w:trPr>
          <w:trHeight w:val="20"/>
        </w:trPr>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26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9465" cy="1200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-1336040</wp:posOffset>
            </wp:positionV>
            <wp:extent cx="12001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-1336040</wp:posOffset>
            </wp:positionV>
            <wp:extent cx="11239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-1336040</wp:posOffset>
            </wp:positionV>
            <wp:extent cx="11239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-615315</wp:posOffset>
            </wp:positionV>
            <wp:extent cx="12001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-615315</wp:posOffset>
            </wp:positionV>
            <wp:extent cx="11239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-615315</wp:posOffset>
            </wp:positionV>
            <wp:extent cx="11239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-374650</wp:posOffset>
            </wp:positionV>
            <wp:extent cx="12001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-374650</wp:posOffset>
            </wp:positionV>
            <wp:extent cx="11239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-374650</wp:posOffset>
            </wp:positionV>
            <wp:extent cx="11239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-134620</wp:posOffset>
            </wp:positionV>
            <wp:extent cx="12001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-134620</wp:posOffset>
            </wp:positionV>
            <wp:extent cx="11239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-134620</wp:posOffset>
            </wp:positionV>
            <wp:extent cx="11239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12395" cy="762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p>
      <w:pPr>
        <w:spacing w:after="0" w:line="11" w:lineRule="exact"/>
        <w:rPr>
          <w:sz w:val="20"/>
          <w:szCs w:val="20"/>
          <w:color w:val="auto"/>
        </w:rPr>
      </w:pPr>
    </w:p>
    <w:p>
      <w:pPr>
        <w:ind w:left="85"/>
        <w:spacing w:after="0"/>
        <w:rPr>
          <w:sz w:val="20"/>
          <w:szCs w:val="20"/>
          <w:color w:val="auto"/>
        </w:rPr>
      </w:pPr>
      <w:r>
        <w:rPr>
          <w:rFonts w:ascii="Arial" w:cs="Arial" w:eastAsia="Arial" w:hAnsi="Arial"/>
          <w:sz w:val="14"/>
          <w:szCs w:val="14"/>
          <w:color w:val="auto"/>
        </w:rPr>
        <w:t>Reconciliation of operating unit profit (segment OUP)</w:t>
      </w:r>
    </w:p>
    <w:p>
      <w:pPr>
        <w:spacing w:after="0" w:line="28" w:lineRule="exact"/>
        <w:rPr>
          <w:sz w:val="20"/>
          <w:szCs w:val="20"/>
          <w:color w:val="auto"/>
        </w:rPr>
      </w:pPr>
    </w:p>
    <w:p>
      <w:pPr>
        <w:ind w:left="245"/>
        <w:spacing w:after="0"/>
        <w:rPr>
          <w:sz w:val="20"/>
          <w:szCs w:val="20"/>
          <w:color w:val="auto"/>
        </w:rPr>
      </w:pPr>
      <w:r>
        <w:rPr>
          <w:rFonts w:ascii="Arial" w:cs="Arial" w:eastAsia="Arial" w:hAnsi="Arial"/>
          <w:sz w:val="14"/>
          <w:szCs w:val="14"/>
          <w:color w:val="auto"/>
        </w:rPr>
        <w:t>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9465" cy="1200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8" w:lineRule="exact"/>
        <w:rPr>
          <w:sz w:val="20"/>
          <w:szCs w:val="20"/>
          <w:color w:val="auto"/>
        </w:rPr>
      </w:pPr>
    </w:p>
    <w:p>
      <w:pPr>
        <w:ind w:left="245"/>
        <w:spacing w:after="0"/>
        <w:rPr>
          <w:sz w:val="20"/>
          <w:szCs w:val="20"/>
          <w:color w:val="auto"/>
        </w:rPr>
      </w:pPr>
      <w:r>
        <w:rPr>
          <w:rFonts w:ascii="Arial" w:cs="Arial" w:eastAsia="Arial" w:hAnsi="Arial"/>
          <w:sz w:val="14"/>
          <w:szCs w:val="14"/>
          <w:color w:val="auto"/>
        </w:rPr>
        <w:t>Goodwill impairment charges</w:t>
      </w:r>
    </w:p>
    <w:p>
      <w:pPr>
        <w:ind w:left="245"/>
        <w:spacing w:after="0" w:line="237" w:lineRule="auto"/>
        <w:rPr>
          <w:sz w:val="20"/>
          <w:szCs w:val="20"/>
          <w:color w:val="auto"/>
        </w:rPr>
      </w:pPr>
      <w:r>
        <w:rPr>
          <w:rFonts w:ascii="Arial" w:cs="Arial" w:eastAsia="Arial" w:hAnsi="Arial"/>
          <w:sz w:val="14"/>
          <w:szCs w:val="14"/>
          <w:color w:val="auto"/>
        </w:rPr>
        <w:t>Intangible asset amortization expense</w:t>
      </w:r>
      <w:r>
        <w:rPr>
          <w:rFonts w:ascii="Arial" w:cs="Arial" w:eastAsia="Arial" w:hAnsi="Arial"/>
          <w:sz w:val="19"/>
          <w:szCs w:val="19"/>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9465" cy="1200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ind w:left="405"/>
        <w:spacing w:after="0"/>
        <w:rPr>
          <w:sz w:val="20"/>
          <w:szCs w:val="20"/>
          <w:color w:val="auto"/>
        </w:rPr>
      </w:pPr>
      <w:r>
        <w:rPr>
          <w:rFonts w:ascii="Arial" w:cs="Arial" w:eastAsia="Arial" w:hAnsi="Arial"/>
          <w:sz w:val="14"/>
          <w:szCs w:val="14"/>
          <w:color w:val="auto"/>
        </w:rPr>
        <w:t>Operating profit</w:t>
      </w:r>
    </w:p>
    <w:p>
      <w:pPr>
        <w:spacing w:after="0" w:line="28" w:lineRule="exact"/>
        <w:rPr>
          <w:sz w:val="20"/>
          <w:szCs w:val="20"/>
          <w:color w:val="auto"/>
        </w:rPr>
      </w:pPr>
    </w:p>
    <w:p>
      <w:pPr>
        <w:ind w:left="245"/>
        <w:spacing w:after="0"/>
        <w:rPr>
          <w:sz w:val="20"/>
          <w:szCs w:val="20"/>
          <w:color w:val="auto"/>
        </w:rPr>
      </w:pPr>
      <w:r>
        <w:rPr>
          <w:rFonts w:ascii="Arial" w:cs="Arial" w:eastAsia="Arial" w:hAnsi="Arial"/>
          <w:sz w:val="14"/>
          <w:szCs w:val="14"/>
          <w:color w:val="auto"/>
        </w:rPr>
        <w:t>Interest and other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9465" cy="1276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spacing w:after="0" w:line="20" w:lineRule="exact"/>
        <w:rPr>
          <w:sz w:val="20"/>
          <w:szCs w:val="20"/>
          <w:color w:val="auto"/>
        </w:rPr>
      </w:pPr>
    </w:p>
    <w:p>
      <w:pPr>
        <w:ind w:left="245"/>
        <w:spacing w:after="0"/>
        <w:rPr>
          <w:sz w:val="20"/>
          <w:szCs w:val="20"/>
          <w:color w:val="auto"/>
        </w:rPr>
      </w:pPr>
      <w:r>
        <w:rPr>
          <w:rFonts w:ascii="Arial" w:cs="Arial" w:eastAsia="Arial" w:hAnsi="Arial"/>
          <w:sz w:val="14"/>
          <w:szCs w:val="14"/>
          <w:color w:val="auto"/>
        </w:rPr>
        <w:t>Earnings before income taxes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838" w:hanging="838"/>
        <w:spacing w:after="0"/>
        <w:tabs>
          <w:tab w:leader="none" w:pos="838" w:val="left"/>
        </w:tabs>
        <w:numPr>
          <w:ilvl w:val="0"/>
          <w:numId w:val="63"/>
        </w:numPr>
        <w:rPr>
          <w:rFonts w:ascii="Arial" w:cs="Arial" w:eastAsia="Arial" w:hAnsi="Arial"/>
          <w:sz w:val="13"/>
          <w:szCs w:val="13"/>
          <w:color w:val="auto"/>
        </w:rPr>
      </w:pPr>
      <w:r>
        <w:rPr>
          <w:rFonts w:ascii="Arial" w:cs="Arial" w:eastAsia="Arial" w:hAnsi="Arial"/>
          <w:sz w:val="13"/>
          <w:szCs w:val="13"/>
          <w:color w:val="auto"/>
        </w:rPr>
        <w:t>(157.0 )</w:t>
      </w:r>
    </w:p>
    <w:p>
      <w:pPr>
        <w:spacing w:after="0" w:line="39" w:lineRule="exact"/>
        <w:rPr>
          <w:rFonts w:ascii="Arial" w:cs="Arial" w:eastAsia="Arial" w:hAnsi="Arial"/>
          <w:sz w:val="13"/>
          <w:szCs w:val="13"/>
          <w:color w:val="auto"/>
        </w:rPr>
      </w:pPr>
    </w:p>
    <w:p>
      <w:pPr>
        <w:ind w:left="898"/>
        <w:spacing w:after="0"/>
        <w:rPr>
          <w:rFonts w:ascii="Arial" w:cs="Arial" w:eastAsia="Arial" w:hAnsi="Arial"/>
          <w:sz w:val="13"/>
          <w:szCs w:val="13"/>
          <w:color w:val="auto"/>
        </w:rPr>
      </w:pPr>
      <w:r>
        <w:rPr>
          <w:rFonts w:ascii="Arial" w:cs="Arial" w:eastAsia="Arial" w:hAnsi="Arial"/>
          <w:sz w:val="14"/>
          <w:szCs w:val="14"/>
          <w:color w:val="auto"/>
        </w:rPr>
        <w:t>(50.0 )</w:t>
      </w:r>
    </w:p>
    <w:p>
      <w:pPr>
        <w:spacing w:after="0" w:line="25" w:lineRule="exact"/>
        <w:rPr>
          <w:rFonts w:ascii="Arial" w:cs="Arial" w:eastAsia="Arial" w:hAnsi="Arial"/>
          <w:sz w:val="13"/>
          <w:szCs w:val="13"/>
          <w:color w:val="auto"/>
        </w:rPr>
      </w:pPr>
    </w:p>
    <w:p>
      <w:pPr>
        <w:ind w:left="898"/>
        <w:spacing w:after="0"/>
        <w:rPr>
          <w:rFonts w:ascii="Arial" w:cs="Arial" w:eastAsia="Arial" w:hAnsi="Arial"/>
          <w:sz w:val="13"/>
          <w:szCs w:val="13"/>
          <w:color w:val="auto"/>
        </w:rPr>
      </w:pPr>
      <w:r>
        <w:rPr>
          <w:rFonts w:ascii="Arial" w:cs="Arial" w:eastAsia="Arial" w:hAnsi="Arial"/>
          <w:sz w:val="14"/>
          <w:szCs w:val="14"/>
          <w:color w:val="auto"/>
        </w:rPr>
        <w:t>(37.1 )</w:t>
      </w:r>
    </w:p>
    <w:p>
      <w:pPr>
        <w:spacing w:after="0" w:line="31" w:lineRule="exact"/>
        <w:rPr>
          <w:rFonts w:ascii="Arial" w:cs="Arial" w:eastAsia="Arial" w:hAnsi="Arial"/>
          <w:sz w:val="13"/>
          <w:szCs w:val="13"/>
          <w:color w:val="auto"/>
        </w:rPr>
      </w:pPr>
    </w:p>
    <w:p>
      <w:pPr>
        <w:ind w:left="878"/>
        <w:spacing w:after="0"/>
        <w:rPr>
          <w:rFonts w:ascii="Arial" w:cs="Arial" w:eastAsia="Arial" w:hAnsi="Arial"/>
          <w:sz w:val="13"/>
          <w:szCs w:val="13"/>
          <w:color w:val="auto"/>
        </w:rPr>
      </w:pPr>
      <w:r>
        <w:rPr>
          <w:rFonts w:ascii="Arial" w:cs="Arial" w:eastAsia="Arial" w:hAnsi="Arial"/>
          <w:sz w:val="14"/>
          <w:szCs w:val="14"/>
          <w:color w:val="auto"/>
        </w:rPr>
        <w:t>581.7</w:t>
      </w:r>
    </w:p>
    <w:p>
      <w:pPr>
        <w:spacing w:after="0" w:line="25" w:lineRule="exact"/>
        <w:rPr>
          <w:rFonts w:ascii="Arial" w:cs="Arial" w:eastAsia="Arial" w:hAnsi="Arial"/>
          <w:sz w:val="13"/>
          <w:szCs w:val="13"/>
          <w:color w:val="auto"/>
        </w:rPr>
      </w:pPr>
    </w:p>
    <w:p>
      <w:pPr>
        <w:ind w:left="898"/>
        <w:spacing w:after="0"/>
        <w:rPr>
          <w:rFonts w:ascii="Arial" w:cs="Arial" w:eastAsia="Arial" w:hAnsi="Arial"/>
          <w:sz w:val="13"/>
          <w:szCs w:val="13"/>
          <w:color w:val="auto"/>
        </w:rPr>
      </w:pPr>
      <w:r>
        <w:rPr>
          <w:rFonts w:ascii="Arial" w:cs="Arial" w:eastAsia="Arial" w:hAnsi="Arial"/>
          <w:sz w:val="14"/>
          <w:szCs w:val="14"/>
          <w:color w:val="auto"/>
        </w:rPr>
        <w:t>(24.6 )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87884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87884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5080</wp:posOffset>
            </wp:positionV>
            <wp:extent cx="87884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878840" cy="7620"/>
                    </a:xfrm>
                    <a:prstGeom prst="rect">
                      <a:avLst/>
                    </a:prstGeom>
                    <a:noFill/>
                  </pic:spPr>
                </pic:pic>
              </a:graphicData>
            </a:graphic>
          </wp:anchor>
        </w:drawing>
      </w:r>
    </w:p>
    <w:p>
      <w:pPr>
        <w:ind w:left="878" w:hanging="878"/>
        <w:spacing w:after="0"/>
        <w:tabs>
          <w:tab w:leader="none" w:pos="878" w:val="left"/>
        </w:tabs>
        <w:numPr>
          <w:ilvl w:val="0"/>
          <w:numId w:val="64"/>
        </w:numPr>
        <w:rPr>
          <w:rFonts w:ascii="Arial" w:cs="Arial" w:eastAsia="Arial" w:hAnsi="Arial"/>
          <w:sz w:val="14"/>
          <w:szCs w:val="14"/>
          <w:color w:val="auto"/>
        </w:rPr>
      </w:pPr>
      <w:r>
        <w:rPr>
          <w:rFonts w:ascii="Arial" w:cs="Arial" w:eastAsia="Arial" w:hAnsi="Arial"/>
          <w:sz w:val="14"/>
          <w:szCs w:val="14"/>
          <w:color w:val="auto"/>
        </w:rPr>
        <w:t>557.1</w:t>
      </w:r>
    </w:p>
    <w:p>
      <w:pPr>
        <w:spacing w:after="0" w:line="46" w:lineRule="exact"/>
        <w:rPr>
          <w:sz w:val="20"/>
          <w:szCs w:val="20"/>
          <w:color w:val="auto"/>
        </w:rPr>
      </w:pPr>
    </w:p>
    <w:p>
      <w:pPr>
        <w:sectPr>
          <w:pgSz w:w="11900" w:h="16838" w:orient="portrait"/>
          <w:cols w:equalWidth="0" w:num="2">
            <w:col w:w="9167" w:space="720"/>
            <w:col w:w="1378"/>
          </w:cols>
          <w:pgMar w:left="315" w:top="704" w:right="319" w:bottom="1440" w:gutter="0" w:footer="0" w:header="0"/>
          <w:type w:val="continuous"/>
        </w:sectPr>
      </w:pPr>
    </w:p>
    <w:p>
      <w:pPr>
        <w:ind w:left="325" w:right="20" w:hanging="325"/>
        <w:spacing w:after="0" w:line="198" w:lineRule="auto"/>
        <w:tabs>
          <w:tab w:leader="none" w:pos="325" w:val="left"/>
        </w:tabs>
        <w:numPr>
          <w:ilvl w:val="0"/>
          <w:numId w:val="65"/>
        </w:numPr>
        <w:rPr>
          <w:rFonts w:ascii="Arial" w:cs="Arial" w:eastAsia="Arial" w:hAnsi="Arial"/>
          <w:sz w:val="17"/>
          <w:szCs w:val="17"/>
          <w:color w:val="231F20"/>
          <w:vertAlign w:val="superscript"/>
        </w:rPr>
      </w:pPr>
      <w:r>
        <w:rPr>
          <w:rFonts w:ascii="Arial" w:cs="Arial" w:eastAsia="Arial" w:hAnsi="Arial"/>
          <w:sz w:val="13"/>
          <w:szCs w:val="13"/>
          <w:color w:val="231F20"/>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ind w:left="325" w:hanging="325"/>
        <w:spacing w:after="0" w:line="185" w:lineRule="auto"/>
        <w:tabs>
          <w:tab w:leader="none" w:pos="325" w:val="left"/>
        </w:tabs>
        <w:numPr>
          <w:ilvl w:val="0"/>
          <w:numId w:val="65"/>
        </w:numPr>
        <w:rPr>
          <w:rFonts w:ascii="Arial" w:cs="Arial" w:eastAsia="Arial" w:hAnsi="Arial"/>
          <w:sz w:val="16"/>
          <w:szCs w:val="16"/>
          <w:color w:val="231F20"/>
          <w:vertAlign w:val="superscript"/>
        </w:rPr>
      </w:pPr>
      <w:r>
        <w:rPr>
          <w:rFonts w:ascii="Arial" w:cs="Arial" w:eastAsia="Arial" w:hAnsi="Arial"/>
          <w:sz w:val="12"/>
          <w:szCs w:val="12"/>
          <w:color w:val="231F20"/>
        </w:rPr>
        <w:t>The United States revenues above represent revenues from our company-owned branches and franchise fees received from our franchise operations, which were $12.8 for 2022.</w:t>
      </w:r>
    </w:p>
    <w:p>
      <w:pPr>
        <w:ind w:left="325" w:hanging="325"/>
        <w:spacing w:after="0" w:line="188" w:lineRule="auto"/>
        <w:tabs>
          <w:tab w:leader="none" w:pos="325" w:val="left"/>
        </w:tabs>
        <w:numPr>
          <w:ilvl w:val="0"/>
          <w:numId w:val="65"/>
        </w:numPr>
        <w:rPr>
          <w:rFonts w:ascii="Arial" w:cs="Arial" w:eastAsia="Arial" w:hAnsi="Arial"/>
          <w:sz w:val="15"/>
          <w:szCs w:val="15"/>
          <w:color w:val="231F20"/>
          <w:vertAlign w:val="superscript"/>
        </w:rPr>
      </w:pPr>
      <w:r>
        <w:rPr>
          <w:rFonts w:ascii="Arial" w:cs="Arial" w:eastAsia="Arial" w:hAnsi="Arial"/>
          <w:sz w:val="11"/>
          <w:szCs w:val="11"/>
          <w:color w:val="231F20"/>
        </w:rPr>
        <w:t>Intangible asset amortization related to acquisitions is excluded from operating costs within the reportable segments and corporate expenses, and shown separately.</w:t>
      </w:r>
    </w:p>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28"/>
        </w:trPr>
        <w:tc>
          <w:tcPr>
            <w:tcW w:w="7000" w:type="dxa"/>
            <w:vAlign w:val="bottom"/>
            <w:tcBorders>
              <w:top w:val="single" w:sz="8" w:color="231F20"/>
            </w:tcBorders>
            <w:shd w:val="clear" w:color="auto" w:fill="98B0CF"/>
          </w:tcPr>
          <w:p>
            <w:pPr>
              <w:spacing w:after="0"/>
              <w:rPr>
                <w:sz w:val="11"/>
                <w:szCs w:val="11"/>
                <w:color w:val="auto"/>
              </w:rPr>
            </w:pPr>
          </w:p>
        </w:tc>
        <w:tc>
          <w:tcPr>
            <w:tcW w:w="160" w:type="dxa"/>
            <w:vAlign w:val="bottom"/>
            <w:tcBorders>
              <w:top w:val="single" w:sz="8" w:color="231F20"/>
            </w:tcBorders>
            <w:shd w:val="clear" w:color="auto" w:fill="98B0CF"/>
          </w:tcPr>
          <w:p>
            <w:pPr>
              <w:spacing w:after="0"/>
              <w:rPr>
                <w:sz w:val="11"/>
                <w:szCs w:val="11"/>
                <w:color w:val="auto"/>
              </w:rPr>
            </w:pPr>
          </w:p>
        </w:tc>
        <w:tc>
          <w:tcPr>
            <w:tcW w:w="240" w:type="dxa"/>
            <w:vAlign w:val="bottom"/>
            <w:tcBorders>
              <w:top w:val="single" w:sz="8" w:color="231F20"/>
            </w:tcBorders>
            <w:shd w:val="clear" w:color="auto" w:fill="98B0CF"/>
          </w:tcPr>
          <w:p>
            <w:pPr>
              <w:spacing w:after="0"/>
              <w:rPr>
                <w:sz w:val="11"/>
                <w:szCs w:val="11"/>
                <w:color w:val="auto"/>
              </w:rPr>
            </w:pPr>
          </w:p>
        </w:tc>
        <w:tc>
          <w:tcPr>
            <w:tcW w:w="1060" w:type="dxa"/>
            <w:vAlign w:val="bottom"/>
            <w:tcBorders>
              <w:top w:val="single" w:sz="8" w:color="231F20"/>
            </w:tcBorders>
            <w:shd w:val="clear" w:color="auto" w:fill="98B0CF"/>
          </w:tcPr>
          <w:p>
            <w:pPr>
              <w:spacing w:after="0"/>
              <w:rPr>
                <w:sz w:val="11"/>
                <w:szCs w:val="11"/>
                <w:color w:val="auto"/>
              </w:rPr>
            </w:pPr>
          </w:p>
        </w:tc>
        <w:tc>
          <w:tcPr>
            <w:tcW w:w="140" w:type="dxa"/>
            <w:vAlign w:val="bottom"/>
            <w:tcBorders>
              <w:top w:val="single" w:sz="8" w:color="231F20"/>
            </w:tcBorders>
            <w:shd w:val="clear" w:color="auto" w:fill="98B0CF"/>
          </w:tcPr>
          <w:p>
            <w:pPr>
              <w:spacing w:after="0"/>
              <w:rPr>
                <w:sz w:val="11"/>
                <w:szCs w:val="11"/>
                <w:color w:val="auto"/>
              </w:rPr>
            </w:pPr>
          </w:p>
        </w:tc>
        <w:tc>
          <w:tcPr>
            <w:tcW w:w="160" w:type="dxa"/>
            <w:vAlign w:val="bottom"/>
            <w:tcBorders>
              <w:top w:val="single" w:sz="8" w:color="231F20"/>
            </w:tcBorders>
            <w:shd w:val="clear" w:color="auto" w:fill="98B0CF"/>
          </w:tcPr>
          <w:p>
            <w:pPr>
              <w:spacing w:after="0"/>
              <w:rPr>
                <w:sz w:val="11"/>
                <w:szCs w:val="11"/>
                <w:color w:val="auto"/>
              </w:rPr>
            </w:pPr>
          </w:p>
        </w:tc>
        <w:tc>
          <w:tcPr>
            <w:tcW w:w="1100" w:type="dxa"/>
            <w:vAlign w:val="bottom"/>
            <w:tcBorders>
              <w:top w:val="single" w:sz="8" w:color="231F20"/>
            </w:tcBorders>
            <w:shd w:val="clear" w:color="auto" w:fill="98B0CF"/>
          </w:tcPr>
          <w:p>
            <w:pPr>
              <w:spacing w:after="0"/>
              <w:rPr>
                <w:sz w:val="11"/>
                <w:szCs w:val="11"/>
                <w:color w:val="auto"/>
              </w:rPr>
            </w:pPr>
          </w:p>
        </w:tc>
        <w:tc>
          <w:tcPr>
            <w:tcW w:w="140" w:type="dxa"/>
            <w:vAlign w:val="bottom"/>
            <w:tcBorders>
              <w:top w:val="single" w:sz="8" w:color="231F20"/>
            </w:tcBorders>
            <w:shd w:val="clear" w:color="auto" w:fill="98B0CF"/>
          </w:tcPr>
          <w:p>
            <w:pPr>
              <w:spacing w:after="0"/>
              <w:rPr>
                <w:sz w:val="11"/>
                <w:szCs w:val="11"/>
                <w:color w:val="auto"/>
              </w:rPr>
            </w:pPr>
          </w:p>
        </w:tc>
        <w:tc>
          <w:tcPr>
            <w:tcW w:w="1260" w:type="dxa"/>
            <w:vAlign w:val="bottom"/>
            <w:tcBorders>
              <w:top w:val="single" w:sz="8" w:color="231F20"/>
            </w:tcBorders>
            <w:gridSpan w:val="2"/>
            <w:shd w:val="clear" w:color="auto" w:fill="98B0CF"/>
          </w:tcPr>
          <w:p>
            <w:pPr>
              <w:jc w:val="center"/>
              <w:ind w:right="50"/>
              <w:spacing w:after="0" w:line="128" w:lineRule="exact"/>
              <w:rPr>
                <w:sz w:val="20"/>
                <w:szCs w:val="20"/>
                <w:color w:val="auto"/>
              </w:rPr>
            </w:pPr>
            <w:r>
              <w:rPr>
                <w:rFonts w:ascii="Arial" w:cs="Arial" w:eastAsia="Arial" w:hAnsi="Arial"/>
                <w:sz w:val="13"/>
                <w:szCs w:val="13"/>
                <w:b w:val="1"/>
                <w:bCs w:val="1"/>
                <w:color w:val="auto"/>
                <w:w w:val="96"/>
              </w:rPr>
              <w:t>Depreciation and</w:t>
            </w:r>
          </w:p>
        </w:tc>
      </w:tr>
      <w:tr>
        <w:trPr>
          <w:trHeight w:val="126"/>
        </w:trPr>
        <w:tc>
          <w:tcPr>
            <w:tcW w:w="7000" w:type="dxa"/>
            <w:vAlign w:val="bottom"/>
            <w:shd w:val="clear" w:color="auto" w:fill="98B0CF"/>
          </w:tcPr>
          <w:p>
            <w:pPr>
              <w:spacing w:after="0"/>
              <w:rPr>
                <w:sz w:val="10"/>
                <w:szCs w:val="10"/>
                <w:color w:val="auto"/>
              </w:rPr>
            </w:pPr>
          </w:p>
        </w:tc>
        <w:tc>
          <w:tcPr>
            <w:tcW w:w="160" w:type="dxa"/>
            <w:vAlign w:val="bottom"/>
            <w:shd w:val="clear" w:color="auto" w:fill="98B0CF"/>
          </w:tcPr>
          <w:p>
            <w:pPr>
              <w:spacing w:after="0"/>
              <w:rPr>
                <w:sz w:val="10"/>
                <w:szCs w:val="10"/>
                <w:color w:val="auto"/>
              </w:rPr>
            </w:pPr>
          </w:p>
        </w:tc>
        <w:tc>
          <w:tcPr>
            <w:tcW w:w="240" w:type="dxa"/>
            <w:vAlign w:val="bottom"/>
            <w:shd w:val="clear" w:color="auto" w:fill="98B0CF"/>
          </w:tcPr>
          <w:p>
            <w:pPr>
              <w:spacing w:after="0"/>
              <w:rPr>
                <w:sz w:val="10"/>
                <w:szCs w:val="10"/>
                <w:color w:val="auto"/>
              </w:rPr>
            </w:pPr>
          </w:p>
        </w:tc>
        <w:tc>
          <w:tcPr>
            <w:tcW w:w="1060" w:type="dxa"/>
            <w:vAlign w:val="bottom"/>
            <w:shd w:val="clear" w:color="auto" w:fill="98B0CF"/>
          </w:tcPr>
          <w:p>
            <w:pPr>
              <w:jc w:val="right"/>
              <w:ind w:right="490"/>
              <w:spacing w:after="0" w:line="126" w:lineRule="exact"/>
              <w:rPr>
                <w:sz w:val="20"/>
                <w:szCs w:val="20"/>
                <w:color w:val="auto"/>
              </w:rPr>
            </w:pPr>
            <w:r>
              <w:rPr>
                <w:rFonts w:ascii="Arial" w:cs="Arial" w:eastAsia="Arial" w:hAnsi="Arial"/>
                <w:sz w:val="13"/>
                <w:szCs w:val="13"/>
                <w:b w:val="1"/>
                <w:bCs w:val="1"/>
                <w:color w:val="auto"/>
              </w:rPr>
              <w:t>Total</w:t>
            </w:r>
          </w:p>
        </w:tc>
        <w:tc>
          <w:tcPr>
            <w:tcW w:w="140" w:type="dxa"/>
            <w:vAlign w:val="bottom"/>
            <w:shd w:val="clear" w:color="auto" w:fill="98B0CF"/>
          </w:tcPr>
          <w:p>
            <w:pPr>
              <w:spacing w:after="0"/>
              <w:rPr>
                <w:sz w:val="10"/>
                <w:szCs w:val="10"/>
                <w:color w:val="auto"/>
              </w:rPr>
            </w:pPr>
          </w:p>
        </w:tc>
        <w:tc>
          <w:tcPr>
            <w:tcW w:w="160" w:type="dxa"/>
            <w:vAlign w:val="bottom"/>
            <w:shd w:val="clear" w:color="auto" w:fill="98B0CF"/>
          </w:tcPr>
          <w:p>
            <w:pPr>
              <w:spacing w:after="0"/>
              <w:rPr>
                <w:sz w:val="10"/>
                <w:szCs w:val="10"/>
                <w:color w:val="auto"/>
              </w:rPr>
            </w:pPr>
          </w:p>
        </w:tc>
        <w:tc>
          <w:tcPr>
            <w:tcW w:w="1100" w:type="dxa"/>
            <w:vAlign w:val="bottom"/>
            <w:shd w:val="clear" w:color="auto" w:fill="98B0CF"/>
          </w:tcPr>
          <w:p>
            <w:pPr>
              <w:jc w:val="right"/>
              <w:ind w:right="310"/>
              <w:spacing w:after="0" w:line="126" w:lineRule="exact"/>
              <w:rPr>
                <w:sz w:val="20"/>
                <w:szCs w:val="20"/>
                <w:color w:val="auto"/>
              </w:rPr>
            </w:pPr>
            <w:r>
              <w:rPr>
                <w:rFonts w:ascii="Arial" w:cs="Arial" w:eastAsia="Arial" w:hAnsi="Arial"/>
                <w:sz w:val="13"/>
                <w:szCs w:val="13"/>
                <w:b w:val="1"/>
                <w:bCs w:val="1"/>
                <w:color w:val="auto"/>
              </w:rPr>
              <w:t>Long-lived</w:t>
            </w:r>
          </w:p>
        </w:tc>
        <w:tc>
          <w:tcPr>
            <w:tcW w:w="140" w:type="dxa"/>
            <w:vAlign w:val="bottom"/>
            <w:shd w:val="clear" w:color="auto" w:fill="98B0CF"/>
          </w:tcPr>
          <w:p>
            <w:pPr>
              <w:spacing w:after="0"/>
              <w:rPr>
                <w:sz w:val="10"/>
                <w:szCs w:val="10"/>
                <w:color w:val="auto"/>
              </w:rPr>
            </w:pPr>
          </w:p>
        </w:tc>
        <w:tc>
          <w:tcPr>
            <w:tcW w:w="120" w:type="dxa"/>
            <w:vAlign w:val="bottom"/>
            <w:shd w:val="clear" w:color="auto" w:fill="98B0CF"/>
          </w:tcPr>
          <w:p>
            <w:pPr>
              <w:spacing w:after="0"/>
              <w:rPr>
                <w:sz w:val="10"/>
                <w:szCs w:val="10"/>
                <w:color w:val="auto"/>
              </w:rPr>
            </w:pPr>
          </w:p>
        </w:tc>
        <w:tc>
          <w:tcPr>
            <w:tcW w:w="1140" w:type="dxa"/>
            <w:vAlign w:val="bottom"/>
            <w:shd w:val="clear" w:color="auto" w:fill="98B0CF"/>
          </w:tcPr>
          <w:p>
            <w:pPr>
              <w:jc w:val="center"/>
              <w:ind w:right="210"/>
              <w:spacing w:after="0" w:line="126" w:lineRule="exact"/>
              <w:rPr>
                <w:sz w:val="20"/>
                <w:szCs w:val="20"/>
                <w:color w:val="auto"/>
              </w:rPr>
            </w:pPr>
            <w:r>
              <w:rPr>
                <w:rFonts w:ascii="Arial" w:cs="Arial" w:eastAsia="Arial" w:hAnsi="Arial"/>
                <w:sz w:val="13"/>
                <w:szCs w:val="13"/>
                <w:b w:val="1"/>
                <w:bCs w:val="1"/>
                <w:color w:val="auto"/>
                <w:w w:val="98"/>
              </w:rPr>
              <w:t>Amortization</w:t>
            </w:r>
          </w:p>
        </w:tc>
      </w:tr>
      <w:tr>
        <w:trPr>
          <w:trHeight w:val="171"/>
        </w:trPr>
        <w:tc>
          <w:tcPr>
            <w:tcW w:w="7000" w:type="dxa"/>
            <w:vAlign w:val="bottom"/>
            <w:tcBorders>
              <w:bottom w:val="single" w:sz="8" w:color="231F20"/>
            </w:tcBorders>
            <w:shd w:val="clear" w:color="auto" w:fill="98B0CF"/>
          </w:tcPr>
          <w:p>
            <w:pPr>
              <w:ind w:left="80"/>
              <w:spacing w:after="0"/>
              <w:rPr>
                <w:sz w:val="20"/>
                <w:szCs w:val="20"/>
                <w:color w:val="auto"/>
              </w:rPr>
            </w:pPr>
            <w:r>
              <w:rPr>
                <w:rFonts w:ascii="Arial" w:cs="Arial" w:eastAsia="Arial" w:hAnsi="Arial"/>
                <w:sz w:val="13"/>
                <w:szCs w:val="13"/>
                <w:b w:val="1"/>
                <w:bCs w:val="1"/>
                <w:color w:val="auto"/>
              </w:rPr>
              <w:t>Year Ended December 31, 2022</w:t>
            </w:r>
          </w:p>
        </w:tc>
        <w:tc>
          <w:tcPr>
            <w:tcW w:w="160" w:type="dxa"/>
            <w:vAlign w:val="bottom"/>
            <w:tcBorders>
              <w:bottom w:val="single" w:sz="8" w:color="231F20"/>
            </w:tcBorders>
            <w:shd w:val="clear" w:color="auto" w:fill="98B0CF"/>
          </w:tcPr>
          <w:p>
            <w:pPr>
              <w:spacing w:after="0"/>
              <w:rPr>
                <w:sz w:val="14"/>
                <w:szCs w:val="14"/>
                <w:color w:val="auto"/>
              </w:rPr>
            </w:pPr>
          </w:p>
        </w:tc>
        <w:tc>
          <w:tcPr>
            <w:tcW w:w="240" w:type="dxa"/>
            <w:vAlign w:val="bottom"/>
            <w:tcBorders>
              <w:bottom w:val="single" w:sz="8" w:color="231F20"/>
            </w:tcBorders>
            <w:shd w:val="clear" w:color="auto" w:fill="98B0CF"/>
          </w:tcPr>
          <w:p>
            <w:pPr>
              <w:spacing w:after="0"/>
              <w:rPr>
                <w:sz w:val="14"/>
                <w:szCs w:val="14"/>
                <w:color w:val="auto"/>
              </w:rPr>
            </w:pPr>
          </w:p>
        </w:tc>
        <w:tc>
          <w:tcPr>
            <w:tcW w:w="1060" w:type="dxa"/>
            <w:vAlign w:val="bottom"/>
            <w:tcBorders>
              <w:bottom w:val="single" w:sz="8" w:color="231F20"/>
            </w:tcBorders>
            <w:shd w:val="clear" w:color="auto" w:fill="98B0CF"/>
          </w:tcPr>
          <w:p>
            <w:pPr>
              <w:jc w:val="right"/>
              <w:ind w:right="450"/>
              <w:spacing w:after="0"/>
              <w:rPr>
                <w:sz w:val="20"/>
                <w:szCs w:val="20"/>
                <w:color w:val="auto"/>
              </w:rPr>
            </w:pPr>
            <w:r>
              <w:rPr>
                <w:rFonts w:ascii="Arial" w:cs="Arial" w:eastAsia="Arial" w:hAnsi="Arial"/>
                <w:sz w:val="13"/>
                <w:szCs w:val="13"/>
                <w:b w:val="1"/>
                <w:bCs w:val="1"/>
                <w:color w:val="auto"/>
              </w:rPr>
              <w:t>Assets</w:t>
            </w:r>
          </w:p>
        </w:tc>
        <w:tc>
          <w:tcPr>
            <w:tcW w:w="140" w:type="dxa"/>
            <w:vAlign w:val="bottom"/>
            <w:tcBorders>
              <w:bottom w:val="single" w:sz="8" w:color="231F20"/>
            </w:tcBorders>
            <w:shd w:val="clear" w:color="auto" w:fill="98B0CF"/>
          </w:tcPr>
          <w:p>
            <w:pPr>
              <w:spacing w:after="0"/>
              <w:rPr>
                <w:sz w:val="14"/>
                <w:szCs w:val="14"/>
                <w:color w:val="auto"/>
              </w:rPr>
            </w:pPr>
          </w:p>
        </w:tc>
        <w:tc>
          <w:tcPr>
            <w:tcW w:w="160" w:type="dxa"/>
            <w:vAlign w:val="bottom"/>
            <w:tcBorders>
              <w:bottom w:val="single" w:sz="8" w:color="231F20"/>
            </w:tcBorders>
            <w:shd w:val="clear" w:color="auto" w:fill="98B0CF"/>
          </w:tcPr>
          <w:p>
            <w:pPr>
              <w:spacing w:after="0"/>
              <w:rPr>
                <w:sz w:val="14"/>
                <w:szCs w:val="14"/>
                <w:color w:val="auto"/>
              </w:rPr>
            </w:pPr>
          </w:p>
        </w:tc>
        <w:tc>
          <w:tcPr>
            <w:tcW w:w="1100" w:type="dxa"/>
            <w:vAlign w:val="bottom"/>
            <w:tcBorders>
              <w:bottom w:val="single" w:sz="8" w:color="231F20"/>
            </w:tcBorders>
            <w:shd w:val="clear" w:color="auto" w:fill="98B0CF"/>
          </w:tcPr>
          <w:p>
            <w:pPr>
              <w:jc w:val="right"/>
              <w:ind w:right="350"/>
              <w:spacing w:after="0" w:line="165" w:lineRule="exact"/>
              <w:rPr>
                <w:sz w:val="20"/>
                <w:szCs w:val="20"/>
                <w:color w:val="auto"/>
              </w:rPr>
            </w:pPr>
            <w:r>
              <w:rPr>
                <w:rFonts w:ascii="Arial" w:cs="Arial" w:eastAsia="Arial" w:hAnsi="Arial"/>
                <w:sz w:val="13"/>
                <w:szCs w:val="13"/>
                <w:b w:val="1"/>
                <w:bCs w:val="1"/>
                <w:color w:val="auto"/>
              </w:rPr>
              <w:t>Assets</w:t>
            </w:r>
            <w:r>
              <w:rPr>
                <w:rFonts w:ascii="Arial" w:cs="Arial" w:eastAsia="Arial" w:hAnsi="Arial"/>
                <w:sz w:val="16"/>
                <w:szCs w:val="16"/>
                <w:b w:val="1"/>
                <w:bCs w:val="1"/>
                <w:color w:val="auto"/>
                <w:vertAlign w:val="superscript"/>
              </w:rPr>
              <w:t>(a)</w:t>
            </w:r>
          </w:p>
        </w:tc>
        <w:tc>
          <w:tcPr>
            <w:tcW w:w="140" w:type="dxa"/>
            <w:vAlign w:val="bottom"/>
            <w:tcBorders>
              <w:bottom w:val="single" w:sz="8" w:color="231F20"/>
            </w:tcBorders>
            <w:shd w:val="clear" w:color="auto" w:fill="98B0CF"/>
          </w:tcPr>
          <w:p>
            <w:pPr>
              <w:spacing w:after="0"/>
              <w:rPr>
                <w:sz w:val="14"/>
                <w:szCs w:val="14"/>
                <w:color w:val="auto"/>
              </w:rPr>
            </w:pPr>
          </w:p>
        </w:tc>
        <w:tc>
          <w:tcPr>
            <w:tcW w:w="120" w:type="dxa"/>
            <w:vAlign w:val="bottom"/>
            <w:tcBorders>
              <w:bottom w:val="single" w:sz="8" w:color="231F20"/>
            </w:tcBorders>
            <w:shd w:val="clear" w:color="auto" w:fill="98B0CF"/>
          </w:tcPr>
          <w:p>
            <w:pPr>
              <w:spacing w:after="0"/>
              <w:rPr>
                <w:sz w:val="14"/>
                <w:szCs w:val="14"/>
                <w:color w:val="auto"/>
              </w:rPr>
            </w:pPr>
          </w:p>
        </w:tc>
        <w:tc>
          <w:tcPr>
            <w:tcW w:w="1140" w:type="dxa"/>
            <w:vAlign w:val="bottom"/>
            <w:tcBorders>
              <w:bottom w:val="single" w:sz="8" w:color="231F20"/>
            </w:tcBorders>
            <w:shd w:val="clear" w:color="auto" w:fill="98B0CF"/>
          </w:tcPr>
          <w:p>
            <w:pPr>
              <w:jc w:val="center"/>
              <w:ind w:right="190"/>
              <w:spacing w:after="0"/>
              <w:rPr>
                <w:sz w:val="20"/>
                <w:szCs w:val="20"/>
                <w:color w:val="auto"/>
              </w:rPr>
            </w:pPr>
            <w:r>
              <w:rPr>
                <w:rFonts w:ascii="Arial" w:cs="Arial" w:eastAsia="Arial" w:hAnsi="Arial"/>
                <w:sz w:val="13"/>
                <w:szCs w:val="13"/>
                <w:b w:val="1"/>
                <w:bCs w:val="1"/>
                <w:color w:val="auto"/>
                <w:w w:val="97"/>
              </w:rPr>
              <w:t>Expense</w:t>
            </w:r>
          </w:p>
        </w:tc>
      </w:tr>
      <w:tr>
        <w:trPr>
          <w:trHeight w:val="187"/>
        </w:trPr>
        <w:tc>
          <w:tcPr>
            <w:tcW w:w="7000" w:type="dxa"/>
            <w:vAlign w:val="bottom"/>
            <w:shd w:val="clear" w:color="auto" w:fill="E2E8F1"/>
          </w:tcPr>
          <w:p>
            <w:pPr>
              <w:ind w:left="80"/>
              <w:spacing w:after="0" w:line="187" w:lineRule="exact"/>
              <w:rPr>
                <w:sz w:val="20"/>
                <w:szCs w:val="20"/>
                <w:color w:val="auto"/>
              </w:rPr>
            </w:pPr>
            <w:r>
              <w:rPr>
                <w:rFonts w:ascii="Arial" w:cs="Arial" w:eastAsia="Arial" w:hAnsi="Arial"/>
                <w:sz w:val="14"/>
                <w:szCs w:val="14"/>
                <w:color w:val="auto"/>
              </w:rPr>
              <w:t>Americas:</w:t>
            </w:r>
            <w:r>
              <w:rPr>
                <w:rFonts w:ascii="Arial" w:cs="Arial" w:eastAsia="Arial" w:hAnsi="Arial"/>
                <w:sz w:val="19"/>
                <w:szCs w:val="19"/>
                <w:color w:val="auto"/>
                <w:vertAlign w:val="superscript"/>
              </w:rPr>
              <w:t>(b)</w:t>
            </w:r>
          </w:p>
        </w:tc>
        <w:tc>
          <w:tcPr>
            <w:tcW w:w="16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6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10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120" w:type="dxa"/>
            <w:vAlign w:val="bottom"/>
            <w:shd w:val="clear" w:color="auto" w:fill="E2E8F1"/>
          </w:tcPr>
          <w:p>
            <w:pPr>
              <w:spacing w:after="0"/>
              <w:rPr>
                <w:sz w:val="16"/>
                <w:szCs w:val="16"/>
                <w:color w:val="auto"/>
              </w:rPr>
            </w:pPr>
          </w:p>
        </w:tc>
        <w:tc>
          <w:tcPr>
            <w:tcW w:w="1140" w:type="dxa"/>
            <w:vAlign w:val="bottom"/>
            <w:shd w:val="clear" w:color="auto" w:fill="E2E8F1"/>
          </w:tcPr>
          <w:p>
            <w:pPr>
              <w:spacing w:after="0"/>
              <w:rPr>
                <w:sz w:val="16"/>
                <w:szCs w:val="16"/>
                <w:color w:val="auto"/>
              </w:rPr>
            </w:pPr>
          </w:p>
        </w:tc>
      </w:tr>
      <w:tr>
        <w:trPr>
          <w:trHeight w:val="189"/>
        </w:trPr>
        <w:tc>
          <w:tcPr>
            <w:tcW w:w="7000" w:type="dxa"/>
            <w:vAlign w:val="bottom"/>
          </w:tcPr>
          <w:p>
            <w:pPr>
              <w:ind w:left="240"/>
              <w:spacing w:after="0"/>
              <w:rPr>
                <w:sz w:val="20"/>
                <w:szCs w:val="20"/>
                <w:color w:val="auto"/>
              </w:rPr>
            </w:pPr>
            <w:r>
              <w:rPr>
                <w:rFonts w:ascii="Arial" w:cs="Arial" w:eastAsia="Arial" w:hAnsi="Arial"/>
                <w:sz w:val="14"/>
                <w:szCs w:val="14"/>
                <w:color w:val="auto"/>
              </w:rPr>
              <w:t>United States</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3,232.7</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79.2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70"/>
              <w:spacing w:after="0"/>
              <w:rPr>
                <w:sz w:val="20"/>
                <w:szCs w:val="20"/>
                <w:color w:val="auto"/>
              </w:rPr>
            </w:pPr>
            <w:r>
              <w:rPr>
                <w:rFonts w:ascii="Arial" w:cs="Arial" w:eastAsia="Arial" w:hAnsi="Arial"/>
                <w:sz w:val="14"/>
                <w:szCs w:val="14"/>
                <w:color w:val="auto"/>
              </w:rPr>
              <w:t>7.8</w:t>
            </w:r>
          </w:p>
        </w:tc>
      </w:tr>
      <w:tr>
        <w:trPr>
          <w:trHeight w:val="177"/>
        </w:trPr>
        <w:tc>
          <w:tcPr>
            <w:tcW w:w="7000" w:type="dxa"/>
            <w:vAlign w:val="bottom"/>
            <w:tcBorders>
              <w:bottom w:val="single" w:sz="8" w:color="E2E8F1"/>
            </w:tcBorders>
            <w:shd w:val="clear" w:color="auto" w:fill="E2E8F1"/>
          </w:tcPr>
          <w:p>
            <w:pPr>
              <w:ind w:left="240"/>
              <w:spacing w:after="0"/>
              <w:rPr>
                <w:sz w:val="20"/>
                <w:szCs w:val="20"/>
                <w:color w:val="auto"/>
              </w:rPr>
            </w:pPr>
            <w:r>
              <w:rPr>
                <w:rFonts w:ascii="Arial" w:cs="Arial" w:eastAsia="Arial" w:hAnsi="Arial"/>
                <w:sz w:val="14"/>
                <w:szCs w:val="14"/>
                <w:color w:val="auto"/>
              </w:rPr>
              <w:t>Other Americas</w:t>
            </w:r>
          </w:p>
        </w:tc>
        <w:tc>
          <w:tcPr>
            <w:tcW w:w="160" w:type="dxa"/>
            <w:vAlign w:val="bottom"/>
            <w:tcBorders>
              <w:bottom w:val="single" w:sz="8" w:color="E2E8F1"/>
            </w:tcBorders>
            <w:shd w:val="clear" w:color="auto" w:fill="E2E8F1"/>
          </w:tcPr>
          <w:p>
            <w:pPr>
              <w:spacing w:after="0"/>
              <w:rPr>
                <w:sz w:val="15"/>
                <w:szCs w:val="15"/>
                <w:color w:val="auto"/>
              </w:rPr>
            </w:pPr>
          </w:p>
        </w:tc>
        <w:tc>
          <w:tcPr>
            <w:tcW w:w="240" w:type="dxa"/>
            <w:vAlign w:val="bottom"/>
            <w:tcBorders>
              <w:bottom w:val="single" w:sz="8" w:color="231F20"/>
            </w:tcBorders>
            <w:shd w:val="clear" w:color="auto" w:fill="E2E8F1"/>
          </w:tcPr>
          <w:p>
            <w:pPr>
              <w:spacing w:after="0"/>
              <w:rPr>
                <w:sz w:val="15"/>
                <w:szCs w:val="15"/>
                <w:color w:val="auto"/>
              </w:rPr>
            </w:pPr>
          </w:p>
        </w:tc>
        <w:tc>
          <w:tcPr>
            <w:tcW w:w="1060" w:type="dxa"/>
            <w:vAlign w:val="bottom"/>
            <w:tcBorders>
              <w:bottom w:val="single" w:sz="8" w:color="231F20"/>
            </w:tcBorders>
            <w:shd w:val="clear" w:color="auto" w:fill="E2E8F1"/>
          </w:tcPr>
          <w:p>
            <w:pPr>
              <w:jc w:val="right"/>
              <w:ind w:right="90"/>
              <w:spacing w:after="0"/>
              <w:rPr>
                <w:sz w:val="20"/>
                <w:szCs w:val="20"/>
                <w:color w:val="auto"/>
              </w:rPr>
            </w:pPr>
            <w:r>
              <w:rPr>
                <w:rFonts w:ascii="Arial" w:cs="Arial" w:eastAsia="Arial" w:hAnsi="Arial"/>
                <w:sz w:val="14"/>
                <w:szCs w:val="14"/>
                <w:color w:val="auto"/>
              </w:rPr>
              <w:t>407.9</w:t>
            </w:r>
          </w:p>
        </w:tc>
        <w:tc>
          <w:tcPr>
            <w:tcW w:w="140" w:type="dxa"/>
            <w:vAlign w:val="bottom"/>
            <w:tcBorders>
              <w:bottom w:val="single" w:sz="8" w:color="E2E8F1"/>
            </w:tcBorders>
            <w:shd w:val="clear" w:color="auto" w:fill="E2E8F1"/>
          </w:tcPr>
          <w:p>
            <w:pPr>
              <w:spacing w:after="0"/>
              <w:rPr>
                <w:sz w:val="15"/>
                <w:szCs w:val="15"/>
                <w:color w:val="auto"/>
              </w:rPr>
            </w:pPr>
          </w:p>
        </w:tc>
        <w:tc>
          <w:tcPr>
            <w:tcW w:w="160" w:type="dxa"/>
            <w:vAlign w:val="bottom"/>
            <w:tcBorders>
              <w:bottom w:val="single" w:sz="8" w:color="231F20"/>
            </w:tcBorders>
            <w:shd w:val="clear" w:color="auto" w:fill="E2E8F1"/>
          </w:tcPr>
          <w:p>
            <w:pPr>
              <w:spacing w:after="0"/>
              <w:rPr>
                <w:sz w:val="15"/>
                <w:szCs w:val="15"/>
                <w:color w:val="auto"/>
              </w:rPr>
            </w:pPr>
          </w:p>
        </w:tc>
        <w:tc>
          <w:tcPr>
            <w:tcW w:w="110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14.6</w:t>
            </w:r>
          </w:p>
        </w:tc>
        <w:tc>
          <w:tcPr>
            <w:tcW w:w="140" w:type="dxa"/>
            <w:vAlign w:val="bottom"/>
            <w:tcBorders>
              <w:bottom w:val="single" w:sz="8" w:color="E2E8F1"/>
            </w:tcBorders>
            <w:shd w:val="clear" w:color="auto" w:fill="E2E8F1"/>
          </w:tcPr>
          <w:p>
            <w:pPr>
              <w:spacing w:after="0"/>
              <w:rPr>
                <w:sz w:val="15"/>
                <w:szCs w:val="15"/>
                <w:color w:val="auto"/>
              </w:rPr>
            </w:pPr>
          </w:p>
        </w:tc>
        <w:tc>
          <w:tcPr>
            <w:tcW w:w="120" w:type="dxa"/>
            <w:vAlign w:val="bottom"/>
            <w:tcBorders>
              <w:bottom w:val="single" w:sz="8" w:color="231F20"/>
            </w:tcBorders>
            <w:shd w:val="clear" w:color="auto" w:fill="E2E8F1"/>
          </w:tcPr>
          <w:p>
            <w:pPr>
              <w:spacing w:after="0"/>
              <w:rPr>
                <w:sz w:val="15"/>
                <w:szCs w:val="15"/>
                <w:color w:val="auto"/>
              </w:rPr>
            </w:pPr>
          </w:p>
        </w:tc>
        <w:tc>
          <w:tcPr>
            <w:tcW w:w="114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2.2</w:t>
            </w:r>
          </w:p>
        </w:tc>
      </w:tr>
      <w:tr>
        <w:trPr>
          <w:trHeight w:val="169"/>
        </w:trPr>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tcBorders>
          </w:tcPr>
          <w:p>
            <w:pPr>
              <w:jc w:val="right"/>
              <w:ind w:right="90"/>
              <w:spacing w:after="0"/>
              <w:rPr>
                <w:sz w:val="20"/>
                <w:szCs w:val="20"/>
                <w:color w:val="auto"/>
              </w:rPr>
            </w:pPr>
            <w:r>
              <w:rPr>
                <w:rFonts w:ascii="Arial" w:cs="Arial" w:eastAsia="Arial" w:hAnsi="Arial"/>
                <w:sz w:val="14"/>
                <w:szCs w:val="14"/>
                <w:color w:val="auto"/>
              </w:rPr>
              <w:t>3,640.6</w:t>
            </w:r>
          </w:p>
        </w:tc>
        <w:tc>
          <w:tcPr>
            <w:tcW w:w="140" w:type="dxa"/>
            <w:vAlign w:val="bottom"/>
          </w:tcPr>
          <w:p>
            <w:pPr>
              <w:spacing w:after="0"/>
              <w:rPr>
                <w:sz w:val="14"/>
                <w:szCs w:val="14"/>
                <w:color w:val="auto"/>
              </w:rPr>
            </w:pPr>
          </w:p>
        </w:tc>
        <w:tc>
          <w:tcPr>
            <w:tcW w:w="160" w:type="dxa"/>
            <w:vAlign w:val="bottom"/>
            <w:tcBorders>
              <w:bottom w:val="single" w:sz="8" w:color="231F20"/>
            </w:tcBorders>
          </w:tcPr>
          <w:p>
            <w:pPr>
              <w:spacing w:after="0"/>
              <w:rPr>
                <w:sz w:val="14"/>
                <w:szCs w:val="14"/>
                <w:color w:val="auto"/>
              </w:rPr>
            </w:pPr>
          </w:p>
        </w:tc>
        <w:tc>
          <w:tcPr>
            <w:tcW w:w="110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93.8</w:t>
            </w:r>
          </w:p>
        </w:tc>
        <w:tc>
          <w:tcPr>
            <w:tcW w:w="140" w:type="dxa"/>
            <w:vAlign w:val="bottom"/>
          </w:tcPr>
          <w:p>
            <w:pPr>
              <w:spacing w:after="0"/>
              <w:rPr>
                <w:sz w:val="14"/>
                <w:szCs w:val="14"/>
                <w:color w:val="auto"/>
              </w:rPr>
            </w:pPr>
          </w:p>
        </w:tc>
        <w:tc>
          <w:tcPr>
            <w:tcW w:w="120" w:type="dxa"/>
            <w:vAlign w:val="bottom"/>
            <w:tcBorders>
              <w:bottom w:val="single" w:sz="8" w:color="231F20"/>
            </w:tcBorders>
          </w:tcPr>
          <w:p>
            <w:pPr>
              <w:spacing w:after="0"/>
              <w:rPr>
                <w:sz w:val="14"/>
                <w:szCs w:val="14"/>
                <w:color w:val="auto"/>
              </w:rPr>
            </w:pPr>
          </w:p>
        </w:tc>
        <w:tc>
          <w:tcPr>
            <w:tcW w:w="114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10.0</w:t>
            </w:r>
          </w:p>
        </w:tc>
      </w:tr>
      <w:tr>
        <w:trPr>
          <w:trHeight w:val="181"/>
        </w:trPr>
        <w:tc>
          <w:tcPr>
            <w:tcW w:w="7000" w:type="dxa"/>
            <w:vAlign w:val="bottom"/>
            <w:shd w:val="clear" w:color="auto" w:fill="E2E8F1"/>
          </w:tcPr>
          <w:p>
            <w:pPr>
              <w:ind w:left="80"/>
              <w:spacing w:after="0"/>
              <w:rPr>
                <w:sz w:val="20"/>
                <w:szCs w:val="20"/>
                <w:color w:val="auto"/>
              </w:rPr>
            </w:pPr>
            <w:r>
              <w:rPr>
                <w:rFonts w:ascii="Arial" w:cs="Arial" w:eastAsia="Arial" w:hAnsi="Arial"/>
                <w:sz w:val="14"/>
                <w:szCs w:val="14"/>
                <w:color w:val="auto"/>
              </w:rPr>
              <w:t>Southern Europe:</w:t>
            </w:r>
          </w:p>
        </w:tc>
        <w:tc>
          <w:tcPr>
            <w:tcW w:w="16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6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160" w:type="dxa"/>
            <w:vAlign w:val="bottom"/>
            <w:shd w:val="clear" w:color="auto" w:fill="E2E8F1"/>
          </w:tcPr>
          <w:p>
            <w:pPr>
              <w:spacing w:after="0"/>
              <w:rPr>
                <w:sz w:val="15"/>
                <w:szCs w:val="15"/>
                <w:color w:val="auto"/>
              </w:rPr>
            </w:pPr>
          </w:p>
        </w:tc>
        <w:tc>
          <w:tcPr>
            <w:tcW w:w="110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120" w:type="dxa"/>
            <w:vAlign w:val="bottom"/>
            <w:shd w:val="clear" w:color="auto" w:fill="E2E8F1"/>
          </w:tcPr>
          <w:p>
            <w:pPr>
              <w:spacing w:after="0"/>
              <w:rPr>
                <w:sz w:val="15"/>
                <w:szCs w:val="15"/>
                <w:color w:val="auto"/>
              </w:rPr>
            </w:pPr>
          </w:p>
        </w:tc>
        <w:tc>
          <w:tcPr>
            <w:tcW w:w="1140" w:type="dxa"/>
            <w:vAlign w:val="bottom"/>
            <w:shd w:val="clear" w:color="auto" w:fill="E2E8F1"/>
          </w:tcPr>
          <w:p>
            <w:pPr>
              <w:spacing w:after="0"/>
              <w:rPr>
                <w:sz w:val="15"/>
                <w:szCs w:val="15"/>
                <w:color w:val="auto"/>
              </w:rPr>
            </w:pPr>
          </w:p>
        </w:tc>
      </w:tr>
      <w:tr>
        <w:trPr>
          <w:trHeight w:val="189"/>
        </w:trPr>
        <w:tc>
          <w:tcPr>
            <w:tcW w:w="7000" w:type="dxa"/>
            <w:vAlign w:val="bottom"/>
          </w:tcPr>
          <w:p>
            <w:pPr>
              <w:ind w:left="240"/>
              <w:spacing w:after="0"/>
              <w:rPr>
                <w:sz w:val="20"/>
                <w:szCs w:val="20"/>
                <w:color w:val="auto"/>
              </w:rPr>
            </w:pPr>
            <w:r>
              <w:rPr>
                <w:rFonts w:ascii="Arial" w:cs="Arial" w:eastAsia="Arial" w:hAnsi="Arial"/>
                <w:sz w:val="14"/>
                <w:szCs w:val="14"/>
                <w:color w:val="auto"/>
              </w:rPr>
              <w:t>France</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2,281.9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160.7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70"/>
              <w:spacing w:after="0"/>
              <w:rPr>
                <w:sz w:val="20"/>
                <w:szCs w:val="20"/>
                <w:color w:val="auto"/>
              </w:rPr>
            </w:pPr>
            <w:r>
              <w:rPr>
                <w:rFonts w:ascii="Arial" w:cs="Arial" w:eastAsia="Arial" w:hAnsi="Arial"/>
                <w:sz w:val="14"/>
                <w:szCs w:val="14"/>
                <w:color w:val="auto"/>
              </w:rPr>
              <w:t>10.5</w:t>
            </w:r>
          </w:p>
        </w:tc>
      </w:tr>
      <w:tr>
        <w:trPr>
          <w:trHeight w:val="189"/>
        </w:trPr>
        <w:tc>
          <w:tcPr>
            <w:tcW w:w="7000" w:type="dxa"/>
            <w:vAlign w:val="bottom"/>
            <w:shd w:val="clear" w:color="auto" w:fill="E2E8F1"/>
          </w:tcPr>
          <w:p>
            <w:pPr>
              <w:ind w:left="240"/>
              <w:spacing w:after="0"/>
              <w:rPr>
                <w:sz w:val="20"/>
                <w:szCs w:val="20"/>
                <w:color w:val="auto"/>
              </w:rPr>
            </w:pPr>
            <w:r>
              <w:rPr>
                <w:rFonts w:ascii="Arial" w:cs="Arial" w:eastAsia="Arial" w:hAnsi="Arial"/>
                <w:sz w:val="14"/>
                <w:szCs w:val="14"/>
                <w:color w:val="auto"/>
              </w:rPr>
              <w:t>Italy</w:t>
            </w:r>
          </w:p>
        </w:tc>
        <w:tc>
          <w:tcPr>
            <w:tcW w:w="16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6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455.3</w:t>
            </w:r>
          </w:p>
        </w:tc>
        <w:tc>
          <w:tcPr>
            <w:tcW w:w="14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1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32.7</w:t>
            </w:r>
          </w:p>
        </w:tc>
        <w:tc>
          <w:tcPr>
            <w:tcW w:w="140" w:type="dxa"/>
            <w:vAlign w:val="bottom"/>
            <w:shd w:val="clear" w:color="auto" w:fill="E2E8F1"/>
          </w:tcPr>
          <w:p>
            <w:pPr>
              <w:spacing w:after="0"/>
              <w:rPr>
                <w:sz w:val="16"/>
                <w:szCs w:val="16"/>
                <w:color w:val="auto"/>
              </w:rPr>
            </w:pPr>
          </w:p>
        </w:tc>
        <w:tc>
          <w:tcPr>
            <w:tcW w:w="120" w:type="dxa"/>
            <w:vAlign w:val="bottom"/>
            <w:shd w:val="clear" w:color="auto" w:fill="E2E8F1"/>
          </w:tcPr>
          <w:p>
            <w:pPr>
              <w:spacing w:after="0"/>
              <w:rPr>
                <w:sz w:val="16"/>
                <w:szCs w:val="16"/>
                <w:color w:val="auto"/>
              </w:rPr>
            </w:pPr>
          </w:p>
        </w:tc>
        <w:tc>
          <w:tcPr>
            <w:tcW w:w="11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2.4</w:t>
            </w:r>
          </w:p>
        </w:tc>
      </w:tr>
      <w:tr>
        <w:trPr>
          <w:trHeight w:val="177"/>
        </w:trPr>
        <w:tc>
          <w:tcPr>
            <w:tcW w:w="7000" w:type="dxa"/>
            <w:vAlign w:val="bottom"/>
          </w:tcPr>
          <w:p>
            <w:pPr>
              <w:ind w:left="240"/>
              <w:spacing w:after="0"/>
              <w:rPr>
                <w:sz w:val="20"/>
                <w:szCs w:val="20"/>
                <w:color w:val="auto"/>
              </w:rPr>
            </w:pPr>
            <w:r>
              <w:rPr>
                <w:rFonts w:ascii="Arial" w:cs="Arial" w:eastAsia="Arial" w:hAnsi="Arial"/>
                <w:sz w:val="14"/>
                <w:szCs w:val="14"/>
                <w:color w:val="auto"/>
              </w:rPr>
              <w:t>Other Southern Europe</w:t>
            </w:r>
          </w:p>
        </w:tc>
        <w:tc>
          <w:tcPr>
            <w:tcW w:w="160" w:type="dxa"/>
            <w:vAlign w:val="bottom"/>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tcBorders>
          </w:tcPr>
          <w:p>
            <w:pPr>
              <w:jc w:val="right"/>
              <w:ind w:right="90"/>
              <w:spacing w:after="0"/>
              <w:rPr>
                <w:sz w:val="20"/>
                <w:szCs w:val="20"/>
                <w:color w:val="auto"/>
              </w:rPr>
            </w:pPr>
            <w:r>
              <w:rPr>
                <w:rFonts w:ascii="Arial" w:cs="Arial" w:eastAsia="Arial" w:hAnsi="Arial"/>
                <w:sz w:val="14"/>
                <w:szCs w:val="14"/>
                <w:color w:val="auto"/>
              </w:rPr>
              <w:t>821.2</w:t>
            </w:r>
          </w:p>
        </w:tc>
        <w:tc>
          <w:tcPr>
            <w:tcW w:w="14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60.1</w:t>
            </w:r>
          </w:p>
        </w:tc>
        <w:tc>
          <w:tcPr>
            <w:tcW w:w="14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1140" w:type="dxa"/>
            <w:vAlign w:val="bottom"/>
            <w:tcBorders>
              <w:bottom w:val="single" w:sz="8" w:color="231F20"/>
            </w:tcBorders>
          </w:tcPr>
          <w:p>
            <w:pPr>
              <w:jc w:val="right"/>
              <w:ind w:right="70"/>
              <w:spacing w:after="0"/>
              <w:rPr>
                <w:sz w:val="20"/>
                <w:szCs w:val="20"/>
                <w:color w:val="auto"/>
              </w:rPr>
            </w:pPr>
            <w:r>
              <w:rPr>
                <w:rFonts w:ascii="Arial" w:cs="Arial" w:eastAsia="Arial" w:hAnsi="Arial"/>
                <w:sz w:val="14"/>
                <w:szCs w:val="14"/>
                <w:color w:val="auto"/>
              </w:rPr>
              <w:t>4.8</w:t>
            </w:r>
          </w:p>
        </w:tc>
      </w:tr>
      <w:tr>
        <w:trPr>
          <w:trHeight w:val="169"/>
        </w:trPr>
        <w:tc>
          <w:tcPr>
            <w:tcW w:w="700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231F20"/>
            </w:tcBorders>
            <w:shd w:val="clear" w:color="auto" w:fill="E2E8F1"/>
          </w:tcPr>
          <w:p>
            <w:pPr>
              <w:spacing w:after="0"/>
              <w:rPr>
                <w:sz w:val="14"/>
                <w:szCs w:val="14"/>
                <w:color w:val="auto"/>
              </w:rPr>
            </w:pPr>
          </w:p>
        </w:tc>
        <w:tc>
          <w:tcPr>
            <w:tcW w:w="1060" w:type="dxa"/>
            <w:vAlign w:val="bottom"/>
            <w:tcBorders>
              <w:bottom w:val="single" w:sz="8" w:color="231F20"/>
            </w:tcBorders>
            <w:shd w:val="clear" w:color="auto" w:fill="E2E8F1"/>
          </w:tcPr>
          <w:p>
            <w:pPr>
              <w:jc w:val="right"/>
              <w:ind w:right="90"/>
              <w:spacing w:after="0"/>
              <w:rPr>
                <w:sz w:val="20"/>
                <w:szCs w:val="20"/>
                <w:color w:val="auto"/>
              </w:rPr>
            </w:pPr>
            <w:r>
              <w:rPr>
                <w:rFonts w:ascii="Arial" w:cs="Arial" w:eastAsia="Arial" w:hAnsi="Arial"/>
                <w:sz w:val="14"/>
                <w:szCs w:val="14"/>
                <w:color w:val="auto"/>
              </w:rPr>
              <w:t>3,558.4</w:t>
            </w:r>
          </w:p>
        </w:tc>
        <w:tc>
          <w:tcPr>
            <w:tcW w:w="14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231F20"/>
            </w:tcBorders>
            <w:shd w:val="clear" w:color="auto" w:fill="E2E8F1"/>
          </w:tcPr>
          <w:p>
            <w:pPr>
              <w:spacing w:after="0"/>
              <w:rPr>
                <w:sz w:val="14"/>
                <w:szCs w:val="14"/>
                <w:color w:val="auto"/>
              </w:rPr>
            </w:pPr>
          </w:p>
        </w:tc>
        <w:tc>
          <w:tcPr>
            <w:tcW w:w="110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253.5</w:t>
            </w:r>
          </w:p>
        </w:tc>
        <w:tc>
          <w:tcPr>
            <w:tcW w:w="14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231F20"/>
            </w:tcBorders>
            <w:shd w:val="clear" w:color="auto" w:fill="E2E8F1"/>
          </w:tcPr>
          <w:p>
            <w:pPr>
              <w:spacing w:after="0"/>
              <w:rPr>
                <w:sz w:val="14"/>
                <w:szCs w:val="14"/>
                <w:color w:val="auto"/>
              </w:rPr>
            </w:pPr>
          </w:p>
        </w:tc>
        <w:tc>
          <w:tcPr>
            <w:tcW w:w="114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17.7</w:t>
            </w:r>
          </w:p>
        </w:tc>
      </w:tr>
      <w:tr>
        <w:trPr>
          <w:trHeight w:val="181"/>
        </w:trPr>
        <w:tc>
          <w:tcPr>
            <w:tcW w:w="7000" w:type="dxa"/>
            <w:vAlign w:val="bottom"/>
          </w:tcPr>
          <w:p>
            <w:pPr>
              <w:ind w:left="80"/>
              <w:spacing w:after="0"/>
              <w:rPr>
                <w:sz w:val="20"/>
                <w:szCs w:val="20"/>
                <w:color w:val="auto"/>
              </w:rPr>
            </w:pPr>
            <w:r>
              <w:rPr>
                <w:rFonts w:ascii="Arial" w:cs="Arial" w:eastAsia="Arial" w:hAnsi="Arial"/>
                <w:sz w:val="14"/>
                <w:szCs w:val="14"/>
                <w:color w:val="auto"/>
              </w:rPr>
              <w:t>Northern Europe</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742.9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116.5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70"/>
              <w:spacing w:after="0"/>
              <w:rPr>
                <w:sz w:val="20"/>
                <w:szCs w:val="20"/>
                <w:color w:val="auto"/>
              </w:rPr>
            </w:pPr>
            <w:r>
              <w:rPr>
                <w:rFonts w:ascii="Arial" w:cs="Arial" w:eastAsia="Arial" w:hAnsi="Arial"/>
                <w:sz w:val="14"/>
                <w:szCs w:val="14"/>
                <w:color w:val="auto"/>
              </w:rPr>
              <w:t>10.7</w:t>
            </w:r>
          </w:p>
        </w:tc>
      </w:tr>
      <w:tr>
        <w:trPr>
          <w:trHeight w:val="189"/>
        </w:trPr>
        <w:tc>
          <w:tcPr>
            <w:tcW w:w="7000" w:type="dxa"/>
            <w:vAlign w:val="bottom"/>
            <w:shd w:val="clear" w:color="auto" w:fill="E2E8F1"/>
          </w:tcPr>
          <w:p>
            <w:pPr>
              <w:ind w:left="80"/>
              <w:spacing w:after="0"/>
              <w:rPr>
                <w:sz w:val="20"/>
                <w:szCs w:val="20"/>
                <w:color w:val="auto"/>
              </w:rPr>
            </w:pPr>
            <w:r>
              <w:rPr>
                <w:rFonts w:ascii="Arial" w:cs="Arial" w:eastAsia="Arial" w:hAnsi="Arial"/>
                <w:sz w:val="14"/>
                <w:szCs w:val="14"/>
                <w:color w:val="auto"/>
              </w:rPr>
              <w:t>APME</w:t>
            </w:r>
          </w:p>
        </w:tc>
        <w:tc>
          <w:tcPr>
            <w:tcW w:w="16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60" w:type="dxa"/>
            <w:vAlign w:val="bottom"/>
            <w:shd w:val="clear" w:color="auto" w:fill="E2E8F1"/>
          </w:tcPr>
          <w:p>
            <w:pPr>
              <w:jc w:val="right"/>
              <w:ind w:right="90"/>
              <w:spacing w:after="0"/>
              <w:rPr>
                <w:sz w:val="20"/>
                <w:szCs w:val="20"/>
                <w:color w:val="auto"/>
              </w:rPr>
            </w:pPr>
            <w:r>
              <w:rPr>
                <w:rFonts w:ascii="Arial" w:cs="Arial" w:eastAsia="Arial" w:hAnsi="Arial"/>
                <w:sz w:val="14"/>
                <w:szCs w:val="14"/>
                <w:color w:val="auto"/>
              </w:rPr>
              <w:t>744.4</w:t>
            </w:r>
          </w:p>
        </w:tc>
        <w:tc>
          <w:tcPr>
            <w:tcW w:w="14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110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52.8</w:t>
            </w:r>
          </w:p>
        </w:tc>
        <w:tc>
          <w:tcPr>
            <w:tcW w:w="140" w:type="dxa"/>
            <w:vAlign w:val="bottom"/>
            <w:shd w:val="clear" w:color="auto" w:fill="E2E8F1"/>
          </w:tcPr>
          <w:p>
            <w:pPr>
              <w:spacing w:after="0"/>
              <w:rPr>
                <w:sz w:val="16"/>
                <w:szCs w:val="16"/>
                <w:color w:val="auto"/>
              </w:rPr>
            </w:pPr>
          </w:p>
        </w:tc>
        <w:tc>
          <w:tcPr>
            <w:tcW w:w="120" w:type="dxa"/>
            <w:vAlign w:val="bottom"/>
            <w:shd w:val="clear" w:color="auto" w:fill="E2E8F1"/>
          </w:tcPr>
          <w:p>
            <w:pPr>
              <w:spacing w:after="0"/>
              <w:rPr>
                <w:sz w:val="16"/>
                <w:szCs w:val="16"/>
                <w:color w:val="auto"/>
              </w:rPr>
            </w:pPr>
          </w:p>
        </w:tc>
        <w:tc>
          <w:tcPr>
            <w:tcW w:w="1140" w:type="dxa"/>
            <w:vAlign w:val="bottom"/>
            <w:shd w:val="clear" w:color="auto" w:fill="E2E8F1"/>
          </w:tcPr>
          <w:p>
            <w:pPr>
              <w:jc w:val="right"/>
              <w:ind w:right="70"/>
              <w:spacing w:after="0"/>
              <w:rPr>
                <w:sz w:val="20"/>
                <w:szCs w:val="20"/>
                <w:color w:val="auto"/>
              </w:rPr>
            </w:pPr>
            <w:r>
              <w:rPr>
                <w:rFonts w:ascii="Arial" w:cs="Arial" w:eastAsia="Arial" w:hAnsi="Arial"/>
                <w:sz w:val="14"/>
                <w:szCs w:val="14"/>
                <w:color w:val="auto"/>
              </w:rPr>
              <w:t>7.5</w:t>
            </w:r>
          </w:p>
        </w:tc>
      </w:tr>
      <w:tr>
        <w:trPr>
          <w:trHeight w:val="189"/>
        </w:trPr>
        <w:tc>
          <w:tcPr>
            <w:tcW w:w="7000" w:type="dxa"/>
            <w:vAlign w:val="bottom"/>
          </w:tcPr>
          <w:p>
            <w:pPr>
              <w:ind w:left="80"/>
              <w:spacing w:after="0" w:line="189" w:lineRule="exact"/>
              <w:rPr>
                <w:sz w:val="20"/>
                <w:szCs w:val="20"/>
                <w:color w:val="auto"/>
              </w:rPr>
            </w:pPr>
            <w:r>
              <w:rPr>
                <w:rFonts w:ascii="Arial" w:cs="Arial" w:eastAsia="Arial" w:hAnsi="Arial"/>
                <w:sz w:val="14"/>
                <w:szCs w:val="14"/>
                <w:color w:val="auto"/>
              </w:rPr>
              <w:t>Corporate</w:t>
            </w:r>
            <w:r>
              <w:rPr>
                <w:rFonts w:ascii="Arial" w:cs="Arial" w:eastAsia="Arial" w:hAnsi="Arial"/>
                <w:sz w:val="19"/>
                <w:szCs w:val="19"/>
                <w:color w:val="auto"/>
                <w:vertAlign w:val="superscript"/>
              </w:rPr>
              <w:t>(c)</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444.1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70"/>
              <w:spacing w:after="0"/>
              <w:rPr>
                <w:sz w:val="20"/>
                <w:szCs w:val="20"/>
                <w:color w:val="auto"/>
              </w:rPr>
            </w:pPr>
            <w:r>
              <w:rPr>
                <w:rFonts w:ascii="Arial" w:cs="Arial" w:eastAsia="Arial" w:hAnsi="Arial"/>
                <w:sz w:val="14"/>
                <w:szCs w:val="14"/>
                <w:color w:val="auto"/>
              </w:rPr>
              <w:t>1.6</w:t>
            </w:r>
          </w:p>
        </w:tc>
      </w:tr>
      <w:tr>
        <w:trPr>
          <w:trHeight w:val="177"/>
        </w:trPr>
        <w:tc>
          <w:tcPr>
            <w:tcW w:w="7000" w:type="dxa"/>
            <w:vAlign w:val="bottom"/>
            <w:tcBorders>
              <w:bottom w:val="single" w:sz="8" w:color="E2E8F1"/>
            </w:tcBorders>
            <w:shd w:val="clear" w:color="auto" w:fill="E2E8F1"/>
          </w:tcPr>
          <w:p>
            <w:pPr>
              <w:ind w:left="80"/>
              <w:spacing w:after="0" w:line="177" w:lineRule="exact"/>
              <w:rPr>
                <w:sz w:val="20"/>
                <w:szCs w:val="20"/>
                <w:color w:val="auto"/>
              </w:rPr>
            </w:pPr>
            <w:r>
              <w:rPr>
                <w:rFonts w:ascii="Arial" w:cs="Arial" w:eastAsia="Arial" w:hAnsi="Arial"/>
                <w:sz w:val="14"/>
                <w:szCs w:val="14"/>
                <w:color w:val="auto"/>
              </w:rPr>
              <w:t>Intangible asset amortization expense</w:t>
            </w:r>
            <w:r>
              <w:rPr>
                <w:rFonts w:ascii="Arial" w:cs="Arial" w:eastAsia="Arial" w:hAnsi="Arial"/>
                <w:sz w:val="19"/>
                <w:szCs w:val="19"/>
                <w:color w:val="auto"/>
                <w:vertAlign w:val="superscript"/>
              </w:rPr>
              <w:t>(d)</w:t>
            </w:r>
          </w:p>
        </w:tc>
        <w:tc>
          <w:tcPr>
            <w:tcW w:w="160" w:type="dxa"/>
            <w:vAlign w:val="bottom"/>
            <w:tcBorders>
              <w:bottom w:val="single" w:sz="8" w:color="E2E8F1"/>
            </w:tcBorders>
            <w:shd w:val="clear" w:color="auto" w:fill="E2E8F1"/>
          </w:tcPr>
          <w:p>
            <w:pPr>
              <w:spacing w:after="0"/>
              <w:rPr>
                <w:sz w:val="15"/>
                <w:szCs w:val="15"/>
                <w:color w:val="auto"/>
              </w:rPr>
            </w:pPr>
          </w:p>
        </w:tc>
        <w:tc>
          <w:tcPr>
            <w:tcW w:w="240" w:type="dxa"/>
            <w:vAlign w:val="bottom"/>
            <w:tcBorders>
              <w:bottom w:val="single" w:sz="8" w:color="231F20"/>
            </w:tcBorders>
            <w:shd w:val="clear" w:color="auto" w:fill="E2E8F1"/>
          </w:tcPr>
          <w:p>
            <w:pPr>
              <w:spacing w:after="0"/>
              <w:rPr>
                <w:sz w:val="15"/>
                <w:szCs w:val="15"/>
                <w:color w:val="auto"/>
              </w:rPr>
            </w:pPr>
          </w:p>
        </w:tc>
        <w:tc>
          <w:tcPr>
            <w:tcW w:w="1060" w:type="dxa"/>
            <w:vAlign w:val="bottom"/>
            <w:tcBorders>
              <w:bottom w:val="single" w:sz="8" w:color="231F20"/>
            </w:tcBorders>
            <w:shd w:val="clear" w:color="auto" w:fill="E2E8F1"/>
          </w:tcPr>
          <w:p>
            <w:pPr>
              <w:jc w:val="right"/>
              <w:ind w:right="9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2E8F1"/>
            </w:tcBorders>
            <w:shd w:val="clear" w:color="auto" w:fill="E2E8F1"/>
          </w:tcPr>
          <w:p>
            <w:pPr>
              <w:spacing w:after="0"/>
              <w:rPr>
                <w:sz w:val="15"/>
                <w:szCs w:val="15"/>
                <w:color w:val="auto"/>
              </w:rPr>
            </w:pPr>
          </w:p>
        </w:tc>
        <w:tc>
          <w:tcPr>
            <w:tcW w:w="160" w:type="dxa"/>
            <w:vAlign w:val="bottom"/>
            <w:tcBorders>
              <w:bottom w:val="single" w:sz="8" w:color="231F20"/>
            </w:tcBorders>
            <w:shd w:val="clear" w:color="auto" w:fill="E2E8F1"/>
          </w:tcPr>
          <w:p>
            <w:pPr>
              <w:spacing w:after="0"/>
              <w:rPr>
                <w:sz w:val="15"/>
                <w:szCs w:val="15"/>
                <w:color w:val="auto"/>
              </w:rPr>
            </w:pPr>
          </w:p>
        </w:tc>
        <w:tc>
          <w:tcPr>
            <w:tcW w:w="110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2E8F1"/>
            </w:tcBorders>
            <w:shd w:val="clear" w:color="auto" w:fill="E2E8F1"/>
          </w:tcPr>
          <w:p>
            <w:pPr>
              <w:spacing w:after="0"/>
              <w:rPr>
                <w:sz w:val="15"/>
                <w:szCs w:val="15"/>
                <w:color w:val="auto"/>
              </w:rPr>
            </w:pPr>
          </w:p>
        </w:tc>
        <w:tc>
          <w:tcPr>
            <w:tcW w:w="120" w:type="dxa"/>
            <w:vAlign w:val="bottom"/>
            <w:tcBorders>
              <w:bottom w:val="single" w:sz="8" w:color="231F20"/>
            </w:tcBorders>
            <w:shd w:val="clear" w:color="auto" w:fill="E2E8F1"/>
          </w:tcPr>
          <w:p>
            <w:pPr>
              <w:spacing w:after="0"/>
              <w:rPr>
                <w:sz w:val="15"/>
                <w:szCs w:val="15"/>
                <w:color w:val="auto"/>
              </w:rPr>
            </w:pPr>
          </w:p>
        </w:tc>
        <w:tc>
          <w:tcPr>
            <w:tcW w:w="1140" w:type="dxa"/>
            <w:vAlign w:val="bottom"/>
            <w:tcBorders>
              <w:bottom w:val="single" w:sz="8" w:color="231F20"/>
            </w:tcBorders>
            <w:shd w:val="clear" w:color="auto" w:fill="E2E8F1"/>
          </w:tcPr>
          <w:p>
            <w:pPr>
              <w:jc w:val="right"/>
              <w:ind w:right="70"/>
              <w:spacing w:after="0"/>
              <w:rPr>
                <w:sz w:val="20"/>
                <w:szCs w:val="20"/>
                <w:color w:val="auto"/>
              </w:rPr>
            </w:pPr>
            <w:r>
              <w:rPr>
                <w:rFonts w:ascii="Arial" w:cs="Arial" w:eastAsia="Arial" w:hAnsi="Arial"/>
                <w:sz w:val="14"/>
                <w:szCs w:val="14"/>
                <w:color w:val="auto"/>
              </w:rPr>
              <w:t>37.1</w:t>
            </w:r>
          </w:p>
        </w:tc>
      </w:tr>
      <w:tr>
        <w:trPr>
          <w:trHeight w:val="184"/>
        </w:trPr>
        <w:tc>
          <w:tcPr>
            <w:tcW w:w="70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9,130.4</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525.6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70"/>
              <w:spacing w:after="0"/>
              <w:rPr>
                <w:sz w:val="20"/>
                <w:szCs w:val="20"/>
                <w:color w:val="auto"/>
              </w:rPr>
            </w:pPr>
            <w:r>
              <w:rPr>
                <w:rFonts w:ascii="Arial" w:cs="Arial" w:eastAsia="Arial" w:hAnsi="Arial"/>
                <w:sz w:val="14"/>
                <w:szCs w:val="14"/>
                <w:color w:val="auto"/>
              </w:rPr>
              <w:t>84.6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5369560</wp:posOffset>
            </wp:positionH>
            <wp:positionV relativeFrom="paragraph">
              <wp:posOffset>-1330325</wp:posOffset>
            </wp:positionV>
            <wp:extent cx="9779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-1330325</wp:posOffset>
            </wp:positionV>
            <wp:extent cx="9017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90170" cy="7620"/>
                    </a:xfrm>
                    <a:prstGeom prst="rect">
                      <a:avLst/>
                    </a:prstGeom>
                    <a:noFill/>
                  </pic:spPr>
                </pic:pic>
              </a:graphicData>
            </a:graphic>
          </wp:anchor>
        </w:drawing>
        <w:drawing>
          <wp:anchor simplePos="0" relativeHeight="251657728" behindDoc="1" locked="0" layoutInCell="0" allowOverlap="1">
            <wp:simplePos x="0" y="0"/>
            <wp:positionH relativeFrom="column">
              <wp:posOffset>5369560</wp:posOffset>
            </wp:positionH>
            <wp:positionV relativeFrom="paragraph">
              <wp:posOffset>-609600</wp:posOffset>
            </wp:positionV>
            <wp:extent cx="9779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-609600</wp:posOffset>
            </wp:positionV>
            <wp:extent cx="9017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90170" cy="7620"/>
                    </a:xfrm>
                    <a:prstGeom prst="rect">
                      <a:avLst/>
                    </a:prstGeom>
                    <a:noFill/>
                  </pic:spPr>
                </pic:pic>
              </a:graphicData>
            </a:graphic>
          </wp:anchor>
        </w:drawing>
        <w:drawing>
          <wp:anchor simplePos="0" relativeHeight="251657728" behindDoc="1" locked="0" layoutInCell="0" allowOverlap="1">
            <wp:simplePos x="0" y="0"/>
            <wp:positionH relativeFrom="column">
              <wp:posOffset>5369560</wp:posOffset>
            </wp:positionH>
            <wp:positionV relativeFrom="paragraph">
              <wp:posOffset>-128905</wp:posOffset>
            </wp:positionV>
            <wp:extent cx="9779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-128905</wp:posOffset>
            </wp:positionV>
            <wp:extent cx="9017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90170" cy="7620"/>
                    </a:xfrm>
                    <a:prstGeom prst="rect">
                      <a:avLst/>
                    </a:prstGeom>
                    <a:noFill/>
                  </pic:spPr>
                </pic:pic>
              </a:graphicData>
            </a:graphic>
          </wp:anchor>
        </w:drawing>
      </w:r>
    </w:p>
    <w:p>
      <w:pPr>
        <w:ind w:left="325" w:hanging="325"/>
        <w:spacing w:after="0" w:line="186" w:lineRule="auto"/>
        <w:tabs>
          <w:tab w:leader="none" w:pos="325" w:val="left"/>
        </w:tabs>
        <w:numPr>
          <w:ilvl w:val="0"/>
          <w:numId w:val="66"/>
        </w:numPr>
        <w:rPr>
          <w:rFonts w:ascii="Arial" w:cs="Arial" w:eastAsia="Arial" w:hAnsi="Arial"/>
          <w:sz w:val="16"/>
          <w:szCs w:val="16"/>
          <w:color w:val="231F20"/>
          <w:vertAlign w:val="superscript"/>
        </w:rPr>
      </w:pPr>
      <w:r>
        <w:rPr>
          <w:rFonts w:ascii="Arial" w:cs="Arial" w:eastAsia="Arial" w:hAnsi="Arial"/>
          <w:sz w:val="12"/>
          <w:szCs w:val="12"/>
          <w:color w:val="231F20"/>
        </w:rPr>
        <w:t>Long-lived assets consist of net property and equipment, net capitalized software and right-of-use assets.</w:t>
      </w:r>
    </w:p>
    <w:p>
      <w:pPr>
        <w:ind w:left="325" w:right="20" w:hanging="325"/>
        <w:spacing w:after="0" w:line="197" w:lineRule="auto"/>
        <w:tabs>
          <w:tab w:leader="none" w:pos="325" w:val="left"/>
        </w:tabs>
        <w:numPr>
          <w:ilvl w:val="0"/>
          <w:numId w:val="66"/>
        </w:numPr>
        <w:rPr>
          <w:rFonts w:ascii="Arial" w:cs="Arial" w:eastAsia="Arial" w:hAnsi="Arial"/>
          <w:sz w:val="17"/>
          <w:szCs w:val="17"/>
          <w:color w:val="231F20"/>
          <w:vertAlign w:val="superscript"/>
        </w:rPr>
      </w:pPr>
      <w:r>
        <w:rPr>
          <w:rFonts w:ascii="Arial" w:cs="Arial" w:eastAsia="Arial" w:hAnsi="Arial"/>
          <w:sz w:val="13"/>
          <w:szCs w:val="13"/>
          <w:color w:val="231F20"/>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ind w:left="325" w:hanging="325"/>
        <w:spacing w:after="0" w:line="185" w:lineRule="auto"/>
        <w:tabs>
          <w:tab w:leader="none" w:pos="325" w:val="left"/>
        </w:tabs>
        <w:numPr>
          <w:ilvl w:val="0"/>
          <w:numId w:val="66"/>
        </w:numPr>
        <w:rPr>
          <w:rFonts w:ascii="Arial" w:cs="Arial" w:eastAsia="Arial" w:hAnsi="Arial"/>
          <w:sz w:val="16"/>
          <w:szCs w:val="16"/>
          <w:color w:val="231F20"/>
          <w:vertAlign w:val="superscript"/>
        </w:rPr>
      </w:pPr>
      <w:r>
        <w:rPr>
          <w:rFonts w:ascii="Arial" w:cs="Arial" w:eastAsia="Arial" w:hAnsi="Arial"/>
          <w:sz w:val="12"/>
          <w:szCs w:val="12"/>
          <w:color w:val="231F20"/>
        </w:rPr>
        <w:t>Corporate assets include assets that were not used in the operations of any segment, the most significant of which were purchased intangibles and cash.</w:t>
      </w:r>
    </w:p>
    <w:p>
      <w:pPr>
        <w:ind w:left="325" w:hanging="325"/>
        <w:spacing w:after="0" w:line="189" w:lineRule="auto"/>
        <w:tabs>
          <w:tab w:leader="none" w:pos="325" w:val="left"/>
        </w:tabs>
        <w:numPr>
          <w:ilvl w:val="0"/>
          <w:numId w:val="66"/>
        </w:numPr>
        <w:rPr>
          <w:rFonts w:ascii="Arial" w:cs="Arial" w:eastAsia="Arial" w:hAnsi="Arial"/>
          <w:sz w:val="17"/>
          <w:szCs w:val="17"/>
          <w:color w:val="231F20"/>
          <w:vertAlign w:val="superscript"/>
        </w:rPr>
      </w:pPr>
      <w:r>
        <w:rPr>
          <w:rFonts w:ascii="Arial" w:cs="Arial" w:eastAsia="Arial" w:hAnsi="Arial"/>
          <w:sz w:val="13"/>
          <w:szCs w:val="13"/>
          <w:color w:val="231F20"/>
        </w:rPr>
        <w:t>Intangible asset amortization related to acquisitions is excluded from operating costs within the reportable segments and corporate expenses, and shown separately.</w:t>
      </w:r>
    </w:p>
    <w:p>
      <w:pPr>
        <w:spacing w:after="0" w:line="15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type w:val="continuous"/>
        </w:sectPr>
      </w:pPr>
    </w:p>
    <w:bookmarkStart w:id="86" w:name="page87"/>
    <w:bookmarkEnd w:id="86"/>
    <w:p>
      <w:pPr>
        <w:ind w:left="10765"/>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16" w:lineRule="exact"/>
        <w:rPr>
          <w:sz w:val="20"/>
          <w:szCs w:val="20"/>
          <w:color w:val="auto"/>
        </w:rPr>
      </w:pPr>
    </w:p>
    <w:p>
      <w:pPr>
        <w:ind w:left="445" w:hanging="445"/>
        <w:spacing w:after="0"/>
        <w:tabs>
          <w:tab w:leader="none" w:pos="445" w:val="left"/>
        </w:tabs>
        <w:numPr>
          <w:ilvl w:val="0"/>
          <w:numId w:val="67"/>
        </w:numPr>
        <w:rPr>
          <w:rFonts w:ascii="Arial" w:cs="Arial" w:eastAsia="Arial" w:hAnsi="Arial"/>
          <w:sz w:val="22"/>
          <w:szCs w:val="22"/>
          <w:b w:val="1"/>
          <w:bCs w:val="1"/>
          <w:color w:val="5B89B4"/>
        </w:rPr>
      </w:pPr>
      <w:r>
        <w:rPr>
          <w:rFonts w:ascii="Arial" w:cs="Arial" w:eastAsia="Arial" w:hAnsi="Arial"/>
          <w:sz w:val="22"/>
          <w:szCs w:val="22"/>
          <w:b w:val="1"/>
          <w:bCs w:val="1"/>
          <w:u w:val="single" w:color="auto"/>
          <w:color w:val="5B89B4"/>
        </w:rPr>
        <w:t>Commitments and Contingencies</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Guarantees</w:t>
      </w:r>
    </w:p>
    <w:p>
      <w:pPr>
        <w:spacing w:after="0" w:line="88" w:lineRule="exact"/>
        <w:rPr>
          <w:sz w:val="20"/>
          <w:szCs w:val="20"/>
          <w:color w:val="auto"/>
        </w:rPr>
      </w:pPr>
    </w:p>
    <w:p>
      <w:pPr>
        <w:jc w:val="both"/>
        <w:ind w:left="5"/>
        <w:spacing w:after="0" w:line="239" w:lineRule="auto"/>
        <w:rPr>
          <w:sz w:val="20"/>
          <w:szCs w:val="20"/>
          <w:color w:val="auto"/>
        </w:rPr>
      </w:pPr>
      <w:r>
        <w:rPr>
          <w:rFonts w:ascii="Arial" w:cs="Arial" w:eastAsia="Arial" w:hAnsi="Arial"/>
          <w:sz w:val="16"/>
          <w:szCs w:val="16"/>
          <w:color w:val="231F20"/>
        </w:rPr>
        <w:t>We have entered into certain guarantee contracts and stand-by letters of credit that total $571.0 as of December 31, 2024 ($524.2 for guarantees and $46.8 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101"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5B89B4"/>
        </w:rPr>
        <w:t>Litigation</w:t>
      </w:r>
    </w:p>
    <w:p>
      <w:pPr>
        <w:spacing w:after="0" w:line="88"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231F20"/>
        </w:rPr>
        <w:t>In the normal course of business, the Company is named as a defendant in various legal proceedings in which claims are asserted against the Company. We record accruals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effect on our business or financial condition.</w:t>
      </w:r>
    </w:p>
    <w:p>
      <w:pPr>
        <w:spacing w:after="0" w:line="16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704" w:right="339" w:bottom="1440" w:gutter="0" w:footer="0" w:header="0"/>
        </w:sectPr>
      </w:pPr>
    </w:p>
    <w:bookmarkStart w:id="87" w:name="page88"/>
    <w:bookmarkEnd w:id="87"/>
    <w:p>
      <w:pPr>
        <w:ind w:left="60"/>
        <w:spacing w:after="0"/>
        <w:rPr>
          <w:sz w:val="20"/>
          <w:szCs w:val="20"/>
          <w:color w:val="auto"/>
        </w:rPr>
      </w:pPr>
      <w:r>
        <w:rPr>
          <w:rFonts w:ascii="Arial" w:cs="Arial" w:eastAsia="Arial" w:hAnsi="Arial"/>
          <w:sz w:val="16"/>
          <w:szCs w:val="16"/>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231F20"/>
        </w:rPr>
        <w:t>Not applicable.</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Item 9A. Controls and Procedures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Disclosure Controls and Procedures</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231F20"/>
        </w:rPr>
        <w:t>We maintain a set of disclosure controls and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Management Report on Internal Control over Financial Reporting</w:t>
      </w:r>
    </w:p>
    <w:p>
      <w:pPr>
        <w:spacing w:after="0" w:line="8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We are responsible for establishing and maintaining effective internal control over financial reporting as defined in Rule 13a-15(f) under the Exchange Act.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1"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231F20"/>
        </w:rPr>
        <w:t>Under the supervision and with the participation of management, including our Chief Executive Officer and our Executive Vice President and Chief Financial Officer, we conducted an evaluation of the effectiveness of our internal control over financial reporting based on the framework in Internal Control — Integrated Framework (2013)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2024.</w:t>
      </w:r>
    </w:p>
    <w:p>
      <w:pPr>
        <w:spacing w:after="0" w:line="6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effectiveness of our internal control over financial reporting as of December 31, 2024 has been audited by Deloitte &amp; Touche LLP, an independent registered public accounting firm, as stated in their report which appears herein.</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Internal Control over Financial Reporting</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There have been no changes in our internal control over financial reporting that occurred during our last fiscal quarter that have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[Item 9B. Other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B89B4"/>
        </w:rPr>
        <w:t>Trading Plans</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During the quarter ended December 31, 2024, no director or Section 16 officer adopted or terminated any "Rule 10b5-1 trading arrangements" or "non-Rule 10b5-1 trading arrangements" as each term is defined in Item 408(a) of Regulation S-K.</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Item 9C. Disclosure Regarding Foreign Jurisdictions that Prevent Inspections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231F20"/>
        </w:rPr>
        <w:t>Not applicable.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88" w:name="page89"/>
    <w:bookmarkEnd w:id="88"/>
    <w:p>
      <w:pPr>
        <w:ind w:left="10725"/>
        <w:spacing w:after="0"/>
        <w:rPr>
          <w:sz w:val="20"/>
          <w:szCs w:val="20"/>
          <w:color w:val="auto"/>
        </w:rPr>
      </w:pPr>
      <w:r>
        <w:rPr>
          <w:rFonts w:ascii="Arial" w:cs="Arial" w:eastAsia="Arial" w:hAnsi="Arial"/>
          <w:sz w:val="16"/>
          <w:szCs w:val="16"/>
          <w:color w:val="FFFF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60" w:lineRule="exact"/>
        <w:rPr>
          <w:sz w:val="20"/>
          <w:szCs w:val="20"/>
          <w:color w:val="auto"/>
        </w:rPr>
      </w:pPr>
    </w:p>
    <w:p>
      <w:pPr>
        <w:ind w:left="5"/>
        <w:spacing w:after="0"/>
        <w:rPr>
          <w:sz w:val="20"/>
          <w:szCs w:val="20"/>
          <w:color w:val="auto"/>
        </w:rPr>
      </w:pPr>
      <w:r>
        <w:rPr>
          <w:rFonts w:ascii="Arial" w:cs="Arial" w:eastAsia="Arial" w:hAnsi="Arial"/>
          <w:sz w:val="36"/>
          <w:szCs w:val="36"/>
          <w:b w:val="1"/>
          <w:bCs w:val="1"/>
          <w:color w:val="5B89B4"/>
        </w:rPr>
        <w:t>PART III</w:t>
      </w:r>
    </w:p>
    <w:p>
      <w:pPr>
        <w:spacing w:after="0" w:line="36"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5B89B4"/>
        </w:rPr>
        <w:t>Item 10. Directors, Executive Officers and Corporate Governance</w:t>
      </w:r>
    </w:p>
    <w:p>
      <w:pPr>
        <w:spacing w:after="0" w:line="86" w:lineRule="exact"/>
        <w:rPr>
          <w:sz w:val="20"/>
          <w:szCs w:val="20"/>
          <w:color w:val="auto"/>
        </w:rPr>
      </w:pPr>
    </w:p>
    <w:p>
      <w:pPr>
        <w:ind w:left="305" w:hanging="305"/>
        <w:spacing w:after="0"/>
        <w:tabs>
          <w:tab w:leader="none" w:pos="305" w:val="left"/>
        </w:tabs>
        <w:numPr>
          <w:ilvl w:val="0"/>
          <w:numId w:val="68"/>
        </w:numPr>
        <w:rPr>
          <w:rFonts w:ascii="Arial" w:cs="Arial" w:eastAsia="Arial" w:hAnsi="Arial"/>
          <w:sz w:val="16"/>
          <w:szCs w:val="16"/>
          <w:color w:val="231F20"/>
        </w:rPr>
      </w:pPr>
      <w:r>
        <w:rPr>
          <w:rFonts w:ascii="Arial" w:cs="Arial" w:eastAsia="Arial" w:hAnsi="Arial"/>
          <w:sz w:val="16"/>
          <w:szCs w:val="16"/>
          <w:color w:val="231F20"/>
        </w:rPr>
        <w:t>Executive Officers. Reference is made to “Information about out Executive Officers” in Part I after Item 4.</w:t>
      </w:r>
    </w:p>
    <w:p>
      <w:pPr>
        <w:spacing w:after="0" w:line="88" w:lineRule="exact"/>
        <w:rPr>
          <w:rFonts w:ascii="Arial" w:cs="Arial" w:eastAsia="Arial" w:hAnsi="Arial"/>
          <w:sz w:val="16"/>
          <w:szCs w:val="16"/>
          <w:color w:val="231F20"/>
        </w:rPr>
      </w:pPr>
    </w:p>
    <w:p>
      <w:pPr>
        <w:ind w:left="305" w:right="20" w:hanging="305"/>
        <w:spacing w:after="0" w:line="260" w:lineRule="auto"/>
        <w:tabs>
          <w:tab w:leader="none" w:pos="305" w:val="left"/>
        </w:tabs>
        <w:numPr>
          <w:ilvl w:val="0"/>
          <w:numId w:val="68"/>
        </w:numPr>
        <w:rPr>
          <w:rFonts w:ascii="Arial" w:cs="Arial" w:eastAsia="Arial" w:hAnsi="Arial"/>
          <w:sz w:val="16"/>
          <w:szCs w:val="16"/>
          <w:color w:val="231F20"/>
        </w:rPr>
      </w:pPr>
      <w:r>
        <w:rPr>
          <w:rFonts w:ascii="Arial" w:cs="Arial" w:eastAsia="Arial" w:hAnsi="Arial"/>
          <w:sz w:val="16"/>
          <w:szCs w:val="16"/>
          <w:color w:val="231F20"/>
        </w:rPr>
        <w:t>Directors. The information required by this Item is set forth in our Proxy Statement for the Annual Meeting of Shareholders to be held on May 2, 2025 under the caption “Election of Directors,” which information is hereby incorporated herein by reference.</w:t>
      </w:r>
    </w:p>
    <w:p>
      <w:pPr>
        <w:spacing w:after="0" w:line="50" w:lineRule="exact"/>
        <w:rPr>
          <w:rFonts w:ascii="Arial" w:cs="Arial" w:eastAsia="Arial" w:hAnsi="Arial"/>
          <w:sz w:val="16"/>
          <w:szCs w:val="16"/>
          <w:color w:val="231F20"/>
        </w:rPr>
      </w:pPr>
    </w:p>
    <w:p>
      <w:pPr>
        <w:ind w:left="305" w:right="20" w:hanging="305"/>
        <w:spacing w:after="0" w:line="260" w:lineRule="auto"/>
        <w:tabs>
          <w:tab w:leader="none" w:pos="305" w:val="left"/>
        </w:tabs>
        <w:numPr>
          <w:ilvl w:val="0"/>
          <w:numId w:val="68"/>
        </w:numPr>
        <w:rPr>
          <w:rFonts w:ascii="Arial" w:cs="Arial" w:eastAsia="Arial" w:hAnsi="Arial"/>
          <w:sz w:val="16"/>
          <w:szCs w:val="16"/>
          <w:color w:val="231F20"/>
        </w:rPr>
      </w:pPr>
      <w:r>
        <w:rPr>
          <w:rFonts w:ascii="Arial" w:cs="Arial" w:eastAsia="Arial" w:hAnsi="Arial"/>
          <w:sz w:val="16"/>
          <w:szCs w:val="16"/>
          <w:color w:val="231F20"/>
        </w:rPr>
        <w:t>The board of directors has determined that John F. Ferraro, chair of the audit committee and Paul Read, are “audit committee financial experts.” Mr. Ferraro and Mr. Read are both “independent” as that term is used in the applicable New York Stock Exchange listing standard.</w:t>
      </w:r>
    </w:p>
    <w:p>
      <w:pPr>
        <w:spacing w:after="0" w:line="50" w:lineRule="exact"/>
        <w:rPr>
          <w:rFonts w:ascii="Arial" w:cs="Arial" w:eastAsia="Arial" w:hAnsi="Arial"/>
          <w:sz w:val="16"/>
          <w:szCs w:val="16"/>
          <w:color w:val="231F20"/>
        </w:rPr>
      </w:pPr>
    </w:p>
    <w:p>
      <w:pPr>
        <w:ind w:left="305" w:right="20" w:hanging="305"/>
        <w:spacing w:after="0" w:line="260" w:lineRule="auto"/>
        <w:tabs>
          <w:tab w:leader="none" w:pos="305" w:val="left"/>
        </w:tabs>
        <w:numPr>
          <w:ilvl w:val="0"/>
          <w:numId w:val="68"/>
        </w:numPr>
        <w:rPr>
          <w:rFonts w:ascii="Arial" w:cs="Arial" w:eastAsia="Arial" w:hAnsi="Arial"/>
          <w:sz w:val="16"/>
          <w:szCs w:val="16"/>
          <w:color w:val="231F20"/>
        </w:rPr>
      </w:pPr>
      <w:r>
        <w:rPr>
          <w:rFonts w:ascii="Arial" w:cs="Arial" w:eastAsia="Arial" w:hAnsi="Arial"/>
          <w:sz w:val="16"/>
          <w:szCs w:val="16"/>
          <w:color w:val="231F20"/>
        </w:rPr>
        <w:t>Audit Committee. The information required by this Item is set forth in our Proxy Statement for the Annual Meeting of Shareholders to be held on May 2, 2025 under the caption “Meetings and Committees of the Board,” which information is hereby incorporated herein by reference.</w:t>
      </w:r>
    </w:p>
    <w:p>
      <w:pPr>
        <w:spacing w:after="0" w:line="50" w:lineRule="exact"/>
        <w:rPr>
          <w:rFonts w:ascii="Arial" w:cs="Arial" w:eastAsia="Arial" w:hAnsi="Arial"/>
          <w:sz w:val="16"/>
          <w:szCs w:val="16"/>
          <w:color w:val="231F20"/>
        </w:rPr>
      </w:pPr>
    </w:p>
    <w:p>
      <w:pPr>
        <w:jc w:val="both"/>
        <w:ind w:left="305" w:right="20" w:hanging="305"/>
        <w:spacing w:after="0" w:line="239" w:lineRule="auto"/>
        <w:tabs>
          <w:tab w:leader="none" w:pos="305" w:val="left"/>
        </w:tabs>
        <w:numPr>
          <w:ilvl w:val="0"/>
          <w:numId w:val="68"/>
        </w:numPr>
        <w:rPr>
          <w:rFonts w:ascii="Arial" w:cs="Arial" w:eastAsia="Arial" w:hAnsi="Arial"/>
          <w:sz w:val="16"/>
          <w:szCs w:val="16"/>
          <w:color w:val="231F20"/>
        </w:rPr>
      </w:pPr>
      <w:r>
        <w:rPr>
          <w:rFonts w:ascii="Arial" w:cs="Arial" w:eastAsia="Arial" w:hAnsi="Arial"/>
          <w:sz w:val="16"/>
          <w:szCs w:val="16"/>
          <w:color w:val="231F20"/>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www.manpowergroup.com. We intend to satisfy our disclosure requirements under Item 5.05 of Form 8-K, regarding any amendments to, or waiver of, a provision of our Code of Business Conduct and Ethics that applies to our principal executive officer, principal financial officer, principal accounting officer and controller or our directors by posting such information at this location on our website.</w:t>
      </w:r>
    </w:p>
    <w:p>
      <w:pPr>
        <w:spacing w:after="0" w:line="65" w:lineRule="exact"/>
        <w:rPr>
          <w:rFonts w:ascii="Arial" w:cs="Arial" w:eastAsia="Arial" w:hAnsi="Arial"/>
          <w:sz w:val="16"/>
          <w:szCs w:val="16"/>
          <w:color w:val="231F20"/>
        </w:rPr>
      </w:pPr>
    </w:p>
    <w:p>
      <w:pPr>
        <w:ind w:left="305" w:hanging="305"/>
        <w:spacing w:after="0" w:line="260" w:lineRule="auto"/>
        <w:tabs>
          <w:tab w:leader="none" w:pos="305" w:val="left"/>
        </w:tabs>
        <w:numPr>
          <w:ilvl w:val="0"/>
          <w:numId w:val="68"/>
        </w:numPr>
        <w:rPr>
          <w:rFonts w:ascii="Arial" w:cs="Arial" w:eastAsia="Arial" w:hAnsi="Arial"/>
          <w:sz w:val="16"/>
          <w:szCs w:val="16"/>
          <w:color w:val="231F20"/>
        </w:rPr>
      </w:pPr>
      <w:r>
        <w:rPr>
          <w:rFonts w:ascii="Arial" w:cs="Arial" w:eastAsia="Arial" w:hAnsi="Arial"/>
          <w:sz w:val="16"/>
          <w:szCs w:val="16"/>
          <w:color w:val="231F20"/>
        </w:rPr>
        <w:t>Insider Trading Policy. The information required by this Item is set forth in our Proxy Statement for the Annual Meeting of Shareholders to be held on May 2, 2025 under the caption “Our Insider Trading Policy Prohibits Hedging, Pledging and Short-Sale Transactions.”</w:t>
      </w:r>
    </w:p>
    <w:p>
      <w:pPr>
        <w:spacing w:after="0" w:line="187"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5B89B4"/>
        </w:rPr>
        <w:t>Item 11. Executive Compensation</w:t>
      </w:r>
    </w:p>
    <w:p>
      <w:pPr>
        <w:spacing w:after="0" w:line="108"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231F20"/>
        </w:rPr>
        <w:t>The information required by this Item is set forth in our Proxy Statement for the Annual Meeting of Shareholders to be held on May 2, 2025, under the captions "Compensation Discussion and Analysis," "Compensation Tables," "Compensation Policies and Practices as they Relate to Risk Management," "CEO Pay Ratio," “People, Culture and Compensation Committee Interlocks and Insider Participation;” and “Report of the People, Culture and Compensation Committee of the Board of Directors,” and "Equity Grant and Approval Timing Practices", which information is hereby incorporated herein by reference.</w:t>
      </w:r>
    </w:p>
    <w:p>
      <w:pPr>
        <w:spacing w:after="0" w:line="16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89" w:name="page90"/>
    <w:bookmarkEnd w:id="89"/>
    <w:p>
      <w:pPr>
        <w:ind w:left="65"/>
        <w:spacing w:after="0"/>
        <w:rPr>
          <w:sz w:val="20"/>
          <w:szCs w:val="20"/>
          <w:color w:val="auto"/>
        </w:rPr>
      </w:pPr>
      <w:r>
        <w:rPr>
          <w:rFonts w:ascii="Arial" w:cs="Arial" w:eastAsia="Arial" w:hAnsi="Arial"/>
          <w:sz w:val="16"/>
          <w:szCs w:val="16"/>
          <w:color w:val="FFFF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310" w:lineRule="exact"/>
        <w:rPr>
          <w:sz w:val="20"/>
          <w:szCs w:val="20"/>
          <w:color w:val="auto"/>
        </w:rPr>
      </w:pPr>
    </w:p>
    <w:p>
      <w:pPr>
        <w:jc w:val="both"/>
        <w:ind w:left="5" w:right="20"/>
        <w:spacing w:after="0" w:line="294" w:lineRule="auto"/>
        <w:rPr>
          <w:sz w:val="20"/>
          <w:szCs w:val="20"/>
          <w:color w:val="auto"/>
        </w:rPr>
      </w:pPr>
      <w:r>
        <w:rPr>
          <w:rFonts w:ascii="Arial" w:cs="Arial" w:eastAsia="Arial" w:hAnsi="Arial"/>
          <w:sz w:val="22"/>
          <w:szCs w:val="22"/>
          <w:b w:val="1"/>
          <w:bCs w:val="1"/>
          <w:color w:val="5B89B4"/>
        </w:rPr>
        <w:t>Item 12. Security Ownership of Certain Beneficial Owners and Management and Related Shareholder Matters</w:t>
      </w:r>
    </w:p>
    <w:p>
      <w:pPr>
        <w:spacing w:after="0" w:line="1"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231F20"/>
        </w:rPr>
        <w:t>The information required by this Item is set forth in our Proxy Statement for the Annual Meeting of Shareholders to be held on May 2, 2025, under the caption “Security Ownership of Certain Beneficial Owners,” and under the caption “Beneficial Ownership of Directors and Executive Officers,” which information is hereby incorporated herein by reference.</w:t>
      </w:r>
    </w:p>
    <w:p>
      <w:pPr>
        <w:spacing w:after="0" w:line="61" w:lineRule="exact"/>
        <w:rPr>
          <w:sz w:val="20"/>
          <w:szCs w:val="20"/>
          <w:color w:val="auto"/>
        </w:rPr>
      </w:pPr>
    </w:p>
    <w:p>
      <w:pPr>
        <w:jc w:val="both"/>
        <w:ind w:left="5"/>
        <w:spacing w:after="0" w:line="260" w:lineRule="auto"/>
        <w:rPr>
          <w:sz w:val="20"/>
          <w:szCs w:val="20"/>
          <w:color w:val="auto"/>
        </w:rPr>
      </w:pPr>
      <w:r>
        <w:rPr>
          <w:rFonts w:ascii="Arial" w:cs="Arial" w:eastAsia="Arial" w:hAnsi="Arial"/>
          <w:sz w:val="16"/>
          <w:szCs w:val="16"/>
          <w:color w:val="231F20"/>
        </w:rPr>
        <w:t>The following table sets forth information as of December 31, 2024 about our shares of common stock outstanding and available for issuance under our existing equity compensation plans.</w:t>
      </w:r>
    </w:p>
    <w:p>
      <w:pPr>
        <w:spacing w:after="0" w:line="57" w:lineRule="exact"/>
        <w:rPr>
          <w:sz w:val="20"/>
          <w:szCs w:val="20"/>
          <w:color w:val="auto"/>
        </w:rPr>
      </w:pPr>
    </w:p>
    <w:tbl>
      <w:tblPr>
        <w:tblLayout w:type="fixed"/>
        <w:tblInd w:w="5" w:type="dxa"/>
        <w:tblCellMar>
          <w:top w:w="0" w:type="dxa"/>
          <w:left w:w="0" w:type="dxa"/>
          <w:bottom w:w="0" w:type="dxa"/>
          <w:right w:w="0" w:type="dxa"/>
        </w:tblCellMar>
      </w:tblPr>
      <w:tr>
        <w:trPr>
          <w:trHeight w:val="146"/>
        </w:trPr>
        <w:tc>
          <w:tcPr>
            <w:tcW w:w="4600" w:type="dxa"/>
            <w:vAlign w:val="bottom"/>
            <w:tcBorders>
              <w:top w:val="single" w:sz="8" w:color="231F20"/>
            </w:tcBorders>
            <w:shd w:val="clear" w:color="auto" w:fill="98B0CF"/>
          </w:tcPr>
          <w:p>
            <w:pPr>
              <w:spacing w:after="0"/>
              <w:rPr>
                <w:sz w:val="12"/>
                <w:szCs w:val="12"/>
                <w:color w:val="auto"/>
              </w:rPr>
            </w:pPr>
          </w:p>
        </w:tc>
        <w:tc>
          <w:tcPr>
            <w:tcW w:w="1500" w:type="dxa"/>
            <w:vAlign w:val="bottom"/>
            <w:tcBorders>
              <w:top w:val="single" w:sz="8" w:color="231F20"/>
            </w:tcBorders>
            <w:shd w:val="clear" w:color="auto" w:fill="98B0CF"/>
          </w:tcPr>
          <w:p>
            <w:pPr>
              <w:jc w:val="center"/>
              <w:ind w:right="55"/>
              <w:spacing w:after="0" w:line="146" w:lineRule="exact"/>
              <w:rPr>
                <w:sz w:val="20"/>
                <w:szCs w:val="20"/>
                <w:color w:val="auto"/>
              </w:rPr>
            </w:pPr>
            <w:r>
              <w:rPr>
                <w:rFonts w:ascii="Arial" w:cs="Arial" w:eastAsia="Arial" w:hAnsi="Arial"/>
                <w:sz w:val="13"/>
                <w:szCs w:val="13"/>
                <w:b w:val="1"/>
                <w:bCs w:val="1"/>
                <w:color w:val="231F20"/>
                <w:w w:val="95"/>
              </w:rPr>
              <w:t>Number of</w:t>
            </w:r>
          </w:p>
        </w:tc>
        <w:tc>
          <w:tcPr>
            <w:tcW w:w="240" w:type="dxa"/>
            <w:vAlign w:val="bottom"/>
            <w:tcBorders>
              <w:top w:val="single" w:sz="8" w:color="231F20"/>
            </w:tcBorders>
            <w:shd w:val="clear" w:color="auto" w:fill="98B0CF"/>
          </w:tcPr>
          <w:p>
            <w:pPr>
              <w:spacing w:after="0"/>
              <w:rPr>
                <w:sz w:val="12"/>
                <w:szCs w:val="12"/>
                <w:color w:val="auto"/>
              </w:rPr>
            </w:pPr>
          </w:p>
        </w:tc>
        <w:tc>
          <w:tcPr>
            <w:tcW w:w="1380" w:type="dxa"/>
            <w:vAlign w:val="bottom"/>
            <w:tcBorders>
              <w:top w:val="single" w:sz="8" w:color="231F20"/>
            </w:tcBorders>
            <w:shd w:val="clear" w:color="auto" w:fill="98B0CF"/>
          </w:tcPr>
          <w:p>
            <w:pPr>
              <w:spacing w:after="0"/>
              <w:rPr>
                <w:sz w:val="12"/>
                <w:szCs w:val="12"/>
                <w:color w:val="auto"/>
              </w:rPr>
            </w:pPr>
          </w:p>
        </w:tc>
        <w:tc>
          <w:tcPr>
            <w:tcW w:w="1600" w:type="dxa"/>
            <w:vAlign w:val="bottom"/>
            <w:tcBorders>
              <w:top w:val="single" w:sz="8" w:color="231F20"/>
            </w:tcBorders>
            <w:shd w:val="clear" w:color="auto" w:fill="98B0CF"/>
          </w:tcPr>
          <w:p>
            <w:pPr>
              <w:spacing w:after="0"/>
              <w:rPr>
                <w:sz w:val="12"/>
                <w:szCs w:val="12"/>
                <w:color w:val="auto"/>
              </w:rPr>
            </w:pPr>
          </w:p>
        </w:tc>
        <w:tc>
          <w:tcPr>
            <w:tcW w:w="1940" w:type="dxa"/>
            <w:vAlign w:val="bottom"/>
            <w:tcBorders>
              <w:top w:val="single" w:sz="8" w:color="231F20"/>
            </w:tcBorders>
            <w:shd w:val="clear" w:color="auto" w:fill="98B0CF"/>
          </w:tcPr>
          <w:p>
            <w:pPr>
              <w:jc w:val="center"/>
              <w:ind w:right="55"/>
              <w:spacing w:after="0" w:line="146" w:lineRule="exact"/>
              <w:rPr>
                <w:sz w:val="20"/>
                <w:szCs w:val="20"/>
                <w:color w:val="auto"/>
              </w:rPr>
            </w:pPr>
            <w:r>
              <w:rPr>
                <w:rFonts w:ascii="Arial" w:cs="Arial" w:eastAsia="Arial" w:hAnsi="Arial"/>
                <w:sz w:val="13"/>
                <w:szCs w:val="13"/>
                <w:b w:val="1"/>
                <w:bCs w:val="1"/>
                <w:color w:val="231F20"/>
                <w:w w:val="97"/>
              </w:rPr>
              <w:t>Number of securities</w:t>
            </w:r>
          </w:p>
        </w:tc>
        <w:tc>
          <w:tcPr>
            <w:tcW w:w="0" w:type="dxa"/>
            <w:vAlign w:val="bottom"/>
          </w:tcPr>
          <w:p>
            <w:pPr>
              <w:spacing w:after="0"/>
              <w:rPr>
                <w:sz w:val="1"/>
                <w:szCs w:val="1"/>
                <w:color w:val="auto"/>
              </w:rPr>
            </w:pPr>
          </w:p>
        </w:tc>
      </w:tr>
      <w:tr>
        <w:trPr>
          <w:trHeight w:val="142"/>
        </w:trPr>
        <w:tc>
          <w:tcPr>
            <w:tcW w:w="4600" w:type="dxa"/>
            <w:vAlign w:val="bottom"/>
            <w:shd w:val="clear" w:color="auto" w:fill="98B0CF"/>
          </w:tcPr>
          <w:p>
            <w:pPr>
              <w:spacing w:after="0"/>
              <w:rPr>
                <w:sz w:val="12"/>
                <w:szCs w:val="12"/>
                <w:color w:val="auto"/>
              </w:rPr>
            </w:pPr>
          </w:p>
        </w:tc>
        <w:tc>
          <w:tcPr>
            <w:tcW w:w="1500" w:type="dxa"/>
            <w:vAlign w:val="bottom"/>
            <w:shd w:val="clear" w:color="auto" w:fill="98B0CF"/>
          </w:tcPr>
          <w:p>
            <w:pPr>
              <w:jc w:val="center"/>
              <w:ind w:right="35"/>
              <w:spacing w:after="0" w:line="142" w:lineRule="exact"/>
              <w:rPr>
                <w:sz w:val="20"/>
                <w:szCs w:val="20"/>
                <w:color w:val="auto"/>
              </w:rPr>
            </w:pPr>
            <w:r>
              <w:rPr>
                <w:rFonts w:ascii="Arial" w:cs="Arial" w:eastAsia="Arial" w:hAnsi="Arial"/>
                <w:sz w:val="13"/>
                <w:szCs w:val="13"/>
                <w:b w:val="1"/>
                <w:bCs w:val="1"/>
                <w:color w:val="231F20"/>
                <w:w w:val="96"/>
              </w:rPr>
              <w:t>securities to be</w:t>
            </w:r>
          </w:p>
        </w:tc>
        <w:tc>
          <w:tcPr>
            <w:tcW w:w="240" w:type="dxa"/>
            <w:vAlign w:val="bottom"/>
            <w:shd w:val="clear" w:color="auto" w:fill="98B0CF"/>
          </w:tcPr>
          <w:p>
            <w:pPr>
              <w:spacing w:after="0"/>
              <w:rPr>
                <w:sz w:val="12"/>
                <w:szCs w:val="12"/>
                <w:color w:val="auto"/>
              </w:rPr>
            </w:pPr>
          </w:p>
        </w:tc>
        <w:tc>
          <w:tcPr>
            <w:tcW w:w="1380" w:type="dxa"/>
            <w:vAlign w:val="bottom"/>
            <w:shd w:val="clear" w:color="auto" w:fill="98B0CF"/>
          </w:tcPr>
          <w:p>
            <w:pPr>
              <w:spacing w:after="0"/>
              <w:rPr>
                <w:sz w:val="12"/>
                <w:szCs w:val="12"/>
                <w:color w:val="auto"/>
              </w:rPr>
            </w:pPr>
          </w:p>
        </w:tc>
        <w:tc>
          <w:tcPr>
            <w:tcW w:w="1600" w:type="dxa"/>
            <w:vAlign w:val="bottom"/>
            <w:shd w:val="clear" w:color="auto" w:fill="98B0CF"/>
          </w:tcPr>
          <w:p>
            <w:pPr>
              <w:spacing w:after="0"/>
              <w:rPr>
                <w:sz w:val="12"/>
                <w:szCs w:val="12"/>
                <w:color w:val="auto"/>
              </w:rPr>
            </w:pPr>
          </w:p>
        </w:tc>
        <w:tc>
          <w:tcPr>
            <w:tcW w:w="1940" w:type="dxa"/>
            <w:vAlign w:val="bottom"/>
            <w:shd w:val="clear" w:color="auto" w:fill="98B0CF"/>
          </w:tcPr>
          <w:p>
            <w:pPr>
              <w:jc w:val="center"/>
              <w:ind w:right="55"/>
              <w:spacing w:after="0" w:line="142" w:lineRule="exact"/>
              <w:rPr>
                <w:sz w:val="20"/>
                <w:szCs w:val="20"/>
                <w:color w:val="auto"/>
              </w:rPr>
            </w:pPr>
            <w:r>
              <w:rPr>
                <w:rFonts w:ascii="Arial" w:cs="Arial" w:eastAsia="Arial" w:hAnsi="Arial"/>
                <w:sz w:val="13"/>
                <w:szCs w:val="13"/>
                <w:b w:val="1"/>
                <w:bCs w:val="1"/>
                <w:color w:val="231F20"/>
                <w:w w:val="97"/>
              </w:rPr>
              <w:t>remaining available</w:t>
            </w:r>
          </w:p>
        </w:tc>
        <w:tc>
          <w:tcPr>
            <w:tcW w:w="0" w:type="dxa"/>
            <w:vAlign w:val="bottom"/>
          </w:tcPr>
          <w:p>
            <w:pPr>
              <w:spacing w:after="0"/>
              <w:rPr>
                <w:sz w:val="1"/>
                <w:szCs w:val="1"/>
                <w:color w:val="auto"/>
              </w:rPr>
            </w:pPr>
          </w:p>
        </w:tc>
      </w:tr>
      <w:tr>
        <w:trPr>
          <w:trHeight w:val="142"/>
        </w:trPr>
        <w:tc>
          <w:tcPr>
            <w:tcW w:w="4600" w:type="dxa"/>
            <w:vAlign w:val="bottom"/>
            <w:shd w:val="clear" w:color="auto" w:fill="98B0CF"/>
          </w:tcPr>
          <w:p>
            <w:pPr>
              <w:spacing w:after="0"/>
              <w:rPr>
                <w:sz w:val="12"/>
                <w:szCs w:val="12"/>
                <w:color w:val="auto"/>
              </w:rPr>
            </w:pPr>
          </w:p>
        </w:tc>
        <w:tc>
          <w:tcPr>
            <w:tcW w:w="1500" w:type="dxa"/>
            <w:vAlign w:val="bottom"/>
            <w:shd w:val="clear" w:color="auto" w:fill="98B0CF"/>
          </w:tcPr>
          <w:p>
            <w:pPr>
              <w:jc w:val="center"/>
              <w:ind w:right="55"/>
              <w:spacing w:after="0" w:line="142" w:lineRule="exact"/>
              <w:rPr>
                <w:sz w:val="20"/>
                <w:szCs w:val="20"/>
                <w:color w:val="auto"/>
              </w:rPr>
            </w:pPr>
            <w:r>
              <w:rPr>
                <w:rFonts w:ascii="Arial" w:cs="Arial" w:eastAsia="Arial" w:hAnsi="Arial"/>
                <w:sz w:val="13"/>
                <w:szCs w:val="13"/>
                <w:b w:val="1"/>
                <w:bCs w:val="1"/>
                <w:color w:val="231F20"/>
                <w:w w:val="96"/>
              </w:rPr>
              <w:t>issued upon</w:t>
            </w:r>
          </w:p>
        </w:tc>
        <w:tc>
          <w:tcPr>
            <w:tcW w:w="240" w:type="dxa"/>
            <w:vAlign w:val="bottom"/>
            <w:shd w:val="clear" w:color="auto" w:fill="98B0CF"/>
          </w:tcPr>
          <w:p>
            <w:pPr>
              <w:spacing w:after="0"/>
              <w:rPr>
                <w:sz w:val="12"/>
                <w:szCs w:val="12"/>
                <w:color w:val="auto"/>
              </w:rPr>
            </w:pPr>
          </w:p>
        </w:tc>
        <w:tc>
          <w:tcPr>
            <w:tcW w:w="1380" w:type="dxa"/>
            <w:vAlign w:val="bottom"/>
            <w:shd w:val="clear" w:color="auto" w:fill="98B0CF"/>
          </w:tcPr>
          <w:p>
            <w:pPr>
              <w:jc w:val="center"/>
              <w:ind w:right="195"/>
              <w:spacing w:after="0" w:line="142" w:lineRule="exact"/>
              <w:rPr>
                <w:sz w:val="20"/>
                <w:szCs w:val="20"/>
                <w:color w:val="auto"/>
              </w:rPr>
            </w:pPr>
            <w:r>
              <w:rPr>
                <w:rFonts w:ascii="Arial" w:cs="Arial" w:eastAsia="Arial" w:hAnsi="Arial"/>
                <w:sz w:val="13"/>
                <w:szCs w:val="13"/>
                <w:b w:val="1"/>
                <w:bCs w:val="1"/>
                <w:color w:val="231F20"/>
                <w:w w:val="96"/>
              </w:rPr>
              <w:t>Weighted-average</w:t>
            </w:r>
          </w:p>
        </w:tc>
        <w:tc>
          <w:tcPr>
            <w:tcW w:w="1600" w:type="dxa"/>
            <w:vAlign w:val="bottom"/>
            <w:shd w:val="clear" w:color="auto" w:fill="98B0CF"/>
          </w:tcPr>
          <w:p>
            <w:pPr>
              <w:jc w:val="center"/>
              <w:ind w:right="95"/>
              <w:spacing w:after="0" w:line="142" w:lineRule="exact"/>
              <w:rPr>
                <w:sz w:val="20"/>
                <w:szCs w:val="20"/>
                <w:color w:val="auto"/>
              </w:rPr>
            </w:pPr>
            <w:r>
              <w:rPr>
                <w:rFonts w:ascii="Arial" w:cs="Arial" w:eastAsia="Arial" w:hAnsi="Arial"/>
                <w:sz w:val="13"/>
                <w:szCs w:val="13"/>
                <w:b w:val="1"/>
                <w:bCs w:val="1"/>
                <w:color w:val="231F20"/>
                <w:w w:val="96"/>
              </w:rPr>
              <w:t>Weighted-average</w:t>
            </w:r>
          </w:p>
        </w:tc>
        <w:tc>
          <w:tcPr>
            <w:tcW w:w="1940" w:type="dxa"/>
            <w:vAlign w:val="bottom"/>
            <w:shd w:val="clear" w:color="auto" w:fill="98B0CF"/>
          </w:tcPr>
          <w:p>
            <w:pPr>
              <w:jc w:val="center"/>
              <w:ind w:right="55"/>
              <w:spacing w:after="0" w:line="142" w:lineRule="exact"/>
              <w:rPr>
                <w:sz w:val="20"/>
                <w:szCs w:val="20"/>
                <w:color w:val="auto"/>
              </w:rPr>
            </w:pPr>
            <w:r>
              <w:rPr>
                <w:rFonts w:ascii="Arial" w:cs="Arial" w:eastAsia="Arial" w:hAnsi="Arial"/>
                <w:sz w:val="13"/>
                <w:szCs w:val="13"/>
                <w:b w:val="1"/>
                <w:bCs w:val="1"/>
                <w:color w:val="231F20"/>
                <w:w w:val="97"/>
              </w:rPr>
              <w:t>for future issuance</w:t>
            </w:r>
          </w:p>
        </w:tc>
        <w:tc>
          <w:tcPr>
            <w:tcW w:w="0" w:type="dxa"/>
            <w:vAlign w:val="bottom"/>
          </w:tcPr>
          <w:p>
            <w:pPr>
              <w:spacing w:after="0"/>
              <w:rPr>
                <w:sz w:val="1"/>
                <w:szCs w:val="1"/>
                <w:color w:val="auto"/>
              </w:rPr>
            </w:pPr>
          </w:p>
        </w:tc>
      </w:tr>
      <w:tr>
        <w:trPr>
          <w:trHeight w:val="142"/>
        </w:trPr>
        <w:tc>
          <w:tcPr>
            <w:tcW w:w="4600" w:type="dxa"/>
            <w:vAlign w:val="bottom"/>
            <w:shd w:val="clear" w:color="auto" w:fill="98B0CF"/>
          </w:tcPr>
          <w:p>
            <w:pPr>
              <w:spacing w:after="0"/>
              <w:rPr>
                <w:sz w:val="12"/>
                <w:szCs w:val="12"/>
                <w:color w:val="auto"/>
              </w:rPr>
            </w:pPr>
          </w:p>
        </w:tc>
        <w:tc>
          <w:tcPr>
            <w:tcW w:w="1500" w:type="dxa"/>
            <w:vAlign w:val="bottom"/>
            <w:shd w:val="clear" w:color="auto" w:fill="98B0CF"/>
          </w:tcPr>
          <w:p>
            <w:pPr>
              <w:jc w:val="center"/>
              <w:ind w:right="55"/>
              <w:spacing w:after="0" w:line="142" w:lineRule="exact"/>
              <w:rPr>
                <w:sz w:val="20"/>
                <w:szCs w:val="20"/>
                <w:color w:val="auto"/>
              </w:rPr>
            </w:pPr>
            <w:r>
              <w:rPr>
                <w:rFonts w:ascii="Arial" w:cs="Arial" w:eastAsia="Arial" w:hAnsi="Arial"/>
                <w:sz w:val="13"/>
                <w:szCs w:val="13"/>
                <w:b w:val="1"/>
                <w:bCs w:val="1"/>
                <w:color w:val="231F20"/>
                <w:w w:val="97"/>
              </w:rPr>
              <w:t>exercise of</w:t>
            </w:r>
          </w:p>
        </w:tc>
        <w:tc>
          <w:tcPr>
            <w:tcW w:w="240" w:type="dxa"/>
            <w:vAlign w:val="bottom"/>
            <w:shd w:val="clear" w:color="auto" w:fill="98B0CF"/>
          </w:tcPr>
          <w:p>
            <w:pPr>
              <w:spacing w:after="0"/>
              <w:rPr>
                <w:sz w:val="12"/>
                <w:szCs w:val="12"/>
                <w:color w:val="auto"/>
              </w:rPr>
            </w:pPr>
          </w:p>
        </w:tc>
        <w:tc>
          <w:tcPr>
            <w:tcW w:w="1380" w:type="dxa"/>
            <w:vAlign w:val="bottom"/>
            <w:shd w:val="clear" w:color="auto" w:fill="98B0CF"/>
          </w:tcPr>
          <w:p>
            <w:pPr>
              <w:jc w:val="center"/>
              <w:ind w:right="195"/>
              <w:spacing w:after="0" w:line="142" w:lineRule="exact"/>
              <w:rPr>
                <w:sz w:val="20"/>
                <w:szCs w:val="20"/>
                <w:color w:val="auto"/>
              </w:rPr>
            </w:pPr>
            <w:r>
              <w:rPr>
                <w:rFonts w:ascii="Arial" w:cs="Arial" w:eastAsia="Arial" w:hAnsi="Arial"/>
                <w:sz w:val="13"/>
                <w:szCs w:val="13"/>
                <w:b w:val="1"/>
                <w:bCs w:val="1"/>
                <w:color w:val="231F20"/>
                <w:w w:val="96"/>
              </w:rPr>
              <w:t>exercise price</w:t>
            </w:r>
          </w:p>
        </w:tc>
        <w:tc>
          <w:tcPr>
            <w:tcW w:w="1600" w:type="dxa"/>
            <w:vAlign w:val="bottom"/>
            <w:shd w:val="clear" w:color="auto" w:fill="98B0CF"/>
          </w:tcPr>
          <w:p>
            <w:pPr>
              <w:jc w:val="center"/>
              <w:ind w:right="115"/>
              <w:spacing w:after="0" w:line="142" w:lineRule="exact"/>
              <w:rPr>
                <w:sz w:val="20"/>
                <w:szCs w:val="20"/>
                <w:color w:val="auto"/>
              </w:rPr>
            </w:pPr>
            <w:r>
              <w:rPr>
                <w:rFonts w:ascii="Arial" w:cs="Arial" w:eastAsia="Arial" w:hAnsi="Arial"/>
                <w:sz w:val="13"/>
                <w:szCs w:val="13"/>
                <w:b w:val="1"/>
                <w:bCs w:val="1"/>
                <w:color w:val="231F20"/>
                <w:w w:val="96"/>
              </w:rPr>
              <w:t>contractual term</w:t>
            </w:r>
          </w:p>
        </w:tc>
        <w:tc>
          <w:tcPr>
            <w:tcW w:w="1940" w:type="dxa"/>
            <w:vAlign w:val="bottom"/>
            <w:shd w:val="clear" w:color="auto" w:fill="98B0CF"/>
          </w:tcPr>
          <w:p>
            <w:pPr>
              <w:jc w:val="center"/>
              <w:ind w:right="75"/>
              <w:spacing w:after="0" w:line="142" w:lineRule="exact"/>
              <w:rPr>
                <w:sz w:val="20"/>
                <w:szCs w:val="20"/>
                <w:color w:val="auto"/>
              </w:rPr>
            </w:pPr>
            <w:r>
              <w:rPr>
                <w:rFonts w:ascii="Arial" w:cs="Arial" w:eastAsia="Arial" w:hAnsi="Arial"/>
                <w:sz w:val="13"/>
                <w:szCs w:val="13"/>
                <w:b w:val="1"/>
                <w:bCs w:val="1"/>
                <w:color w:val="231F20"/>
                <w:w w:val="97"/>
              </w:rPr>
              <w:t>under equity</w:t>
            </w:r>
          </w:p>
        </w:tc>
        <w:tc>
          <w:tcPr>
            <w:tcW w:w="0" w:type="dxa"/>
            <w:vAlign w:val="bottom"/>
          </w:tcPr>
          <w:p>
            <w:pPr>
              <w:spacing w:after="0"/>
              <w:rPr>
                <w:sz w:val="1"/>
                <w:szCs w:val="1"/>
                <w:color w:val="auto"/>
              </w:rPr>
            </w:pPr>
          </w:p>
        </w:tc>
      </w:tr>
      <w:tr>
        <w:trPr>
          <w:trHeight w:val="142"/>
        </w:trPr>
        <w:tc>
          <w:tcPr>
            <w:tcW w:w="4600" w:type="dxa"/>
            <w:vAlign w:val="bottom"/>
            <w:shd w:val="clear" w:color="auto" w:fill="98B0CF"/>
          </w:tcPr>
          <w:p>
            <w:pPr>
              <w:spacing w:after="0"/>
              <w:rPr>
                <w:sz w:val="12"/>
                <w:szCs w:val="12"/>
                <w:color w:val="auto"/>
              </w:rPr>
            </w:pPr>
          </w:p>
        </w:tc>
        <w:tc>
          <w:tcPr>
            <w:tcW w:w="1500" w:type="dxa"/>
            <w:vAlign w:val="bottom"/>
            <w:shd w:val="clear" w:color="auto" w:fill="98B0CF"/>
          </w:tcPr>
          <w:p>
            <w:pPr>
              <w:jc w:val="center"/>
              <w:ind w:right="35"/>
              <w:spacing w:after="0" w:line="142" w:lineRule="exact"/>
              <w:rPr>
                <w:sz w:val="20"/>
                <w:szCs w:val="20"/>
                <w:color w:val="auto"/>
              </w:rPr>
            </w:pPr>
            <w:r>
              <w:rPr>
                <w:rFonts w:ascii="Arial" w:cs="Arial" w:eastAsia="Arial" w:hAnsi="Arial"/>
                <w:sz w:val="13"/>
                <w:szCs w:val="13"/>
                <w:b w:val="1"/>
                <w:bCs w:val="1"/>
                <w:color w:val="231F20"/>
                <w:w w:val="96"/>
              </w:rPr>
              <w:t>outstanding</w:t>
            </w:r>
          </w:p>
        </w:tc>
        <w:tc>
          <w:tcPr>
            <w:tcW w:w="240" w:type="dxa"/>
            <w:vAlign w:val="bottom"/>
            <w:shd w:val="clear" w:color="auto" w:fill="98B0CF"/>
          </w:tcPr>
          <w:p>
            <w:pPr>
              <w:spacing w:after="0"/>
              <w:rPr>
                <w:sz w:val="12"/>
                <w:szCs w:val="12"/>
                <w:color w:val="auto"/>
              </w:rPr>
            </w:pPr>
          </w:p>
        </w:tc>
        <w:tc>
          <w:tcPr>
            <w:tcW w:w="1380" w:type="dxa"/>
            <w:vAlign w:val="bottom"/>
            <w:shd w:val="clear" w:color="auto" w:fill="98B0CF"/>
          </w:tcPr>
          <w:p>
            <w:pPr>
              <w:jc w:val="center"/>
              <w:ind w:right="195"/>
              <w:spacing w:after="0" w:line="142" w:lineRule="exact"/>
              <w:rPr>
                <w:sz w:val="20"/>
                <w:szCs w:val="20"/>
                <w:color w:val="auto"/>
              </w:rPr>
            </w:pPr>
            <w:r>
              <w:rPr>
                <w:rFonts w:ascii="Arial" w:cs="Arial" w:eastAsia="Arial" w:hAnsi="Arial"/>
                <w:sz w:val="13"/>
                <w:szCs w:val="13"/>
                <w:b w:val="1"/>
                <w:bCs w:val="1"/>
                <w:color w:val="231F20"/>
                <w:w w:val="97"/>
              </w:rPr>
              <w:t>of outstanding</w:t>
            </w:r>
          </w:p>
        </w:tc>
        <w:tc>
          <w:tcPr>
            <w:tcW w:w="1600" w:type="dxa"/>
            <w:vAlign w:val="bottom"/>
            <w:shd w:val="clear" w:color="auto" w:fill="98B0CF"/>
          </w:tcPr>
          <w:p>
            <w:pPr>
              <w:jc w:val="center"/>
              <w:ind w:right="95"/>
              <w:spacing w:after="0" w:line="142" w:lineRule="exact"/>
              <w:rPr>
                <w:sz w:val="20"/>
                <w:szCs w:val="20"/>
                <w:color w:val="auto"/>
              </w:rPr>
            </w:pPr>
            <w:r>
              <w:rPr>
                <w:rFonts w:ascii="Arial" w:cs="Arial" w:eastAsia="Arial" w:hAnsi="Arial"/>
                <w:sz w:val="13"/>
                <w:szCs w:val="13"/>
                <w:b w:val="1"/>
                <w:bCs w:val="1"/>
                <w:color w:val="231F20"/>
                <w:w w:val="97"/>
              </w:rPr>
              <w:t>of outstanding</w:t>
            </w:r>
          </w:p>
        </w:tc>
        <w:tc>
          <w:tcPr>
            <w:tcW w:w="1940" w:type="dxa"/>
            <w:vAlign w:val="bottom"/>
            <w:shd w:val="clear" w:color="auto" w:fill="98B0CF"/>
          </w:tcPr>
          <w:p>
            <w:pPr>
              <w:jc w:val="center"/>
              <w:ind w:right="55"/>
              <w:spacing w:after="0" w:line="142" w:lineRule="exact"/>
              <w:rPr>
                <w:sz w:val="20"/>
                <w:szCs w:val="20"/>
                <w:color w:val="auto"/>
              </w:rPr>
            </w:pPr>
            <w:r>
              <w:rPr>
                <w:rFonts w:ascii="Arial" w:cs="Arial" w:eastAsia="Arial" w:hAnsi="Arial"/>
                <w:sz w:val="13"/>
                <w:szCs w:val="13"/>
                <w:b w:val="1"/>
                <w:bCs w:val="1"/>
                <w:color w:val="231F20"/>
                <w:w w:val="97"/>
              </w:rPr>
              <w:t>compensation plans</w:t>
            </w:r>
          </w:p>
        </w:tc>
        <w:tc>
          <w:tcPr>
            <w:tcW w:w="0" w:type="dxa"/>
            <w:vAlign w:val="bottom"/>
          </w:tcPr>
          <w:p>
            <w:pPr>
              <w:spacing w:after="0"/>
              <w:rPr>
                <w:sz w:val="1"/>
                <w:szCs w:val="1"/>
                <w:color w:val="auto"/>
              </w:rPr>
            </w:pPr>
          </w:p>
        </w:tc>
      </w:tr>
      <w:tr>
        <w:trPr>
          <w:trHeight w:val="142"/>
        </w:trPr>
        <w:tc>
          <w:tcPr>
            <w:tcW w:w="4600" w:type="dxa"/>
            <w:vAlign w:val="bottom"/>
            <w:shd w:val="clear" w:color="auto" w:fill="98B0CF"/>
          </w:tcPr>
          <w:p>
            <w:pPr>
              <w:spacing w:after="0"/>
              <w:rPr>
                <w:sz w:val="12"/>
                <w:szCs w:val="12"/>
                <w:color w:val="auto"/>
              </w:rPr>
            </w:pPr>
          </w:p>
        </w:tc>
        <w:tc>
          <w:tcPr>
            <w:tcW w:w="1500" w:type="dxa"/>
            <w:vAlign w:val="bottom"/>
            <w:shd w:val="clear" w:color="auto" w:fill="98B0CF"/>
          </w:tcPr>
          <w:p>
            <w:pPr>
              <w:jc w:val="center"/>
              <w:ind w:right="55"/>
              <w:spacing w:after="0" w:line="142" w:lineRule="exact"/>
              <w:rPr>
                <w:sz w:val="20"/>
                <w:szCs w:val="20"/>
                <w:color w:val="auto"/>
              </w:rPr>
            </w:pPr>
            <w:r>
              <w:rPr>
                <w:rFonts w:ascii="Arial" w:cs="Arial" w:eastAsia="Arial" w:hAnsi="Arial"/>
                <w:sz w:val="13"/>
                <w:szCs w:val="13"/>
                <w:b w:val="1"/>
                <w:bCs w:val="1"/>
                <w:color w:val="231F20"/>
                <w:w w:val="97"/>
              </w:rPr>
              <w:t>options, warrants</w:t>
            </w:r>
          </w:p>
        </w:tc>
        <w:tc>
          <w:tcPr>
            <w:tcW w:w="240" w:type="dxa"/>
            <w:vAlign w:val="bottom"/>
            <w:shd w:val="clear" w:color="auto" w:fill="98B0CF"/>
          </w:tcPr>
          <w:p>
            <w:pPr>
              <w:spacing w:after="0"/>
              <w:rPr>
                <w:sz w:val="12"/>
                <w:szCs w:val="12"/>
                <w:color w:val="auto"/>
              </w:rPr>
            </w:pPr>
          </w:p>
        </w:tc>
        <w:tc>
          <w:tcPr>
            <w:tcW w:w="1380" w:type="dxa"/>
            <w:vAlign w:val="bottom"/>
            <w:shd w:val="clear" w:color="auto" w:fill="98B0CF"/>
          </w:tcPr>
          <w:p>
            <w:pPr>
              <w:jc w:val="center"/>
              <w:ind w:right="195"/>
              <w:spacing w:after="0" w:line="142" w:lineRule="exact"/>
              <w:rPr>
                <w:sz w:val="20"/>
                <w:szCs w:val="20"/>
                <w:color w:val="auto"/>
              </w:rPr>
            </w:pPr>
            <w:r>
              <w:rPr>
                <w:rFonts w:ascii="Arial" w:cs="Arial" w:eastAsia="Arial" w:hAnsi="Arial"/>
                <w:sz w:val="13"/>
                <w:szCs w:val="13"/>
                <w:b w:val="1"/>
                <w:bCs w:val="1"/>
                <w:color w:val="231F20"/>
                <w:w w:val="95"/>
              </w:rPr>
              <w:t>options, warrants</w:t>
            </w:r>
          </w:p>
        </w:tc>
        <w:tc>
          <w:tcPr>
            <w:tcW w:w="1600" w:type="dxa"/>
            <w:vAlign w:val="bottom"/>
            <w:shd w:val="clear" w:color="auto" w:fill="98B0CF"/>
          </w:tcPr>
          <w:p>
            <w:pPr>
              <w:jc w:val="center"/>
              <w:ind w:right="115"/>
              <w:spacing w:after="0" w:line="142" w:lineRule="exact"/>
              <w:rPr>
                <w:sz w:val="20"/>
                <w:szCs w:val="20"/>
                <w:color w:val="auto"/>
              </w:rPr>
            </w:pPr>
            <w:r>
              <w:rPr>
                <w:rFonts w:ascii="Arial" w:cs="Arial" w:eastAsia="Arial" w:hAnsi="Arial"/>
                <w:sz w:val="13"/>
                <w:szCs w:val="13"/>
                <w:b w:val="1"/>
                <w:bCs w:val="1"/>
                <w:color w:val="231F20"/>
                <w:w w:val="97"/>
              </w:rPr>
              <w:t>options, warrants</w:t>
            </w:r>
          </w:p>
        </w:tc>
        <w:tc>
          <w:tcPr>
            <w:tcW w:w="1940" w:type="dxa"/>
            <w:vAlign w:val="bottom"/>
            <w:shd w:val="clear" w:color="auto" w:fill="98B0CF"/>
          </w:tcPr>
          <w:p>
            <w:pPr>
              <w:jc w:val="center"/>
              <w:ind w:right="95"/>
              <w:spacing w:after="0" w:line="142" w:lineRule="exact"/>
              <w:rPr>
                <w:sz w:val="20"/>
                <w:szCs w:val="20"/>
                <w:color w:val="auto"/>
              </w:rPr>
            </w:pPr>
            <w:r>
              <w:rPr>
                <w:rFonts w:ascii="Arial" w:cs="Arial" w:eastAsia="Arial" w:hAnsi="Arial"/>
                <w:sz w:val="13"/>
                <w:szCs w:val="13"/>
                <w:b w:val="1"/>
                <w:bCs w:val="1"/>
                <w:color w:val="231F20"/>
                <w:w w:val="96"/>
              </w:rPr>
              <w:t>as of December 31, 2024</w:t>
            </w:r>
          </w:p>
        </w:tc>
        <w:tc>
          <w:tcPr>
            <w:tcW w:w="0" w:type="dxa"/>
            <w:vAlign w:val="bottom"/>
          </w:tcPr>
          <w:p>
            <w:pPr>
              <w:spacing w:after="0"/>
              <w:rPr>
                <w:sz w:val="1"/>
                <w:szCs w:val="1"/>
                <w:color w:val="auto"/>
              </w:rPr>
            </w:pPr>
          </w:p>
        </w:tc>
      </w:tr>
      <w:tr>
        <w:trPr>
          <w:trHeight w:val="142"/>
        </w:trPr>
        <w:tc>
          <w:tcPr>
            <w:tcW w:w="4600" w:type="dxa"/>
            <w:vAlign w:val="bottom"/>
            <w:shd w:val="clear" w:color="auto" w:fill="98B0CF"/>
          </w:tcPr>
          <w:p>
            <w:pPr>
              <w:spacing w:after="0"/>
              <w:rPr>
                <w:sz w:val="12"/>
                <w:szCs w:val="12"/>
                <w:color w:val="auto"/>
              </w:rPr>
            </w:pPr>
          </w:p>
        </w:tc>
        <w:tc>
          <w:tcPr>
            <w:tcW w:w="1500" w:type="dxa"/>
            <w:vAlign w:val="bottom"/>
            <w:shd w:val="clear" w:color="auto" w:fill="98B0CF"/>
          </w:tcPr>
          <w:p>
            <w:pPr>
              <w:jc w:val="center"/>
              <w:ind w:right="55"/>
              <w:spacing w:after="0" w:line="142" w:lineRule="exact"/>
              <w:rPr>
                <w:sz w:val="20"/>
                <w:szCs w:val="20"/>
                <w:color w:val="auto"/>
              </w:rPr>
            </w:pPr>
            <w:r>
              <w:rPr>
                <w:rFonts w:ascii="Arial" w:cs="Arial" w:eastAsia="Arial" w:hAnsi="Arial"/>
                <w:sz w:val="13"/>
                <w:szCs w:val="13"/>
                <w:b w:val="1"/>
                <w:bCs w:val="1"/>
                <w:color w:val="231F20"/>
                <w:w w:val="96"/>
              </w:rPr>
              <w:t>and rights as</w:t>
            </w:r>
          </w:p>
        </w:tc>
        <w:tc>
          <w:tcPr>
            <w:tcW w:w="240" w:type="dxa"/>
            <w:vAlign w:val="bottom"/>
            <w:shd w:val="clear" w:color="auto" w:fill="98B0CF"/>
          </w:tcPr>
          <w:p>
            <w:pPr>
              <w:spacing w:after="0"/>
              <w:rPr>
                <w:sz w:val="12"/>
                <w:szCs w:val="12"/>
                <w:color w:val="auto"/>
              </w:rPr>
            </w:pPr>
          </w:p>
        </w:tc>
        <w:tc>
          <w:tcPr>
            <w:tcW w:w="1380" w:type="dxa"/>
            <w:vAlign w:val="bottom"/>
            <w:shd w:val="clear" w:color="auto" w:fill="98B0CF"/>
          </w:tcPr>
          <w:p>
            <w:pPr>
              <w:jc w:val="center"/>
              <w:ind w:right="215"/>
              <w:spacing w:after="0" w:line="142" w:lineRule="exact"/>
              <w:rPr>
                <w:sz w:val="20"/>
                <w:szCs w:val="20"/>
                <w:color w:val="auto"/>
              </w:rPr>
            </w:pPr>
            <w:r>
              <w:rPr>
                <w:rFonts w:ascii="Arial" w:cs="Arial" w:eastAsia="Arial" w:hAnsi="Arial"/>
                <w:sz w:val="13"/>
                <w:szCs w:val="13"/>
                <w:b w:val="1"/>
                <w:bCs w:val="1"/>
                <w:color w:val="231F20"/>
                <w:w w:val="96"/>
              </w:rPr>
              <w:t>and rights as</w:t>
            </w:r>
          </w:p>
        </w:tc>
        <w:tc>
          <w:tcPr>
            <w:tcW w:w="1600" w:type="dxa"/>
            <w:vAlign w:val="bottom"/>
            <w:shd w:val="clear" w:color="auto" w:fill="98B0CF"/>
          </w:tcPr>
          <w:p>
            <w:pPr>
              <w:jc w:val="center"/>
              <w:ind w:right="115"/>
              <w:spacing w:after="0" w:line="142" w:lineRule="exact"/>
              <w:rPr>
                <w:sz w:val="20"/>
                <w:szCs w:val="20"/>
                <w:color w:val="auto"/>
              </w:rPr>
            </w:pPr>
            <w:r>
              <w:rPr>
                <w:rFonts w:ascii="Arial" w:cs="Arial" w:eastAsia="Arial" w:hAnsi="Arial"/>
                <w:sz w:val="13"/>
                <w:szCs w:val="13"/>
                <w:b w:val="1"/>
                <w:bCs w:val="1"/>
                <w:color w:val="231F20"/>
                <w:w w:val="96"/>
              </w:rPr>
              <w:t>and rights as</w:t>
            </w:r>
          </w:p>
        </w:tc>
        <w:tc>
          <w:tcPr>
            <w:tcW w:w="1940" w:type="dxa"/>
            <w:vAlign w:val="bottom"/>
            <w:shd w:val="clear" w:color="auto" w:fill="98B0CF"/>
          </w:tcPr>
          <w:p>
            <w:pPr>
              <w:jc w:val="center"/>
              <w:ind w:right="55"/>
              <w:spacing w:after="0" w:line="142" w:lineRule="exact"/>
              <w:rPr>
                <w:sz w:val="20"/>
                <w:szCs w:val="20"/>
                <w:color w:val="auto"/>
              </w:rPr>
            </w:pPr>
            <w:r>
              <w:rPr>
                <w:rFonts w:ascii="Arial" w:cs="Arial" w:eastAsia="Arial" w:hAnsi="Arial"/>
                <w:sz w:val="13"/>
                <w:szCs w:val="13"/>
                <w:b w:val="1"/>
                <w:bCs w:val="1"/>
                <w:color w:val="231F20"/>
                <w:w w:val="97"/>
              </w:rPr>
              <w:t>(excluding securities</w:t>
            </w:r>
          </w:p>
        </w:tc>
        <w:tc>
          <w:tcPr>
            <w:tcW w:w="0" w:type="dxa"/>
            <w:vAlign w:val="bottom"/>
          </w:tcPr>
          <w:p>
            <w:pPr>
              <w:spacing w:after="0"/>
              <w:rPr>
                <w:sz w:val="1"/>
                <w:szCs w:val="1"/>
                <w:color w:val="auto"/>
              </w:rPr>
            </w:pPr>
          </w:p>
        </w:tc>
      </w:tr>
      <w:tr>
        <w:trPr>
          <w:trHeight w:val="126"/>
        </w:trPr>
        <w:tc>
          <w:tcPr>
            <w:tcW w:w="4600" w:type="dxa"/>
            <w:vAlign w:val="bottom"/>
            <w:shd w:val="clear" w:color="auto" w:fill="98B0CF"/>
          </w:tcPr>
          <w:p>
            <w:pPr>
              <w:spacing w:after="0"/>
              <w:rPr>
                <w:sz w:val="10"/>
                <w:szCs w:val="10"/>
                <w:color w:val="auto"/>
              </w:rPr>
            </w:pPr>
          </w:p>
        </w:tc>
        <w:tc>
          <w:tcPr>
            <w:tcW w:w="1500" w:type="dxa"/>
            <w:vAlign w:val="bottom"/>
            <w:shd w:val="clear" w:color="auto" w:fill="98B0CF"/>
          </w:tcPr>
          <w:p>
            <w:pPr>
              <w:jc w:val="center"/>
              <w:ind w:right="55"/>
              <w:spacing w:after="0" w:line="126" w:lineRule="exact"/>
              <w:rPr>
                <w:sz w:val="20"/>
                <w:szCs w:val="20"/>
                <w:color w:val="auto"/>
              </w:rPr>
            </w:pPr>
            <w:r>
              <w:rPr>
                <w:rFonts w:ascii="Arial" w:cs="Arial" w:eastAsia="Arial" w:hAnsi="Arial"/>
                <w:sz w:val="13"/>
                <w:szCs w:val="13"/>
                <w:b w:val="1"/>
                <w:bCs w:val="1"/>
                <w:color w:val="231F20"/>
                <w:w w:val="97"/>
              </w:rPr>
              <w:t>of December 31,</w:t>
            </w:r>
          </w:p>
        </w:tc>
        <w:tc>
          <w:tcPr>
            <w:tcW w:w="240" w:type="dxa"/>
            <w:vAlign w:val="bottom"/>
            <w:shd w:val="clear" w:color="auto" w:fill="98B0CF"/>
          </w:tcPr>
          <w:p>
            <w:pPr>
              <w:spacing w:after="0"/>
              <w:rPr>
                <w:sz w:val="10"/>
                <w:szCs w:val="10"/>
                <w:color w:val="auto"/>
              </w:rPr>
            </w:pPr>
          </w:p>
        </w:tc>
        <w:tc>
          <w:tcPr>
            <w:tcW w:w="1380" w:type="dxa"/>
            <w:vAlign w:val="bottom"/>
            <w:shd w:val="clear" w:color="auto" w:fill="98B0CF"/>
          </w:tcPr>
          <w:p>
            <w:pPr>
              <w:jc w:val="center"/>
              <w:ind w:right="215"/>
              <w:spacing w:after="0" w:line="126" w:lineRule="exact"/>
              <w:rPr>
                <w:sz w:val="20"/>
                <w:szCs w:val="20"/>
                <w:color w:val="auto"/>
              </w:rPr>
            </w:pPr>
            <w:r>
              <w:rPr>
                <w:rFonts w:ascii="Arial" w:cs="Arial" w:eastAsia="Arial" w:hAnsi="Arial"/>
                <w:sz w:val="13"/>
                <w:szCs w:val="13"/>
                <w:b w:val="1"/>
                <w:bCs w:val="1"/>
                <w:color w:val="231F20"/>
                <w:w w:val="97"/>
              </w:rPr>
              <w:t>of December 31,</w:t>
            </w:r>
          </w:p>
        </w:tc>
        <w:tc>
          <w:tcPr>
            <w:tcW w:w="1600" w:type="dxa"/>
            <w:vAlign w:val="bottom"/>
            <w:shd w:val="clear" w:color="auto" w:fill="98B0CF"/>
          </w:tcPr>
          <w:p>
            <w:pPr>
              <w:jc w:val="center"/>
              <w:ind w:right="115"/>
              <w:spacing w:after="0" w:line="126" w:lineRule="exact"/>
              <w:rPr>
                <w:sz w:val="20"/>
                <w:szCs w:val="20"/>
                <w:color w:val="auto"/>
              </w:rPr>
            </w:pPr>
            <w:r>
              <w:rPr>
                <w:rFonts w:ascii="Arial" w:cs="Arial" w:eastAsia="Arial" w:hAnsi="Arial"/>
                <w:sz w:val="13"/>
                <w:szCs w:val="13"/>
                <w:b w:val="1"/>
                <w:bCs w:val="1"/>
                <w:color w:val="231F20"/>
                <w:w w:val="97"/>
              </w:rPr>
              <w:t>of December 31,</w:t>
            </w:r>
          </w:p>
        </w:tc>
        <w:tc>
          <w:tcPr>
            <w:tcW w:w="1940" w:type="dxa"/>
            <w:vAlign w:val="bottom"/>
            <w:shd w:val="clear" w:color="auto" w:fill="98B0CF"/>
          </w:tcPr>
          <w:p>
            <w:pPr>
              <w:jc w:val="center"/>
              <w:ind w:right="55"/>
              <w:spacing w:after="0" w:line="126" w:lineRule="exact"/>
              <w:rPr>
                <w:sz w:val="20"/>
                <w:szCs w:val="20"/>
                <w:color w:val="auto"/>
              </w:rPr>
            </w:pPr>
            <w:r>
              <w:rPr>
                <w:rFonts w:ascii="Arial" w:cs="Arial" w:eastAsia="Arial" w:hAnsi="Arial"/>
                <w:sz w:val="13"/>
                <w:szCs w:val="13"/>
                <w:b w:val="1"/>
                <w:bCs w:val="1"/>
                <w:color w:val="231F20"/>
                <w:w w:val="97"/>
              </w:rPr>
              <w:t>reflected in the first</w:t>
            </w:r>
          </w:p>
        </w:tc>
        <w:tc>
          <w:tcPr>
            <w:tcW w:w="0" w:type="dxa"/>
            <w:vAlign w:val="bottom"/>
          </w:tcPr>
          <w:p>
            <w:pPr>
              <w:spacing w:after="0"/>
              <w:rPr>
                <w:sz w:val="1"/>
                <w:szCs w:val="1"/>
                <w:color w:val="auto"/>
              </w:rPr>
            </w:pPr>
          </w:p>
        </w:tc>
      </w:tr>
      <w:tr>
        <w:trPr>
          <w:trHeight w:val="166"/>
        </w:trPr>
        <w:tc>
          <w:tcPr>
            <w:tcW w:w="4600" w:type="dxa"/>
            <w:vAlign w:val="bottom"/>
            <w:tcBorders>
              <w:bottom w:val="single" w:sz="8" w:color="231F20"/>
            </w:tcBorders>
            <w:shd w:val="clear" w:color="auto" w:fill="98B0CF"/>
          </w:tcPr>
          <w:p>
            <w:pPr>
              <w:ind w:left="80"/>
              <w:spacing w:after="0"/>
              <w:rPr>
                <w:sz w:val="20"/>
                <w:szCs w:val="20"/>
                <w:color w:val="auto"/>
              </w:rPr>
            </w:pPr>
            <w:r>
              <w:rPr>
                <w:rFonts w:ascii="Arial" w:cs="Arial" w:eastAsia="Arial" w:hAnsi="Arial"/>
                <w:sz w:val="13"/>
                <w:szCs w:val="13"/>
                <w:b w:val="1"/>
                <w:bCs w:val="1"/>
                <w:color w:val="231F20"/>
              </w:rPr>
              <w:t>Plan category</w:t>
            </w:r>
          </w:p>
        </w:tc>
        <w:tc>
          <w:tcPr>
            <w:tcW w:w="1500" w:type="dxa"/>
            <w:vAlign w:val="bottom"/>
            <w:tcBorders>
              <w:bottom w:val="single" w:sz="8" w:color="231F20"/>
            </w:tcBorders>
            <w:shd w:val="clear" w:color="auto" w:fill="98B0CF"/>
          </w:tcPr>
          <w:p>
            <w:pPr>
              <w:jc w:val="center"/>
              <w:ind w:right="55"/>
              <w:spacing w:after="0" w:line="165" w:lineRule="exact"/>
              <w:rPr>
                <w:sz w:val="20"/>
                <w:szCs w:val="20"/>
                <w:color w:val="auto"/>
              </w:rPr>
            </w:pPr>
            <w:r>
              <w:rPr>
                <w:rFonts w:ascii="Arial" w:cs="Arial" w:eastAsia="Arial" w:hAnsi="Arial"/>
                <w:sz w:val="13"/>
                <w:szCs w:val="13"/>
                <w:b w:val="1"/>
                <w:bCs w:val="1"/>
                <w:color w:val="231F20"/>
                <w:w w:val="90"/>
              </w:rPr>
              <w:t>2024</w:t>
            </w:r>
            <w:r>
              <w:rPr>
                <w:rFonts w:ascii="Arial" w:cs="Arial" w:eastAsia="Arial" w:hAnsi="Arial"/>
                <w:sz w:val="16"/>
                <w:szCs w:val="16"/>
                <w:b w:val="1"/>
                <w:bCs w:val="1"/>
                <w:color w:val="231F20"/>
                <w:w w:val="90"/>
                <w:vertAlign w:val="superscript"/>
              </w:rPr>
              <w:t>(a)</w:t>
            </w:r>
          </w:p>
        </w:tc>
        <w:tc>
          <w:tcPr>
            <w:tcW w:w="240" w:type="dxa"/>
            <w:vAlign w:val="bottom"/>
            <w:tcBorders>
              <w:bottom w:val="single" w:sz="8" w:color="231F20"/>
            </w:tcBorders>
            <w:shd w:val="clear" w:color="auto" w:fill="98B0CF"/>
          </w:tcPr>
          <w:p>
            <w:pPr>
              <w:spacing w:after="0"/>
              <w:rPr>
                <w:sz w:val="14"/>
                <w:szCs w:val="14"/>
                <w:color w:val="auto"/>
              </w:rPr>
            </w:pPr>
          </w:p>
        </w:tc>
        <w:tc>
          <w:tcPr>
            <w:tcW w:w="1380" w:type="dxa"/>
            <w:vAlign w:val="bottom"/>
            <w:tcBorders>
              <w:bottom w:val="single" w:sz="8" w:color="231F20"/>
            </w:tcBorders>
            <w:shd w:val="clear" w:color="auto" w:fill="98B0CF"/>
          </w:tcPr>
          <w:p>
            <w:pPr>
              <w:jc w:val="center"/>
              <w:ind w:right="195"/>
              <w:spacing w:after="0"/>
              <w:rPr>
                <w:sz w:val="20"/>
                <w:szCs w:val="20"/>
                <w:color w:val="auto"/>
              </w:rPr>
            </w:pPr>
            <w:r>
              <w:rPr>
                <w:rFonts w:ascii="Arial" w:cs="Arial" w:eastAsia="Arial" w:hAnsi="Arial"/>
                <w:sz w:val="13"/>
                <w:szCs w:val="13"/>
                <w:b w:val="1"/>
                <w:bCs w:val="1"/>
                <w:color w:val="231F20"/>
                <w:w w:val="99"/>
              </w:rPr>
              <w:t>2024 ($)</w:t>
            </w:r>
          </w:p>
        </w:tc>
        <w:tc>
          <w:tcPr>
            <w:tcW w:w="1600" w:type="dxa"/>
            <w:vAlign w:val="bottom"/>
            <w:tcBorders>
              <w:bottom w:val="single" w:sz="8" w:color="231F20"/>
            </w:tcBorders>
            <w:shd w:val="clear" w:color="auto" w:fill="98B0CF"/>
          </w:tcPr>
          <w:p>
            <w:pPr>
              <w:jc w:val="center"/>
              <w:ind w:right="115"/>
              <w:spacing w:after="0"/>
              <w:rPr>
                <w:sz w:val="20"/>
                <w:szCs w:val="20"/>
                <w:color w:val="auto"/>
              </w:rPr>
            </w:pPr>
            <w:r>
              <w:rPr>
                <w:rFonts w:ascii="Arial" w:cs="Arial" w:eastAsia="Arial" w:hAnsi="Arial"/>
                <w:sz w:val="13"/>
                <w:szCs w:val="13"/>
                <w:b w:val="1"/>
                <w:bCs w:val="1"/>
                <w:color w:val="231F20"/>
                <w:w w:val="98"/>
              </w:rPr>
              <w:t>2024 (years)</w:t>
            </w:r>
          </w:p>
        </w:tc>
        <w:tc>
          <w:tcPr>
            <w:tcW w:w="1940" w:type="dxa"/>
            <w:vAlign w:val="bottom"/>
            <w:tcBorders>
              <w:bottom w:val="single" w:sz="8" w:color="231F20"/>
            </w:tcBorders>
            <w:shd w:val="clear" w:color="auto" w:fill="98B0CF"/>
          </w:tcPr>
          <w:p>
            <w:pPr>
              <w:jc w:val="center"/>
              <w:ind w:right="75"/>
              <w:spacing w:after="0" w:line="165" w:lineRule="exact"/>
              <w:rPr>
                <w:sz w:val="20"/>
                <w:szCs w:val="20"/>
                <w:color w:val="auto"/>
              </w:rPr>
            </w:pPr>
            <w:r>
              <w:rPr>
                <w:rFonts w:ascii="Arial" w:cs="Arial" w:eastAsia="Arial" w:hAnsi="Arial"/>
                <w:sz w:val="13"/>
                <w:szCs w:val="13"/>
                <w:b w:val="1"/>
                <w:bCs w:val="1"/>
                <w:color w:val="231F20"/>
                <w:w w:val="93"/>
              </w:rPr>
              <w:t>column)</w:t>
            </w:r>
            <w:r>
              <w:rPr>
                <w:rFonts w:ascii="Arial" w:cs="Arial" w:eastAsia="Arial" w:hAnsi="Arial"/>
                <w:sz w:val="16"/>
                <w:szCs w:val="16"/>
                <w:b w:val="1"/>
                <w:bCs w:val="1"/>
                <w:color w:val="231F20"/>
                <w:w w:val="93"/>
                <w:vertAlign w:val="superscript"/>
              </w:rPr>
              <w:t>(b)</w:t>
            </w:r>
          </w:p>
        </w:tc>
        <w:tc>
          <w:tcPr>
            <w:tcW w:w="0" w:type="dxa"/>
            <w:vAlign w:val="bottom"/>
          </w:tcPr>
          <w:p>
            <w:pPr>
              <w:spacing w:after="0"/>
              <w:rPr>
                <w:sz w:val="1"/>
                <w:szCs w:val="1"/>
                <w:color w:val="auto"/>
              </w:rPr>
            </w:pPr>
          </w:p>
        </w:tc>
      </w:tr>
      <w:tr>
        <w:trPr>
          <w:trHeight w:val="145"/>
        </w:trPr>
        <w:tc>
          <w:tcPr>
            <w:tcW w:w="4600" w:type="dxa"/>
            <w:vAlign w:val="bottom"/>
            <w:shd w:val="clear" w:color="auto" w:fill="E2E8F1"/>
          </w:tcPr>
          <w:p>
            <w:pPr>
              <w:ind w:left="80"/>
              <w:spacing w:after="0" w:line="145" w:lineRule="exact"/>
              <w:rPr>
                <w:sz w:val="20"/>
                <w:szCs w:val="20"/>
                <w:color w:val="auto"/>
              </w:rPr>
            </w:pPr>
            <w:r>
              <w:rPr>
                <w:rFonts w:ascii="Arial" w:cs="Arial" w:eastAsia="Arial" w:hAnsi="Arial"/>
                <w:sz w:val="14"/>
                <w:szCs w:val="14"/>
                <w:color w:val="231F20"/>
              </w:rPr>
              <w:t>Equity compensation plans approved</w:t>
            </w:r>
          </w:p>
        </w:tc>
        <w:tc>
          <w:tcPr>
            <w:tcW w:w="1500" w:type="dxa"/>
            <w:vAlign w:val="bottom"/>
            <w:shd w:val="clear" w:color="auto" w:fill="E2E8F1"/>
          </w:tcPr>
          <w:p>
            <w:pPr>
              <w:spacing w:after="0"/>
              <w:rPr>
                <w:sz w:val="12"/>
                <w:szCs w:val="12"/>
                <w:color w:val="auto"/>
              </w:rPr>
            </w:pPr>
          </w:p>
        </w:tc>
        <w:tc>
          <w:tcPr>
            <w:tcW w:w="240" w:type="dxa"/>
            <w:vAlign w:val="bottom"/>
            <w:shd w:val="clear" w:color="auto" w:fill="E2E8F1"/>
          </w:tcPr>
          <w:p>
            <w:pPr>
              <w:spacing w:after="0"/>
              <w:rPr>
                <w:sz w:val="12"/>
                <w:szCs w:val="12"/>
                <w:color w:val="auto"/>
              </w:rPr>
            </w:pPr>
          </w:p>
        </w:tc>
        <w:tc>
          <w:tcPr>
            <w:tcW w:w="1380" w:type="dxa"/>
            <w:vAlign w:val="bottom"/>
            <w:shd w:val="clear" w:color="auto" w:fill="E2E8F1"/>
          </w:tcPr>
          <w:p>
            <w:pPr>
              <w:spacing w:after="0"/>
              <w:rPr>
                <w:sz w:val="12"/>
                <w:szCs w:val="12"/>
                <w:color w:val="auto"/>
              </w:rPr>
            </w:pPr>
          </w:p>
        </w:tc>
        <w:tc>
          <w:tcPr>
            <w:tcW w:w="1600" w:type="dxa"/>
            <w:vAlign w:val="bottom"/>
            <w:shd w:val="clear" w:color="auto" w:fill="E2E8F1"/>
          </w:tcPr>
          <w:p>
            <w:pPr>
              <w:spacing w:after="0"/>
              <w:rPr>
                <w:sz w:val="12"/>
                <w:szCs w:val="12"/>
                <w:color w:val="auto"/>
              </w:rPr>
            </w:pPr>
          </w:p>
        </w:tc>
        <w:tc>
          <w:tcPr>
            <w:tcW w:w="1940" w:type="dxa"/>
            <w:vAlign w:val="bottom"/>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600" w:type="dxa"/>
            <w:vAlign w:val="bottom"/>
            <w:shd w:val="clear" w:color="auto" w:fill="E2E8F1"/>
          </w:tcPr>
          <w:p>
            <w:pPr>
              <w:ind w:left="200"/>
              <w:spacing w:after="0"/>
              <w:rPr>
                <w:sz w:val="20"/>
                <w:szCs w:val="20"/>
                <w:color w:val="auto"/>
              </w:rPr>
            </w:pPr>
            <w:r>
              <w:rPr>
                <w:rFonts w:ascii="Arial" w:cs="Arial" w:eastAsia="Arial" w:hAnsi="Arial"/>
                <w:sz w:val="14"/>
                <w:szCs w:val="14"/>
                <w:color w:val="231F20"/>
              </w:rPr>
              <w:t>by security holders</w:t>
            </w:r>
          </w:p>
        </w:tc>
        <w:tc>
          <w:tcPr>
            <w:tcW w:w="1500" w:type="dxa"/>
            <w:vAlign w:val="bottom"/>
            <w:shd w:val="clear" w:color="auto" w:fill="E2E8F1"/>
          </w:tcPr>
          <w:p>
            <w:pPr>
              <w:jc w:val="right"/>
              <w:ind w:right="75"/>
              <w:spacing w:after="0"/>
              <w:rPr>
                <w:sz w:val="20"/>
                <w:szCs w:val="20"/>
                <w:color w:val="auto"/>
              </w:rPr>
            </w:pPr>
            <w:r>
              <w:rPr>
                <w:rFonts w:ascii="Arial" w:cs="Arial" w:eastAsia="Arial" w:hAnsi="Arial"/>
                <w:sz w:val="14"/>
                <w:szCs w:val="14"/>
                <w:color w:val="231F20"/>
              </w:rPr>
              <w:t>2,478,867</w:t>
            </w:r>
          </w:p>
        </w:tc>
        <w:tc>
          <w:tcPr>
            <w:tcW w:w="24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w:t>
            </w:r>
          </w:p>
        </w:tc>
        <w:tc>
          <w:tcPr>
            <w:tcW w:w="1380" w:type="dxa"/>
            <w:vAlign w:val="bottom"/>
            <w:shd w:val="clear" w:color="auto" w:fill="E2E8F1"/>
          </w:tcPr>
          <w:p>
            <w:pPr>
              <w:jc w:val="right"/>
              <w:ind w:right="135"/>
              <w:spacing w:after="0"/>
              <w:rPr>
                <w:sz w:val="20"/>
                <w:szCs w:val="20"/>
                <w:color w:val="auto"/>
              </w:rPr>
            </w:pPr>
            <w:r>
              <w:rPr>
                <w:rFonts w:ascii="Arial" w:cs="Arial" w:eastAsia="Arial" w:hAnsi="Arial"/>
                <w:sz w:val="14"/>
                <w:szCs w:val="14"/>
                <w:color w:val="231F20"/>
              </w:rPr>
              <w:t>77.38</w:t>
            </w:r>
          </w:p>
        </w:tc>
        <w:tc>
          <w:tcPr>
            <w:tcW w:w="1600" w:type="dxa"/>
            <w:vAlign w:val="bottom"/>
            <w:shd w:val="clear" w:color="auto" w:fill="E2E8F1"/>
          </w:tcPr>
          <w:p>
            <w:pPr>
              <w:jc w:val="right"/>
              <w:ind w:right="175"/>
              <w:spacing w:after="0"/>
              <w:rPr>
                <w:sz w:val="20"/>
                <w:szCs w:val="20"/>
                <w:color w:val="auto"/>
              </w:rPr>
            </w:pPr>
            <w:r>
              <w:rPr>
                <w:rFonts w:ascii="Arial" w:cs="Arial" w:eastAsia="Arial" w:hAnsi="Arial"/>
                <w:sz w:val="14"/>
                <w:szCs w:val="14"/>
                <w:color w:val="231F20"/>
              </w:rPr>
              <w:t>2.1</w:t>
            </w:r>
          </w:p>
        </w:tc>
        <w:tc>
          <w:tcPr>
            <w:tcW w:w="1940" w:type="dxa"/>
            <w:vAlign w:val="bottom"/>
            <w:shd w:val="clear" w:color="auto" w:fill="E2E8F1"/>
          </w:tcPr>
          <w:p>
            <w:pPr>
              <w:jc w:val="right"/>
              <w:ind w:right="75"/>
              <w:spacing w:after="0"/>
              <w:rPr>
                <w:sz w:val="20"/>
                <w:szCs w:val="20"/>
                <w:color w:val="auto"/>
              </w:rPr>
            </w:pPr>
            <w:r>
              <w:rPr>
                <w:rFonts w:ascii="Arial" w:cs="Arial" w:eastAsia="Arial" w:hAnsi="Arial"/>
                <w:sz w:val="14"/>
                <w:szCs w:val="14"/>
                <w:color w:val="231F20"/>
              </w:rPr>
              <w:t>3,259,215</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line="153" w:lineRule="exact"/>
              <w:rPr>
                <w:sz w:val="20"/>
                <w:szCs w:val="20"/>
                <w:color w:val="auto"/>
              </w:rPr>
            </w:pPr>
            <w:r>
              <w:rPr>
                <w:rFonts w:ascii="Arial" w:cs="Arial" w:eastAsia="Arial" w:hAnsi="Arial"/>
                <w:sz w:val="14"/>
                <w:szCs w:val="14"/>
                <w:color w:val="231F20"/>
              </w:rPr>
              <w:t>Equity compensation plans not approved</w:t>
            </w:r>
          </w:p>
        </w:tc>
        <w:tc>
          <w:tcPr>
            <w:tcW w:w="1500" w:type="dxa"/>
            <w:vAlign w:val="bottom"/>
            <w:vMerge w:val="restart"/>
          </w:tcPr>
          <w:p>
            <w:pPr>
              <w:jc w:val="right"/>
              <w:ind w:right="75"/>
              <w:spacing w:after="0"/>
              <w:rPr>
                <w:sz w:val="20"/>
                <w:szCs w:val="20"/>
                <w:color w:val="auto"/>
              </w:rPr>
            </w:pPr>
            <w:r>
              <w:rPr>
                <w:rFonts w:ascii="Arial" w:cs="Arial" w:eastAsia="Arial" w:hAnsi="Arial"/>
                <w:sz w:val="14"/>
                <w:szCs w:val="14"/>
                <w:color w:val="231F20"/>
              </w:rPr>
              <w:t>—</w:t>
            </w: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940" w:type="dxa"/>
            <w:vAlign w:val="bottom"/>
            <w:vMerge w:val="restart"/>
          </w:tcPr>
          <w:p>
            <w:pPr>
              <w:jc w:val="right"/>
              <w:ind w:right="75"/>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71"/>
        </w:trPr>
        <w:tc>
          <w:tcPr>
            <w:tcW w:w="4600" w:type="dxa"/>
            <w:vAlign w:val="bottom"/>
          </w:tcPr>
          <w:p>
            <w:pPr>
              <w:ind w:left="200"/>
              <w:spacing w:after="0"/>
              <w:rPr>
                <w:sz w:val="20"/>
                <w:szCs w:val="20"/>
                <w:color w:val="auto"/>
              </w:rPr>
            </w:pPr>
            <w:r>
              <w:rPr>
                <w:rFonts w:ascii="Arial" w:cs="Arial" w:eastAsia="Arial" w:hAnsi="Arial"/>
                <w:sz w:val="14"/>
                <w:szCs w:val="14"/>
                <w:color w:val="231F20"/>
              </w:rPr>
              <w:t>by security holders</w:t>
            </w:r>
          </w:p>
        </w:tc>
        <w:tc>
          <w:tcPr>
            <w:tcW w:w="1500" w:type="dxa"/>
            <w:vAlign w:val="bottom"/>
            <w:tcBorders>
              <w:bottom w:val="single" w:sz="8" w:color="231F20"/>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135"/>
              <w:spacing w:after="0"/>
              <w:rPr>
                <w:sz w:val="20"/>
                <w:szCs w:val="20"/>
                <w:color w:val="auto"/>
              </w:rPr>
            </w:pPr>
            <w:r>
              <w:rPr>
                <w:rFonts w:ascii="Arial" w:cs="Arial" w:eastAsia="Arial" w:hAnsi="Arial"/>
                <w:sz w:val="14"/>
                <w:szCs w:val="14"/>
                <w:color w:val="231F20"/>
              </w:rPr>
              <w:t>—</w:t>
            </w:r>
          </w:p>
        </w:tc>
        <w:tc>
          <w:tcPr>
            <w:tcW w:w="1600" w:type="dxa"/>
            <w:vAlign w:val="bottom"/>
          </w:tcPr>
          <w:p>
            <w:pPr>
              <w:jc w:val="right"/>
              <w:ind w:right="175"/>
              <w:spacing w:after="0"/>
              <w:rPr>
                <w:sz w:val="20"/>
                <w:szCs w:val="20"/>
                <w:color w:val="auto"/>
              </w:rPr>
            </w:pPr>
            <w:r>
              <w:rPr>
                <w:rFonts w:ascii="Arial" w:cs="Arial" w:eastAsia="Arial" w:hAnsi="Arial"/>
                <w:sz w:val="14"/>
                <w:szCs w:val="14"/>
                <w:color w:val="231F20"/>
              </w:rPr>
              <w:t>—</w:t>
            </w:r>
          </w:p>
        </w:tc>
        <w:tc>
          <w:tcPr>
            <w:tcW w:w="1940" w:type="dxa"/>
            <w:vAlign w:val="bottom"/>
            <w:tcBorders>
              <w:bottom w:val="single" w:sz="8" w:color="231F20"/>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00" w:type="dxa"/>
            <w:vAlign w:val="bottom"/>
            <w:tcBorders>
              <w:bottom w:val="single" w:sz="8" w:color="231F20"/>
            </w:tcBorders>
            <w:shd w:val="clear" w:color="auto" w:fill="E2E8F1"/>
          </w:tcPr>
          <w:p>
            <w:pPr>
              <w:ind w:left="80"/>
              <w:spacing w:after="0"/>
              <w:rPr>
                <w:sz w:val="20"/>
                <w:szCs w:val="20"/>
                <w:color w:val="auto"/>
              </w:rPr>
            </w:pPr>
            <w:r>
              <w:rPr>
                <w:rFonts w:ascii="Arial" w:cs="Arial" w:eastAsia="Arial" w:hAnsi="Arial"/>
                <w:sz w:val="14"/>
                <w:szCs w:val="14"/>
                <w:color w:val="231F20"/>
              </w:rPr>
              <w:t>Total</w:t>
            </w:r>
          </w:p>
        </w:tc>
        <w:tc>
          <w:tcPr>
            <w:tcW w:w="1500" w:type="dxa"/>
            <w:vAlign w:val="bottom"/>
            <w:tcBorders>
              <w:bottom w:val="single" w:sz="8" w:color="231F20"/>
            </w:tcBorders>
            <w:shd w:val="clear" w:color="auto" w:fill="E2E8F1"/>
          </w:tcPr>
          <w:p>
            <w:pPr>
              <w:jc w:val="right"/>
              <w:ind w:right="75"/>
              <w:spacing w:after="0"/>
              <w:rPr>
                <w:sz w:val="20"/>
                <w:szCs w:val="20"/>
                <w:color w:val="auto"/>
              </w:rPr>
            </w:pPr>
            <w:r>
              <w:rPr>
                <w:rFonts w:ascii="Arial" w:cs="Arial" w:eastAsia="Arial" w:hAnsi="Arial"/>
                <w:sz w:val="14"/>
                <w:szCs w:val="14"/>
                <w:color w:val="231F20"/>
              </w:rPr>
              <w:t>2,478,867</w:t>
            </w:r>
          </w:p>
        </w:tc>
        <w:tc>
          <w:tcPr>
            <w:tcW w:w="2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shd w:val="clear" w:color="auto" w:fill="E2E8F1"/>
          </w:tcPr>
          <w:p>
            <w:pPr>
              <w:jc w:val="right"/>
              <w:ind w:right="135"/>
              <w:spacing w:after="0"/>
              <w:rPr>
                <w:sz w:val="20"/>
                <w:szCs w:val="20"/>
                <w:color w:val="auto"/>
              </w:rPr>
            </w:pPr>
            <w:r>
              <w:rPr>
                <w:rFonts w:ascii="Arial" w:cs="Arial" w:eastAsia="Arial" w:hAnsi="Arial"/>
                <w:sz w:val="14"/>
                <w:szCs w:val="14"/>
                <w:color w:val="231F20"/>
              </w:rPr>
              <w:t>77.38</w:t>
            </w:r>
          </w:p>
        </w:tc>
        <w:tc>
          <w:tcPr>
            <w:tcW w:w="1600" w:type="dxa"/>
            <w:vAlign w:val="bottom"/>
            <w:tcBorders>
              <w:bottom w:val="single" w:sz="8" w:color="231F20"/>
            </w:tcBorders>
            <w:shd w:val="clear" w:color="auto" w:fill="E2E8F1"/>
          </w:tcPr>
          <w:p>
            <w:pPr>
              <w:jc w:val="right"/>
              <w:ind w:right="175"/>
              <w:spacing w:after="0"/>
              <w:rPr>
                <w:sz w:val="20"/>
                <w:szCs w:val="20"/>
                <w:color w:val="auto"/>
              </w:rPr>
            </w:pPr>
            <w:r>
              <w:rPr>
                <w:rFonts w:ascii="Arial" w:cs="Arial" w:eastAsia="Arial" w:hAnsi="Arial"/>
                <w:sz w:val="14"/>
                <w:szCs w:val="14"/>
                <w:color w:val="231F20"/>
              </w:rPr>
              <w:t>2.1</w:t>
            </w:r>
          </w:p>
        </w:tc>
        <w:tc>
          <w:tcPr>
            <w:tcW w:w="1940" w:type="dxa"/>
            <w:vAlign w:val="bottom"/>
            <w:tcBorders>
              <w:bottom w:val="single" w:sz="8" w:color="231F20"/>
            </w:tcBorders>
            <w:shd w:val="clear" w:color="auto" w:fill="E2E8F1"/>
          </w:tcPr>
          <w:p>
            <w:pPr>
              <w:jc w:val="right"/>
              <w:ind w:right="75"/>
              <w:spacing w:after="0"/>
              <w:rPr>
                <w:sz w:val="20"/>
                <w:szCs w:val="20"/>
                <w:color w:val="auto"/>
              </w:rPr>
            </w:pPr>
            <w:r>
              <w:rPr>
                <w:rFonts w:ascii="Arial" w:cs="Arial" w:eastAsia="Arial" w:hAnsi="Arial"/>
                <w:sz w:val="14"/>
                <w:szCs w:val="14"/>
                <w:color w:val="231F20"/>
              </w:rPr>
              <w:t>3,259,215</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25" w:hanging="325"/>
        <w:spacing w:after="0"/>
        <w:tabs>
          <w:tab w:leader="none" w:pos="325" w:val="left"/>
        </w:tabs>
        <w:numPr>
          <w:ilvl w:val="0"/>
          <w:numId w:val="69"/>
        </w:numPr>
        <w:rPr>
          <w:rFonts w:ascii="Arial" w:cs="Arial" w:eastAsia="Arial" w:hAnsi="Arial"/>
          <w:sz w:val="17"/>
          <w:szCs w:val="17"/>
          <w:color w:val="231F20"/>
          <w:vertAlign w:val="superscript"/>
        </w:rPr>
      </w:pPr>
      <w:r>
        <w:rPr>
          <w:rFonts w:ascii="Arial" w:cs="Arial" w:eastAsia="Arial" w:hAnsi="Arial"/>
          <w:sz w:val="13"/>
          <w:szCs w:val="13"/>
          <w:color w:val="231F20"/>
        </w:rPr>
        <w:t>Represents maximum number of shares to be awarded under best-case target, excluding dividend equivalents. Current estimate is 575,659 shares less than maximum.</w:t>
      </w:r>
    </w:p>
    <w:p>
      <w:pPr>
        <w:spacing w:after="0" w:line="70" w:lineRule="exact"/>
        <w:rPr>
          <w:rFonts w:ascii="Arial" w:cs="Arial" w:eastAsia="Arial" w:hAnsi="Arial"/>
          <w:sz w:val="17"/>
          <w:szCs w:val="17"/>
          <w:color w:val="231F20"/>
          <w:vertAlign w:val="superscript"/>
        </w:rPr>
      </w:pPr>
    </w:p>
    <w:p>
      <w:pPr>
        <w:ind w:left="325" w:right="360" w:hanging="325"/>
        <w:spacing w:after="0" w:line="214" w:lineRule="auto"/>
        <w:tabs>
          <w:tab w:leader="none" w:pos="325" w:val="left"/>
        </w:tabs>
        <w:numPr>
          <w:ilvl w:val="0"/>
          <w:numId w:val="69"/>
        </w:numPr>
        <w:rPr>
          <w:rFonts w:ascii="Arial" w:cs="Arial" w:eastAsia="Arial" w:hAnsi="Arial"/>
          <w:sz w:val="17"/>
          <w:szCs w:val="17"/>
          <w:color w:val="231F20"/>
          <w:vertAlign w:val="superscript"/>
        </w:rPr>
      </w:pPr>
      <w:r>
        <w:rPr>
          <w:rFonts w:ascii="Arial" w:cs="Arial" w:eastAsia="Arial" w:hAnsi="Arial"/>
          <w:sz w:val="13"/>
          <w:szCs w:val="13"/>
          <w:color w:val="231F20"/>
        </w:rPr>
        <w:t>Includes the number of shares remaining available for future issuance under the following plans: 2011 Equity Incentive Plan - 2,721,487 shares; and Savings Related Share Option Scheme – 537,728 shares.</w:t>
      </w:r>
    </w:p>
    <w:p>
      <w:pPr>
        <w:spacing w:after="0" w:line="105"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5B89B4"/>
        </w:rPr>
        <w:t>Item 13. Certain Relationships and Related Transactions, and Director Independence</w:t>
      </w:r>
    </w:p>
    <w:p>
      <w:pPr>
        <w:spacing w:after="0" w:line="108"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231F20"/>
        </w:rPr>
        <w:t>The information required by this Item is set forth in our Proxy Statement for the Annual Meeting of Shareholders to be held on May 2, 2025, under the caption “Board Independence and Related Party Transactions” and “Meetings and Committees of the Board,” which information is hereby incorporated herein by reference.</w:t>
      </w:r>
    </w:p>
    <w:p>
      <w:pPr>
        <w:spacing w:after="0" w:line="197"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5B89B4"/>
        </w:rPr>
        <w:t>Item 14. Principal Accounting Fees and Services</w:t>
      </w:r>
    </w:p>
    <w:p>
      <w:pPr>
        <w:spacing w:after="0" w:line="108" w:lineRule="exact"/>
        <w:rPr>
          <w:sz w:val="20"/>
          <w:szCs w:val="20"/>
          <w:color w:val="auto"/>
        </w:rPr>
      </w:pPr>
    </w:p>
    <w:p>
      <w:pPr>
        <w:jc w:val="both"/>
        <w:ind w:left="5"/>
        <w:spacing w:after="0" w:line="294" w:lineRule="auto"/>
        <w:rPr>
          <w:sz w:val="20"/>
          <w:szCs w:val="20"/>
          <w:color w:val="auto"/>
        </w:rPr>
      </w:pPr>
      <w:r>
        <w:rPr>
          <w:rFonts w:ascii="Arial" w:cs="Arial" w:eastAsia="Arial" w:hAnsi="Arial"/>
          <w:sz w:val="15"/>
          <w:szCs w:val="15"/>
          <w:color w:val="231F20"/>
        </w:rPr>
        <w:t>The information required by this Item is set forth in our Proxy Statement for the Annual Meeting of Shareholders to be held on May 2, 2025, under the captions “Fees Billed by Deloitte” and “Independent Auditor Services Policy” in the Audit Committee Report, which information is hereby incorporated herein by reference.</w:t>
      </w:r>
    </w:p>
    <w:p>
      <w:pPr>
        <w:spacing w:after="0" w:line="12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90" w:name="page91"/>
    <w:bookmarkEnd w:id="90"/>
    <w:p>
      <w:pPr>
        <w:ind w:left="10705"/>
        <w:spacing w:after="0"/>
        <w:rPr>
          <w:sz w:val="20"/>
          <w:szCs w:val="20"/>
          <w:color w:val="auto"/>
        </w:rPr>
      </w:pPr>
      <w:r>
        <w:rPr>
          <w:rFonts w:ascii="Arial" w:cs="Arial" w:eastAsia="Arial" w:hAnsi="Arial"/>
          <w:sz w:val="16"/>
          <w:szCs w:val="16"/>
          <w:color w:val="FFFFFF"/>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60" w:lineRule="exact"/>
        <w:rPr>
          <w:sz w:val="20"/>
          <w:szCs w:val="20"/>
          <w:color w:val="auto"/>
        </w:rPr>
      </w:pPr>
    </w:p>
    <w:p>
      <w:pPr>
        <w:ind w:left="5"/>
        <w:spacing w:after="0"/>
        <w:rPr>
          <w:sz w:val="20"/>
          <w:szCs w:val="20"/>
          <w:color w:val="auto"/>
        </w:rPr>
      </w:pPr>
      <w:r>
        <w:rPr>
          <w:rFonts w:ascii="Arial" w:cs="Arial" w:eastAsia="Arial" w:hAnsi="Arial"/>
          <w:sz w:val="36"/>
          <w:szCs w:val="36"/>
          <w:b w:val="1"/>
          <w:bCs w:val="1"/>
          <w:color w:val="5B89B4"/>
        </w:rPr>
        <w:t>PART IV</w:t>
      </w:r>
    </w:p>
    <w:p>
      <w:pPr>
        <w:spacing w:after="0" w:line="251"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5B89B4"/>
        </w:rPr>
        <w:t>Item 15. Exhibits and Financial Statement Schedules.</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(a)(1) Financial Statements.</w:t>
      </w:r>
    </w:p>
    <w:p>
      <w:pPr>
        <w:spacing w:after="0" w:line="91"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center"/>
              <w:ind w:right="108"/>
              <w:spacing w:after="0"/>
              <w:rPr>
                <w:sz w:val="20"/>
                <w:szCs w:val="20"/>
                <w:color w:val="auto"/>
              </w:rPr>
            </w:pPr>
            <w:r>
              <w:rPr>
                <w:rFonts w:ascii="Arial" w:cs="Arial" w:eastAsia="Arial" w:hAnsi="Arial"/>
                <w:sz w:val="16"/>
                <w:szCs w:val="16"/>
                <w:b w:val="1"/>
                <w:bCs w:val="1"/>
                <w:color w:val="auto"/>
                <w:w w:val="99"/>
              </w:rPr>
              <w:t>Page</w:t>
            </w:r>
          </w:p>
        </w:tc>
      </w:tr>
      <w:tr>
        <w:trPr>
          <w:trHeight w:val="21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center"/>
              <w:ind w:right="128"/>
              <w:spacing w:after="0"/>
              <w:rPr>
                <w:sz w:val="20"/>
                <w:szCs w:val="20"/>
                <w:color w:val="auto"/>
              </w:rPr>
            </w:pPr>
            <w:r>
              <w:rPr>
                <w:rFonts w:ascii="Arial" w:cs="Arial" w:eastAsia="Arial" w:hAnsi="Arial"/>
                <w:sz w:val="16"/>
                <w:szCs w:val="16"/>
                <w:b w:val="1"/>
                <w:bCs w:val="1"/>
                <w:color w:val="auto"/>
                <w:w w:val="99"/>
              </w:rPr>
              <w:t>Number</w:t>
            </w:r>
          </w:p>
        </w:tc>
      </w:tr>
      <w:tr>
        <w:trPr>
          <w:trHeight w:val="155"/>
        </w:trPr>
        <w:tc>
          <w:tcPr>
            <w:tcW w:w="20" w:type="dxa"/>
            <w:vAlign w:val="bottom"/>
          </w:tcPr>
          <w:p>
            <w:pPr>
              <w:spacing w:after="0"/>
              <w:rPr>
                <w:sz w:val="13"/>
                <w:szCs w:val="13"/>
                <w:color w:val="auto"/>
              </w:rPr>
            </w:pPr>
          </w:p>
        </w:tc>
        <w:tc>
          <w:tcPr>
            <w:tcW w:w="380" w:type="dxa"/>
            <w:vAlign w:val="bottom"/>
            <w:tcBorders>
              <w:bottom w:val="single" w:sz="8" w:color="5B89B4"/>
            </w:tcBorders>
          </w:tcPr>
          <w:p>
            <w:pPr>
              <w:spacing w:after="0"/>
              <w:rPr>
                <w:sz w:val="13"/>
                <w:szCs w:val="13"/>
                <w:color w:val="auto"/>
              </w:rPr>
            </w:pPr>
          </w:p>
        </w:tc>
        <w:tc>
          <w:tcPr>
            <w:tcW w:w="2860" w:type="dxa"/>
            <w:vAlign w:val="bottom"/>
            <w:tcBorders>
              <w:bottom w:val="single" w:sz="8" w:color="5B89B4"/>
            </w:tcBorders>
          </w:tcPr>
          <w:p>
            <w:pPr>
              <w:spacing w:after="0"/>
              <w:rPr>
                <w:sz w:val="13"/>
                <w:szCs w:val="13"/>
                <w:color w:val="auto"/>
              </w:rPr>
            </w:pPr>
          </w:p>
        </w:tc>
        <w:tc>
          <w:tcPr>
            <w:tcW w:w="200" w:type="dxa"/>
            <w:vAlign w:val="bottom"/>
            <w:tcBorders>
              <w:bottom w:val="single" w:sz="8" w:color="5B89B4"/>
            </w:tcBorders>
          </w:tcPr>
          <w:p>
            <w:pPr>
              <w:spacing w:after="0"/>
              <w:rPr>
                <w:sz w:val="13"/>
                <w:szCs w:val="13"/>
                <w:color w:val="auto"/>
              </w:rPr>
            </w:pPr>
          </w:p>
        </w:tc>
        <w:tc>
          <w:tcPr>
            <w:tcW w:w="100" w:type="dxa"/>
            <w:vAlign w:val="bottom"/>
            <w:tcBorders>
              <w:bottom w:val="single" w:sz="8" w:color="5B89B4"/>
            </w:tcBorders>
          </w:tcPr>
          <w:p>
            <w:pPr>
              <w:spacing w:after="0"/>
              <w:rPr>
                <w:sz w:val="13"/>
                <w:szCs w:val="13"/>
                <w:color w:val="auto"/>
              </w:rPr>
            </w:pPr>
          </w:p>
        </w:tc>
        <w:tc>
          <w:tcPr>
            <w:tcW w:w="840" w:type="dxa"/>
            <w:vAlign w:val="bottom"/>
            <w:tcBorders>
              <w:bottom w:val="single" w:sz="8" w:color="5B89B4"/>
            </w:tcBorders>
          </w:tcPr>
          <w:p>
            <w:pPr>
              <w:spacing w:after="0"/>
              <w:rPr>
                <w:sz w:val="13"/>
                <w:szCs w:val="13"/>
                <w:color w:val="auto"/>
              </w:rPr>
            </w:pPr>
          </w:p>
        </w:tc>
        <w:tc>
          <w:tcPr>
            <w:tcW w:w="20" w:type="dxa"/>
            <w:vAlign w:val="bottom"/>
            <w:tcBorders>
              <w:bottom w:val="single" w:sz="8" w:color="5B89B4"/>
            </w:tcBorders>
          </w:tcPr>
          <w:p>
            <w:pPr>
              <w:spacing w:after="0"/>
              <w:rPr>
                <w:sz w:val="13"/>
                <w:szCs w:val="13"/>
                <w:color w:val="auto"/>
              </w:rPr>
            </w:pPr>
          </w:p>
        </w:tc>
        <w:tc>
          <w:tcPr>
            <w:tcW w:w="140" w:type="dxa"/>
            <w:vAlign w:val="bottom"/>
            <w:tcBorders>
              <w:bottom w:val="single" w:sz="8" w:color="5B89B4"/>
            </w:tcBorders>
          </w:tcPr>
          <w:p>
            <w:pPr>
              <w:spacing w:after="0"/>
              <w:rPr>
                <w:sz w:val="13"/>
                <w:szCs w:val="13"/>
                <w:color w:val="auto"/>
              </w:rPr>
            </w:pPr>
          </w:p>
        </w:tc>
        <w:tc>
          <w:tcPr>
            <w:tcW w:w="260" w:type="dxa"/>
            <w:vAlign w:val="bottom"/>
            <w:tcBorders>
              <w:bottom w:val="single" w:sz="8" w:color="5B89B4"/>
            </w:tcBorders>
          </w:tcPr>
          <w:p>
            <w:pPr>
              <w:spacing w:after="0"/>
              <w:rPr>
                <w:sz w:val="13"/>
                <w:szCs w:val="13"/>
                <w:color w:val="auto"/>
              </w:rPr>
            </w:pPr>
          </w:p>
        </w:tc>
        <w:tc>
          <w:tcPr>
            <w:tcW w:w="160" w:type="dxa"/>
            <w:vAlign w:val="bottom"/>
            <w:tcBorders>
              <w:bottom w:val="single" w:sz="8" w:color="5B89B4"/>
            </w:tcBorders>
          </w:tcPr>
          <w:p>
            <w:pPr>
              <w:spacing w:after="0"/>
              <w:rPr>
                <w:sz w:val="13"/>
                <w:szCs w:val="13"/>
                <w:color w:val="auto"/>
              </w:rPr>
            </w:pPr>
          </w:p>
        </w:tc>
        <w:tc>
          <w:tcPr>
            <w:tcW w:w="920" w:type="dxa"/>
            <w:vAlign w:val="bottom"/>
            <w:tcBorders>
              <w:bottom w:val="single" w:sz="8" w:color="5B89B4"/>
            </w:tcBorders>
          </w:tcPr>
          <w:p>
            <w:pPr>
              <w:spacing w:after="0"/>
              <w:rPr>
                <w:sz w:val="13"/>
                <w:szCs w:val="13"/>
                <w:color w:val="auto"/>
              </w:rPr>
            </w:pPr>
          </w:p>
        </w:tc>
        <w:tc>
          <w:tcPr>
            <w:tcW w:w="240" w:type="dxa"/>
            <w:vAlign w:val="bottom"/>
            <w:tcBorders>
              <w:bottom w:val="single" w:sz="8" w:color="5B89B4"/>
            </w:tcBorders>
          </w:tcPr>
          <w:p>
            <w:pPr>
              <w:spacing w:after="0"/>
              <w:rPr>
                <w:sz w:val="13"/>
                <w:szCs w:val="13"/>
                <w:color w:val="auto"/>
              </w:rPr>
            </w:pPr>
          </w:p>
        </w:tc>
        <w:tc>
          <w:tcPr>
            <w:tcW w:w="980" w:type="dxa"/>
            <w:vAlign w:val="bottom"/>
            <w:tcBorders>
              <w:bottom w:val="single" w:sz="8" w:color="5B89B4"/>
            </w:tcBorders>
          </w:tcPr>
          <w:p>
            <w:pPr>
              <w:spacing w:after="0"/>
              <w:rPr>
                <w:sz w:val="13"/>
                <w:szCs w:val="13"/>
                <w:color w:val="auto"/>
              </w:rPr>
            </w:pPr>
          </w:p>
        </w:tc>
        <w:tc>
          <w:tcPr>
            <w:tcW w:w="40" w:type="dxa"/>
            <w:vAlign w:val="bottom"/>
            <w:tcBorders>
              <w:bottom w:val="single" w:sz="8" w:color="5B89B4"/>
            </w:tcBorders>
          </w:tcPr>
          <w:p>
            <w:pPr>
              <w:spacing w:after="0"/>
              <w:rPr>
                <w:sz w:val="13"/>
                <w:szCs w:val="13"/>
                <w:color w:val="auto"/>
              </w:rPr>
            </w:pPr>
          </w:p>
        </w:tc>
        <w:tc>
          <w:tcPr>
            <w:tcW w:w="240" w:type="dxa"/>
            <w:vAlign w:val="bottom"/>
            <w:tcBorders>
              <w:bottom w:val="single" w:sz="8" w:color="5B89B4"/>
            </w:tcBorders>
          </w:tcPr>
          <w:p>
            <w:pPr>
              <w:spacing w:after="0"/>
              <w:rPr>
                <w:sz w:val="13"/>
                <w:szCs w:val="13"/>
                <w:color w:val="auto"/>
              </w:rPr>
            </w:pPr>
          </w:p>
        </w:tc>
        <w:tc>
          <w:tcPr>
            <w:tcW w:w="400" w:type="dxa"/>
            <w:vAlign w:val="bottom"/>
            <w:tcBorders>
              <w:bottom w:val="single" w:sz="8" w:color="5B89B4"/>
            </w:tcBorders>
          </w:tcPr>
          <w:p>
            <w:pPr>
              <w:spacing w:after="0"/>
              <w:rPr>
                <w:sz w:val="13"/>
                <w:szCs w:val="13"/>
                <w:color w:val="auto"/>
              </w:rPr>
            </w:pPr>
          </w:p>
        </w:tc>
        <w:tc>
          <w:tcPr>
            <w:tcW w:w="200" w:type="dxa"/>
            <w:vAlign w:val="bottom"/>
            <w:tcBorders>
              <w:bottom w:val="single" w:sz="8" w:color="5B89B4"/>
            </w:tcBorders>
          </w:tcPr>
          <w:p>
            <w:pPr>
              <w:spacing w:after="0"/>
              <w:rPr>
                <w:sz w:val="13"/>
                <w:szCs w:val="13"/>
                <w:color w:val="auto"/>
              </w:rPr>
            </w:pPr>
          </w:p>
        </w:tc>
        <w:tc>
          <w:tcPr>
            <w:tcW w:w="240" w:type="dxa"/>
            <w:vAlign w:val="bottom"/>
            <w:tcBorders>
              <w:bottom w:val="single" w:sz="8" w:color="5B89B4"/>
            </w:tcBorders>
          </w:tcPr>
          <w:p>
            <w:pPr>
              <w:spacing w:after="0"/>
              <w:rPr>
                <w:sz w:val="13"/>
                <w:szCs w:val="13"/>
                <w:color w:val="auto"/>
              </w:rPr>
            </w:pPr>
          </w:p>
        </w:tc>
        <w:tc>
          <w:tcPr>
            <w:tcW w:w="320" w:type="dxa"/>
            <w:vAlign w:val="bottom"/>
            <w:tcBorders>
              <w:bottom w:val="single" w:sz="8" w:color="5B89B4"/>
            </w:tcBorders>
          </w:tcPr>
          <w:p>
            <w:pPr>
              <w:spacing w:after="0"/>
              <w:rPr>
                <w:sz w:val="13"/>
                <w:szCs w:val="13"/>
                <w:color w:val="auto"/>
              </w:rPr>
            </w:pPr>
          </w:p>
        </w:tc>
        <w:tc>
          <w:tcPr>
            <w:tcW w:w="1160" w:type="dxa"/>
            <w:vAlign w:val="bottom"/>
            <w:tcBorders>
              <w:bottom w:val="single" w:sz="8" w:color="5B89B4"/>
            </w:tcBorders>
          </w:tcPr>
          <w:p>
            <w:pPr>
              <w:spacing w:after="0"/>
              <w:rPr>
                <w:sz w:val="13"/>
                <w:szCs w:val="13"/>
                <w:color w:val="auto"/>
              </w:rPr>
            </w:pPr>
          </w:p>
        </w:tc>
        <w:tc>
          <w:tcPr>
            <w:tcW w:w="460" w:type="dxa"/>
            <w:vAlign w:val="bottom"/>
            <w:tcBorders>
              <w:bottom w:val="single" w:sz="8" w:color="5B89B4"/>
            </w:tcBorders>
          </w:tcPr>
          <w:p>
            <w:pPr>
              <w:spacing w:after="0"/>
              <w:rPr>
                <w:sz w:val="13"/>
                <w:szCs w:val="13"/>
                <w:color w:val="auto"/>
              </w:rPr>
            </w:pPr>
          </w:p>
        </w:tc>
        <w:tc>
          <w:tcPr>
            <w:tcW w:w="1080" w:type="dxa"/>
            <w:vAlign w:val="bottom"/>
            <w:tcBorders>
              <w:bottom w:val="single" w:sz="8" w:color="5B89B4"/>
            </w:tcBorders>
          </w:tcPr>
          <w:p>
            <w:pPr>
              <w:spacing w:after="0"/>
              <w:rPr>
                <w:sz w:val="13"/>
                <w:szCs w:val="13"/>
                <w:color w:val="auto"/>
              </w:rPr>
            </w:pPr>
          </w:p>
        </w:tc>
      </w:tr>
      <w:tr>
        <w:trPr>
          <w:trHeight w:val="219"/>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231F20"/>
              </w:rPr>
              <w:t>Consolidated Financial Statements: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160" w:type="dxa"/>
            <w:vAlign w:val="bottom"/>
            <w:gridSpan w:val="6"/>
          </w:tcPr>
          <w:p>
            <w:pPr>
              <w:spacing w:after="0" w:line="175" w:lineRule="exact"/>
              <w:rPr>
                <w:sz w:val="20"/>
                <w:szCs w:val="20"/>
                <w:color w:val="auto"/>
              </w:rPr>
            </w:pPr>
            <w:r>
              <w:rPr>
                <w:rFonts w:ascii="Arial" w:cs="Arial" w:eastAsia="Arial" w:hAnsi="Arial"/>
                <w:sz w:val="16"/>
                <w:szCs w:val="16"/>
                <w:color w:val="231F20"/>
              </w:rPr>
              <w:t>Report of Independent Registered Public Accounting Firm</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ind w:left="360"/>
              <w:spacing w:after="0" w:line="175" w:lineRule="exact"/>
              <w:rPr>
                <w:sz w:val="20"/>
                <w:szCs w:val="20"/>
                <w:color w:val="auto"/>
              </w:rPr>
            </w:pPr>
            <w:r>
              <w:rPr>
                <w:rFonts w:ascii="Arial" w:cs="Arial" w:eastAsia="Arial" w:hAnsi="Arial"/>
                <w:sz w:val="16"/>
                <w:szCs w:val="16"/>
                <w:color w:val="231F20"/>
              </w:rPr>
              <w:t>46</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72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231F20"/>
                <w:w w:val="98"/>
              </w:rPr>
              <w:t>Consolidated Statements of Operations for the years ended December 31, 2024, 2023 and 2022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ind w:left="360"/>
              <w:spacing w:after="0"/>
              <w:rPr>
                <w:sz w:val="20"/>
                <w:szCs w:val="20"/>
                <w:color w:val="auto"/>
              </w:rPr>
            </w:pPr>
            <w:r>
              <w:rPr>
                <w:rFonts w:ascii="Arial" w:cs="Arial" w:eastAsia="Arial" w:hAnsi="Arial"/>
                <w:sz w:val="16"/>
                <w:szCs w:val="16"/>
                <w:color w:val="231F20"/>
              </w:rPr>
              <w:t>49</w:t>
            </w:r>
          </w:p>
        </w:tc>
      </w:tr>
      <w:tr>
        <w:trPr>
          <w:trHeight w:val="193"/>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40" w:type="dxa"/>
            <w:vAlign w:val="bottom"/>
            <w:gridSpan w:val="16"/>
          </w:tcPr>
          <w:p>
            <w:pPr>
              <w:spacing w:after="0"/>
              <w:rPr>
                <w:sz w:val="20"/>
                <w:szCs w:val="20"/>
                <w:color w:val="auto"/>
              </w:rPr>
            </w:pPr>
            <w:r>
              <w:rPr>
                <w:rFonts w:ascii="Arial" w:cs="Arial" w:eastAsia="Arial" w:hAnsi="Arial"/>
                <w:sz w:val="16"/>
                <w:szCs w:val="16"/>
                <w:color w:val="231F20"/>
              </w:rPr>
              <w:t>Consolidated Statements of Comprehensive Income for the years ended December 31, 2024, 2023 and 2022</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ind w:left="360"/>
              <w:spacing w:after="0"/>
              <w:rPr>
                <w:sz w:val="20"/>
                <w:szCs w:val="20"/>
                <w:color w:val="auto"/>
              </w:rPr>
            </w:pPr>
            <w:r>
              <w:rPr>
                <w:rFonts w:ascii="Arial" w:cs="Arial" w:eastAsia="Arial" w:hAnsi="Arial"/>
                <w:sz w:val="16"/>
                <w:szCs w:val="16"/>
                <w:color w:val="231F20"/>
              </w:rPr>
              <w:t>50</w:t>
            </w:r>
          </w:p>
        </w:tc>
      </w:tr>
      <w:tr>
        <w:trPr>
          <w:trHeight w:val="193"/>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5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6"/>
                <w:szCs w:val="16"/>
                <w:color w:val="231F20"/>
                <w:w w:val="98"/>
              </w:rPr>
              <w:t>Consolidated Balance Sheets as of December 31, 2024 and 2023</w:t>
            </w:r>
          </w:p>
        </w:tc>
        <w:tc>
          <w:tcPr>
            <w:tcW w:w="9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ind w:left="360"/>
              <w:spacing w:after="0"/>
              <w:rPr>
                <w:sz w:val="20"/>
                <w:szCs w:val="20"/>
                <w:color w:val="auto"/>
              </w:rPr>
            </w:pPr>
            <w:r>
              <w:rPr>
                <w:rFonts w:ascii="Arial" w:cs="Arial" w:eastAsia="Arial" w:hAnsi="Arial"/>
                <w:sz w:val="16"/>
                <w:szCs w:val="16"/>
                <w:color w:val="231F20"/>
              </w:rPr>
              <w:t>51</w:t>
            </w:r>
          </w:p>
        </w:tc>
      </w:tr>
      <w:tr>
        <w:trPr>
          <w:trHeight w:val="193"/>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0" w:type="dxa"/>
            <w:vAlign w:val="bottom"/>
            <w:gridSpan w:val="13"/>
          </w:tcPr>
          <w:p>
            <w:pPr>
              <w:spacing w:after="0"/>
              <w:rPr>
                <w:sz w:val="20"/>
                <w:szCs w:val="20"/>
                <w:color w:val="auto"/>
              </w:rPr>
            </w:pPr>
            <w:r>
              <w:rPr>
                <w:rFonts w:ascii="Arial" w:cs="Arial" w:eastAsia="Arial" w:hAnsi="Arial"/>
                <w:sz w:val="16"/>
                <w:szCs w:val="16"/>
                <w:color w:val="231F20"/>
              </w:rPr>
              <w:t>Consolidated Statements of Cash Flows for the years ended December 31, 2024, 2023 and 2022</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ind w:left="360"/>
              <w:spacing w:after="0"/>
              <w:rPr>
                <w:sz w:val="20"/>
                <w:szCs w:val="20"/>
                <w:color w:val="auto"/>
              </w:rPr>
            </w:pPr>
            <w:r>
              <w:rPr>
                <w:rFonts w:ascii="Arial" w:cs="Arial" w:eastAsia="Arial" w:hAnsi="Arial"/>
                <w:sz w:val="16"/>
                <w:szCs w:val="16"/>
                <w:color w:val="231F20"/>
              </w:rPr>
              <w:t>52</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3700" w:type="dxa"/>
            <w:vAlign w:val="bottom"/>
            <w:gridSpan w:val="10"/>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40" w:type="dxa"/>
            <w:vAlign w:val="bottom"/>
            <w:gridSpan w:val="16"/>
          </w:tcPr>
          <w:p>
            <w:pPr>
              <w:spacing w:after="0"/>
              <w:rPr>
                <w:sz w:val="20"/>
                <w:szCs w:val="20"/>
                <w:color w:val="auto"/>
              </w:rPr>
            </w:pPr>
            <w:r>
              <w:rPr>
                <w:rFonts w:ascii="Arial" w:cs="Arial" w:eastAsia="Arial" w:hAnsi="Arial"/>
                <w:sz w:val="16"/>
                <w:szCs w:val="16"/>
                <w:color w:val="231F20"/>
              </w:rPr>
              <w:t>Consolidated Statements of Shareholders’ Equity for the years ended December 31, 2024, 2023 and 2022</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ind w:left="360"/>
              <w:spacing w:after="0"/>
              <w:rPr>
                <w:sz w:val="20"/>
                <w:szCs w:val="20"/>
                <w:color w:val="auto"/>
              </w:rPr>
            </w:pPr>
            <w:r>
              <w:rPr>
                <w:rFonts w:ascii="Arial" w:cs="Arial" w:eastAsia="Arial" w:hAnsi="Arial"/>
                <w:sz w:val="16"/>
                <w:szCs w:val="16"/>
                <w:color w:val="231F20"/>
              </w:rPr>
              <w:t>53</w:t>
            </w:r>
          </w:p>
        </w:tc>
      </w:tr>
      <w:tr>
        <w:trPr>
          <w:trHeight w:val="193"/>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231F20"/>
              </w:rPr>
              <w:t>Notes to Consolidated Financial Statements</w:t>
            </w:r>
          </w:p>
        </w:tc>
        <w:tc>
          <w:tcPr>
            <w:tcW w:w="8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9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ind w:left="360"/>
              <w:spacing w:after="0"/>
              <w:rPr>
                <w:sz w:val="20"/>
                <w:szCs w:val="20"/>
                <w:color w:val="auto"/>
              </w:rPr>
            </w:pPr>
            <w:r>
              <w:rPr>
                <w:rFonts w:ascii="Arial" w:cs="Arial" w:eastAsia="Arial" w:hAnsi="Arial"/>
                <w:sz w:val="16"/>
                <w:szCs w:val="16"/>
                <w:color w:val="231F20"/>
              </w:rPr>
              <w:t>54</w:t>
            </w:r>
          </w:p>
        </w:tc>
      </w:tr>
      <w:tr>
        <w:trPr>
          <w:trHeight w:val="181"/>
        </w:trPr>
        <w:tc>
          <w:tcPr>
            <w:tcW w:w="20" w:type="dxa"/>
            <w:vAlign w:val="bottom"/>
          </w:tcPr>
          <w:p>
            <w:pPr>
              <w:spacing w:after="0"/>
              <w:rPr>
                <w:sz w:val="15"/>
                <w:szCs w:val="15"/>
                <w:color w:val="auto"/>
              </w:rPr>
            </w:pPr>
          </w:p>
        </w:tc>
        <w:tc>
          <w:tcPr>
            <w:tcW w:w="380" w:type="dxa"/>
            <w:vAlign w:val="bottom"/>
            <w:tcBorders>
              <w:bottom w:val="single" w:sz="8" w:color="5B89B4"/>
            </w:tcBorders>
          </w:tcPr>
          <w:p>
            <w:pPr>
              <w:spacing w:after="0"/>
              <w:rPr>
                <w:sz w:val="15"/>
                <w:szCs w:val="15"/>
                <w:color w:val="auto"/>
              </w:rPr>
            </w:pPr>
          </w:p>
        </w:tc>
        <w:tc>
          <w:tcPr>
            <w:tcW w:w="2860" w:type="dxa"/>
            <w:vAlign w:val="bottom"/>
            <w:tcBorders>
              <w:top w:val="single" w:sz="8" w:color="0000EE"/>
              <w:bottom w:val="single" w:sz="8" w:color="5B89B4"/>
            </w:tcBorders>
          </w:tcPr>
          <w:p>
            <w:pPr>
              <w:spacing w:after="0"/>
              <w:rPr>
                <w:sz w:val="15"/>
                <w:szCs w:val="15"/>
                <w:color w:val="auto"/>
              </w:rPr>
            </w:pPr>
          </w:p>
        </w:tc>
        <w:tc>
          <w:tcPr>
            <w:tcW w:w="200" w:type="dxa"/>
            <w:vAlign w:val="bottom"/>
            <w:tcBorders>
              <w:top w:val="single" w:sz="8" w:color="0000EE"/>
              <w:bottom w:val="single" w:sz="8" w:color="5B89B4"/>
            </w:tcBorders>
          </w:tcPr>
          <w:p>
            <w:pPr>
              <w:spacing w:after="0"/>
              <w:rPr>
                <w:sz w:val="15"/>
                <w:szCs w:val="15"/>
                <w:color w:val="auto"/>
              </w:rPr>
            </w:pPr>
          </w:p>
        </w:tc>
        <w:tc>
          <w:tcPr>
            <w:tcW w:w="100" w:type="dxa"/>
            <w:vAlign w:val="bottom"/>
            <w:tcBorders>
              <w:bottom w:val="single" w:sz="8" w:color="5B89B4"/>
            </w:tcBorders>
          </w:tcPr>
          <w:p>
            <w:pPr>
              <w:spacing w:after="0"/>
              <w:rPr>
                <w:sz w:val="15"/>
                <w:szCs w:val="15"/>
                <w:color w:val="auto"/>
              </w:rPr>
            </w:pPr>
          </w:p>
        </w:tc>
        <w:tc>
          <w:tcPr>
            <w:tcW w:w="840" w:type="dxa"/>
            <w:vAlign w:val="bottom"/>
            <w:tcBorders>
              <w:bottom w:val="single" w:sz="8" w:color="5B89B4"/>
            </w:tcBorders>
          </w:tcPr>
          <w:p>
            <w:pPr>
              <w:spacing w:after="0"/>
              <w:rPr>
                <w:sz w:val="15"/>
                <w:szCs w:val="15"/>
                <w:color w:val="auto"/>
              </w:rPr>
            </w:pPr>
          </w:p>
        </w:tc>
        <w:tc>
          <w:tcPr>
            <w:tcW w:w="20" w:type="dxa"/>
            <w:vAlign w:val="bottom"/>
            <w:tcBorders>
              <w:bottom w:val="single" w:sz="8" w:color="5B89B4"/>
            </w:tcBorders>
          </w:tcPr>
          <w:p>
            <w:pPr>
              <w:spacing w:after="0"/>
              <w:rPr>
                <w:sz w:val="15"/>
                <w:szCs w:val="15"/>
                <w:color w:val="auto"/>
              </w:rPr>
            </w:pPr>
          </w:p>
        </w:tc>
        <w:tc>
          <w:tcPr>
            <w:tcW w:w="140" w:type="dxa"/>
            <w:vAlign w:val="bottom"/>
            <w:tcBorders>
              <w:bottom w:val="single" w:sz="8" w:color="5B89B4"/>
            </w:tcBorders>
          </w:tcPr>
          <w:p>
            <w:pPr>
              <w:spacing w:after="0"/>
              <w:rPr>
                <w:sz w:val="15"/>
                <w:szCs w:val="15"/>
                <w:color w:val="auto"/>
              </w:rPr>
            </w:pPr>
          </w:p>
        </w:tc>
        <w:tc>
          <w:tcPr>
            <w:tcW w:w="260" w:type="dxa"/>
            <w:vAlign w:val="bottom"/>
            <w:tcBorders>
              <w:bottom w:val="single" w:sz="8" w:color="5B89B4"/>
            </w:tcBorders>
          </w:tcPr>
          <w:p>
            <w:pPr>
              <w:spacing w:after="0"/>
              <w:rPr>
                <w:sz w:val="15"/>
                <w:szCs w:val="15"/>
                <w:color w:val="auto"/>
              </w:rPr>
            </w:pPr>
          </w:p>
        </w:tc>
        <w:tc>
          <w:tcPr>
            <w:tcW w:w="160" w:type="dxa"/>
            <w:vAlign w:val="bottom"/>
            <w:tcBorders>
              <w:bottom w:val="single" w:sz="8" w:color="5B89B4"/>
            </w:tcBorders>
          </w:tcPr>
          <w:p>
            <w:pPr>
              <w:spacing w:after="0"/>
              <w:rPr>
                <w:sz w:val="15"/>
                <w:szCs w:val="15"/>
                <w:color w:val="auto"/>
              </w:rPr>
            </w:pPr>
          </w:p>
        </w:tc>
        <w:tc>
          <w:tcPr>
            <w:tcW w:w="920" w:type="dxa"/>
            <w:vAlign w:val="bottom"/>
            <w:tcBorders>
              <w:bottom w:val="single" w:sz="8" w:color="5B89B4"/>
            </w:tcBorders>
          </w:tcPr>
          <w:p>
            <w:pPr>
              <w:spacing w:after="0"/>
              <w:rPr>
                <w:sz w:val="15"/>
                <w:szCs w:val="15"/>
                <w:color w:val="auto"/>
              </w:rPr>
            </w:pPr>
          </w:p>
        </w:tc>
        <w:tc>
          <w:tcPr>
            <w:tcW w:w="240" w:type="dxa"/>
            <w:vAlign w:val="bottom"/>
            <w:tcBorders>
              <w:bottom w:val="single" w:sz="8" w:color="5B89B4"/>
            </w:tcBorders>
          </w:tcPr>
          <w:p>
            <w:pPr>
              <w:spacing w:after="0"/>
              <w:rPr>
                <w:sz w:val="15"/>
                <w:szCs w:val="15"/>
                <w:color w:val="auto"/>
              </w:rPr>
            </w:pPr>
          </w:p>
        </w:tc>
        <w:tc>
          <w:tcPr>
            <w:tcW w:w="980" w:type="dxa"/>
            <w:vAlign w:val="bottom"/>
            <w:tcBorders>
              <w:bottom w:val="single" w:sz="8" w:color="5B89B4"/>
            </w:tcBorders>
          </w:tcPr>
          <w:p>
            <w:pPr>
              <w:spacing w:after="0"/>
              <w:rPr>
                <w:sz w:val="15"/>
                <w:szCs w:val="15"/>
                <w:color w:val="auto"/>
              </w:rPr>
            </w:pPr>
          </w:p>
        </w:tc>
        <w:tc>
          <w:tcPr>
            <w:tcW w:w="40" w:type="dxa"/>
            <w:vAlign w:val="bottom"/>
            <w:tcBorders>
              <w:bottom w:val="single" w:sz="8" w:color="5B89B4"/>
            </w:tcBorders>
          </w:tcPr>
          <w:p>
            <w:pPr>
              <w:spacing w:after="0"/>
              <w:rPr>
                <w:sz w:val="15"/>
                <w:szCs w:val="15"/>
                <w:color w:val="auto"/>
              </w:rPr>
            </w:pPr>
          </w:p>
        </w:tc>
        <w:tc>
          <w:tcPr>
            <w:tcW w:w="240" w:type="dxa"/>
            <w:vAlign w:val="bottom"/>
            <w:tcBorders>
              <w:bottom w:val="single" w:sz="8" w:color="5B89B4"/>
            </w:tcBorders>
          </w:tcPr>
          <w:p>
            <w:pPr>
              <w:spacing w:after="0"/>
              <w:rPr>
                <w:sz w:val="15"/>
                <w:szCs w:val="15"/>
                <w:color w:val="auto"/>
              </w:rPr>
            </w:pPr>
          </w:p>
        </w:tc>
        <w:tc>
          <w:tcPr>
            <w:tcW w:w="400" w:type="dxa"/>
            <w:vAlign w:val="bottom"/>
            <w:tcBorders>
              <w:bottom w:val="single" w:sz="8" w:color="5B89B4"/>
            </w:tcBorders>
          </w:tcPr>
          <w:p>
            <w:pPr>
              <w:spacing w:after="0"/>
              <w:rPr>
                <w:sz w:val="15"/>
                <w:szCs w:val="15"/>
                <w:color w:val="auto"/>
              </w:rPr>
            </w:pPr>
          </w:p>
        </w:tc>
        <w:tc>
          <w:tcPr>
            <w:tcW w:w="200" w:type="dxa"/>
            <w:vAlign w:val="bottom"/>
            <w:tcBorders>
              <w:bottom w:val="single" w:sz="8" w:color="5B89B4"/>
            </w:tcBorders>
          </w:tcPr>
          <w:p>
            <w:pPr>
              <w:spacing w:after="0"/>
              <w:rPr>
                <w:sz w:val="15"/>
                <w:szCs w:val="15"/>
                <w:color w:val="auto"/>
              </w:rPr>
            </w:pPr>
          </w:p>
        </w:tc>
        <w:tc>
          <w:tcPr>
            <w:tcW w:w="240" w:type="dxa"/>
            <w:vAlign w:val="bottom"/>
            <w:tcBorders>
              <w:bottom w:val="single" w:sz="8" w:color="5B89B4"/>
            </w:tcBorders>
          </w:tcPr>
          <w:p>
            <w:pPr>
              <w:spacing w:after="0"/>
              <w:rPr>
                <w:sz w:val="15"/>
                <w:szCs w:val="15"/>
                <w:color w:val="auto"/>
              </w:rPr>
            </w:pPr>
          </w:p>
        </w:tc>
        <w:tc>
          <w:tcPr>
            <w:tcW w:w="320" w:type="dxa"/>
            <w:vAlign w:val="bottom"/>
            <w:tcBorders>
              <w:bottom w:val="single" w:sz="8" w:color="5B89B4"/>
            </w:tcBorders>
          </w:tcPr>
          <w:p>
            <w:pPr>
              <w:spacing w:after="0"/>
              <w:rPr>
                <w:sz w:val="15"/>
                <w:szCs w:val="15"/>
                <w:color w:val="auto"/>
              </w:rPr>
            </w:pPr>
          </w:p>
        </w:tc>
        <w:tc>
          <w:tcPr>
            <w:tcW w:w="1160" w:type="dxa"/>
            <w:vAlign w:val="bottom"/>
            <w:tcBorders>
              <w:bottom w:val="single" w:sz="8" w:color="5B89B4"/>
            </w:tcBorders>
          </w:tcPr>
          <w:p>
            <w:pPr>
              <w:spacing w:after="0"/>
              <w:rPr>
                <w:sz w:val="15"/>
                <w:szCs w:val="15"/>
                <w:color w:val="auto"/>
              </w:rPr>
            </w:pPr>
          </w:p>
        </w:tc>
        <w:tc>
          <w:tcPr>
            <w:tcW w:w="460" w:type="dxa"/>
            <w:vAlign w:val="bottom"/>
            <w:tcBorders>
              <w:bottom w:val="single" w:sz="8" w:color="5B89B4"/>
            </w:tcBorders>
          </w:tcPr>
          <w:p>
            <w:pPr>
              <w:spacing w:after="0"/>
              <w:rPr>
                <w:sz w:val="15"/>
                <w:szCs w:val="15"/>
                <w:color w:val="auto"/>
              </w:rPr>
            </w:pPr>
          </w:p>
        </w:tc>
        <w:tc>
          <w:tcPr>
            <w:tcW w:w="1080" w:type="dxa"/>
            <w:vAlign w:val="bottom"/>
            <w:tcBorders>
              <w:bottom w:val="single" w:sz="8" w:color="5B89B4"/>
            </w:tcBorders>
          </w:tcPr>
          <w:p>
            <w:pPr>
              <w:spacing w:after="0"/>
              <w:rPr>
                <w:sz w:val="15"/>
                <w:szCs w:val="15"/>
                <w:color w:val="auto"/>
              </w:rPr>
            </w:pPr>
          </w:p>
        </w:tc>
      </w:tr>
      <w:tr>
        <w:trPr>
          <w:trHeight w:val="290"/>
        </w:trPr>
        <w:tc>
          <w:tcPr>
            <w:tcW w:w="3260" w:type="dxa"/>
            <w:vAlign w:val="bottom"/>
            <w:gridSpan w:val="3"/>
          </w:tcPr>
          <w:p>
            <w:pPr>
              <w:spacing w:after="0"/>
              <w:rPr>
                <w:sz w:val="20"/>
                <w:szCs w:val="20"/>
                <w:color w:val="auto"/>
              </w:rPr>
            </w:pPr>
            <w:r>
              <w:rPr>
                <w:rFonts w:ascii="Arial" w:cs="Arial" w:eastAsia="Arial" w:hAnsi="Arial"/>
                <w:sz w:val="16"/>
                <w:szCs w:val="16"/>
                <w:color w:val="231F20"/>
              </w:rPr>
              <w:t>(a)(2) Financial Statement Schedule.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2"/>
        </w:trPr>
        <w:tc>
          <w:tcPr>
            <w:tcW w:w="3560" w:type="dxa"/>
            <w:vAlign w:val="bottom"/>
            <w:gridSpan w:val="5"/>
          </w:tcPr>
          <w:p>
            <w:pPr>
              <w:spacing w:after="0"/>
              <w:rPr>
                <w:sz w:val="20"/>
                <w:szCs w:val="20"/>
                <w:color w:val="auto"/>
              </w:rPr>
            </w:pPr>
            <w:r>
              <w:rPr>
                <w:rFonts w:ascii="Arial" w:cs="Arial" w:eastAsia="Arial" w:hAnsi="Arial"/>
                <w:sz w:val="16"/>
                <w:szCs w:val="16"/>
                <w:color w:val="231F20"/>
                <w:w w:val="98"/>
              </w:rPr>
              <w:t>SCHEDULE II—Valuation and Qualifying Accounts</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2"/>
        </w:trPr>
        <w:tc>
          <w:tcPr>
            <w:tcW w:w="4820" w:type="dxa"/>
            <w:vAlign w:val="bottom"/>
            <w:gridSpan w:val="9"/>
          </w:tcPr>
          <w:p>
            <w:pPr>
              <w:spacing w:after="0"/>
              <w:rPr>
                <w:sz w:val="20"/>
                <w:szCs w:val="20"/>
                <w:color w:val="auto"/>
              </w:rPr>
            </w:pPr>
            <w:r>
              <w:rPr>
                <w:rFonts w:ascii="Arial" w:cs="Arial" w:eastAsia="Arial" w:hAnsi="Arial"/>
                <w:sz w:val="16"/>
                <w:szCs w:val="16"/>
                <w:color w:val="231F20"/>
                <w:w w:val="98"/>
              </w:rPr>
              <w:t>For the years ended December 31, 2024, 2023 and 2022, in millions:</w:t>
            </w: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2"/>
        </w:trPr>
        <w:tc>
          <w:tcPr>
            <w:tcW w:w="3260" w:type="dxa"/>
            <w:vAlign w:val="bottom"/>
            <w:gridSpan w:val="3"/>
          </w:tcPr>
          <w:p>
            <w:pPr>
              <w:spacing w:after="0"/>
              <w:rPr>
                <w:sz w:val="20"/>
                <w:szCs w:val="20"/>
                <w:color w:val="auto"/>
              </w:rPr>
            </w:pPr>
            <w:r>
              <w:rPr>
                <w:rFonts w:ascii="Arial" w:cs="Arial" w:eastAsia="Arial" w:hAnsi="Arial"/>
                <w:sz w:val="16"/>
                <w:szCs w:val="16"/>
                <w:color w:val="231F20"/>
              </w:rPr>
              <w:t>Allowance for Expected Credit Losses: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92"/>
        </w:trPr>
        <w:tc>
          <w:tcPr>
            <w:tcW w:w="20" w:type="dxa"/>
            <w:vAlign w:val="bottom"/>
          </w:tcPr>
          <w:p>
            <w:pPr>
              <w:spacing w:after="0"/>
              <w:rPr>
                <w:sz w:val="7"/>
                <w:szCs w:val="7"/>
                <w:color w:val="auto"/>
              </w:rPr>
            </w:pPr>
          </w:p>
        </w:tc>
        <w:tc>
          <w:tcPr>
            <w:tcW w:w="380" w:type="dxa"/>
            <w:vAlign w:val="bottom"/>
            <w:tcBorders>
              <w:bottom w:val="single" w:sz="8" w:color="231F20"/>
            </w:tcBorders>
          </w:tcPr>
          <w:p>
            <w:pPr>
              <w:spacing w:after="0"/>
              <w:rPr>
                <w:sz w:val="7"/>
                <w:szCs w:val="7"/>
                <w:color w:val="auto"/>
              </w:rPr>
            </w:pPr>
          </w:p>
        </w:tc>
        <w:tc>
          <w:tcPr>
            <w:tcW w:w="2860" w:type="dxa"/>
            <w:vAlign w:val="bottom"/>
            <w:tcBorders>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100" w:type="dxa"/>
            <w:vAlign w:val="bottom"/>
            <w:tcBorders>
              <w:bottom w:val="single" w:sz="8" w:color="231F20"/>
            </w:tcBorders>
          </w:tcPr>
          <w:p>
            <w:pPr>
              <w:spacing w:after="0"/>
              <w:rPr>
                <w:sz w:val="7"/>
                <w:szCs w:val="7"/>
                <w:color w:val="auto"/>
              </w:rPr>
            </w:pPr>
          </w:p>
        </w:tc>
        <w:tc>
          <w:tcPr>
            <w:tcW w:w="840" w:type="dxa"/>
            <w:vAlign w:val="bottom"/>
            <w:tcBorders>
              <w:bottom w:val="single" w:sz="8" w:color="231F20"/>
            </w:tcBorders>
          </w:tcPr>
          <w:p>
            <w:pPr>
              <w:spacing w:after="0"/>
              <w:rPr>
                <w:sz w:val="7"/>
                <w:szCs w:val="7"/>
                <w:color w:val="auto"/>
              </w:rPr>
            </w:pPr>
          </w:p>
        </w:tc>
        <w:tc>
          <w:tcPr>
            <w:tcW w:w="20" w:type="dxa"/>
            <w:vAlign w:val="bottom"/>
            <w:tcBorders>
              <w:bottom w:val="single" w:sz="8" w:color="231F20"/>
            </w:tcBorders>
          </w:tcPr>
          <w:p>
            <w:pPr>
              <w:spacing w:after="0"/>
              <w:rPr>
                <w:sz w:val="7"/>
                <w:szCs w:val="7"/>
                <w:color w:val="auto"/>
              </w:rPr>
            </w:pPr>
          </w:p>
        </w:tc>
        <w:tc>
          <w:tcPr>
            <w:tcW w:w="140" w:type="dxa"/>
            <w:vAlign w:val="bottom"/>
            <w:tcBorders>
              <w:bottom w:val="single" w:sz="8" w:color="231F20"/>
            </w:tcBorders>
          </w:tcPr>
          <w:p>
            <w:pPr>
              <w:spacing w:after="0"/>
              <w:rPr>
                <w:sz w:val="7"/>
                <w:szCs w:val="7"/>
                <w:color w:val="auto"/>
              </w:rPr>
            </w:pPr>
          </w:p>
        </w:tc>
        <w:tc>
          <w:tcPr>
            <w:tcW w:w="26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920" w:type="dxa"/>
            <w:vAlign w:val="bottom"/>
            <w:tcBorders>
              <w:bottom w:val="single" w:sz="8" w:color="231F20"/>
            </w:tcBorders>
          </w:tcPr>
          <w:p>
            <w:pPr>
              <w:spacing w:after="0"/>
              <w:rPr>
                <w:sz w:val="7"/>
                <w:szCs w:val="7"/>
                <w:color w:val="auto"/>
              </w:rPr>
            </w:pPr>
          </w:p>
        </w:tc>
        <w:tc>
          <w:tcPr>
            <w:tcW w:w="240" w:type="dxa"/>
            <w:vAlign w:val="bottom"/>
            <w:tcBorders>
              <w:bottom w:val="single" w:sz="8" w:color="231F20"/>
            </w:tcBorders>
          </w:tcPr>
          <w:p>
            <w:pPr>
              <w:spacing w:after="0"/>
              <w:rPr>
                <w:sz w:val="7"/>
                <w:szCs w:val="7"/>
                <w:color w:val="auto"/>
              </w:rPr>
            </w:pPr>
          </w:p>
        </w:tc>
        <w:tc>
          <w:tcPr>
            <w:tcW w:w="980" w:type="dxa"/>
            <w:vAlign w:val="bottom"/>
            <w:tcBorders>
              <w:bottom w:val="single" w:sz="8" w:color="231F20"/>
            </w:tcBorders>
          </w:tcPr>
          <w:p>
            <w:pPr>
              <w:spacing w:after="0"/>
              <w:rPr>
                <w:sz w:val="7"/>
                <w:szCs w:val="7"/>
                <w:color w:val="auto"/>
              </w:rPr>
            </w:pPr>
          </w:p>
        </w:tc>
        <w:tc>
          <w:tcPr>
            <w:tcW w:w="40" w:type="dxa"/>
            <w:vAlign w:val="bottom"/>
            <w:tcBorders>
              <w:bottom w:val="single" w:sz="8" w:color="231F20"/>
            </w:tcBorders>
          </w:tcPr>
          <w:p>
            <w:pPr>
              <w:spacing w:after="0"/>
              <w:rPr>
                <w:sz w:val="7"/>
                <w:szCs w:val="7"/>
                <w:color w:val="auto"/>
              </w:rPr>
            </w:pPr>
          </w:p>
        </w:tc>
        <w:tc>
          <w:tcPr>
            <w:tcW w:w="240" w:type="dxa"/>
            <w:vAlign w:val="bottom"/>
            <w:tcBorders>
              <w:bottom w:val="single" w:sz="8" w:color="231F20"/>
            </w:tcBorders>
          </w:tcPr>
          <w:p>
            <w:pPr>
              <w:spacing w:after="0"/>
              <w:rPr>
                <w:sz w:val="7"/>
                <w:szCs w:val="7"/>
                <w:color w:val="auto"/>
              </w:rPr>
            </w:pPr>
          </w:p>
        </w:tc>
        <w:tc>
          <w:tcPr>
            <w:tcW w:w="400" w:type="dxa"/>
            <w:vAlign w:val="bottom"/>
            <w:tcBorders>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240" w:type="dxa"/>
            <w:vAlign w:val="bottom"/>
            <w:tcBorders>
              <w:bottom w:val="single" w:sz="8" w:color="231F20"/>
            </w:tcBorders>
          </w:tcPr>
          <w:p>
            <w:pPr>
              <w:spacing w:after="0"/>
              <w:rPr>
                <w:sz w:val="7"/>
                <w:szCs w:val="7"/>
                <w:color w:val="auto"/>
              </w:rPr>
            </w:pPr>
          </w:p>
        </w:tc>
        <w:tc>
          <w:tcPr>
            <w:tcW w:w="320" w:type="dxa"/>
            <w:vAlign w:val="bottom"/>
            <w:tcBorders>
              <w:bottom w:val="single" w:sz="8" w:color="231F20"/>
            </w:tcBorders>
          </w:tcPr>
          <w:p>
            <w:pPr>
              <w:spacing w:after="0"/>
              <w:rPr>
                <w:sz w:val="7"/>
                <w:szCs w:val="7"/>
                <w:color w:val="auto"/>
              </w:rPr>
            </w:pPr>
          </w:p>
        </w:tc>
        <w:tc>
          <w:tcPr>
            <w:tcW w:w="1160" w:type="dxa"/>
            <w:vAlign w:val="bottom"/>
            <w:tcBorders>
              <w:bottom w:val="single" w:sz="8" w:color="231F20"/>
            </w:tcBorders>
          </w:tcPr>
          <w:p>
            <w:pPr>
              <w:spacing w:after="0"/>
              <w:rPr>
                <w:sz w:val="7"/>
                <w:szCs w:val="7"/>
                <w:color w:val="auto"/>
              </w:rPr>
            </w:pPr>
          </w:p>
        </w:tc>
        <w:tc>
          <w:tcPr>
            <w:tcW w:w="460" w:type="dxa"/>
            <w:vAlign w:val="bottom"/>
            <w:tcBorders>
              <w:bottom w:val="single" w:sz="8" w:color="231F20"/>
            </w:tcBorders>
          </w:tcPr>
          <w:p>
            <w:pPr>
              <w:spacing w:after="0"/>
              <w:rPr>
                <w:sz w:val="7"/>
                <w:szCs w:val="7"/>
                <w:color w:val="auto"/>
              </w:rPr>
            </w:pPr>
          </w:p>
        </w:tc>
        <w:tc>
          <w:tcPr>
            <w:tcW w:w="1080" w:type="dxa"/>
            <w:vAlign w:val="bottom"/>
            <w:tcBorders>
              <w:bottom w:val="single" w:sz="8" w:color="231F20"/>
            </w:tcBorders>
          </w:tcPr>
          <w:p>
            <w:pPr>
              <w:spacing w:after="0"/>
              <w:rPr>
                <w:sz w:val="7"/>
                <w:szCs w:val="7"/>
                <w:color w:val="auto"/>
              </w:rPr>
            </w:pPr>
          </w:p>
        </w:tc>
      </w:tr>
      <w:tr>
        <w:trPr>
          <w:trHeight w:val="126"/>
        </w:trPr>
        <w:tc>
          <w:tcPr>
            <w:tcW w:w="20" w:type="dxa"/>
            <w:vAlign w:val="bottom"/>
          </w:tcPr>
          <w:p>
            <w:pPr>
              <w:spacing w:after="0"/>
              <w:rPr>
                <w:sz w:val="10"/>
                <w:szCs w:val="10"/>
                <w:color w:val="auto"/>
              </w:rPr>
            </w:pPr>
          </w:p>
        </w:tc>
        <w:tc>
          <w:tcPr>
            <w:tcW w:w="380" w:type="dxa"/>
            <w:vAlign w:val="bottom"/>
            <w:shd w:val="clear" w:color="auto" w:fill="98B0CF"/>
          </w:tcPr>
          <w:p>
            <w:pPr>
              <w:spacing w:after="0"/>
              <w:rPr>
                <w:sz w:val="10"/>
                <w:szCs w:val="10"/>
                <w:color w:val="auto"/>
              </w:rPr>
            </w:pPr>
          </w:p>
        </w:tc>
        <w:tc>
          <w:tcPr>
            <w:tcW w:w="2860" w:type="dxa"/>
            <w:vAlign w:val="bottom"/>
            <w:shd w:val="clear" w:color="auto" w:fill="98B0CF"/>
          </w:tcPr>
          <w:p>
            <w:pPr>
              <w:spacing w:after="0"/>
              <w:rPr>
                <w:sz w:val="10"/>
                <w:szCs w:val="10"/>
                <w:color w:val="auto"/>
              </w:rPr>
            </w:pPr>
          </w:p>
        </w:tc>
        <w:tc>
          <w:tcPr>
            <w:tcW w:w="200" w:type="dxa"/>
            <w:vAlign w:val="bottom"/>
            <w:shd w:val="clear" w:color="auto" w:fill="98B0CF"/>
          </w:tcPr>
          <w:p>
            <w:pPr>
              <w:spacing w:after="0"/>
              <w:rPr>
                <w:sz w:val="10"/>
                <w:szCs w:val="10"/>
                <w:color w:val="auto"/>
              </w:rPr>
            </w:pPr>
          </w:p>
        </w:tc>
        <w:tc>
          <w:tcPr>
            <w:tcW w:w="100" w:type="dxa"/>
            <w:vAlign w:val="bottom"/>
            <w:shd w:val="clear" w:color="auto" w:fill="98B0CF"/>
          </w:tcPr>
          <w:p>
            <w:pPr>
              <w:spacing w:after="0"/>
              <w:rPr>
                <w:sz w:val="10"/>
                <w:szCs w:val="10"/>
                <w:color w:val="auto"/>
              </w:rPr>
            </w:pPr>
          </w:p>
        </w:tc>
        <w:tc>
          <w:tcPr>
            <w:tcW w:w="1000" w:type="dxa"/>
            <w:vAlign w:val="bottom"/>
            <w:gridSpan w:val="3"/>
            <w:shd w:val="clear" w:color="auto" w:fill="98B0CF"/>
          </w:tcPr>
          <w:p>
            <w:pPr>
              <w:jc w:val="center"/>
              <w:ind w:right="340"/>
              <w:spacing w:after="0" w:line="126" w:lineRule="exact"/>
              <w:rPr>
                <w:sz w:val="20"/>
                <w:szCs w:val="20"/>
                <w:color w:val="auto"/>
              </w:rPr>
            </w:pPr>
            <w:r>
              <w:rPr>
                <w:rFonts w:ascii="Arial" w:cs="Arial" w:eastAsia="Arial" w:hAnsi="Arial"/>
                <w:sz w:val="13"/>
                <w:szCs w:val="13"/>
                <w:b w:val="1"/>
                <w:bCs w:val="1"/>
                <w:color w:val="231F20"/>
                <w:w w:val="95"/>
              </w:rPr>
              <w:t>Balance at</w:t>
            </w:r>
          </w:p>
        </w:tc>
        <w:tc>
          <w:tcPr>
            <w:tcW w:w="260" w:type="dxa"/>
            <w:vAlign w:val="bottom"/>
            <w:shd w:val="clear" w:color="auto" w:fill="98B0CF"/>
          </w:tcPr>
          <w:p>
            <w:pPr>
              <w:spacing w:after="0"/>
              <w:rPr>
                <w:sz w:val="10"/>
                <w:szCs w:val="10"/>
                <w:color w:val="auto"/>
              </w:rPr>
            </w:pPr>
          </w:p>
        </w:tc>
        <w:tc>
          <w:tcPr>
            <w:tcW w:w="160" w:type="dxa"/>
            <w:vAlign w:val="bottom"/>
            <w:shd w:val="clear" w:color="auto" w:fill="98B0CF"/>
          </w:tcPr>
          <w:p>
            <w:pPr>
              <w:spacing w:after="0"/>
              <w:rPr>
                <w:sz w:val="10"/>
                <w:szCs w:val="10"/>
                <w:color w:val="auto"/>
              </w:rPr>
            </w:pPr>
          </w:p>
        </w:tc>
        <w:tc>
          <w:tcPr>
            <w:tcW w:w="920" w:type="dxa"/>
            <w:vAlign w:val="bottom"/>
            <w:shd w:val="clear" w:color="auto" w:fill="98B0CF"/>
          </w:tcPr>
          <w:p>
            <w:pPr>
              <w:spacing w:after="0"/>
              <w:rPr>
                <w:sz w:val="10"/>
                <w:szCs w:val="10"/>
                <w:color w:val="auto"/>
              </w:rPr>
            </w:pPr>
          </w:p>
        </w:tc>
        <w:tc>
          <w:tcPr>
            <w:tcW w:w="240" w:type="dxa"/>
            <w:vAlign w:val="bottom"/>
            <w:shd w:val="clear" w:color="auto" w:fill="98B0CF"/>
          </w:tcPr>
          <w:p>
            <w:pPr>
              <w:spacing w:after="0"/>
              <w:rPr>
                <w:sz w:val="10"/>
                <w:szCs w:val="10"/>
                <w:color w:val="auto"/>
              </w:rPr>
            </w:pPr>
          </w:p>
        </w:tc>
        <w:tc>
          <w:tcPr>
            <w:tcW w:w="980" w:type="dxa"/>
            <w:vAlign w:val="bottom"/>
            <w:shd w:val="clear" w:color="auto" w:fill="98B0CF"/>
          </w:tcPr>
          <w:p>
            <w:pPr>
              <w:spacing w:after="0"/>
              <w:rPr>
                <w:sz w:val="10"/>
                <w:szCs w:val="10"/>
                <w:color w:val="auto"/>
              </w:rPr>
            </w:pPr>
          </w:p>
        </w:tc>
        <w:tc>
          <w:tcPr>
            <w:tcW w:w="40" w:type="dxa"/>
            <w:vAlign w:val="bottom"/>
            <w:shd w:val="clear" w:color="auto" w:fill="98B0CF"/>
          </w:tcPr>
          <w:p>
            <w:pPr>
              <w:spacing w:after="0"/>
              <w:rPr>
                <w:sz w:val="10"/>
                <w:szCs w:val="10"/>
                <w:color w:val="auto"/>
              </w:rPr>
            </w:pPr>
          </w:p>
        </w:tc>
        <w:tc>
          <w:tcPr>
            <w:tcW w:w="240" w:type="dxa"/>
            <w:vAlign w:val="bottom"/>
            <w:shd w:val="clear" w:color="auto" w:fill="98B0CF"/>
          </w:tcPr>
          <w:p>
            <w:pPr>
              <w:spacing w:after="0"/>
              <w:rPr>
                <w:sz w:val="10"/>
                <w:szCs w:val="10"/>
                <w:color w:val="auto"/>
              </w:rPr>
            </w:pPr>
          </w:p>
        </w:tc>
        <w:tc>
          <w:tcPr>
            <w:tcW w:w="400" w:type="dxa"/>
            <w:vAlign w:val="bottom"/>
            <w:shd w:val="clear" w:color="auto" w:fill="98B0CF"/>
          </w:tcPr>
          <w:p>
            <w:pPr>
              <w:spacing w:after="0"/>
              <w:rPr>
                <w:sz w:val="10"/>
                <w:szCs w:val="10"/>
                <w:color w:val="auto"/>
              </w:rPr>
            </w:pPr>
          </w:p>
        </w:tc>
        <w:tc>
          <w:tcPr>
            <w:tcW w:w="200" w:type="dxa"/>
            <w:vAlign w:val="bottom"/>
            <w:shd w:val="clear" w:color="auto" w:fill="98B0CF"/>
          </w:tcPr>
          <w:p>
            <w:pPr>
              <w:spacing w:after="0"/>
              <w:rPr>
                <w:sz w:val="10"/>
                <w:szCs w:val="10"/>
                <w:color w:val="auto"/>
              </w:rPr>
            </w:pPr>
          </w:p>
        </w:tc>
        <w:tc>
          <w:tcPr>
            <w:tcW w:w="240" w:type="dxa"/>
            <w:vAlign w:val="bottom"/>
            <w:shd w:val="clear" w:color="auto" w:fill="98B0CF"/>
          </w:tcPr>
          <w:p>
            <w:pPr>
              <w:spacing w:after="0"/>
              <w:rPr>
                <w:sz w:val="10"/>
                <w:szCs w:val="10"/>
                <w:color w:val="auto"/>
              </w:rPr>
            </w:pPr>
          </w:p>
        </w:tc>
        <w:tc>
          <w:tcPr>
            <w:tcW w:w="320" w:type="dxa"/>
            <w:vAlign w:val="bottom"/>
            <w:shd w:val="clear" w:color="auto" w:fill="98B0CF"/>
          </w:tcPr>
          <w:p>
            <w:pPr>
              <w:spacing w:after="0"/>
              <w:rPr>
                <w:sz w:val="10"/>
                <w:szCs w:val="10"/>
                <w:color w:val="auto"/>
              </w:rPr>
            </w:pPr>
          </w:p>
        </w:tc>
        <w:tc>
          <w:tcPr>
            <w:tcW w:w="1160" w:type="dxa"/>
            <w:vAlign w:val="bottom"/>
            <w:shd w:val="clear" w:color="auto" w:fill="98B0CF"/>
          </w:tcPr>
          <w:p>
            <w:pPr>
              <w:spacing w:after="0"/>
              <w:rPr>
                <w:sz w:val="10"/>
                <w:szCs w:val="10"/>
                <w:color w:val="auto"/>
              </w:rPr>
            </w:pPr>
          </w:p>
        </w:tc>
        <w:tc>
          <w:tcPr>
            <w:tcW w:w="460" w:type="dxa"/>
            <w:vAlign w:val="bottom"/>
            <w:shd w:val="clear" w:color="auto" w:fill="98B0CF"/>
          </w:tcPr>
          <w:p>
            <w:pPr>
              <w:spacing w:after="0"/>
              <w:rPr>
                <w:sz w:val="10"/>
                <w:szCs w:val="10"/>
                <w:color w:val="auto"/>
              </w:rPr>
            </w:pPr>
          </w:p>
        </w:tc>
        <w:tc>
          <w:tcPr>
            <w:tcW w:w="1080" w:type="dxa"/>
            <w:vAlign w:val="bottom"/>
            <w:shd w:val="clear" w:color="auto" w:fill="98B0CF"/>
          </w:tcPr>
          <w:p>
            <w:pPr>
              <w:jc w:val="center"/>
              <w:ind w:right="128"/>
              <w:spacing w:after="0" w:line="126" w:lineRule="exact"/>
              <w:rPr>
                <w:sz w:val="20"/>
                <w:szCs w:val="20"/>
                <w:color w:val="auto"/>
              </w:rPr>
            </w:pPr>
            <w:r>
              <w:rPr>
                <w:rFonts w:ascii="Arial" w:cs="Arial" w:eastAsia="Arial" w:hAnsi="Arial"/>
                <w:sz w:val="13"/>
                <w:szCs w:val="13"/>
                <w:b w:val="1"/>
                <w:bCs w:val="1"/>
                <w:color w:val="231F20"/>
                <w:w w:val="96"/>
              </w:rPr>
              <w:t>Balance</w:t>
            </w:r>
          </w:p>
        </w:tc>
      </w:tr>
      <w:tr>
        <w:trPr>
          <w:trHeight w:val="142"/>
        </w:trPr>
        <w:tc>
          <w:tcPr>
            <w:tcW w:w="20" w:type="dxa"/>
            <w:vAlign w:val="bottom"/>
          </w:tcPr>
          <w:p>
            <w:pPr>
              <w:spacing w:after="0"/>
              <w:rPr>
                <w:sz w:val="12"/>
                <w:szCs w:val="12"/>
                <w:color w:val="auto"/>
              </w:rPr>
            </w:pPr>
          </w:p>
        </w:tc>
        <w:tc>
          <w:tcPr>
            <w:tcW w:w="380" w:type="dxa"/>
            <w:vAlign w:val="bottom"/>
            <w:shd w:val="clear" w:color="auto" w:fill="98B0CF"/>
          </w:tcPr>
          <w:p>
            <w:pPr>
              <w:spacing w:after="0"/>
              <w:rPr>
                <w:sz w:val="12"/>
                <w:szCs w:val="12"/>
                <w:color w:val="auto"/>
              </w:rPr>
            </w:pPr>
          </w:p>
        </w:tc>
        <w:tc>
          <w:tcPr>
            <w:tcW w:w="286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000" w:type="dxa"/>
            <w:vAlign w:val="bottom"/>
            <w:gridSpan w:val="3"/>
            <w:shd w:val="clear" w:color="auto" w:fill="98B0CF"/>
          </w:tcPr>
          <w:p>
            <w:pPr>
              <w:jc w:val="center"/>
              <w:ind w:right="340"/>
              <w:spacing w:after="0" w:line="142" w:lineRule="exact"/>
              <w:rPr>
                <w:sz w:val="20"/>
                <w:szCs w:val="20"/>
                <w:color w:val="auto"/>
              </w:rPr>
            </w:pPr>
            <w:r>
              <w:rPr>
                <w:rFonts w:ascii="Arial" w:cs="Arial" w:eastAsia="Arial" w:hAnsi="Arial"/>
                <w:sz w:val="13"/>
                <w:szCs w:val="13"/>
                <w:b w:val="1"/>
                <w:bCs w:val="1"/>
                <w:color w:val="231F20"/>
                <w:w w:val="97"/>
              </w:rPr>
              <w:t>Beginning</w:t>
            </w:r>
          </w:p>
        </w:tc>
        <w:tc>
          <w:tcPr>
            <w:tcW w:w="260" w:type="dxa"/>
            <w:vAlign w:val="bottom"/>
            <w:shd w:val="clear" w:color="auto" w:fill="98B0CF"/>
          </w:tcPr>
          <w:p>
            <w:pPr>
              <w:spacing w:after="0"/>
              <w:rPr>
                <w:sz w:val="12"/>
                <w:szCs w:val="12"/>
                <w:color w:val="auto"/>
              </w:rPr>
            </w:pPr>
          </w:p>
        </w:tc>
        <w:tc>
          <w:tcPr>
            <w:tcW w:w="160" w:type="dxa"/>
            <w:vAlign w:val="bottom"/>
            <w:shd w:val="clear" w:color="auto" w:fill="98B0CF"/>
          </w:tcPr>
          <w:p>
            <w:pPr>
              <w:spacing w:after="0"/>
              <w:rPr>
                <w:sz w:val="12"/>
                <w:szCs w:val="12"/>
                <w:color w:val="auto"/>
              </w:rPr>
            </w:pPr>
          </w:p>
        </w:tc>
        <w:tc>
          <w:tcPr>
            <w:tcW w:w="92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980" w:type="dxa"/>
            <w:vAlign w:val="bottom"/>
            <w:shd w:val="clear" w:color="auto" w:fill="98B0CF"/>
          </w:tcPr>
          <w:p>
            <w:pPr>
              <w:spacing w:after="0"/>
              <w:rPr>
                <w:sz w:val="12"/>
                <w:szCs w:val="12"/>
                <w:color w:val="auto"/>
              </w:rPr>
            </w:pPr>
          </w:p>
        </w:tc>
        <w:tc>
          <w:tcPr>
            <w:tcW w:w="4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840" w:type="dxa"/>
            <w:vAlign w:val="bottom"/>
            <w:gridSpan w:val="3"/>
            <w:shd w:val="clear" w:color="auto" w:fill="98B0CF"/>
          </w:tcPr>
          <w:p>
            <w:pPr>
              <w:jc w:val="center"/>
              <w:ind w:right="120"/>
              <w:spacing w:after="0" w:line="142" w:lineRule="exact"/>
              <w:rPr>
                <w:sz w:val="20"/>
                <w:szCs w:val="20"/>
                <w:color w:val="auto"/>
              </w:rPr>
            </w:pPr>
            <w:r>
              <w:rPr>
                <w:rFonts w:ascii="Arial" w:cs="Arial" w:eastAsia="Arial" w:hAnsi="Arial"/>
                <w:sz w:val="13"/>
                <w:szCs w:val="13"/>
                <w:b w:val="1"/>
                <w:bCs w:val="1"/>
                <w:color w:val="231F20"/>
                <w:w w:val="96"/>
              </w:rPr>
              <w:t>Translation</w:t>
            </w:r>
          </w:p>
        </w:tc>
        <w:tc>
          <w:tcPr>
            <w:tcW w:w="320" w:type="dxa"/>
            <w:vAlign w:val="bottom"/>
            <w:shd w:val="clear" w:color="auto" w:fill="98B0CF"/>
          </w:tcPr>
          <w:p>
            <w:pPr>
              <w:spacing w:after="0"/>
              <w:rPr>
                <w:sz w:val="12"/>
                <w:szCs w:val="12"/>
                <w:color w:val="auto"/>
              </w:rPr>
            </w:pPr>
          </w:p>
        </w:tc>
        <w:tc>
          <w:tcPr>
            <w:tcW w:w="1160" w:type="dxa"/>
            <w:vAlign w:val="bottom"/>
            <w:shd w:val="clear" w:color="auto" w:fill="98B0CF"/>
          </w:tcPr>
          <w:p>
            <w:pPr>
              <w:jc w:val="right"/>
              <w:ind w:right="11"/>
              <w:spacing w:after="0" w:line="142" w:lineRule="exact"/>
              <w:rPr>
                <w:sz w:val="20"/>
                <w:szCs w:val="20"/>
                <w:color w:val="auto"/>
              </w:rPr>
            </w:pPr>
            <w:r>
              <w:rPr>
                <w:rFonts w:ascii="Arial" w:cs="Arial" w:eastAsia="Arial" w:hAnsi="Arial"/>
                <w:sz w:val="13"/>
                <w:szCs w:val="13"/>
                <w:b w:val="1"/>
                <w:bCs w:val="1"/>
                <w:color w:val="231F20"/>
                <w:w w:val="99"/>
              </w:rPr>
              <w:t>Reclassifications</w:t>
            </w:r>
          </w:p>
        </w:tc>
        <w:tc>
          <w:tcPr>
            <w:tcW w:w="460" w:type="dxa"/>
            <w:vAlign w:val="bottom"/>
            <w:shd w:val="clear" w:color="auto" w:fill="98B0CF"/>
          </w:tcPr>
          <w:p>
            <w:pPr>
              <w:spacing w:after="0"/>
              <w:rPr>
                <w:sz w:val="12"/>
                <w:szCs w:val="12"/>
                <w:color w:val="auto"/>
              </w:rPr>
            </w:pPr>
          </w:p>
        </w:tc>
        <w:tc>
          <w:tcPr>
            <w:tcW w:w="1080" w:type="dxa"/>
            <w:vAlign w:val="bottom"/>
            <w:shd w:val="clear" w:color="auto" w:fill="98B0CF"/>
          </w:tcPr>
          <w:p>
            <w:pPr>
              <w:jc w:val="center"/>
              <w:ind w:right="148"/>
              <w:spacing w:after="0" w:line="142" w:lineRule="exact"/>
              <w:rPr>
                <w:sz w:val="20"/>
                <w:szCs w:val="20"/>
                <w:color w:val="auto"/>
              </w:rPr>
            </w:pPr>
            <w:r>
              <w:rPr>
                <w:rFonts w:ascii="Arial" w:cs="Arial" w:eastAsia="Arial" w:hAnsi="Arial"/>
                <w:sz w:val="13"/>
                <w:szCs w:val="13"/>
                <w:b w:val="1"/>
                <w:bCs w:val="1"/>
                <w:color w:val="231F20"/>
                <w:w w:val="95"/>
              </w:rPr>
              <w:t>at End</w:t>
            </w:r>
          </w:p>
        </w:tc>
      </w:tr>
      <w:tr>
        <w:trPr>
          <w:trHeight w:val="150"/>
        </w:trPr>
        <w:tc>
          <w:tcPr>
            <w:tcW w:w="20" w:type="dxa"/>
            <w:vAlign w:val="bottom"/>
          </w:tcPr>
          <w:p>
            <w:pPr>
              <w:spacing w:after="0"/>
              <w:rPr>
                <w:sz w:val="13"/>
                <w:szCs w:val="13"/>
                <w:color w:val="auto"/>
              </w:rPr>
            </w:pPr>
          </w:p>
        </w:tc>
        <w:tc>
          <w:tcPr>
            <w:tcW w:w="380" w:type="dxa"/>
            <w:vAlign w:val="bottom"/>
            <w:shd w:val="clear" w:color="auto" w:fill="98B0CF"/>
          </w:tcPr>
          <w:p>
            <w:pPr>
              <w:spacing w:after="0"/>
              <w:rPr>
                <w:sz w:val="13"/>
                <w:szCs w:val="13"/>
                <w:color w:val="auto"/>
              </w:rPr>
            </w:pPr>
          </w:p>
        </w:tc>
        <w:tc>
          <w:tcPr>
            <w:tcW w:w="2860" w:type="dxa"/>
            <w:vAlign w:val="bottom"/>
            <w:shd w:val="clear" w:color="auto" w:fill="98B0CF"/>
          </w:tcPr>
          <w:p>
            <w:pPr>
              <w:spacing w:after="0"/>
              <w:rPr>
                <w:sz w:val="13"/>
                <w:szCs w:val="13"/>
                <w:color w:val="auto"/>
              </w:rPr>
            </w:pPr>
          </w:p>
        </w:tc>
        <w:tc>
          <w:tcPr>
            <w:tcW w:w="200" w:type="dxa"/>
            <w:vAlign w:val="bottom"/>
            <w:shd w:val="clear" w:color="auto" w:fill="98B0CF"/>
          </w:tcPr>
          <w:p>
            <w:pPr>
              <w:spacing w:after="0"/>
              <w:rPr>
                <w:sz w:val="13"/>
                <w:szCs w:val="13"/>
                <w:color w:val="auto"/>
              </w:rPr>
            </w:pPr>
          </w:p>
        </w:tc>
        <w:tc>
          <w:tcPr>
            <w:tcW w:w="100" w:type="dxa"/>
            <w:vAlign w:val="bottom"/>
            <w:shd w:val="clear" w:color="auto" w:fill="98B0CF"/>
          </w:tcPr>
          <w:p>
            <w:pPr>
              <w:spacing w:after="0"/>
              <w:rPr>
                <w:sz w:val="13"/>
                <w:szCs w:val="13"/>
                <w:color w:val="auto"/>
              </w:rPr>
            </w:pPr>
          </w:p>
        </w:tc>
        <w:tc>
          <w:tcPr>
            <w:tcW w:w="1000" w:type="dxa"/>
            <w:vAlign w:val="bottom"/>
            <w:gridSpan w:val="3"/>
            <w:shd w:val="clear" w:color="auto" w:fill="98B0CF"/>
          </w:tcPr>
          <w:p>
            <w:pPr>
              <w:jc w:val="center"/>
              <w:ind w:right="340"/>
              <w:spacing w:after="0"/>
              <w:rPr>
                <w:sz w:val="20"/>
                <w:szCs w:val="20"/>
                <w:color w:val="auto"/>
              </w:rPr>
            </w:pPr>
            <w:r>
              <w:rPr>
                <w:rFonts w:ascii="Arial" w:cs="Arial" w:eastAsia="Arial" w:hAnsi="Arial"/>
                <w:sz w:val="13"/>
                <w:szCs w:val="13"/>
                <w:b w:val="1"/>
                <w:bCs w:val="1"/>
                <w:color w:val="231F20"/>
                <w:w w:val="95"/>
              </w:rPr>
              <w:t>of Year</w:t>
            </w:r>
          </w:p>
        </w:tc>
        <w:tc>
          <w:tcPr>
            <w:tcW w:w="1340" w:type="dxa"/>
            <w:vAlign w:val="bottom"/>
            <w:gridSpan w:val="3"/>
            <w:shd w:val="clear" w:color="auto" w:fill="98B0CF"/>
          </w:tcPr>
          <w:p>
            <w:pPr>
              <w:jc w:val="right"/>
              <w:ind w:right="120"/>
              <w:spacing w:after="0"/>
              <w:rPr>
                <w:sz w:val="20"/>
                <w:szCs w:val="20"/>
                <w:color w:val="auto"/>
              </w:rPr>
            </w:pPr>
            <w:r>
              <w:rPr>
                <w:rFonts w:ascii="Arial" w:cs="Arial" w:eastAsia="Arial" w:hAnsi="Arial"/>
                <w:sz w:val="13"/>
                <w:szCs w:val="13"/>
                <w:b w:val="1"/>
                <w:bCs w:val="1"/>
                <w:color w:val="231F20"/>
              </w:rPr>
              <w:t>Bad Debt Expense</w:t>
            </w:r>
          </w:p>
        </w:tc>
        <w:tc>
          <w:tcPr>
            <w:tcW w:w="240" w:type="dxa"/>
            <w:vAlign w:val="bottom"/>
            <w:shd w:val="clear" w:color="auto" w:fill="98B0CF"/>
          </w:tcPr>
          <w:p>
            <w:pPr>
              <w:spacing w:after="0"/>
              <w:rPr>
                <w:sz w:val="13"/>
                <w:szCs w:val="13"/>
                <w:color w:val="auto"/>
              </w:rPr>
            </w:pPr>
          </w:p>
        </w:tc>
        <w:tc>
          <w:tcPr>
            <w:tcW w:w="980" w:type="dxa"/>
            <w:vAlign w:val="bottom"/>
            <w:shd w:val="clear" w:color="auto" w:fill="98B0CF"/>
          </w:tcPr>
          <w:p>
            <w:pPr>
              <w:jc w:val="center"/>
              <w:ind w:right="72"/>
              <w:spacing w:after="0"/>
              <w:rPr>
                <w:sz w:val="20"/>
                <w:szCs w:val="20"/>
                <w:color w:val="auto"/>
              </w:rPr>
            </w:pPr>
            <w:r>
              <w:rPr>
                <w:rFonts w:ascii="Arial" w:cs="Arial" w:eastAsia="Arial" w:hAnsi="Arial"/>
                <w:sz w:val="13"/>
                <w:szCs w:val="13"/>
                <w:b w:val="1"/>
                <w:bCs w:val="1"/>
                <w:color w:val="231F20"/>
                <w:w w:val="95"/>
              </w:rPr>
              <w:t>Write-Offs</w:t>
            </w:r>
          </w:p>
        </w:tc>
        <w:tc>
          <w:tcPr>
            <w:tcW w:w="40" w:type="dxa"/>
            <w:vAlign w:val="bottom"/>
            <w:shd w:val="clear" w:color="auto" w:fill="98B0CF"/>
          </w:tcPr>
          <w:p>
            <w:pPr>
              <w:spacing w:after="0"/>
              <w:rPr>
                <w:sz w:val="13"/>
                <w:szCs w:val="13"/>
                <w:color w:val="auto"/>
              </w:rPr>
            </w:pPr>
          </w:p>
        </w:tc>
        <w:tc>
          <w:tcPr>
            <w:tcW w:w="1080" w:type="dxa"/>
            <w:vAlign w:val="bottom"/>
            <w:gridSpan w:val="4"/>
            <w:shd w:val="clear" w:color="auto" w:fill="98B0CF"/>
          </w:tcPr>
          <w:p>
            <w:pPr>
              <w:jc w:val="center"/>
              <w:ind w:left="57"/>
              <w:spacing w:after="0"/>
              <w:rPr>
                <w:sz w:val="20"/>
                <w:szCs w:val="20"/>
                <w:color w:val="auto"/>
              </w:rPr>
            </w:pPr>
            <w:r>
              <w:rPr>
                <w:rFonts w:ascii="Arial" w:cs="Arial" w:eastAsia="Arial" w:hAnsi="Arial"/>
                <w:sz w:val="13"/>
                <w:szCs w:val="13"/>
                <w:b w:val="1"/>
                <w:bCs w:val="1"/>
                <w:color w:val="231F20"/>
                <w:w w:val="96"/>
              </w:rPr>
              <w:t>Adjustments</w:t>
            </w:r>
          </w:p>
        </w:tc>
        <w:tc>
          <w:tcPr>
            <w:tcW w:w="320" w:type="dxa"/>
            <w:vAlign w:val="bottom"/>
            <w:shd w:val="clear" w:color="auto" w:fill="98B0CF"/>
          </w:tcPr>
          <w:p>
            <w:pPr>
              <w:spacing w:after="0"/>
              <w:rPr>
                <w:sz w:val="13"/>
                <w:szCs w:val="13"/>
                <w:color w:val="auto"/>
              </w:rPr>
            </w:pPr>
          </w:p>
        </w:tc>
        <w:tc>
          <w:tcPr>
            <w:tcW w:w="1160" w:type="dxa"/>
            <w:vAlign w:val="bottom"/>
            <w:shd w:val="clear" w:color="auto" w:fill="98B0CF"/>
          </w:tcPr>
          <w:p>
            <w:pPr>
              <w:jc w:val="right"/>
              <w:ind w:right="231"/>
              <w:spacing w:after="0"/>
              <w:rPr>
                <w:sz w:val="20"/>
                <w:szCs w:val="20"/>
                <w:color w:val="auto"/>
              </w:rPr>
            </w:pPr>
            <w:r>
              <w:rPr>
                <w:rFonts w:ascii="Arial" w:cs="Arial" w:eastAsia="Arial" w:hAnsi="Arial"/>
                <w:sz w:val="13"/>
                <w:szCs w:val="13"/>
                <w:b w:val="1"/>
                <w:bCs w:val="1"/>
                <w:color w:val="231F20"/>
              </w:rPr>
              <w:t>and Other</w:t>
            </w:r>
          </w:p>
        </w:tc>
        <w:tc>
          <w:tcPr>
            <w:tcW w:w="460" w:type="dxa"/>
            <w:vAlign w:val="bottom"/>
            <w:shd w:val="clear" w:color="auto" w:fill="98B0CF"/>
          </w:tcPr>
          <w:p>
            <w:pPr>
              <w:spacing w:after="0"/>
              <w:rPr>
                <w:sz w:val="13"/>
                <w:szCs w:val="13"/>
                <w:color w:val="auto"/>
              </w:rPr>
            </w:pPr>
          </w:p>
        </w:tc>
        <w:tc>
          <w:tcPr>
            <w:tcW w:w="1080" w:type="dxa"/>
            <w:vAlign w:val="bottom"/>
            <w:shd w:val="clear" w:color="auto" w:fill="98B0CF"/>
          </w:tcPr>
          <w:p>
            <w:pPr>
              <w:jc w:val="center"/>
              <w:ind w:right="148"/>
              <w:spacing w:after="0"/>
              <w:rPr>
                <w:sz w:val="20"/>
                <w:szCs w:val="20"/>
                <w:color w:val="auto"/>
              </w:rPr>
            </w:pPr>
            <w:r>
              <w:rPr>
                <w:rFonts w:ascii="Arial" w:cs="Arial" w:eastAsia="Arial" w:hAnsi="Arial"/>
                <w:sz w:val="13"/>
                <w:szCs w:val="13"/>
                <w:b w:val="1"/>
                <w:bCs w:val="1"/>
                <w:color w:val="231F20"/>
                <w:w w:val="95"/>
              </w:rPr>
              <w:t>of Year</w:t>
            </w:r>
          </w:p>
        </w:tc>
      </w:tr>
      <w:tr>
        <w:trPr>
          <w:trHeight w:val="189"/>
        </w:trPr>
        <w:tc>
          <w:tcPr>
            <w:tcW w:w="20" w:type="dxa"/>
            <w:vAlign w:val="bottom"/>
          </w:tcPr>
          <w:p>
            <w:pPr>
              <w:spacing w:after="0"/>
              <w:rPr>
                <w:sz w:val="16"/>
                <w:szCs w:val="16"/>
                <w:color w:val="auto"/>
              </w:rPr>
            </w:pPr>
          </w:p>
        </w:tc>
        <w:tc>
          <w:tcPr>
            <w:tcW w:w="3240" w:type="dxa"/>
            <w:vAlign w:val="bottom"/>
            <w:gridSpan w:val="2"/>
            <w:shd w:val="clear" w:color="auto" w:fill="E2E8F1"/>
          </w:tcPr>
          <w:p>
            <w:pPr>
              <w:jc w:val="right"/>
              <w:ind w:right="1441"/>
              <w:spacing w:after="0"/>
              <w:rPr>
                <w:sz w:val="20"/>
                <w:szCs w:val="20"/>
                <w:color w:val="auto"/>
              </w:rPr>
            </w:pPr>
            <w:r>
              <w:rPr>
                <w:rFonts w:ascii="Arial" w:cs="Arial" w:eastAsia="Arial" w:hAnsi="Arial"/>
                <w:sz w:val="14"/>
                <w:szCs w:val="14"/>
                <w:color w:val="231F20"/>
              </w:rPr>
              <w:t>2024</w:t>
            </w:r>
          </w:p>
        </w:tc>
        <w:tc>
          <w:tcPr>
            <w:tcW w:w="20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w:t>
            </w:r>
          </w:p>
        </w:tc>
        <w:tc>
          <w:tcPr>
            <w:tcW w:w="100" w:type="dxa"/>
            <w:vAlign w:val="bottom"/>
            <w:shd w:val="clear" w:color="auto" w:fill="E2E8F1"/>
          </w:tcPr>
          <w:p>
            <w:pPr>
              <w:spacing w:after="0"/>
              <w:rPr>
                <w:sz w:val="16"/>
                <w:szCs w:val="16"/>
                <w:color w:val="auto"/>
              </w:rPr>
            </w:pPr>
          </w:p>
        </w:tc>
        <w:tc>
          <w:tcPr>
            <w:tcW w:w="840" w:type="dxa"/>
            <w:vAlign w:val="bottom"/>
            <w:shd w:val="clear" w:color="auto" w:fill="E2E8F1"/>
          </w:tcPr>
          <w:p>
            <w:pPr>
              <w:jc w:val="right"/>
              <w:ind w:right="272"/>
              <w:spacing w:after="0"/>
              <w:rPr>
                <w:sz w:val="20"/>
                <w:szCs w:val="20"/>
                <w:color w:val="auto"/>
              </w:rPr>
            </w:pPr>
            <w:r>
              <w:rPr>
                <w:rFonts w:ascii="Arial" w:cs="Arial" w:eastAsia="Arial" w:hAnsi="Arial"/>
                <w:sz w:val="14"/>
                <w:szCs w:val="14"/>
                <w:color w:val="231F20"/>
              </w:rPr>
              <w:t>99.2</w:t>
            </w:r>
          </w:p>
        </w:tc>
        <w:tc>
          <w:tcPr>
            <w:tcW w:w="2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260" w:type="dxa"/>
            <w:vAlign w:val="bottom"/>
            <w:shd w:val="clear" w:color="auto" w:fill="E2E8F1"/>
          </w:tcPr>
          <w:p>
            <w:pPr>
              <w:jc w:val="right"/>
              <w:ind w:right="53"/>
              <w:spacing w:after="0"/>
              <w:rPr>
                <w:sz w:val="20"/>
                <w:szCs w:val="20"/>
                <w:color w:val="auto"/>
              </w:rPr>
            </w:pPr>
            <w:r>
              <w:rPr>
                <w:rFonts w:ascii="Arial" w:cs="Arial" w:eastAsia="Arial" w:hAnsi="Arial"/>
                <w:sz w:val="14"/>
                <w:szCs w:val="14"/>
                <w:color w:val="231F20"/>
              </w:rPr>
              <w:t>$</w:t>
            </w:r>
          </w:p>
        </w:tc>
        <w:tc>
          <w:tcPr>
            <w:tcW w:w="1080" w:type="dxa"/>
            <w:vAlign w:val="bottom"/>
            <w:gridSpan w:val="2"/>
            <w:shd w:val="clear" w:color="auto" w:fill="E2E8F1"/>
          </w:tcPr>
          <w:p>
            <w:pPr>
              <w:jc w:val="right"/>
              <w:ind w:right="440"/>
              <w:spacing w:after="0"/>
              <w:rPr>
                <w:sz w:val="20"/>
                <w:szCs w:val="20"/>
                <w:color w:val="auto"/>
              </w:rPr>
            </w:pPr>
            <w:r>
              <w:rPr>
                <w:rFonts w:ascii="Arial" w:cs="Arial" w:eastAsia="Arial" w:hAnsi="Arial"/>
                <w:sz w:val="14"/>
                <w:szCs w:val="14"/>
                <w:color w:val="231F20"/>
              </w:rPr>
              <w:t>9.0</w:t>
            </w:r>
          </w:p>
        </w:tc>
        <w:tc>
          <w:tcPr>
            <w:tcW w:w="24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w:t>
            </w:r>
          </w:p>
        </w:tc>
        <w:tc>
          <w:tcPr>
            <w:tcW w:w="980" w:type="dxa"/>
            <w:vAlign w:val="bottom"/>
            <w:shd w:val="clear" w:color="auto" w:fill="E2E8F1"/>
          </w:tcPr>
          <w:p>
            <w:pPr>
              <w:jc w:val="center"/>
              <w:ind w:right="32"/>
              <w:spacing w:after="0"/>
              <w:rPr>
                <w:sz w:val="20"/>
                <w:szCs w:val="20"/>
                <w:color w:val="auto"/>
              </w:rPr>
            </w:pPr>
            <w:r>
              <w:rPr>
                <w:rFonts w:ascii="Arial" w:cs="Arial" w:eastAsia="Arial" w:hAnsi="Arial"/>
                <w:sz w:val="14"/>
                <w:szCs w:val="14"/>
                <w:color w:val="231F20"/>
                <w:w w:val="98"/>
              </w:rPr>
              <w:t>(35.6 )</w:t>
            </w:r>
          </w:p>
        </w:tc>
        <w:tc>
          <w:tcPr>
            <w:tcW w:w="28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231F20"/>
              </w:rPr>
              <w:t>$</w:t>
            </w:r>
          </w:p>
        </w:tc>
        <w:tc>
          <w:tcPr>
            <w:tcW w:w="60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231F20"/>
              </w:rPr>
              <w:t>(5.0 )</w:t>
            </w:r>
          </w:p>
        </w:tc>
        <w:tc>
          <w:tcPr>
            <w:tcW w:w="240" w:type="dxa"/>
            <w:vAlign w:val="bottom"/>
            <w:shd w:val="clear" w:color="auto" w:fill="E2E8F1"/>
          </w:tcPr>
          <w:p>
            <w:pPr>
              <w:spacing w:after="0"/>
              <w:rPr>
                <w:sz w:val="16"/>
                <w:szCs w:val="16"/>
                <w:color w:val="auto"/>
              </w:rPr>
            </w:pPr>
          </w:p>
        </w:tc>
        <w:tc>
          <w:tcPr>
            <w:tcW w:w="320" w:type="dxa"/>
            <w:vAlign w:val="bottom"/>
            <w:shd w:val="clear" w:color="auto" w:fill="E2E8F1"/>
          </w:tcPr>
          <w:p>
            <w:pPr>
              <w:jc w:val="right"/>
              <w:spacing w:after="0"/>
              <w:rPr>
                <w:sz w:val="20"/>
                <w:szCs w:val="20"/>
                <w:color w:val="auto"/>
              </w:rPr>
            </w:pPr>
            <w:r>
              <w:rPr>
                <w:rFonts w:ascii="Arial" w:cs="Arial" w:eastAsia="Arial" w:hAnsi="Arial"/>
                <w:sz w:val="14"/>
                <w:szCs w:val="14"/>
                <w:color w:val="231F20"/>
              </w:rPr>
              <w:t>$</w:t>
            </w:r>
          </w:p>
        </w:tc>
        <w:tc>
          <w:tcPr>
            <w:tcW w:w="1160" w:type="dxa"/>
            <w:vAlign w:val="bottom"/>
            <w:shd w:val="clear" w:color="auto" w:fill="E2E8F1"/>
          </w:tcPr>
          <w:p>
            <w:pPr>
              <w:jc w:val="right"/>
              <w:ind w:right="451"/>
              <w:spacing w:after="0"/>
              <w:rPr>
                <w:sz w:val="20"/>
                <w:szCs w:val="20"/>
                <w:color w:val="auto"/>
              </w:rPr>
            </w:pPr>
            <w:r>
              <w:rPr>
                <w:rFonts w:ascii="Arial" w:cs="Arial" w:eastAsia="Arial" w:hAnsi="Arial"/>
                <w:sz w:val="14"/>
                <w:szCs w:val="14"/>
                <w:color w:val="231F20"/>
              </w:rPr>
              <w:t>—</w:t>
            </w:r>
          </w:p>
        </w:tc>
        <w:tc>
          <w:tcPr>
            <w:tcW w:w="46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231F20"/>
              </w:rPr>
              <w:t>$</w:t>
            </w:r>
          </w:p>
        </w:tc>
        <w:tc>
          <w:tcPr>
            <w:tcW w:w="1080" w:type="dxa"/>
            <w:vAlign w:val="bottom"/>
            <w:shd w:val="clear" w:color="auto" w:fill="E2E8F1"/>
          </w:tcPr>
          <w:p>
            <w:pPr>
              <w:ind w:left="360"/>
              <w:spacing w:after="0"/>
              <w:rPr>
                <w:sz w:val="20"/>
                <w:szCs w:val="20"/>
                <w:color w:val="auto"/>
              </w:rPr>
            </w:pPr>
            <w:r>
              <w:rPr>
                <w:rFonts w:ascii="Arial" w:cs="Arial" w:eastAsia="Arial" w:hAnsi="Arial"/>
                <w:sz w:val="14"/>
                <w:szCs w:val="14"/>
                <w:color w:val="231F20"/>
              </w:rPr>
              <w:t>67.6</w:t>
            </w:r>
          </w:p>
        </w:tc>
      </w:tr>
      <w:tr>
        <w:trPr>
          <w:trHeight w:val="186"/>
        </w:trPr>
        <w:tc>
          <w:tcPr>
            <w:tcW w:w="20" w:type="dxa"/>
            <w:vAlign w:val="bottom"/>
          </w:tcPr>
          <w:p>
            <w:pPr>
              <w:spacing w:after="0"/>
              <w:rPr>
                <w:sz w:val="16"/>
                <w:szCs w:val="16"/>
                <w:color w:val="auto"/>
              </w:rPr>
            </w:pPr>
          </w:p>
        </w:tc>
        <w:tc>
          <w:tcPr>
            <w:tcW w:w="3240" w:type="dxa"/>
            <w:vAlign w:val="bottom"/>
            <w:gridSpan w:val="2"/>
          </w:tcPr>
          <w:p>
            <w:pPr>
              <w:jc w:val="right"/>
              <w:ind w:right="1441"/>
              <w:spacing w:after="0"/>
              <w:rPr>
                <w:sz w:val="20"/>
                <w:szCs w:val="20"/>
                <w:color w:val="auto"/>
              </w:rPr>
            </w:pPr>
            <w:r>
              <w:rPr>
                <w:rFonts w:ascii="Arial" w:cs="Arial" w:eastAsia="Arial" w:hAnsi="Arial"/>
                <w:sz w:val="14"/>
                <w:szCs w:val="14"/>
                <w:color w:val="231F20"/>
              </w:rPr>
              <w:t>2023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color w:val="231F20"/>
              </w:rPr>
              <w:t>109.3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231F20"/>
              </w:rPr>
              <w:t>5.4</w:t>
            </w:r>
          </w:p>
        </w:tc>
        <w:tc>
          <w:tcPr>
            <w:tcW w:w="240" w:type="dxa"/>
            <w:vAlign w:val="bottom"/>
          </w:tcPr>
          <w:p>
            <w:pPr>
              <w:spacing w:after="0"/>
              <w:rPr>
                <w:sz w:val="16"/>
                <w:szCs w:val="16"/>
                <w:color w:val="auto"/>
              </w:rPr>
            </w:pPr>
          </w:p>
        </w:tc>
        <w:tc>
          <w:tcPr>
            <w:tcW w:w="980" w:type="dxa"/>
            <w:vAlign w:val="bottom"/>
          </w:tcPr>
          <w:p>
            <w:pPr>
              <w:jc w:val="center"/>
              <w:ind w:right="32"/>
              <w:spacing w:after="0"/>
              <w:rPr>
                <w:sz w:val="20"/>
                <w:szCs w:val="20"/>
                <w:color w:val="auto"/>
              </w:rPr>
            </w:pPr>
            <w:r>
              <w:rPr>
                <w:rFonts w:ascii="Arial" w:cs="Arial" w:eastAsia="Arial" w:hAnsi="Arial"/>
                <w:sz w:val="14"/>
                <w:szCs w:val="14"/>
                <w:color w:val="231F20"/>
                <w:w w:val="98"/>
              </w:rPr>
              <w:t>(18.2 )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231F20"/>
              </w:rPr>
              <w:t>2.7</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51"/>
              <w:spacing w:after="0"/>
              <w:rPr>
                <w:sz w:val="20"/>
                <w:szCs w:val="20"/>
                <w:color w:val="auto"/>
              </w:rPr>
            </w:pPr>
            <w:r>
              <w:rPr>
                <w:rFonts w:ascii="Arial" w:cs="Arial" w:eastAsia="Arial" w:hAnsi="Arial"/>
                <w:sz w:val="14"/>
                <w:szCs w:val="14"/>
                <w:color w:val="231F20"/>
              </w:rPr>
              <w:t>—</w:t>
            </w:r>
          </w:p>
        </w:tc>
        <w:tc>
          <w:tcPr>
            <w:tcW w:w="460" w:type="dxa"/>
            <w:vAlign w:val="bottom"/>
          </w:tcPr>
          <w:p>
            <w:pPr>
              <w:spacing w:after="0"/>
              <w:rPr>
                <w:sz w:val="16"/>
                <w:szCs w:val="16"/>
                <w:color w:val="auto"/>
              </w:rPr>
            </w:pPr>
          </w:p>
        </w:tc>
        <w:tc>
          <w:tcPr>
            <w:tcW w:w="1080" w:type="dxa"/>
            <w:vAlign w:val="bottom"/>
          </w:tcPr>
          <w:p>
            <w:pPr>
              <w:ind w:left="360"/>
              <w:spacing w:after="0"/>
              <w:rPr>
                <w:sz w:val="20"/>
                <w:szCs w:val="20"/>
                <w:color w:val="auto"/>
              </w:rPr>
            </w:pPr>
            <w:r>
              <w:rPr>
                <w:rFonts w:ascii="Arial" w:cs="Arial" w:eastAsia="Arial" w:hAnsi="Arial"/>
                <w:sz w:val="14"/>
                <w:szCs w:val="14"/>
                <w:color w:val="231F20"/>
              </w:rPr>
              <w:t>99.2</w:t>
            </w:r>
          </w:p>
        </w:tc>
      </w:tr>
      <w:tr>
        <w:trPr>
          <w:trHeight w:val="191"/>
        </w:trPr>
        <w:tc>
          <w:tcPr>
            <w:tcW w:w="20" w:type="dxa"/>
            <w:vAlign w:val="bottom"/>
          </w:tcPr>
          <w:p>
            <w:pPr>
              <w:spacing w:after="0"/>
              <w:rPr>
                <w:sz w:val="16"/>
                <w:szCs w:val="16"/>
                <w:color w:val="auto"/>
              </w:rPr>
            </w:pPr>
          </w:p>
        </w:tc>
        <w:tc>
          <w:tcPr>
            <w:tcW w:w="3240" w:type="dxa"/>
            <w:vAlign w:val="bottom"/>
            <w:tcBorders>
              <w:bottom w:val="single" w:sz="8" w:color="231F20"/>
            </w:tcBorders>
            <w:gridSpan w:val="2"/>
            <w:shd w:val="clear" w:color="auto" w:fill="E2E8F1"/>
          </w:tcPr>
          <w:p>
            <w:pPr>
              <w:jc w:val="right"/>
              <w:ind w:right="1441"/>
              <w:spacing w:after="0"/>
              <w:rPr>
                <w:sz w:val="20"/>
                <w:szCs w:val="20"/>
                <w:color w:val="auto"/>
              </w:rPr>
            </w:pPr>
            <w:r>
              <w:rPr>
                <w:rFonts w:ascii="Arial" w:cs="Arial" w:eastAsia="Arial" w:hAnsi="Arial"/>
                <w:sz w:val="14"/>
                <w:szCs w:val="14"/>
                <w:color w:val="231F20"/>
              </w:rPr>
              <w:t>2022</w:t>
            </w:r>
          </w:p>
        </w:tc>
        <w:tc>
          <w:tcPr>
            <w:tcW w:w="200" w:type="dxa"/>
            <w:vAlign w:val="bottom"/>
            <w:tcBorders>
              <w:bottom w:val="single" w:sz="8" w:color="231F20"/>
            </w:tcBorders>
            <w:shd w:val="clear" w:color="auto" w:fill="E2E8F1"/>
          </w:tcPr>
          <w:p>
            <w:pPr>
              <w:spacing w:after="0"/>
              <w:rPr>
                <w:sz w:val="16"/>
                <w:szCs w:val="16"/>
                <w:color w:val="auto"/>
              </w:rPr>
            </w:pPr>
          </w:p>
        </w:tc>
        <w:tc>
          <w:tcPr>
            <w:tcW w:w="100" w:type="dxa"/>
            <w:vAlign w:val="bottom"/>
            <w:tcBorders>
              <w:bottom w:val="single" w:sz="8" w:color="231F20"/>
            </w:tcBorders>
            <w:shd w:val="clear" w:color="auto" w:fill="E2E8F1"/>
          </w:tcPr>
          <w:p>
            <w:pPr>
              <w:spacing w:after="0"/>
              <w:rPr>
                <w:sz w:val="16"/>
                <w:szCs w:val="16"/>
                <w:color w:val="auto"/>
              </w:rPr>
            </w:pPr>
          </w:p>
        </w:tc>
        <w:tc>
          <w:tcPr>
            <w:tcW w:w="840" w:type="dxa"/>
            <w:vAlign w:val="bottom"/>
            <w:tcBorders>
              <w:bottom w:val="single" w:sz="8" w:color="231F20"/>
            </w:tcBorders>
            <w:shd w:val="clear" w:color="auto" w:fill="E2E8F1"/>
          </w:tcPr>
          <w:p>
            <w:pPr>
              <w:jc w:val="right"/>
              <w:ind w:right="272"/>
              <w:spacing w:after="0"/>
              <w:rPr>
                <w:sz w:val="20"/>
                <w:szCs w:val="20"/>
                <w:color w:val="auto"/>
              </w:rPr>
            </w:pPr>
            <w:r>
              <w:rPr>
                <w:rFonts w:ascii="Arial" w:cs="Arial" w:eastAsia="Arial" w:hAnsi="Arial"/>
                <w:sz w:val="14"/>
                <w:szCs w:val="14"/>
                <w:color w:val="231F20"/>
              </w:rPr>
              <w:t>121.6</w:t>
            </w:r>
          </w:p>
        </w:tc>
        <w:tc>
          <w:tcPr>
            <w:tcW w:w="20" w:type="dxa"/>
            <w:vAlign w:val="bottom"/>
            <w:tcBorders>
              <w:bottom w:val="single" w:sz="8" w:color="231F20"/>
            </w:tcBorders>
            <w:shd w:val="clear" w:color="auto" w:fill="E2E8F1"/>
          </w:tcPr>
          <w:p>
            <w:pPr>
              <w:spacing w:after="0"/>
              <w:rPr>
                <w:sz w:val="16"/>
                <w:szCs w:val="16"/>
                <w:color w:val="auto"/>
              </w:rPr>
            </w:pPr>
          </w:p>
        </w:tc>
        <w:tc>
          <w:tcPr>
            <w:tcW w:w="140" w:type="dxa"/>
            <w:vAlign w:val="bottom"/>
            <w:tcBorders>
              <w:bottom w:val="single" w:sz="8" w:color="231F20"/>
            </w:tcBorders>
            <w:shd w:val="clear" w:color="auto" w:fill="E2E8F1"/>
          </w:tcPr>
          <w:p>
            <w:pPr>
              <w:spacing w:after="0"/>
              <w:rPr>
                <w:sz w:val="16"/>
                <w:szCs w:val="16"/>
                <w:color w:val="auto"/>
              </w:rPr>
            </w:pPr>
          </w:p>
        </w:tc>
        <w:tc>
          <w:tcPr>
            <w:tcW w:w="260" w:type="dxa"/>
            <w:vAlign w:val="bottom"/>
            <w:tcBorders>
              <w:bottom w:val="single" w:sz="8" w:color="231F20"/>
            </w:tcBorders>
            <w:shd w:val="clear" w:color="auto" w:fill="E2E8F1"/>
          </w:tcPr>
          <w:p>
            <w:pPr>
              <w:spacing w:after="0"/>
              <w:rPr>
                <w:sz w:val="16"/>
                <w:szCs w:val="16"/>
                <w:color w:val="auto"/>
              </w:rPr>
            </w:pPr>
          </w:p>
        </w:tc>
        <w:tc>
          <w:tcPr>
            <w:tcW w:w="1080" w:type="dxa"/>
            <w:vAlign w:val="bottom"/>
            <w:tcBorders>
              <w:bottom w:val="single" w:sz="8" w:color="231F20"/>
            </w:tcBorders>
            <w:gridSpan w:val="2"/>
            <w:shd w:val="clear" w:color="auto" w:fill="E2E8F1"/>
          </w:tcPr>
          <w:p>
            <w:pPr>
              <w:jc w:val="right"/>
              <w:ind w:right="440"/>
              <w:spacing w:after="0"/>
              <w:rPr>
                <w:sz w:val="20"/>
                <w:szCs w:val="20"/>
                <w:color w:val="auto"/>
              </w:rPr>
            </w:pPr>
            <w:r>
              <w:rPr>
                <w:rFonts w:ascii="Arial" w:cs="Arial" w:eastAsia="Arial" w:hAnsi="Arial"/>
                <w:sz w:val="14"/>
                <w:szCs w:val="14"/>
                <w:color w:val="231F20"/>
              </w:rPr>
              <w:t>6.2</w:t>
            </w:r>
          </w:p>
        </w:tc>
        <w:tc>
          <w:tcPr>
            <w:tcW w:w="240" w:type="dxa"/>
            <w:vAlign w:val="bottom"/>
            <w:tcBorders>
              <w:bottom w:val="single" w:sz="8" w:color="231F20"/>
            </w:tcBorders>
            <w:shd w:val="clear" w:color="auto" w:fill="E2E8F1"/>
          </w:tcPr>
          <w:p>
            <w:pPr>
              <w:spacing w:after="0"/>
              <w:rPr>
                <w:sz w:val="16"/>
                <w:szCs w:val="16"/>
                <w:color w:val="auto"/>
              </w:rPr>
            </w:pPr>
          </w:p>
        </w:tc>
        <w:tc>
          <w:tcPr>
            <w:tcW w:w="980" w:type="dxa"/>
            <w:vAlign w:val="bottom"/>
            <w:tcBorders>
              <w:bottom w:val="single" w:sz="8" w:color="231F20"/>
            </w:tcBorders>
            <w:shd w:val="clear" w:color="auto" w:fill="E2E8F1"/>
          </w:tcPr>
          <w:p>
            <w:pPr>
              <w:jc w:val="center"/>
              <w:ind w:right="32"/>
              <w:spacing w:after="0"/>
              <w:rPr>
                <w:sz w:val="20"/>
                <w:szCs w:val="20"/>
                <w:color w:val="auto"/>
              </w:rPr>
            </w:pPr>
            <w:r>
              <w:rPr>
                <w:rFonts w:ascii="Arial" w:cs="Arial" w:eastAsia="Arial" w:hAnsi="Arial"/>
                <w:sz w:val="14"/>
                <w:szCs w:val="14"/>
                <w:color w:val="231F20"/>
                <w:w w:val="98"/>
              </w:rPr>
              <w:t>(12.4 )</w:t>
            </w:r>
          </w:p>
        </w:tc>
        <w:tc>
          <w:tcPr>
            <w:tcW w:w="40" w:type="dxa"/>
            <w:vAlign w:val="bottom"/>
            <w:tcBorders>
              <w:bottom w:val="single" w:sz="8" w:color="231F20"/>
            </w:tcBorders>
            <w:shd w:val="clear" w:color="auto" w:fill="E2E8F1"/>
          </w:tcPr>
          <w:p>
            <w:pPr>
              <w:spacing w:after="0"/>
              <w:rPr>
                <w:sz w:val="16"/>
                <w:szCs w:val="16"/>
                <w:color w:val="auto"/>
              </w:rPr>
            </w:pPr>
          </w:p>
        </w:tc>
        <w:tc>
          <w:tcPr>
            <w:tcW w:w="240" w:type="dxa"/>
            <w:vAlign w:val="bottom"/>
            <w:tcBorders>
              <w:bottom w:val="single" w:sz="8" w:color="231F20"/>
            </w:tcBorders>
            <w:shd w:val="clear" w:color="auto" w:fill="E2E8F1"/>
          </w:tcPr>
          <w:p>
            <w:pPr>
              <w:spacing w:after="0"/>
              <w:rPr>
                <w:sz w:val="16"/>
                <w:szCs w:val="16"/>
                <w:color w:val="auto"/>
              </w:rPr>
            </w:pPr>
          </w:p>
        </w:tc>
        <w:tc>
          <w:tcPr>
            <w:tcW w:w="600" w:type="dxa"/>
            <w:vAlign w:val="bottom"/>
            <w:tcBorders>
              <w:bottom w:val="single" w:sz="8" w:color="231F20"/>
            </w:tcBorders>
            <w:gridSpan w:val="2"/>
            <w:shd w:val="clear" w:color="auto" w:fill="E2E8F1"/>
          </w:tcPr>
          <w:p>
            <w:pPr>
              <w:jc w:val="right"/>
              <w:ind w:right="40"/>
              <w:spacing w:after="0"/>
              <w:rPr>
                <w:sz w:val="20"/>
                <w:szCs w:val="20"/>
                <w:color w:val="auto"/>
              </w:rPr>
            </w:pPr>
            <w:r>
              <w:rPr>
                <w:rFonts w:ascii="Arial" w:cs="Arial" w:eastAsia="Arial" w:hAnsi="Arial"/>
                <w:sz w:val="14"/>
                <w:szCs w:val="14"/>
                <w:color w:val="231F20"/>
              </w:rPr>
              <w:t>(5.8 )</w:t>
            </w:r>
          </w:p>
        </w:tc>
        <w:tc>
          <w:tcPr>
            <w:tcW w:w="240" w:type="dxa"/>
            <w:vAlign w:val="bottom"/>
            <w:tcBorders>
              <w:bottom w:val="single" w:sz="8" w:color="231F20"/>
            </w:tcBorders>
            <w:shd w:val="clear" w:color="auto" w:fill="E2E8F1"/>
          </w:tcPr>
          <w:p>
            <w:pPr>
              <w:spacing w:after="0"/>
              <w:rPr>
                <w:sz w:val="16"/>
                <w:szCs w:val="16"/>
                <w:color w:val="auto"/>
              </w:rPr>
            </w:pPr>
          </w:p>
        </w:tc>
        <w:tc>
          <w:tcPr>
            <w:tcW w:w="320" w:type="dxa"/>
            <w:vAlign w:val="bottom"/>
            <w:tcBorders>
              <w:bottom w:val="single" w:sz="8" w:color="231F20"/>
            </w:tcBorders>
            <w:shd w:val="clear" w:color="auto" w:fill="E2E8F1"/>
          </w:tcPr>
          <w:p>
            <w:pPr>
              <w:spacing w:after="0"/>
              <w:rPr>
                <w:sz w:val="16"/>
                <w:szCs w:val="16"/>
                <w:color w:val="auto"/>
              </w:rPr>
            </w:pPr>
          </w:p>
        </w:tc>
        <w:tc>
          <w:tcPr>
            <w:tcW w:w="1160" w:type="dxa"/>
            <w:vAlign w:val="bottom"/>
            <w:tcBorders>
              <w:bottom w:val="single" w:sz="8" w:color="231F20"/>
            </w:tcBorders>
            <w:shd w:val="clear" w:color="auto" w:fill="E2E8F1"/>
          </w:tcPr>
          <w:p>
            <w:pPr>
              <w:jc w:val="right"/>
              <w:ind w:right="371"/>
              <w:spacing w:after="0"/>
              <w:rPr>
                <w:sz w:val="20"/>
                <w:szCs w:val="20"/>
                <w:color w:val="auto"/>
              </w:rPr>
            </w:pPr>
            <w:r>
              <w:rPr>
                <w:rFonts w:ascii="Arial" w:cs="Arial" w:eastAsia="Arial" w:hAnsi="Arial"/>
                <w:sz w:val="14"/>
                <w:szCs w:val="14"/>
                <w:color w:val="231F20"/>
              </w:rPr>
              <w:t>(0.3 )</w:t>
            </w:r>
          </w:p>
        </w:tc>
        <w:tc>
          <w:tcPr>
            <w:tcW w:w="460" w:type="dxa"/>
            <w:vAlign w:val="bottom"/>
            <w:tcBorders>
              <w:bottom w:val="single" w:sz="8" w:color="231F20"/>
            </w:tcBorders>
            <w:shd w:val="clear" w:color="auto" w:fill="E2E8F1"/>
          </w:tcPr>
          <w:p>
            <w:pPr>
              <w:spacing w:after="0"/>
              <w:rPr>
                <w:sz w:val="16"/>
                <w:szCs w:val="16"/>
                <w:color w:val="auto"/>
              </w:rPr>
            </w:pPr>
          </w:p>
        </w:tc>
        <w:tc>
          <w:tcPr>
            <w:tcW w:w="1080" w:type="dxa"/>
            <w:vAlign w:val="bottom"/>
            <w:tcBorders>
              <w:bottom w:val="single" w:sz="8" w:color="231F20"/>
            </w:tcBorders>
            <w:shd w:val="clear" w:color="auto" w:fill="E2E8F1"/>
          </w:tcPr>
          <w:p>
            <w:pPr>
              <w:jc w:val="center"/>
              <w:ind w:right="88"/>
              <w:spacing w:after="0"/>
              <w:rPr>
                <w:sz w:val="20"/>
                <w:szCs w:val="20"/>
                <w:color w:val="auto"/>
              </w:rPr>
            </w:pPr>
            <w:r>
              <w:rPr>
                <w:rFonts w:ascii="Arial" w:cs="Arial" w:eastAsia="Arial" w:hAnsi="Arial"/>
                <w:sz w:val="14"/>
                <w:szCs w:val="14"/>
                <w:color w:val="231F20"/>
              </w:rPr>
              <w:t>109.3</w:t>
            </w:r>
          </w:p>
        </w:tc>
      </w:tr>
      <w:tr>
        <w:trPr>
          <w:trHeight w:val="280"/>
        </w:trPr>
        <w:tc>
          <w:tcPr>
            <w:tcW w:w="3260" w:type="dxa"/>
            <w:vAlign w:val="bottom"/>
            <w:gridSpan w:val="3"/>
          </w:tcPr>
          <w:p>
            <w:pPr>
              <w:spacing w:after="0"/>
              <w:rPr>
                <w:sz w:val="20"/>
                <w:szCs w:val="20"/>
                <w:color w:val="auto"/>
              </w:rPr>
            </w:pPr>
            <w:r>
              <w:rPr>
                <w:rFonts w:ascii="Arial" w:cs="Arial" w:eastAsia="Arial" w:hAnsi="Arial"/>
                <w:sz w:val="16"/>
                <w:szCs w:val="16"/>
                <w:color w:val="231F20"/>
              </w:rPr>
              <w:t>Valuation Allowance for Deferred Tax Assets: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92"/>
        </w:trPr>
        <w:tc>
          <w:tcPr>
            <w:tcW w:w="20" w:type="dxa"/>
            <w:vAlign w:val="bottom"/>
          </w:tcPr>
          <w:p>
            <w:pPr>
              <w:spacing w:after="0"/>
              <w:rPr>
                <w:sz w:val="7"/>
                <w:szCs w:val="7"/>
                <w:color w:val="auto"/>
              </w:rPr>
            </w:pPr>
          </w:p>
        </w:tc>
        <w:tc>
          <w:tcPr>
            <w:tcW w:w="380" w:type="dxa"/>
            <w:vAlign w:val="bottom"/>
            <w:tcBorders>
              <w:bottom w:val="single" w:sz="8" w:color="231F20"/>
            </w:tcBorders>
          </w:tcPr>
          <w:p>
            <w:pPr>
              <w:spacing w:after="0"/>
              <w:rPr>
                <w:sz w:val="7"/>
                <w:szCs w:val="7"/>
                <w:color w:val="auto"/>
              </w:rPr>
            </w:pPr>
          </w:p>
        </w:tc>
        <w:tc>
          <w:tcPr>
            <w:tcW w:w="2860" w:type="dxa"/>
            <w:vAlign w:val="bottom"/>
            <w:tcBorders>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100" w:type="dxa"/>
            <w:vAlign w:val="bottom"/>
            <w:tcBorders>
              <w:bottom w:val="single" w:sz="8" w:color="231F20"/>
            </w:tcBorders>
          </w:tcPr>
          <w:p>
            <w:pPr>
              <w:spacing w:after="0"/>
              <w:rPr>
                <w:sz w:val="7"/>
                <w:szCs w:val="7"/>
                <w:color w:val="auto"/>
              </w:rPr>
            </w:pPr>
          </w:p>
        </w:tc>
        <w:tc>
          <w:tcPr>
            <w:tcW w:w="840" w:type="dxa"/>
            <w:vAlign w:val="bottom"/>
            <w:tcBorders>
              <w:bottom w:val="single" w:sz="8" w:color="231F20"/>
            </w:tcBorders>
          </w:tcPr>
          <w:p>
            <w:pPr>
              <w:spacing w:after="0"/>
              <w:rPr>
                <w:sz w:val="7"/>
                <w:szCs w:val="7"/>
                <w:color w:val="auto"/>
              </w:rPr>
            </w:pPr>
          </w:p>
        </w:tc>
        <w:tc>
          <w:tcPr>
            <w:tcW w:w="20" w:type="dxa"/>
            <w:vAlign w:val="bottom"/>
            <w:tcBorders>
              <w:bottom w:val="single" w:sz="8" w:color="231F20"/>
            </w:tcBorders>
          </w:tcPr>
          <w:p>
            <w:pPr>
              <w:spacing w:after="0"/>
              <w:rPr>
                <w:sz w:val="7"/>
                <w:szCs w:val="7"/>
                <w:color w:val="auto"/>
              </w:rPr>
            </w:pPr>
          </w:p>
        </w:tc>
        <w:tc>
          <w:tcPr>
            <w:tcW w:w="140" w:type="dxa"/>
            <w:vAlign w:val="bottom"/>
            <w:tcBorders>
              <w:bottom w:val="single" w:sz="8" w:color="231F20"/>
            </w:tcBorders>
          </w:tcPr>
          <w:p>
            <w:pPr>
              <w:spacing w:after="0"/>
              <w:rPr>
                <w:sz w:val="7"/>
                <w:szCs w:val="7"/>
                <w:color w:val="auto"/>
              </w:rPr>
            </w:pPr>
          </w:p>
        </w:tc>
        <w:tc>
          <w:tcPr>
            <w:tcW w:w="26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920" w:type="dxa"/>
            <w:vAlign w:val="bottom"/>
            <w:tcBorders>
              <w:bottom w:val="single" w:sz="8" w:color="231F20"/>
            </w:tcBorders>
          </w:tcPr>
          <w:p>
            <w:pPr>
              <w:spacing w:after="0"/>
              <w:rPr>
                <w:sz w:val="7"/>
                <w:szCs w:val="7"/>
                <w:color w:val="auto"/>
              </w:rPr>
            </w:pPr>
          </w:p>
        </w:tc>
        <w:tc>
          <w:tcPr>
            <w:tcW w:w="240" w:type="dxa"/>
            <w:vAlign w:val="bottom"/>
            <w:tcBorders>
              <w:bottom w:val="single" w:sz="8" w:color="231F20"/>
            </w:tcBorders>
          </w:tcPr>
          <w:p>
            <w:pPr>
              <w:spacing w:after="0"/>
              <w:rPr>
                <w:sz w:val="7"/>
                <w:szCs w:val="7"/>
                <w:color w:val="auto"/>
              </w:rPr>
            </w:pPr>
          </w:p>
        </w:tc>
        <w:tc>
          <w:tcPr>
            <w:tcW w:w="980" w:type="dxa"/>
            <w:vAlign w:val="bottom"/>
            <w:tcBorders>
              <w:bottom w:val="single" w:sz="8" w:color="231F20"/>
            </w:tcBorders>
          </w:tcPr>
          <w:p>
            <w:pPr>
              <w:spacing w:after="0"/>
              <w:rPr>
                <w:sz w:val="7"/>
                <w:szCs w:val="7"/>
                <w:color w:val="auto"/>
              </w:rPr>
            </w:pPr>
          </w:p>
        </w:tc>
        <w:tc>
          <w:tcPr>
            <w:tcW w:w="40" w:type="dxa"/>
            <w:vAlign w:val="bottom"/>
            <w:tcBorders>
              <w:bottom w:val="single" w:sz="8" w:color="231F20"/>
            </w:tcBorders>
          </w:tcPr>
          <w:p>
            <w:pPr>
              <w:spacing w:after="0"/>
              <w:rPr>
                <w:sz w:val="7"/>
                <w:szCs w:val="7"/>
                <w:color w:val="auto"/>
              </w:rPr>
            </w:pPr>
          </w:p>
        </w:tc>
        <w:tc>
          <w:tcPr>
            <w:tcW w:w="240" w:type="dxa"/>
            <w:vAlign w:val="bottom"/>
            <w:tcBorders>
              <w:bottom w:val="single" w:sz="8" w:color="231F20"/>
            </w:tcBorders>
          </w:tcPr>
          <w:p>
            <w:pPr>
              <w:spacing w:after="0"/>
              <w:rPr>
                <w:sz w:val="7"/>
                <w:szCs w:val="7"/>
                <w:color w:val="auto"/>
              </w:rPr>
            </w:pPr>
          </w:p>
        </w:tc>
        <w:tc>
          <w:tcPr>
            <w:tcW w:w="400" w:type="dxa"/>
            <w:vAlign w:val="bottom"/>
            <w:tcBorders>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240" w:type="dxa"/>
            <w:vAlign w:val="bottom"/>
            <w:tcBorders>
              <w:bottom w:val="single" w:sz="8" w:color="231F20"/>
            </w:tcBorders>
          </w:tcPr>
          <w:p>
            <w:pPr>
              <w:spacing w:after="0"/>
              <w:rPr>
                <w:sz w:val="7"/>
                <w:szCs w:val="7"/>
                <w:color w:val="auto"/>
              </w:rPr>
            </w:pPr>
          </w:p>
        </w:tc>
        <w:tc>
          <w:tcPr>
            <w:tcW w:w="320" w:type="dxa"/>
            <w:vAlign w:val="bottom"/>
            <w:tcBorders>
              <w:bottom w:val="single" w:sz="8" w:color="231F20"/>
            </w:tcBorders>
          </w:tcPr>
          <w:p>
            <w:pPr>
              <w:spacing w:after="0"/>
              <w:rPr>
                <w:sz w:val="7"/>
                <w:szCs w:val="7"/>
                <w:color w:val="auto"/>
              </w:rPr>
            </w:pPr>
          </w:p>
        </w:tc>
        <w:tc>
          <w:tcPr>
            <w:tcW w:w="1160" w:type="dxa"/>
            <w:vAlign w:val="bottom"/>
            <w:tcBorders>
              <w:bottom w:val="single" w:sz="8" w:color="231F20"/>
            </w:tcBorders>
          </w:tcPr>
          <w:p>
            <w:pPr>
              <w:spacing w:after="0"/>
              <w:rPr>
                <w:sz w:val="7"/>
                <w:szCs w:val="7"/>
                <w:color w:val="auto"/>
              </w:rPr>
            </w:pPr>
          </w:p>
        </w:tc>
        <w:tc>
          <w:tcPr>
            <w:tcW w:w="460" w:type="dxa"/>
            <w:vAlign w:val="bottom"/>
            <w:tcBorders>
              <w:bottom w:val="single" w:sz="8" w:color="231F20"/>
            </w:tcBorders>
          </w:tcPr>
          <w:p>
            <w:pPr>
              <w:spacing w:after="0"/>
              <w:rPr>
                <w:sz w:val="7"/>
                <w:szCs w:val="7"/>
                <w:color w:val="auto"/>
              </w:rPr>
            </w:pPr>
          </w:p>
        </w:tc>
        <w:tc>
          <w:tcPr>
            <w:tcW w:w="1080" w:type="dxa"/>
            <w:vAlign w:val="bottom"/>
            <w:tcBorders>
              <w:bottom w:val="single" w:sz="8" w:color="231F20"/>
            </w:tcBorders>
          </w:tcPr>
          <w:p>
            <w:pPr>
              <w:spacing w:after="0"/>
              <w:rPr>
                <w:sz w:val="7"/>
                <w:szCs w:val="7"/>
                <w:color w:val="auto"/>
              </w:rPr>
            </w:pPr>
          </w:p>
        </w:tc>
      </w:tr>
      <w:tr>
        <w:trPr>
          <w:trHeight w:val="126"/>
        </w:trPr>
        <w:tc>
          <w:tcPr>
            <w:tcW w:w="20" w:type="dxa"/>
            <w:vAlign w:val="bottom"/>
          </w:tcPr>
          <w:p>
            <w:pPr>
              <w:spacing w:after="0"/>
              <w:rPr>
                <w:sz w:val="10"/>
                <w:szCs w:val="10"/>
                <w:color w:val="auto"/>
              </w:rPr>
            </w:pPr>
          </w:p>
        </w:tc>
        <w:tc>
          <w:tcPr>
            <w:tcW w:w="380" w:type="dxa"/>
            <w:vAlign w:val="bottom"/>
            <w:shd w:val="clear" w:color="auto" w:fill="98B0CF"/>
          </w:tcPr>
          <w:p>
            <w:pPr>
              <w:spacing w:after="0"/>
              <w:rPr>
                <w:sz w:val="10"/>
                <w:szCs w:val="10"/>
                <w:color w:val="auto"/>
              </w:rPr>
            </w:pPr>
          </w:p>
        </w:tc>
        <w:tc>
          <w:tcPr>
            <w:tcW w:w="2860" w:type="dxa"/>
            <w:vAlign w:val="bottom"/>
            <w:shd w:val="clear" w:color="auto" w:fill="98B0CF"/>
          </w:tcPr>
          <w:p>
            <w:pPr>
              <w:spacing w:after="0"/>
              <w:rPr>
                <w:sz w:val="10"/>
                <w:szCs w:val="10"/>
                <w:color w:val="auto"/>
              </w:rPr>
            </w:pPr>
          </w:p>
        </w:tc>
        <w:tc>
          <w:tcPr>
            <w:tcW w:w="200" w:type="dxa"/>
            <w:vAlign w:val="bottom"/>
            <w:shd w:val="clear" w:color="auto" w:fill="98B0CF"/>
          </w:tcPr>
          <w:p>
            <w:pPr>
              <w:spacing w:after="0"/>
              <w:rPr>
                <w:sz w:val="10"/>
                <w:szCs w:val="10"/>
                <w:color w:val="auto"/>
              </w:rPr>
            </w:pPr>
          </w:p>
        </w:tc>
        <w:tc>
          <w:tcPr>
            <w:tcW w:w="100" w:type="dxa"/>
            <w:vAlign w:val="bottom"/>
            <w:shd w:val="clear" w:color="auto" w:fill="98B0CF"/>
          </w:tcPr>
          <w:p>
            <w:pPr>
              <w:spacing w:after="0"/>
              <w:rPr>
                <w:sz w:val="10"/>
                <w:szCs w:val="10"/>
                <w:color w:val="auto"/>
              </w:rPr>
            </w:pPr>
          </w:p>
        </w:tc>
        <w:tc>
          <w:tcPr>
            <w:tcW w:w="840" w:type="dxa"/>
            <w:vAlign w:val="bottom"/>
            <w:shd w:val="clear" w:color="auto" w:fill="98B0CF"/>
          </w:tcPr>
          <w:p>
            <w:pPr>
              <w:spacing w:after="0"/>
              <w:rPr>
                <w:sz w:val="10"/>
                <w:szCs w:val="10"/>
                <w:color w:val="auto"/>
              </w:rPr>
            </w:pPr>
          </w:p>
        </w:tc>
        <w:tc>
          <w:tcPr>
            <w:tcW w:w="20" w:type="dxa"/>
            <w:vAlign w:val="bottom"/>
            <w:shd w:val="clear" w:color="auto" w:fill="98B0CF"/>
          </w:tcPr>
          <w:p>
            <w:pPr>
              <w:spacing w:after="0"/>
              <w:rPr>
                <w:sz w:val="10"/>
                <w:szCs w:val="10"/>
                <w:color w:val="auto"/>
              </w:rPr>
            </w:pPr>
          </w:p>
        </w:tc>
        <w:tc>
          <w:tcPr>
            <w:tcW w:w="140" w:type="dxa"/>
            <w:vAlign w:val="bottom"/>
            <w:shd w:val="clear" w:color="auto" w:fill="98B0CF"/>
          </w:tcPr>
          <w:p>
            <w:pPr>
              <w:spacing w:after="0"/>
              <w:rPr>
                <w:sz w:val="10"/>
                <w:szCs w:val="10"/>
                <w:color w:val="auto"/>
              </w:rPr>
            </w:pPr>
          </w:p>
        </w:tc>
        <w:tc>
          <w:tcPr>
            <w:tcW w:w="260" w:type="dxa"/>
            <w:vAlign w:val="bottom"/>
            <w:shd w:val="clear" w:color="auto" w:fill="98B0CF"/>
          </w:tcPr>
          <w:p>
            <w:pPr>
              <w:spacing w:after="0"/>
              <w:rPr>
                <w:sz w:val="10"/>
                <w:szCs w:val="10"/>
                <w:color w:val="auto"/>
              </w:rPr>
            </w:pPr>
          </w:p>
        </w:tc>
        <w:tc>
          <w:tcPr>
            <w:tcW w:w="1080" w:type="dxa"/>
            <w:vAlign w:val="bottom"/>
            <w:gridSpan w:val="2"/>
            <w:shd w:val="clear" w:color="auto" w:fill="98B0CF"/>
          </w:tcPr>
          <w:p>
            <w:pPr>
              <w:jc w:val="center"/>
              <w:ind w:right="380"/>
              <w:spacing w:after="0" w:line="126" w:lineRule="exact"/>
              <w:rPr>
                <w:sz w:val="20"/>
                <w:szCs w:val="20"/>
                <w:color w:val="auto"/>
              </w:rPr>
            </w:pPr>
            <w:r>
              <w:rPr>
                <w:rFonts w:ascii="Arial" w:cs="Arial" w:eastAsia="Arial" w:hAnsi="Arial"/>
                <w:sz w:val="13"/>
                <w:szCs w:val="13"/>
                <w:b w:val="1"/>
                <w:bCs w:val="1"/>
                <w:color w:val="231F20"/>
                <w:w w:val="95"/>
              </w:rPr>
              <w:t>Balance at</w:t>
            </w:r>
          </w:p>
        </w:tc>
        <w:tc>
          <w:tcPr>
            <w:tcW w:w="240" w:type="dxa"/>
            <w:vAlign w:val="bottom"/>
            <w:shd w:val="clear" w:color="auto" w:fill="98B0CF"/>
          </w:tcPr>
          <w:p>
            <w:pPr>
              <w:spacing w:after="0"/>
              <w:rPr>
                <w:sz w:val="10"/>
                <w:szCs w:val="10"/>
                <w:color w:val="auto"/>
              </w:rPr>
            </w:pPr>
          </w:p>
        </w:tc>
        <w:tc>
          <w:tcPr>
            <w:tcW w:w="980" w:type="dxa"/>
            <w:vAlign w:val="bottom"/>
            <w:shd w:val="clear" w:color="auto" w:fill="98B0CF"/>
          </w:tcPr>
          <w:p>
            <w:pPr>
              <w:spacing w:after="0"/>
              <w:rPr>
                <w:sz w:val="10"/>
                <w:szCs w:val="10"/>
                <w:color w:val="auto"/>
              </w:rPr>
            </w:pPr>
          </w:p>
        </w:tc>
        <w:tc>
          <w:tcPr>
            <w:tcW w:w="40" w:type="dxa"/>
            <w:vAlign w:val="bottom"/>
            <w:shd w:val="clear" w:color="auto" w:fill="98B0CF"/>
          </w:tcPr>
          <w:p>
            <w:pPr>
              <w:spacing w:after="0"/>
              <w:rPr>
                <w:sz w:val="10"/>
                <w:szCs w:val="10"/>
                <w:color w:val="auto"/>
              </w:rPr>
            </w:pPr>
          </w:p>
        </w:tc>
        <w:tc>
          <w:tcPr>
            <w:tcW w:w="240" w:type="dxa"/>
            <w:vAlign w:val="bottom"/>
            <w:shd w:val="clear" w:color="auto" w:fill="98B0CF"/>
          </w:tcPr>
          <w:p>
            <w:pPr>
              <w:spacing w:after="0"/>
              <w:rPr>
                <w:sz w:val="10"/>
                <w:szCs w:val="10"/>
                <w:color w:val="auto"/>
              </w:rPr>
            </w:pPr>
          </w:p>
        </w:tc>
        <w:tc>
          <w:tcPr>
            <w:tcW w:w="400" w:type="dxa"/>
            <w:vAlign w:val="bottom"/>
            <w:shd w:val="clear" w:color="auto" w:fill="98B0CF"/>
          </w:tcPr>
          <w:p>
            <w:pPr>
              <w:spacing w:after="0"/>
              <w:rPr>
                <w:sz w:val="10"/>
                <w:szCs w:val="10"/>
                <w:color w:val="auto"/>
              </w:rPr>
            </w:pPr>
          </w:p>
        </w:tc>
        <w:tc>
          <w:tcPr>
            <w:tcW w:w="200" w:type="dxa"/>
            <w:vAlign w:val="bottom"/>
            <w:shd w:val="clear" w:color="auto" w:fill="98B0CF"/>
          </w:tcPr>
          <w:p>
            <w:pPr>
              <w:spacing w:after="0"/>
              <w:rPr>
                <w:sz w:val="10"/>
                <w:szCs w:val="10"/>
                <w:color w:val="auto"/>
              </w:rPr>
            </w:pPr>
          </w:p>
        </w:tc>
        <w:tc>
          <w:tcPr>
            <w:tcW w:w="240" w:type="dxa"/>
            <w:vAlign w:val="bottom"/>
            <w:shd w:val="clear" w:color="auto" w:fill="98B0CF"/>
          </w:tcPr>
          <w:p>
            <w:pPr>
              <w:spacing w:after="0"/>
              <w:rPr>
                <w:sz w:val="10"/>
                <w:szCs w:val="10"/>
                <w:color w:val="auto"/>
              </w:rPr>
            </w:pPr>
          </w:p>
        </w:tc>
        <w:tc>
          <w:tcPr>
            <w:tcW w:w="320" w:type="dxa"/>
            <w:vAlign w:val="bottom"/>
            <w:shd w:val="clear" w:color="auto" w:fill="98B0CF"/>
          </w:tcPr>
          <w:p>
            <w:pPr>
              <w:spacing w:after="0"/>
              <w:rPr>
                <w:sz w:val="10"/>
                <w:szCs w:val="10"/>
                <w:color w:val="auto"/>
              </w:rPr>
            </w:pPr>
          </w:p>
        </w:tc>
        <w:tc>
          <w:tcPr>
            <w:tcW w:w="1160" w:type="dxa"/>
            <w:vAlign w:val="bottom"/>
            <w:shd w:val="clear" w:color="auto" w:fill="98B0CF"/>
          </w:tcPr>
          <w:p>
            <w:pPr>
              <w:spacing w:after="0"/>
              <w:rPr>
                <w:sz w:val="10"/>
                <w:szCs w:val="10"/>
                <w:color w:val="auto"/>
              </w:rPr>
            </w:pPr>
          </w:p>
        </w:tc>
        <w:tc>
          <w:tcPr>
            <w:tcW w:w="460" w:type="dxa"/>
            <w:vAlign w:val="bottom"/>
            <w:shd w:val="clear" w:color="auto" w:fill="98B0CF"/>
          </w:tcPr>
          <w:p>
            <w:pPr>
              <w:spacing w:after="0"/>
              <w:rPr>
                <w:sz w:val="10"/>
                <w:szCs w:val="10"/>
                <w:color w:val="auto"/>
              </w:rPr>
            </w:pPr>
          </w:p>
        </w:tc>
        <w:tc>
          <w:tcPr>
            <w:tcW w:w="1080" w:type="dxa"/>
            <w:vAlign w:val="bottom"/>
            <w:shd w:val="clear" w:color="auto" w:fill="98B0CF"/>
          </w:tcPr>
          <w:p>
            <w:pPr>
              <w:ind w:left="100"/>
              <w:spacing w:after="0" w:line="126" w:lineRule="exact"/>
              <w:rPr>
                <w:sz w:val="20"/>
                <w:szCs w:val="20"/>
                <w:color w:val="auto"/>
              </w:rPr>
            </w:pPr>
            <w:r>
              <w:rPr>
                <w:rFonts w:ascii="Arial" w:cs="Arial" w:eastAsia="Arial" w:hAnsi="Arial"/>
                <w:sz w:val="13"/>
                <w:szCs w:val="13"/>
                <w:b w:val="1"/>
                <w:bCs w:val="1"/>
                <w:color w:val="231F20"/>
              </w:rPr>
              <w:t>Balance</w:t>
            </w:r>
          </w:p>
        </w:tc>
      </w:tr>
      <w:tr>
        <w:trPr>
          <w:trHeight w:val="126"/>
        </w:trPr>
        <w:tc>
          <w:tcPr>
            <w:tcW w:w="20" w:type="dxa"/>
            <w:vAlign w:val="bottom"/>
          </w:tcPr>
          <w:p>
            <w:pPr>
              <w:spacing w:after="0"/>
              <w:rPr>
                <w:sz w:val="10"/>
                <w:szCs w:val="10"/>
                <w:color w:val="auto"/>
              </w:rPr>
            </w:pPr>
          </w:p>
        </w:tc>
        <w:tc>
          <w:tcPr>
            <w:tcW w:w="380" w:type="dxa"/>
            <w:vAlign w:val="bottom"/>
            <w:shd w:val="clear" w:color="auto" w:fill="98B0CF"/>
          </w:tcPr>
          <w:p>
            <w:pPr>
              <w:spacing w:after="0"/>
              <w:rPr>
                <w:sz w:val="10"/>
                <w:szCs w:val="10"/>
                <w:color w:val="auto"/>
              </w:rPr>
            </w:pPr>
          </w:p>
        </w:tc>
        <w:tc>
          <w:tcPr>
            <w:tcW w:w="2860" w:type="dxa"/>
            <w:vAlign w:val="bottom"/>
            <w:shd w:val="clear" w:color="auto" w:fill="98B0CF"/>
          </w:tcPr>
          <w:p>
            <w:pPr>
              <w:spacing w:after="0"/>
              <w:rPr>
                <w:sz w:val="10"/>
                <w:szCs w:val="10"/>
                <w:color w:val="auto"/>
              </w:rPr>
            </w:pPr>
          </w:p>
        </w:tc>
        <w:tc>
          <w:tcPr>
            <w:tcW w:w="200" w:type="dxa"/>
            <w:vAlign w:val="bottom"/>
            <w:shd w:val="clear" w:color="auto" w:fill="98B0CF"/>
          </w:tcPr>
          <w:p>
            <w:pPr>
              <w:spacing w:after="0"/>
              <w:rPr>
                <w:sz w:val="10"/>
                <w:szCs w:val="10"/>
                <w:color w:val="auto"/>
              </w:rPr>
            </w:pPr>
          </w:p>
        </w:tc>
        <w:tc>
          <w:tcPr>
            <w:tcW w:w="100" w:type="dxa"/>
            <w:vAlign w:val="bottom"/>
            <w:shd w:val="clear" w:color="auto" w:fill="98B0CF"/>
          </w:tcPr>
          <w:p>
            <w:pPr>
              <w:spacing w:after="0"/>
              <w:rPr>
                <w:sz w:val="10"/>
                <w:szCs w:val="10"/>
                <w:color w:val="auto"/>
              </w:rPr>
            </w:pPr>
          </w:p>
        </w:tc>
        <w:tc>
          <w:tcPr>
            <w:tcW w:w="840" w:type="dxa"/>
            <w:vAlign w:val="bottom"/>
            <w:shd w:val="clear" w:color="auto" w:fill="98B0CF"/>
          </w:tcPr>
          <w:p>
            <w:pPr>
              <w:spacing w:after="0"/>
              <w:rPr>
                <w:sz w:val="10"/>
                <w:szCs w:val="10"/>
                <w:color w:val="auto"/>
              </w:rPr>
            </w:pPr>
          </w:p>
        </w:tc>
        <w:tc>
          <w:tcPr>
            <w:tcW w:w="20" w:type="dxa"/>
            <w:vAlign w:val="bottom"/>
            <w:shd w:val="clear" w:color="auto" w:fill="98B0CF"/>
          </w:tcPr>
          <w:p>
            <w:pPr>
              <w:spacing w:after="0"/>
              <w:rPr>
                <w:sz w:val="10"/>
                <w:szCs w:val="10"/>
                <w:color w:val="auto"/>
              </w:rPr>
            </w:pPr>
          </w:p>
        </w:tc>
        <w:tc>
          <w:tcPr>
            <w:tcW w:w="140" w:type="dxa"/>
            <w:vAlign w:val="bottom"/>
            <w:shd w:val="clear" w:color="auto" w:fill="98B0CF"/>
          </w:tcPr>
          <w:p>
            <w:pPr>
              <w:spacing w:after="0"/>
              <w:rPr>
                <w:sz w:val="10"/>
                <w:szCs w:val="10"/>
                <w:color w:val="auto"/>
              </w:rPr>
            </w:pPr>
          </w:p>
        </w:tc>
        <w:tc>
          <w:tcPr>
            <w:tcW w:w="260" w:type="dxa"/>
            <w:vAlign w:val="bottom"/>
            <w:shd w:val="clear" w:color="auto" w:fill="98B0CF"/>
          </w:tcPr>
          <w:p>
            <w:pPr>
              <w:spacing w:after="0"/>
              <w:rPr>
                <w:sz w:val="10"/>
                <w:szCs w:val="10"/>
                <w:color w:val="auto"/>
              </w:rPr>
            </w:pPr>
          </w:p>
        </w:tc>
        <w:tc>
          <w:tcPr>
            <w:tcW w:w="1080" w:type="dxa"/>
            <w:vAlign w:val="bottom"/>
            <w:gridSpan w:val="2"/>
            <w:shd w:val="clear" w:color="auto" w:fill="98B0CF"/>
          </w:tcPr>
          <w:p>
            <w:pPr>
              <w:jc w:val="center"/>
              <w:ind w:right="380"/>
              <w:spacing w:after="0" w:line="126" w:lineRule="exact"/>
              <w:rPr>
                <w:sz w:val="20"/>
                <w:szCs w:val="20"/>
                <w:color w:val="auto"/>
              </w:rPr>
            </w:pPr>
            <w:r>
              <w:rPr>
                <w:rFonts w:ascii="Arial" w:cs="Arial" w:eastAsia="Arial" w:hAnsi="Arial"/>
                <w:sz w:val="13"/>
                <w:szCs w:val="13"/>
                <w:b w:val="1"/>
                <w:bCs w:val="1"/>
                <w:color w:val="231F20"/>
                <w:w w:val="97"/>
              </w:rPr>
              <w:t>Beginning</w:t>
            </w:r>
          </w:p>
        </w:tc>
        <w:tc>
          <w:tcPr>
            <w:tcW w:w="240" w:type="dxa"/>
            <w:vAlign w:val="bottom"/>
            <w:shd w:val="clear" w:color="auto" w:fill="98B0CF"/>
          </w:tcPr>
          <w:p>
            <w:pPr>
              <w:spacing w:after="0"/>
              <w:rPr>
                <w:sz w:val="10"/>
                <w:szCs w:val="10"/>
                <w:color w:val="auto"/>
              </w:rPr>
            </w:pPr>
          </w:p>
        </w:tc>
        <w:tc>
          <w:tcPr>
            <w:tcW w:w="2100" w:type="dxa"/>
            <w:vAlign w:val="bottom"/>
            <w:gridSpan w:val="6"/>
            <w:shd w:val="clear" w:color="auto" w:fill="98B0CF"/>
          </w:tcPr>
          <w:p>
            <w:pPr>
              <w:jc w:val="center"/>
              <w:ind w:right="380"/>
              <w:spacing w:after="0" w:line="126" w:lineRule="exact"/>
              <w:rPr>
                <w:sz w:val="20"/>
                <w:szCs w:val="20"/>
                <w:color w:val="auto"/>
              </w:rPr>
            </w:pPr>
            <w:r>
              <w:rPr>
                <w:rFonts w:ascii="Arial" w:cs="Arial" w:eastAsia="Arial" w:hAnsi="Arial"/>
                <w:sz w:val="13"/>
                <w:szCs w:val="13"/>
                <w:b w:val="1"/>
                <w:bCs w:val="1"/>
                <w:color w:val="231F20"/>
                <w:w w:val="97"/>
              </w:rPr>
              <w:t>Charged to Income Tax</w:t>
            </w:r>
          </w:p>
        </w:tc>
        <w:tc>
          <w:tcPr>
            <w:tcW w:w="1480" w:type="dxa"/>
            <w:vAlign w:val="bottom"/>
            <w:gridSpan w:val="2"/>
            <w:shd w:val="clear" w:color="auto" w:fill="98B0CF"/>
          </w:tcPr>
          <w:p>
            <w:pPr>
              <w:jc w:val="right"/>
              <w:ind w:right="311"/>
              <w:spacing w:after="0" w:line="126" w:lineRule="exact"/>
              <w:rPr>
                <w:sz w:val="20"/>
                <w:szCs w:val="20"/>
                <w:color w:val="auto"/>
              </w:rPr>
            </w:pPr>
            <w:r>
              <w:rPr>
                <w:rFonts w:ascii="Arial" w:cs="Arial" w:eastAsia="Arial" w:hAnsi="Arial"/>
                <w:sz w:val="13"/>
                <w:szCs w:val="13"/>
                <w:b w:val="1"/>
                <w:bCs w:val="1"/>
                <w:color w:val="231F20"/>
              </w:rPr>
              <w:t>Charged to Other</w:t>
            </w:r>
          </w:p>
        </w:tc>
        <w:tc>
          <w:tcPr>
            <w:tcW w:w="460" w:type="dxa"/>
            <w:vAlign w:val="bottom"/>
            <w:shd w:val="clear" w:color="auto" w:fill="98B0CF"/>
          </w:tcPr>
          <w:p>
            <w:pPr>
              <w:spacing w:after="0"/>
              <w:rPr>
                <w:sz w:val="10"/>
                <w:szCs w:val="10"/>
                <w:color w:val="auto"/>
              </w:rPr>
            </w:pPr>
          </w:p>
        </w:tc>
        <w:tc>
          <w:tcPr>
            <w:tcW w:w="1080" w:type="dxa"/>
            <w:vAlign w:val="bottom"/>
            <w:shd w:val="clear" w:color="auto" w:fill="98B0CF"/>
          </w:tcPr>
          <w:p>
            <w:pPr>
              <w:ind w:left="140"/>
              <w:spacing w:after="0" w:line="126" w:lineRule="exact"/>
              <w:rPr>
                <w:sz w:val="20"/>
                <w:szCs w:val="20"/>
                <w:color w:val="auto"/>
              </w:rPr>
            </w:pPr>
            <w:r>
              <w:rPr>
                <w:rFonts w:ascii="Arial" w:cs="Arial" w:eastAsia="Arial" w:hAnsi="Arial"/>
                <w:sz w:val="13"/>
                <w:szCs w:val="13"/>
                <w:b w:val="1"/>
                <w:bCs w:val="1"/>
                <w:color w:val="231F20"/>
              </w:rPr>
              <w:t>at End</w:t>
            </w:r>
          </w:p>
        </w:tc>
      </w:tr>
      <w:tr>
        <w:trPr>
          <w:trHeight w:val="166"/>
        </w:trPr>
        <w:tc>
          <w:tcPr>
            <w:tcW w:w="20" w:type="dxa"/>
            <w:vAlign w:val="bottom"/>
          </w:tcPr>
          <w:p>
            <w:pPr>
              <w:spacing w:after="0"/>
              <w:rPr>
                <w:sz w:val="14"/>
                <w:szCs w:val="14"/>
                <w:color w:val="auto"/>
              </w:rPr>
            </w:pPr>
          </w:p>
        </w:tc>
        <w:tc>
          <w:tcPr>
            <w:tcW w:w="380" w:type="dxa"/>
            <w:vAlign w:val="bottom"/>
            <w:tcBorders>
              <w:bottom w:val="single" w:sz="8" w:color="auto"/>
            </w:tcBorders>
            <w:shd w:val="clear" w:color="auto" w:fill="98B0CF"/>
          </w:tcPr>
          <w:p>
            <w:pPr>
              <w:spacing w:after="0"/>
              <w:rPr>
                <w:sz w:val="14"/>
                <w:szCs w:val="14"/>
                <w:color w:val="auto"/>
              </w:rPr>
            </w:pPr>
          </w:p>
        </w:tc>
        <w:tc>
          <w:tcPr>
            <w:tcW w:w="2860" w:type="dxa"/>
            <w:vAlign w:val="bottom"/>
            <w:tcBorders>
              <w:bottom w:val="single" w:sz="8" w:color="auto"/>
            </w:tcBorders>
            <w:shd w:val="clear" w:color="auto" w:fill="98B0CF"/>
          </w:tcPr>
          <w:p>
            <w:pPr>
              <w:spacing w:after="0"/>
              <w:rPr>
                <w:sz w:val="14"/>
                <w:szCs w:val="14"/>
                <w:color w:val="auto"/>
              </w:rPr>
            </w:pPr>
          </w:p>
        </w:tc>
        <w:tc>
          <w:tcPr>
            <w:tcW w:w="20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840" w:type="dxa"/>
            <w:vAlign w:val="bottom"/>
            <w:tcBorders>
              <w:bottom w:val="single" w:sz="8" w:color="auto"/>
            </w:tcBorders>
            <w:shd w:val="clear" w:color="auto" w:fill="98B0CF"/>
          </w:tcPr>
          <w:p>
            <w:pPr>
              <w:spacing w:after="0"/>
              <w:rPr>
                <w:sz w:val="14"/>
                <w:szCs w:val="14"/>
                <w:color w:val="auto"/>
              </w:rPr>
            </w:pPr>
          </w:p>
        </w:tc>
        <w:tc>
          <w:tcPr>
            <w:tcW w:w="20" w:type="dxa"/>
            <w:vAlign w:val="bottom"/>
            <w:tcBorders>
              <w:bottom w:val="single" w:sz="8" w:color="auto"/>
            </w:tcBorders>
            <w:shd w:val="clear" w:color="auto" w:fill="98B0CF"/>
          </w:tcPr>
          <w:p>
            <w:pPr>
              <w:spacing w:after="0"/>
              <w:rPr>
                <w:sz w:val="14"/>
                <w:szCs w:val="14"/>
                <w:color w:val="auto"/>
              </w:rPr>
            </w:pPr>
          </w:p>
        </w:tc>
        <w:tc>
          <w:tcPr>
            <w:tcW w:w="140" w:type="dxa"/>
            <w:vAlign w:val="bottom"/>
            <w:tcBorders>
              <w:bottom w:val="single" w:sz="8" w:color="auto"/>
            </w:tcBorders>
            <w:shd w:val="clear" w:color="auto" w:fill="98B0CF"/>
          </w:tcPr>
          <w:p>
            <w:pPr>
              <w:spacing w:after="0"/>
              <w:rPr>
                <w:sz w:val="14"/>
                <w:szCs w:val="14"/>
                <w:color w:val="auto"/>
              </w:rPr>
            </w:pPr>
          </w:p>
        </w:tc>
        <w:tc>
          <w:tcPr>
            <w:tcW w:w="260" w:type="dxa"/>
            <w:vAlign w:val="bottom"/>
            <w:tcBorders>
              <w:bottom w:val="single" w:sz="8" w:color="auto"/>
            </w:tcBorders>
            <w:shd w:val="clear" w:color="auto" w:fill="98B0CF"/>
          </w:tcPr>
          <w:p>
            <w:pPr>
              <w:spacing w:after="0"/>
              <w:rPr>
                <w:sz w:val="14"/>
                <w:szCs w:val="14"/>
                <w:color w:val="auto"/>
              </w:rPr>
            </w:pPr>
          </w:p>
        </w:tc>
        <w:tc>
          <w:tcPr>
            <w:tcW w:w="1080" w:type="dxa"/>
            <w:vAlign w:val="bottom"/>
            <w:tcBorders>
              <w:bottom w:val="single" w:sz="8" w:color="auto"/>
            </w:tcBorders>
            <w:gridSpan w:val="2"/>
            <w:shd w:val="clear" w:color="auto" w:fill="98B0CF"/>
          </w:tcPr>
          <w:p>
            <w:pPr>
              <w:jc w:val="center"/>
              <w:ind w:right="380"/>
              <w:spacing w:after="0"/>
              <w:rPr>
                <w:sz w:val="20"/>
                <w:szCs w:val="20"/>
                <w:color w:val="auto"/>
              </w:rPr>
            </w:pPr>
            <w:r>
              <w:rPr>
                <w:rFonts w:ascii="Arial" w:cs="Arial" w:eastAsia="Arial" w:hAnsi="Arial"/>
                <w:sz w:val="13"/>
                <w:szCs w:val="13"/>
                <w:b w:val="1"/>
                <w:bCs w:val="1"/>
                <w:color w:val="231F20"/>
                <w:w w:val="95"/>
              </w:rPr>
              <w:t>of Year</w:t>
            </w:r>
          </w:p>
        </w:tc>
        <w:tc>
          <w:tcPr>
            <w:tcW w:w="240" w:type="dxa"/>
            <w:vAlign w:val="bottom"/>
            <w:tcBorders>
              <w:bottom w:val="single" w:sz="8" w:color="auto"/>
            </w:tcBorders>
            <w:shd w:val="clear" w:color="auto" w:fill="98B0CF"/>
          </w:tcPr>
          <w:p>
            <w:pPr>
              <w:spacing w:after="0"/>
              <w:rPr>
                <w:sz w:val="14"/>
                <w:szCs w:val="14"/>
                <w:color w:val="auto"/>
              </w:rPr>
            </w:pPr>
          </w:p>
        </w:tc>
        <w:tc>
          <w:tcPr>
            <w:tcW w:w="2100" w:type="dxa"/>
            <w:vAlign w:val="bottom"/>
            <w:tcBorders>
              <w:bottom w:val="single" w:sz="8" w:color="auto"/>
            </w:tcBorders>
            <w:gridSpan w:val="6"/>
            <w:shd w:val="clear" w:color="auto" w:fill="98B0CF"/>
          </w:tcPr>
          <w:p>
            <w:pPr>
              <w:jc w:val="center"/>
              <w:ind w:right="340"/>
              <w:spacing w:after="0"/>
              <w:rPr>
                <w:sz w:val="20"/>
                <w:szCs w:val="20"/>
                <w:color w:val="auto"/>
              </w:rPr>
            </w:pPr>
            <w:r>
              <w:rPr>
                <w:rFonts w:ascii="Arial" w:cs="Arial" w:eastAsia="Arial" w:hAnsi="Arial"/>
                <w:sz w:val="13"/>
                <w:szCs w:val="13"/>
                <w:b w:val="1"/>
                <w:bCs w:val="1"/>
                <w:color w:val="231F20"/>
                <w:w w:val="98"/>
              </w:rPr>
              <w:t>Expense (Benefit)</w:t>
            </w:r>
          </w:p>
        </w:tc>
        <w:tc>
          <w:tcPr>
            <w:tcW w:w="1480" w:type="dxa"/>
            <w:vAlign w:val="bottom"/>
            <w:tcBorders>
              <w:bottom w:val="single" w:sz="8" w:color="auto"/>
            </w:tcBorders>
            <w:gridSpan w:val="2"/>
            <w:shd w:val="clear" w:color="auto" w:fill="98B0CF"/>
          </w:tcPr>
          <w:p>
            <w:pPr>
              <w:jc w:val="right"/>
              <w:ind w:right="451"/>
              <w:spacing w:after="0" w:line="165" w:lineRule="exact"/>
              <w:rPr>
                <w:sz w:val="20"/>
                <w:szCs w:val="20"/>
                <w:color w:val="auto"/>
              </w:rPr>
            </w:pPr>
            <w:r>
              <w:rPr>
                <w:rFonts w:ascii="Arial" w:cs="Arial" w:eastAsia="Arial" w:hAnsi="Arial"/>
                <w:sz w:val="13"/>
                <w:szCs w:val="13"/>
                <w:b w:val="1"/>
                <w:bCs w:val="1"/>
                <w:color w:val="231F20"/>
              </w:rPr>
              <w:t xml:space="preserve">Accounts </w:t>
            </w:r>
            <w:r>
              <w:rPr>
                <w:rFonts w:ascii="Arial" w:cs="Arial" w:eastAsia="Arial" w:hAnsi="Arial"/>
                <w:sz w:val="16"/>
                <w:szCs w:val="16"/>
                <w:b w:val="1"/>
                <w:bCs w:val="1"/>
                <w:color w:val="231F20"/>
                <w:vertAlign w:val="superscript"/>
              </w:rPr>
              <w:t>(a)</w:t>
            </w:r>
          </w:p>
        </w:tc>
        <w:tc>
          <w:tcPr>
            <w:tcW w:w="460" w:type="dxa"/>
            <w:vAlign w:val="bottom"/>
            <w:tcBorders>
              <w:bottom w:val="single" w:sz="8" w:color="auto"/>
            </w:tcBorders>
            <w:shd w:val="clear" w:color="auto" w:fill="98B0CF"/>
          </w:tcPr>
          <w:p>
            <w:pPr>
              <w:spacing w:after="0"/>
              <w:rPr>
                <w:sz w:val="14"/>
                <w:szCs w:val="14"/>
                <w:color w:val="auto"/>
              </w:rPr>
            </w:pPr>
          </w:p>
        </w:tc>
        <w:tc>
          <w:tcPr>
            <w:tcW w:w="1080" w:type="dxa"/>
            <w:vAlign w:val="bottom"/>
            <w:tcBorders>
              <w:bottom w:val="single" w:sz="8" w:color="auto"/>
            </w:tcBorders>
            <w:shd w:val="clear" w:color="auto" w:fill="98B0CF"/>
          </w:tcPr>
          <w:p>
            <w:pPr>
              <w:jc w:val="right"/>
              <w:ind w:right="448"/>
              <w:spacing w:after="0"/>
              <w:rPr>
                <w:sz w:val="20"/>
                <w:szCs w:val="20"/>
                <w:color w:val="auto"/>
              </w:rPr>
            </w:pPr>
            <w:r>
              <w:rPr>
                <w:rFonts w:ascii="Arial" w:cs="Arial" w:eastAsia="Arial" w:hAnsi="Arial"/>
                <w:sz w:val="13"/>
                <w:szCs w:val="13"/>
                <w:b w:val="1"/>
                <w:bCs w:val="1"/>
                <w:color w:val="231F20"/>
              </w:rPr>
              <w:t>of Year</w:t>
            </w:r>
          </w:p>
        </w:tc>
      </w:tr>
      <w:tr>
        <w:trPr>
          <w:trHeight w:val="181"/>
        </w:trPr>
        <w:tc>
          <w:tcPr>
            <w:tcW w:w="20" w:type="dxa"/>
            <w:vAlign w:val="bottom"/>
          </w:tcPr>
          <w:p>
            <w:pPr>
              <w:spacing w:after="0"/>
              <w:rPr>
                <w:sz w:val="15"/>
                <w:szCs w:val="15"/>
                <w:color w:val="auto"/>
              </w:rPr>
            </w:pPr>
          </w:p>
        </w:tc>
        <w:tc>
          <w:tcPr>
            <w:tcW w:w="3240" w:type="dxa"/>
            <w:vAlign w:val="bottom"/>
            <w:gridSpan w:val="2"/>
            <w:shd w:val="clear" w:color="auto" w:fill="E2E8F1"/>
          </w:tcPr>
          <w:p>
            <w:pPr>
              <w:jc w:val="right"/>
              <w:ind w:right="1501"/>
              <w:spacing w:after="0"/>
              <w:rPr>
                <w:sz w:val="20"/>
                <w:szCs w:val="20"/>
                <w:color w:val="auto"/>
              </w:rPr>
            </w:pPr>
            <w:r>
              <w:rPr>
                <w:rFonts w:ascii="Arial" w:cs="Arial" w:eastAsia="Arial" w:hAnsi="Arial"/>
                <w:sz w:val="14"/>
                <w:szCs w:val="14"/>
                <w:color w:val="231F20"/>
              </w:rPr>
              <w:t>2024</w:t>
            </w:r>
          </w:p>
        </w:tc>
        <w:tc>
          <w:tcPr>
            <w:tcW w:w="2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1000" w:type="dxa"/>
            <w:vAlign w:val="bottom"/>
            <w:gridSpan w:val="3"/>
            <w:shd w:val="clear" w:color="auto" w:fill="E2E8F1"/>
          </w:tcPr>
          <w:p>
            <w:pPr>
              <w:jc w:val="right"/>
              <w:ind w:right="80"/>
              <w:spacing w:after="0"/>
              <w:rPr>
                <w:sz w:val="20"/>
                <w:szCs w:val="20"/>
                <w:color w:val="auto"/>
              </w:rPr>
            </w:pPr>
            <w:r>
              <w:rPr>
                <w:rFonts w:ascii="Arial" w:cs="Arial" w:eastAsia="Arial" w:hAnsi="Arial"/>
                <w:sz w:val="14"/>
                <w:szCs w:val="14"/>
                <w:color w:val="231F20"/>
              </w:rPr>
              <w:t>$</w:t>
            </w:r>
          </w:p>
        </w:tc>
        <w:tc>
          <w:tcPr>
            <w:tcW w:w="260" w:type="dxa"/>
            <w:vAlign w:val="bottom"/>
            <w:shd w:val="clear" w:color="auto" w:fill="E2E8F1"/>
          </w:tcPr>
          <w:p>
            <w:pPr>
              <w:spacing w:after="0"/>
              <w:rPr>
                <w:sz w:val="15"/>
                <w:szCs w:val="15"/>
                <w:color w:val="auto"/>
              </w:rPr>
            </w:pPr>
          </w:p>
        </w:tc>
        <w:tc>
          <w:tcPr>
            <w:tcW w:w="1080" w:type="dxa"/>
            <w:vAlign w:val="bottom"/>
            <w:gridSpan w:val="2"/>
            <w:shd w:val="clear" w:color="auto" w:fill="E2E8F1"/>
          </w:tcPr>
          <w:p>
            <w:pPr>
              <w:jc w:val="right"/>
              <w:ind w:right="460"/>
              <w:spacing w:after="0"/>
              <w:rPr>
                <w:sz w:val="20"/>
                <w:szCs w:val="20"/>
                <w:color w:val="auto"/>
              </w:rPr>
            </w:pPr>
            <w:r>
              <w:rPr>
                <w:rFonts w:ascii="Arial" w:cs="Arial" w:eastAsia="Arial" w:hAnsi="Arial"/>
                <w:sz w:val="14"/>
                <w:szCs w:val="14"/>
                <w:color w:val="231F20"/>
              </w:rPr>
              <w:t>219.8</w:t>
            </w:r>
          </w:p>
        </w:tc>
        <w:tc>
          <w:tcPr>
            <w:tcW w:w="240" w:type="dxa"/>
            <w:vAlign w:val="bottom"/>
            <w:shd w:val="clear" w:color="auto" w:fill="E2E8F1"/>
          </w:tcPr>
          <w:p>
            <w:pPr>
              <w:spacing w:after="0"/>
              <w:rPr>
                <w:sz w:val="15"/>
                <w:szCs w:val="15"/>
                <w:color w:val="auto"/>
              </w:rPr>
            </w:pPr>
          </w:p>
        </w:tc>
        <w:tc>
          <w:tcPr>
            <w:tcW w:w="980" w:type="dxa"/>
            <w:vAlign w:val="bottom"/>
            <w:shd w:val="clear" w:color="auto" w:fill="E2E8F1"/>
          </w:tcPr>
          <w:p>
            <w:pPr>
              <w:jc w:val="right"/>
              <w:ind w:right="812"/>
              <w:spacing w:after="0"/>
              <w:rPr>
                <w:sz w:val="20"/>
                <w:szCs w:val="20"/>
                <w:color w:val="auto"/>
              </w:rPr>
            </w:pPr>
            <w:r>
              <w:rPr>
                <w:rFonts w:ascii="Arial" w:cs="Arial" w:eastAsia="Arial" w:hAnsi="Arial"/>
                <w:sz w:val="14"/>
                <w:szCs w:val="14"/>
                <w:color w:val="231F20"/>
              </w:rPr>
              <w:t>$</w:t>
            </w:r>
          </w:p>
        </w:tc>
        <w:tc>
          <w:tcPr>
            <w:tcW w:w="28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231F20"/>
                <w:w w:val="87"/>
              </w:rPr>
              <w:t>34.1</w:t>
            </w:r>
          </w:p>
        </w:tc>
        <w:tc>
          <w:tcPr>
            <w:tcW w:w="840" w:type="dxa"/>
            <w:vAlign w:val="bottom"/>
            <w:gridSpan w:val="3"/>
            <w:shd w:val="clear" w:color="auto" w:fill="E2E8F1"/>
          </w:tcPr>
          <w:p>
            <w:pPr>
              <w:jc w:val="right"/>
              <w:ind w:right="60"/>
              <w:spacing w:after="0"/>
              <w:rPr>
                <w:sz w:val="20"/>
                <w:szCs w:val="20"/>
                <w:color w:val="auto"/>
              </w:rPr>
            </w:pPr>
            <w:r>
              <w:rPr>
                <w:rFonts w:ascii="Arial" w:cs="Arial" w:eastAsia="Arial" w:hAnsi="Arial"/>
                <w:sz w:val="14"/>
                <w:szCs w:val="14"/>
                <w:color w:val="231F20"/>
              </w:rPr>
              <w:t>$</w:t>
            </w:r>
          </w:p>
        </w:tc>
        <w:tc>
          <w:tcPr>
            <w:tcW w:w="320" w:type="dxa"/>
            <w:vAlign w:val="bottom"/>
            <w:shd w:val="clear" w:color="auto" w:fill="E2E8F1"/>
          </w:tcPr>
          <w:p>
            <w:pPr>
              <w:spacing w:after="0"/>
              <w:rPr>
                <w:sz w:val="15"/>
                <w:szCs w:val="15"/>
                <w:color w:val="auto"/>
              </w:rPr>
            </w:pPr>
          </w:p>
        </w:tc>
        <w:tc>
          <w:tcPr>
            <w:tcW w:w="1160" w:type="dxa"/>
            <w:vAlign w:val="bottom"/>
            <w:shd w:val="clear" w:color="auto" w:fill="E2E8F1"/>
          </w:tcPr>
          <w:p>
            <w:pPr>
              <w:jc w:val="right"/>
              <w:ind w:right="471"/>
              <w:spacing w:after="0"/>
              <w:rPr>
                <w:sz w:val="20"/>
                <w:szCs w:val="20"/>
                <w:color w:val="auto"/>
              </w:rPr>
            </w:pPr>
            <w:r>
              <w:rPr>
                <w:rFonts w:ascii="Arial" w:cs="Arial" w:eastAsia="Arial" w:hAnsi="Arial"/>
                <w:sz w:val="14"/>
                <w:szCs w:val="14"/>
                <w:color w:val="231F20"/>
              </w:rPr>
              <w:t>(31.0 )</w:t>
            </w:r>
          </w:p>
        </w:tc>
        <w:tc>
          <w:tcPr>
            <w:tcW w:w="460" w:type="dxa"/>
            <w:vAlign w:val="bottom"/>
            <w:shd w:val="clear" w:color="auto" w:fill="E2E8F1"/>
          </w:tcPr>
          <w:p>
            <w:pPr>
              <w:jc w:val="right"/>
              <w:ind w:right="229"/>
              <w:spacing w:after="0"/>
              <w:rPr>
                <w:sz w:val="20"/>
                <w:szCs w:val="20"/>
                <w:color w:val="auto"/>
              </w:rPr>
            </w:pPr>
            <w:r>
              <w:rPr>
                <w:rFonts w:ascii="Arial" w:cs="Arial" w:eastAsia="Arial" w:hAnsi="Arial"/>
                <w:sz w:val="14"/>
                <w:szCs w:val="14"/>
                <w:color w:val="231F20"/>
              </w:rPr>
              <w:t>$</w:t>
            </w:r>
          </w:p>
        </w:tc>
        <w:tc>
          <w:tcPr>
            <w:tcW w:w="1080" w:type="dxa"/>
            <w:vAlign w:val="bottom"/>
            <w:shd w:val="clear" w:color="auto" w:fill="E2E8F1"/>
          </w:tcPr>
          <w:p>
            <w:pPr>
              <w:jc w:val="right"/>
              <w:ind w:right="448"/>
              <w:spacing w:after="0"/>
              <w:rPr>
                <w:sz w:val="20"/>
                <w:szCs w:val="20"/>
                <w:color w:val="auto"/>
              </w:rPr>
            </w:pPr>
            <w:r>
              <w:rPr>
                <w:rFonts w:ascii="Arial" w:cs="Arial" w:eastAsia="Arial" w:hAnsi="Arial"/>
                <w:sz w:val="14"/>
                <w:szCs w:val="14"/>
                <w:color w:val="231F20"/>
              </w:rPr>
              <w:t>222.9</w:t>
            </w:r>
          </w:p>
        </w:tc>
      </w:tr>
      <w:tr>
        <w:trPr>
          <w:trHeight w:val="186"/>
        </w:trPr>
        <w:tc>
          <w:tcPr>
            <w:tcW w:w="20" w:type="dxa"/>
            <w:vAlign w:val="bottom"/>
          </w:tcPr>
          <w:p>
            <w:pPr>
              <w:spacing w:after="0"/>
              <w:rPr>
                <w:sz w:val="16"/>
                <w:szCs w:val="16"/>
                <w:color w:val="auto"/>
              </w:rPr>
            </w:pPr>
          </w:p>
        </w:tc>
        <w:tc>
          <w:tcPr>
            <w:tcW w:w="3240" w:type="dxa"/>
            <w:vAlign w:val="bottom"/>
            <w:gridSpan w:val="2"/>
          </w:tcPr>
          <w:p>
            <w:pPr>
              <w:jc w:val="right"/>
              <w:ind w:right="1501"/>
              <w:spacing w:after="0"/>
              <w:rPr>
                <w:sz w:val="20"/>
                <w:szCs w:val="20"/>
                <w:color w:val="auto"/>
              </w:rPr>
            </w:pPr>
            <w:r>
              <w:rPr>
                <w:rFonts w:ascii="Arial" w:cs="Arial" w:eastAsia="Arial" w:hAnsi="Arial"/>
                <w:sz w:val="14"/>
                <w:szCs w:val="14"/>
                <w:color w:val="231F20"/>
              </w:rPr>
              <w:t>2023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231F20"/>
              </w:rPr>
              <w:t>161.1</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231F20"/>
                <w:w w:val="87"/>
              </w:rPr>
              <w:t>53.5</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51"/>
              <w:spacing w:after="0"/>
              <w:rPr>
                <w:sz w:val="20"/>
                <w:szCs w:val="20"/>
                <w:color w:val="auto"/>
              </w:rPr>
            </w:pPr>
            <w:r>
              <w:rPr>
                <w:rFonts w:ascii="Arial" w:cs="Arial" w:eastAsia="Arial" w:hAnsi="Arial"/>
                <w:sz w:val="14"/>
                <w:szCs w:val="14"/>
                <w:color w:val="231F20"/>
              </w:rPr>
              <w:t>5.2</w:t>
            </w:r>
          </w:p>
        </w:tc>
        <w:tc>
          <w:tcPr>
            <w:tcW w:w="460" w:type="dxa"/>
            <w:vAlign w:val="bottom"/>
          </w:tcPr>
          <w:p>
            <w:pPr>
              <w:spacing w:after="0"/>
              <w:rPr>
                <w:sz w:val="16"/>
                <w:szCs w:val="16"/>
                <w:color w:val="auto"/>
              </w:rPr>
            </w:pPr>
          </w:p>
        </w:tc>
        <w:tc>
          <w:tcPr>
            <w:tcW w:w="1080" w:type="dxa"/>
            <w:vAlign w:val="bottom"/>
          </w:tcPr>
          <w:p>
            <w:pPr>
              <w:jc w:val="right"/>
              <w:ind w:right="448"/>
              <w:spacing w:after="0"/>
              <w:rPr>
                <w:sz w:val="20"/>
                <w:szCs w:val="20"/>
                <w:color w:val="auto"/>
              </w:rPr>
            </w:pPr>
            <w:r>
              <w:rPr>
                <w:rFonts w:ascii="Arial" w:cs="Arial" w:eastAsia="Arial" w:hAnsi="Arial"/>
                <w:sz w:val="14"/>
                <w:szCs w:val="14"/>
                <w:color w:val="231F20"/>
              </w:rPr>
              <w:t>219.8</w:t>
            </w:r>
          </w:p>
        </w:tc>
      </w:tr>
      <w:tr>
        <w:trPr>
          <w:trHeight w:val="191"/>
        </w:trPr>
        <w:tc>
          <w:tcPr>
            <w:tcW w:w="20" w:type="dxa"/>
            <w:vAlign w:val="bottom"/>
          </w:tcPr>
          <w:p>
            <w:pPr>
              <w:spacing w:after="0"/>
              <w:rPr>
                <w:sz w:val="16"/>
                <w:szCs w:val="16"/>
                <w:color w:val="auto"/>
              </w:rPr>
            </w:pPr>
          </w:p>
        </w:tc>
        <w:tc>
          <w:tcPr>
            <w:tcW w:w="3240" w:type="dxa"/>
            <w:vAlign w:val="bottom"/>
            <w:tcBorders>
              <w:bottom w:val="single" w:sz="8" w:color="231F20"/>
            </w:tcBorders>
            <w:gridSpan w:val="2"/>
            <w:shd w:val="clear" w:color="auto" w:fill="E2E8F1"/>
          </w:tcPr>
          <w:p>
            <w:pPr>
              <w:jc w:val="right"/>
              <w:ind w:right="1501"/>
              <w:spacing w:after="0"/>
              <w:rPr>
                <w:sz w:val="20"/>
                <w:szCs w:val="20"/>
                <w:color w:val="auto"/>
              </w:rPr>
            </w:pPr>
            <w:r>
              <w:rPr>
                <w:rFonts w:ascii="Arial" w:cs="Arial" w:eastAsia="Arial" w:hAnsi="Arial"/>
                <w:sz w:val="14"/>
                <w:szCs w:val="14"/>
                <w:color w:val="231F20"/>
              </w:rPr>
              <w:t>2022</w:t>
            </w:r>
          </w:p>
        </w:tc>
        <w:tc>
          <w:tcPr>
            <w:tcW w:w="200" w:type="dxa"/>
            <w:vAlign w:val="bottom"/>
            <w:tcBorders>
              <w:bottom w:val="single" w:sz="8" w:color="231F20"/>
            </w:tcBorders>
            <w:shd w:val="clear" w:color="auto" w:fill="E2E8F1"/>
          </w:tcPr>
          <w:p>
            <w:pPr>
              <w:spacing w:after="0"/>
              <w:rPr>
                <w:sz w:val="16"/>
                <w:szCs w:val="16"/>
                <w:color w:val="auto"/>
              </w:rPr>
            </w:pPr>
          </w:p>
        </w:tc>
        <w:tc>
          <w:tcPr>
            <w:tcW w:w="100" w:type="dxa"/>
            <w:vAlign w:val="bottom"/>
            <w:tcBorders>
              <w:bottom w:val="single" w:sz="8" w:color="231F20"/>
            </w:tcBorders>
            <w:shd w:val="clear" w:color="auto" w:fill="E2E8F1"/>
          </w:tcPr>
          <w:p>
            <w:pPr>
              <w:spacing w:after="0"/>
              <w:rPr>
                <w:sz w:val="16"/>
                <w:szCs w:val="16"/>
                <w:color w:val="auto"/>
              </w:rPr>
            </w:pPr>
          </w:p>
        </w:tc>
        <w:tc>
          <w:tcPr>
            <w:tcW w:w="840" w:type="dxa"/>
            <w:vAlign w:val="bottom"/>
            <w:tcBorders>
              <w:bottom w:val="single" w:sz="8" w:color="231F20"/>
            </w:tcBorders>
            <w:shd w:val="clear" w:color="auto" w:fill="E2E8F1"/>
          </w:tcPr>
          <w:p>
            <w:pPr>
              <w:spacing w:after="0"/>
              <w:rPr>
                <w:sz w:val="16"/>
                <w:szCs w:val="16"/>
                <w:color w:val="auto"/>
              </w:rPr>
            </w:pPr>
          </w:p>
        </w:tc>
        <w:tc>
          <w:tcPr>
            <w:tcW w:w="20" w:type="dxa"/>
            <w:vAlign w:val="bottom"/>
            <w:tcBorders>
              <w:bottom w:val="single" w:sz="8" w:color="auto"/>
            </w:tcBorders>
            <w:shd w:val="clear" w:color="auto" w:fill="E2E8F1"/>
          </w:tcPr>
          <w:p>
            <w:pPr>
              <w:spacing w:after="0"/>
              <w:rPr>
                <w:sz w:val="16"/>
                <w:szCs w:val="16"/>
                <w:color w:val="auto"/>
              </w:rPr>
            </w:pPr>
          </w:p>
        </w:tc>
        <w:tc>
          <w:tcPr>
            <w:tcW w:w="140" w:type="dxa"/>
            <w:vAlign w:val="bottom"/>
            <w:tcBorders>
              <w:bottom w:val="single" w:sz="8" w:color="auto"/>
            </w:tcBorders>
            <w:shd w:val="clear" w:color="auto" w:fill="E2E8F1"/>
          </w:tcPr>
          <w:p>
            <w:pPr>
              <w:spacing w:after="0"/>
              <w:rPr>
                <w:sz w:val="16"/>
                <w:szCs w:val="16"/>
                <w:color w:val="auto"/>
              </w:rPr>
            </w:pPr>
          </w:p>
        </w:tc>
        <w:tc>
          <w:tcPr>
            <w:tcW w:w="260" w:type="dxa"/>
            <w:vAlign w:val="bottom"/>
            <w:tcBorders>
              <w:bottom w:val="single" w:sz="8" w:color="auto"/>
            </w:tcBorders>
            <w:shd w:val="clear" w:color="auto" w:fill="E2E8F1"/>
          </w:tcPr>
          <w:p>
            <w:pPr>
              <w:spacing w:after="0"/>
              <w:rPr>
                <w:sz w:val="16"/>
                <w:szCs w:val="16"/>
                <w:color w:val="auto"/>
              </w:rPr>
            </w:pPr>
          </w:p>
        </w:tc>
        <w:tc>
          <w:tcPr>
            <w:tcW w:w="1080" w:type="dxa"/>
            <w:vAlign w:val="bottom"/>
            <w:tcBorders>
              <w:bottom w:val="single" w:sz="8" w:color="auto"/>
            </w:tcBorders>
            <w:gridSpan w:val="2"/>
            <w:shd w:val="clear" w:color="auto" w:fill="E2E8F1"/>
          </w:tcPr>
          <w:p>
            <w:pPr>
              <w:jc w:val="right"/>
              <w:ind w:right="460"/>
              <w:spacing w:after="0"/>
              <w:rPr>
                <w:sz w:val="20"/>
                <w:szCs w:val="20"/>
                <w:color w:val="auto"/>
              </w:rPr>
            </w:pPr>
            <w:r>
              <w:rPr>
                <w:rFonts w:ascii="Arial" w:cs="Arial" w:eastAsia="Arial" w:hAnsi="Arial"/>
                <w:sz w:val="14"/>
                <w:szCs w:val="14"/>
                <w:color w:val="231F20"/>
              </w:rPr>
              <w:t>167.1</w:t>
            </w:r>
          </w:p>
        </w:tc>
        <w:tc>
          <w:tcPr>
            <w:tcW w:w="24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spacing w:after="0"/>
              <w:rPr>
                <w:sz w:val="16"/>
                <w:szCs w:val="16"/>
                <w:color w:val="auto"/>
              </w:rPr>
            </w:pPr>
          </w:p>
        </w:tc>
        <w:tc>
          <w:tcPr>
            <w:tcW w:w="280" w:type="dxa"/>
            <w:vAlign w:val="bottom"/>
            <w:tcBorders>
              <w:bottom w:val="single" w:sz="8" w:color="auto"/>
            </w:tcBorders>
            <w:gridSpan w:val="2"/>
            <w:shd w:val="clear" w:color="auto" w:fill="E2E8F1"/>
          </w:tcPr>
          <w:p>
            <w:pPr>
              <w:jc w:val="right"/>
              <w:spacing w:after="0"/>
              <w:rPr>
                <w:sz w:val="20"/>
                <w:szCs w:val="20"/>
                <w:color w:val="auto"/>
              </w:rPr>
            </w:pPr>
            <w:r>
              <w:rPr>
                <w:rFonts w:ascii="Arial" w:cs="Arial" w:eastAsia="Arial" w:hAnsi="Arial"/>
                <w:sz w:val="14"/>
                <w:szCs w:val="14"/>
                <w:color w:val="231F20"/>
                <w:w w:val="87"/>
              </w:rPr>
              <w:t>13.7</w:t>
            </w:r>
          </w:p>
        </w:tc>
        <w:tc>
          <w:tcPr>
            <w:tcW w:w="40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320" w:type="dxa"/>
            <w:vAlign w:val="bottom"/>
            <w:tcBorders>
              <w:bottom w:val="single" w:sz="8" w:color="auto"/>
            </w:tcBorders>
            <w:shd w:val="clear" w:color="auto" w:fill="E2E8F1"/>
          </w:tcPr>
          <w:p>
            <w:pPr>
              <w:spacing w:after="0"/>
              <w:rPr>
                <w:sz w:val="16"/>
                <w:szCs w:val="16"/>
                <w:color w:val="auto"/>
              </w:rPr>
            </w:pPr>
          </w:p>
        </w:tc>
        <w:tc>
          <w:tcPr>
            <w:tcW w:w="1160" w:type="dxa"/>
            <w:vAlign w:val="bottom"/>
            <w:tcBorders>
              <w:bottom w:val="single" w:sz="8" w:color="auto"/>
            </w:tcBorders>
            <w:shd w:val="clear" w:color="auto" w:fill="E2E8F1"/>
          </w:tcPr>
          <w:p>
            <w:pPr>
              <w:jc w:val="right"/>
              <w:ind w:right="471"/>
              <w:spacing w:after="0"/>
              <w:rPr>
                <w:sz w:val="20"/>
                <w:szCs w:val="20"/>
                <w:color w:val="auto"/>
              </w:rPr>
            </w:pPr>
            <w:r>
              <w:rPr>
                <w:rFonts w:ascii="Arial" w:cs="Arial" w:eastAsia="Arial" w:hAnsi="Arial"/>
                <w:sz w:val="14"/>
                <w:szCs w:val="14"/>
                <w:color w:val="231F20"/>
              </w:rPr>
              <w:t>(19.7 )</w:t>
            </w:r>
          </w:p>
        </w:tc>
        <w:tc>
          <w:tcPr>
            <w:tcW w:w="460" w:type="dxa"/>
            <w:vAlign w:val="bottom"/>
            <w:tcBorders>
              <w:bottom w:val="single" w:sz="8" w:color="auto"/>
            </w:tcBorders>
            <w:shd w:val="clear" w:color="auto" w:fill="E2E8F1"/>
          </w:tcPr>
          <w:p>
            <w:pPr>
              <w:spacing w:after="0"/>
              <w:rPr>
                <w:sz w:val="16"/>
                <w:szCs w:val="16"/>
                <w:color w:val="auto"/>
              </w:rPr>
            </w:pPr>
          </w:p>
        </w:tc>
        <w:tc>
          <w:tcPr>
            <w:tcW w:w="1080" w:type="dxa"/>
            <w:vAlign w:val="bottom"/>
            <w:tcBorders>
              <w:bottom w:val="single" w:sz="8" w:color="auto"/>
            </w:tcBorders>
            <w:shd w:val="clear" w:color="auto" w:fill="E2E8F1"/>
          </w:tcPr>
          <w:p>
            <w:pPr>
              <w:jc w:val="right"/>
              <w:ind w:right="448"/>
              <w:spacing w:after="0"/>
              <w:rPr>
                <w:sz w:val="20"/>
                <w:szCs w:val="20"/>
                <w:color w:val="auto"/>
              </w:rPr>
            </w:pPr>
            <w:r>
              <w:rPr>
                <w:rFonts w:ascii="Arial" w:cs="Arial" w:eastAsia="Arial" w:hAnsi="Arial"/>
                <w:sz w:val="14"/>
                <w:szCs w:val="14"/>
                <w:color w:val="231F20"/>
              </w:rPr>
              <w:t>161.1</w:t>
            </w:r>
          </w:p>
        </w:tc>
      </w:tr>
    </w:tbl>
    <w:p>
      <w:pPr>
        <w:spacing w:after="0" w:line="69" w:lineRule="exact"/>
        <w:rPr>
          <w:sz w:val="20"/>
          <w:szCs w:val="20"/>
          <w:color w:val="auto"/>
        </w:rPr>
      </w:pPr>
    </w:p>
    <w:p>
      <w:pPr>
        <w:ind w:left="325" w:hanging="325"/>
        <w:spacing w:after="0"/>
        <w:tabs>
          <w:tab w:leader="none" w:pos="325" w:val="left"/>
        </w:tabs>
        <w:numPr>
          <w:ilvl w:val="0"/>
          <w:numId w:val="70"/>
        </w:numPr>
        <w:rPr>
          <w:rFonts w:ascii="Arial" w:cs="Arial" w:eastAsia="Arial" w:hAnsi="Arial"/>
          <w:sz w:val="17"/>
          <w:szCs w:val="17"/>
          <w:color w:val="231F20"/>
          <w:vertAlign w:val="superscript"/>
        </w:rPr>
      </w:pPr>
      <w:r>
        <w:rPr>
          <w:rFonts w:ascii="Arial" w:cs="Arial" w:eastAsia="Arial" w:hAnsi="Arial"/>
          <w:sz w:val="13"/>
          <w:szCs w:val="13"/>
          <w:color w:val="231F20"/>
        </w:rPr>
        <w:t>Reflects other increases (decreases) to our valuation allowance that did not impact total tax expense, including the effects of currency and other comprehensive income (loss).</w:t>
      </w:r>
    </w:p>
    <w:p>
      <w:pPr>
        <w:spacing w:after="0" w:line="146" w:lineRule="exact"/>
        <w:rPr>
          <w:sz w:val="20"/>
          <w:szCs w:val="20"/>
          <w:color w:val="auto"/>
        </w:rPr>
      </w:pPr>
    </w:p>
    <w:p>
      <w:pPr>
        <w:ind w:left="5"/>
        <w:spacing w:after="0"/>
        <w:rPr>
          <w:sz w:val="20"/>
          <w:szCs w:val="20"/>
          <w:color w:val="auto"/>
        </w:rPr>
      </w:pPr>
      <w:r>
        <w:rPr>
          <w:rFonts w:ascii="Arial" w:cs="Arial" w:eastAsia="Arial" w:hAnsi="Arial"/>
          <w:sz w:val="16"/>
          <w:szCs w:val="16"/>
          <w:color w:val="231F20"/>
        </w:rPr>
        <w:t>(a)(3) Exhibits.</w:t>
      </w:r>
    </w:p>
    <w:p>
      <w:pPr>
        <w:spacing w:after="0" w:line="88" w:lineRule="exact"/>
        <w:rPr>
          <w:sz w:val="20"/>
          <w:szCs w:val="20"/>
          <w:color w:val="auto"/>
        </w:rPr>
      </w:pPr>
    </w:p>
    <w:p>
      <w:pPr>
        <w:ind w:left="5"/>
        <w:spacing w:after="0"/>
        <w:rPr>
          <w:sz w:val="20"/>
          <w:szCs w:val="20"/>
          <w:color w:val="auto"/>
        </w:rPr>
      </w:pPr>
      <w:r>
        <w:rPr>
          <w:rFonts w:ascii="Arial" w:cs="Arial" w:eastAsia="Arial" w:hAnsi="Arial"/>
          <w:sz w:val="16"/>
          <w:szCs w:val="16"/>
          <w:color w:val="231F20"/>
        </w:rPr>
        <w:t>See (c) below.</w:t>
      </w:r>
    </w:p>
    <w:p>
      <w:pPr>
        <w:spacing w:after="0" w:line="88" w:lineRule="exact"/>
        <w:rPr>
          <w:sz w:val="20"/>
          <w:szCs w:val="20"/>
          <w:color w:val="auto"/>
        </w:rPr>
      </w:pPr>
    </w:p>
    <w:p>
      <w:pPr>
        <w:jc w:val="both"/>
        <w:ind w:left="5" w:right="20"/>
        <w:spacing w:after="0" w:line="246" w:lineRule="auto"/>
        <w:rPr>
          <w:sz w:val="20"/>
          <w:szCs w:val="20"/>
          <w:color w:val="auto"/>
        </w:rPr>
      </w:pPr>
      <w:r>
        <w:rPr>
          <w:rFonts w:ascii="Arial" w:cs="Arial" w:eastAsia="Arial" w:hAnsi="Arial"/>
          <w:sz w:val="16"/>
          <w:szCs w:val="16"/>
          <w:color w:val="231F20"/>
        </w:rPr>
        <w:t>Pursuant to Regulation S-K, Item 601(b)(4)(iii), ManpowerGroup Inc. hereby agrees to furnish to the Commission, upon request, a copy of each instrument and agreement with respect to long-term debt of ManpowerGroup Inc. and its consolidated subsidiaries which does not exceed 10 percent of the total assets of ManpowerGroup Inc. and its subsidiaries on a consolidated basis.</w:t>
      </w:r>
    </w:p>
    <w:p>
      <w:pPr>
        <w:spacing w:after="0" w:line="15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4" w:right="319" w:bottom="1440" w:gutter="0" w:footer="0" w:header="0"/>
        </w:sectPr>
      </w:pPr>
    </w:p>
    <w:bookmarkStart w:id="91" w:name="page92"/>
    <w:bookmarkEnd w:id="91"/>
    <w:p>
      <w:pPr>
        <w:ind w:left="60"/>
        <w:spacing w:after="0"/>
        <w:rPr>
          <w:sz w:val="20"/>
          <w:szCs w:val="20"/>
          <w:color w:val="auto"/>
        </w:rPr>
      </w:pPr>
      <w:r>
        <w:rPr>
          <w:rFonts w:ascii="Arial" w:cs="Arial" w:eastAsia="Arial" w:hAnsi="Arial"/>
          <w:sz w:val="16"/>
          <w:szCs w:val="16"/>
          <w:color w:val="FFFFFF"/>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231F20"/>
        </w:rPr>
        <w:t>(c) Exhibits.</w:t>
      </w:r>
    </w:p>
    <w:p>
      <w:pPr>
        <w:spacing w:after="0" w:line="100" w:lineRule="exact"/>
        <w:rPr>
          <w:sz w:val="20"/>
          <w:szCs w:val="20"/>
          <w:color w:val="auto"/>
        </w:rPr>
      </w:pPr>
    </w:p>
    <w:p>
      <w:pPr>
        <w:ind w:left="920" w:right="240" w:hanging="910"/>
        <w:spacing w:after="0" w:line="260" w:lineRule="auto"/>
        <w:tabs>
          <w:tab w:leader="none" w:pos="900" w:val="left"/>
        </w:tabs>
        <w:rPr>
          <w:rFonts w:ascii="Arial" w:cs="Arial" w:eastAsia="Arial" w:hAnsi="Arial"/>
          <w:sz w:val="16"/>
          <w:szCs w:val="16"/>
          <w:color w:val="231F20"/>
        </w:rPr>
      </w:pPr>
      <w:r>
        <w:rPr>
          <w:rFonts w:ascii="Arial" w:cs="Arial" w:eastAsia="Arial" w:hAnsi="Arial"/>
          <w:sz w:val="16"/>
          <w:szCs w:val="16"/>
          <w:color w:val="231F20"/>
        </w:rPr>
        <w:t>3.1</w:t>
      </w:r>
      <w:r>
        <w:rPr>
          <w:sz w:val="20"/>
          <w:szCs w:val="20"/>
          <w:color w:val="auto"/>
        </w:rPr>
        <w:tab/>
      </w:r>
      <w:hyperlink r:id="rId292">
        <w:r>
          <w:rPr>
            <w:rFonts w:ascii="Arial" w:cs="Arial" w:eastAsia="Arial" w:hAnsi="Arial"/>
            <w:sz w:val="16"/>
            <w:szCs w:val="16"/>
            <w:color w:val="231F20"/>
          </w:rPr>
          <w:t>Amended and Restated Articles of Incorporation of ManpowerGroup Inc., incorporated by reference to the Quarterly Report on Form 10-Q for the</w:t>
        </w:r>
      </w:hyperlink>
      <w:r>
        <w:rPr>
          <w:rFonts w:ascii="Arial" w:cs="Arial" w:eastAsia="Arial" w:hAnsi="Arial"/>
          <w:sz w:val="16"/>
          <w:szCs w:val="16"/>
          <w:color w:val="231F20"/>
        </w:rPr>
        <w:t xml:space="preserve"> </w:t>
      </w:r>
      <w:hyperlink r:id="rId292">
        <w:r>
          <w:rPr>
            <w:rFonts w:ascii="Arial" w:cs="Arial" w:eastAsia="Arial" w:hAnsi="Arial"/>
            <w:sz w:val="16"/>
            <w:szCs w:val="16"/>
            <w:color w:val="231F20"/>
          </w:rPr>
          <w:t>quarter ended June 30,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-145415</wp:posOffset>
            </wp:positionV>
            <wp:extent cx="6436995"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6436995"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-33020</wp:posOffset>
            </wp:positionV>
            <wp:extent cx="131318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1313180" cy="7620"/>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231F20"/>
              </w:rPr>
              <w:t>3.2</w:t>
            </w:r>
          </w:p>
        </w:tc>
        <w:tc>
          <w:tcPr>
            <w:tcW w:w="10340" w:type="dxa"/>
            <w:vAlign w:val="bottom"/>
            <w:gridSpan w:val="24"/>
          </w:tcPr>
          <w:p>
            <w:pPr>
              <w:spacing w:after="0"/>
              <w:rPr>
                <w:rFonts w:ascii="Arial" w:cs="Arial" w:eastAsia="Arial" w:hAnsi="Arial"/>
                <w:sz w:val="16"/>
                <w:szCs w:val="16"/>
                <w:color w:val="231F20"/>
                <w:w w:val="99"/>
              </w:rPr>
            </w:pPr>
            <w:hyperlink r:id="rId295">
              <w:r>
                <w:rPr>
                  <w:rFonts w:ascii="Arial" w:cs="Arial" w:eastAsia="Arial" w:hAnsi="Arial"/>
                  <w:sz w:val="16"/>
                  <w:szCs w:val="16"/>
                  <w:color w:val="231F20"/>
                  <w:w w:val="99"/>
                </w:rPr>
                <w:t>Amended and Restated By-laws of ManpowerGroup Inc., incorporated by reference to the Company's Current Report on Form 8-K dated August 5,</w:t>
              </w:r>
            </w:hyperlink>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80" w:type="dxa"/>
            <w:vAlign w:val="bottom"/>
            <w:tcBorders>
              <w:top w:val="single" w:sz="8" w:color="0000EE"/>
              <w:bottom w:val="single" w:sz="8" w:color="0000EE"/>
            </w:tcBorders>
          </w:tcPr>
          <w:p>
            <w:pPr>
              <w:spacing w:after="0" w:line="158" w:lineRule="exact"/>
              <w:rPr>
                <w:rFonts w:ascii="Arial" w:cs="Arial" w:eastAsia="Arial" w:hAnsi="Arial"/>
                <w:sz w:val="16"/>
                <w:szCs w:val="16"/>
                <w:color w:val="231F20"/>
                <w:w w:val="89"/>
              </w:rPr>
            </w:pPr>
            <w:hyperlink r:id="rId295">
              <w:r>
                <w:rPr>
                  <w:rFonts w:ascii="Arial" w:cs="Arial" w:eastAsia="Arial" w:hAnsi="Arial"/>
                  <w:sz w:val="16"/>
                  <w:szCs w:val="16"/>
                  <w:color w:val="231F20"/>
                  <w:w w:val="89"/>
                </w:rPr>
                <w:t>2022.</w:t>
              </w:r>
            </w:hyperlink>
          </w:p>
        </w:tc>
        <w:tc>
          <w:tcPr>
            <w:tcW w:w="160" w:type="dxa"/>
            <w:vAlign w:val="bottom"/>
            <w:tcBorders>
              <w:top w:val="single" w:sz="8" w:color="0000EE"/>
            </w:tcBorders>
          </w:tcPr>
          <w:p>
            <w:pPr>
              <w:spacing w:after="0"/>
              <w:rPr>
                <w:sz w:val="13"/>
                <w:szCs w:val="13"/>
                <w:color w:val="auto"/>
              </w:rPr>
            </w:pPr>
          </w:p>
        </w:tc>
        <w:tc>
          <w:tcPr>
            <w:tcW w:w="1040" w:type="dxa"/>
            <w:vAlign w:val="bottom"/>
            <w:tcBorders>
              <w:top w:val="single" w:sz="8" w:color="0000EE"/>
            </w:tcBorders>
          </w:tcPr>
          <w:p>
            <w:pPr>
              <w:spacing w:after="0"/>
              <w:rPr>
                <w:sz w:val="13"/>
                <w:szCs w:val="13"/>
                <w:color w:val="auto"/>
              </w:rPr>
            </w:pPr>
          </w:p>
        </w:tc>
        <w:tc>
          <w:tcPr>
            <w:tcW w:w="1000" w:type="dxa"/>
            <w:vAlign w:val="bottom"/>
            <w:tcBorders>
              <w:top w:val="single" w:sz="8" w:color="0000EE"/>
            </w:tcBorders>
          </w:tcPr>
          <w:p>
            <w:pPr>
              <w:spacing w:after="0"/>
              <w:rPr>
                <w:sz w:val="13"/>
                <w:szCs w:val="13"/>
                <w:color w:val="auto"/>
              </w:rPr>
            </w:pPr>
          </w:p>
        </w:tc>
        <w:tc>
          <w:tcPr>
            <w:tcW w:w="880" w:type="dxa"/>
            <w:vAlign w:val="bottom"/>
            <w:tcBorders>
              <w:top w:val="single" w:sz="8" w:color="0000EE"/>
            </w:tcBorders>
          </w:tcPr>
          <w:p>
            <w:pPr>
              <w:spacing w:after="0"/>
              <w:rPr>
                <w:sz w:val="13"/>
                <w:szCs w:val="13"/>
                <w:color w:val="auto"/>
              </w:rPr>
            </w:pPr>
          </w:p>
        </w:tc>
        <w:tc>
          <w:tcPr>
            <w:tcW w:w="68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00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10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4.1</w:t>
            </w:r>
          </w:p>
        </w:tc>
        <w:tc>
          <w:tcPr>
            <w:tcW w:w="10340" w:type="dxa"/>
            <w:vAlign w:val="bottom"/>
            <w:gridSpan w:val="24"/>
          </w:tcPr>
          <w:p>
            <w:pPr>
              <w:spacing w:after="0"/>
              <w:rPr>
                <w:rFonts w:ascii="Arial" w:cs="Arial" w:eastAsia="Arial" w:hAnsi="Arial"/>
                <w:sz w:val="16"/>
                <w:szCs w:val="16"/>
                <w:color w:val="231F20"/>
              </w:rPr>
            </w:pPr>
            <w:hyperlink r:id="rId296">
              <w:r>
                <w:rPr>
                  <w:rFonts w:ascii="Arial" w:cs="Arial" w:eastAsia="Arial" w:hAnsi="Arial"/>
                  <w:sz w:val="16"/>
                  <w:szCs w:val="16"/>
                  <w:color w:val="231F20"/>
                </w:rPr>
                <w:t>Fiscal and Paying Agency Agreement between the Company and Citibank, N.A., London Branch as Fiscal Agent, Principal Paying Agent and</w:t>
              </w:r>
            </w:hyperlink>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EE"/>
            </w:tcBorders>
            <w:gridSpan w:val="15"/>
          </w:tcPr>
          <w:p>
            <w:pPr>
              <w:spacing w:after="0" w:line="158" w:lineRule="exact"/>
              <w:rPr>
                <w:rFonts w:ascii="Arial" w:cs="Arial" w:eastAsia="Arial" w:hAnsi="Arial"/>
                <w:sz w:val="16"/>
                <w:szCs w:val="16"/>
                <w:color w:val="231F20"/>
                <w:w w:val="97"/>
              </w:rPr>
            </w:pPr>
            <w:hyperlink r:id="rId296">
              <w:r>
                <w:rPr>
                  <w:rFonts w:ascii="Arial" w:cs="Arial" w:eastAsia="Arial" w:hAnsi="Arial"/>
                  <w:sz w:val="16"/>
                  <w:szCs w:val="16"/>
                  <w:color w:val="231F20"/>
                  <w:w w:val="97"/>
                </w:rPr>
                <w:t>Registrar and Transfer Agent, dated as of June 22, 2018 (including the form of Note attached thereto as Schedule I), incorporated by reference</w:t>
              </w:r>
            </w:hyperlink>
          </w:p>
        </w:tc>
        <w:tc>
          <w:tcPr>
            <w:tcW w:w="20" w:type="dxa"/>
            <w:vAlign w:val="bottom"/>
          </w:tcPr>
          <w:p>
            <w:pPr>
              <w:spacing w:after="0"/>
              <w:rPr>
                <w:sz w:val="13"/>
                <w:szCs w:val="13"/>
                <w:color w:val="auto"/>
              </w:rPr>
            </w:pPr>
          </w:p>
        </w:tc>
        <w:tc>
          <w:tcPr>
            <w:tcW w:w="460" w:type="dxa"/>
            <w:vAlign w:val="bottom"/>
            <w:gridSpan w:val="7"/>
          </w:tcPr>
          <w:p>
            <w:pPr>
              <w:ind w:left="120"/>
              <w:spacing w:after="0" w:line="158" w:lineRule="exact"/>
              <w:rPr>
                <w:rFonts w:ascii="Arial" w:cs="Arial" w:eastAsia="Arial" w:hAnsi="Arial"/>
                <w:sz w:val="16"/>
                <w:szCs w:val="16"/>
                <w:color w:val="231F20"/>
              </w:rPr>
            </w:pPr>
            <w:hyperlink r:id="rId296">
              <w:r>
                <w:rPr>
                  <w:rFonts w:ascii="Arial" w:cs="Arial" w:eastAsia="Arial" w:hAnsi="Arial"/>
                  <w:sz w:val="16"/>
                  <w:szCs w:val="16"/>
                  <w:color w:val="231F20"/>
                </w:rPr>
                <w:t>to</w:t>
              </w:r>
            </w:hyperlink>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560" w:type="dxa"/>
            <w:vAlign w:val="bottom"/>
            <w:tcBorders>
              <w:top w:val="single" w:sz="8" w:color="0000EE"/>
              <w:bottom w:val="single" w:sz="8" w:color="0000EE"/>
            </w:tcBorders>
            <w:gridSpan w:val="8"/>
          </w:tcPr>
          <w:p>
            <w:pPr>
              <w:spacing w:after="0" w:line="158" w:lineRule="exact"/>
              <w:rPr>
                <w:rFonts w:ascii="Arial" w:cs="Arial" w:eastAsia="Arial" w:hAnsi="Arial"/>
                <w:sz w:val="16"/>
                <w:szCs w:val="16"/>
                <w:color w:val="231F20"/>
                <w:w w:val="97"/>
              </w:rPr>
            </w:pPr>
            <w:hyperlink r:id="rId296">
              <w:r>
                <w:rPr>
                  <w:rFonts w:ascii="Arial" w:cs="Arial" w:eastAsia="Arial" w:hAnsi="Arial"/>
                  <w:sz w:val="16"/>
                  <w:szCs w:val="16"/>
                  <w:color w:val="231F20"/>
                  <w:w w:val="97"/>
                </w:rPr>
                <w:t>the Company’s Current Report on Form 8-K dated June 22, 2018.</w:t>
              </w:r>
            </w:hyperlink>
          </w:p>
        </w:tc>
        <w:tc>
          <w:tcPr>
            <w:tcW w:w="5580" w:type="dxa"/>
            <w:vAlign w:val="bottom"/>
            <w:tcBorders>
              <w:top w:val="single" w:sz="8" w:color="0000EE"/>
            </w:tcBorders>
            <w:gridSpan w:val="11"/>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4.2</w:t>
            </w:r>
          </w:p>
        </w:tc>
        <w:tc>
          <w:tcPr>
            <w:tcW w:w="10340" w:type="dxa"/>
            <w:vAlign w:val="bottom"/>
            <w:gridSpan w:val="24"/>
          </w:tcPr>
          <w:p>
            <w:pPr>
              <w:spacing w:after="0"/>
              <w:rPr>
                <w:rFonts w:ascii="Arial" w:cs="Arial" w:eastAsia="Arial" w:hAnsi="Arial"/>
                <w:sz w:val="16"/>
                <w:szCs w:val="16"/>
                <w:color w:val="231F20"/>
              </w:rPr>
            </w:pPr>
            <w:hyperlink r:id="rId297">
              <w:r>
                <w:rPr>
                  <w:rFonts w:ascii="Arial" w:cs="Arial" w:eastAsia="Arial" w:hAnsi="Arial"/>
                  <w:sz w:val="16"/>
                  <w:szCs w:val="16"/>
                  <w:color w:val="231F20"/>
                </w:rPr>
                <w:t>Fiscal and Paying Agency Agreement between the Company and Citibank, N.A., as Fiscal Agent, Principal Paying Agent and Registrar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320" w:type="dxa"/>
            <w:vAlign w:val="bottom"/>
            <w:gridSpan w:val="23"/>
          </w:tcPr>
          <w:p>
            <w:pPr>
              <w:spacing w:after="0" w:line="158" w:lineRule="exact"/>
              <w:rPr>
                <w:rFonts w:ascii="Arial" w:cs="Arial" w:eastAsia="Arial" w:hAnsi="Arial"/>
                <w:sz w:val="16"/>
                <w:szCs w:val="16"/>
                <w:color w:val="231F20"/>
                <w:w w:val="99"/>
              </w:rPr>
            </w:pPr>
            <w:hyperlink r:id="rId297">
              <w:r>
                <w:rPr>
                  <w:rFonts w:ascii="Arial" w:cs="Arial" w:eastAsia="Arial" w:hAnsi="Arial"/>
                  <w:sz w:val="16"/>
                  <w:szCs w:val="16"/>
                  <w:color w:val="231F20"/>
                  <w:w w:val="99"/>
                </w:rPr>
                <w:t>Transfer Agent, dated as of June 30, 2022 (including the form of Note attached thereto as Schedule I), incorporated by reference to the Company’s</w:t>
              </w:r>
            </w:hyperlink>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60" w:type="dxa"/>
            <w:vAlign w:val="bottom"/>
            <w:tcBorders>
              <w:top w:val="single" w:sz="8" w:color="0000EE"/>
            </w:tcBorders>
            <w:gridSpan w:val="20"/>
          </w:tcPr>
          <w:p>
            <w:pPr>
              <w:spacing w:after="0" w:line="158" w:lineRule="exact"/>
              <w:rPr>
                <w:rFonts w:ascii="Arial" w:cs="Arial" w:eastAsia="Arial" w:hAnsi="Arial"/>
                <w:sz w:val="16"/>
                <w:szCs w:val="16"/>
                <w:color w:val="231F20"/>
              </w:rPr>
            </w:pPr>
            <w:hyperlink r:id="rId297">
              <w:r>
                <w:rPr>
                  <w:rFonts w:ascii="Arial" w:cs="Arial" w:eastAsia="Arial" w:hAnsi="Arial"/>
                  <w:sz w:val="16"/>
                  <w:szCs w:val="16"/>
                  <w:color w:val="231F20"/>
                </w:rPr>
                <w:t>Current Report on Form 8-K dated June 30, 2022.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920" w:type="dxa"/>
            <w:vAlign w:val="bottom"/>
            <w:vMerge w:val="restart"/>
          </w:tcPr>
          <w:p>
            <w:pPr>
              <w:spacing w:after="0"/>
              <w:rPr>
                <w:sz w:val="20"/>
                <w:szCs w:val="20"/>
                <w:color w:val="auto"/>
              </w:rPr>
            </w:pPr>
            <w:r>
              <w:rPr>
                <w:rFonts w:ascii="Arial" w:cs="Arial" w:eastAsia="Arial" w:hAnsi="Arial"/>
                <w:sz w:val="16"/>
                <w:szCs w:val="16"/>
                <w:color w:val="231F20"/>
              </w:rPr>
              <w:t>4.3</w:t>
            </w:r>
          </w:p>
        </w:tc>
        <w:tc>
          <w:tcPr>
            <w:tcW w:w="10340" w:type="dxa"/>
            <w:vAlign w:val="bottom"/>
            <w:gridSpan w:val="24"/>
          </w:tcPr>
          <w:p>
            <w:pPr>
              <w:spacing w:after="0"/>
              <w:rPr>
                <w:rFonts w:ascii="Arial" w:cs="Arial" w:eastAsia="Arial" w:hAnsi="Arial"/>
                <w:sz w:val="16"/>
                <w:szCs w:val="16"/>
                <w:color w:val="231F20"/>
              </w:rPr>
            </w:pPr>
            <w:hyperlink r:id="rId298">
              <w:r>
                <w:rPr>
                  <w:rFonts w:ascii="Arial" w:cs="Arial" w:eastAsia="Arial" w:hAnsi="Arial"/>
                  <w:sz w:val="16"/>
                  <w:szCs w:val="16"/>
                  <w:color w:val="231F20"/>
                </w:rPr>
                <w:t>Description of Securities Registered Pursuant to Section 12 of the Securities Exchange Act of 1934 incorporated by reference to the Company’s</w:t>
              </w:r>
            </w:hyperlink>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920" w:type="dxa"/>
            <w:vAlign w:val="bottom"/>
            <w:vMerge w:val="continue"/>
          </w:tcPr>
          <w:p>
            <w:pPr>
              <w:spacing w:after="0"/>
              <w:rPr>
                <w:sz w:val="8"/>
                <w:szCs w:val="8"/>
                <w:color w:val="auto"/>
              </w:rPr>
            </w:pPr>
          </w:p>
        </w:tc>
        <w:tc>
          <w:tcPr>
            <w:tcW w:w="10340" w:type="dxa"/>
            <w:vAlign w:val="bottom"/>
            <w:gridSpan w:val="24"/>
            <w:vMerge w:val="restart"/>
          </w:tcPr>
          <w:p>
            <w:pPr>
              <w:spacing w:after="0" w:line="158" w:lineRule="exact"/>
              <w:rPr>
                <w:rFonts w:ascii="Arial" w:cs="Arial" w:eastAsia="Arial" w:hAnsi="Arial"/>
                <w:sz w:val="16"/>
                <w:szCs w:val="16"/>
                <w:color w:val="231F20"/>
              </w:rPr>
            </w:pPr>
            <w:hyperlink r:id="rId298">
              <w:r>
                <w:rPr>
                  <w:rFonts w:ascii="Arial" w:cs="Arial" w:eastAsia="Arial" w:hAnsi="Arial"/>
                  <w:sz w:val="16"/>
                  <w:szCs w:val="16"/>
                  <w:color w:val="231F20"/>
                </w:rPr>
                <w:t>Annual Report on Form 10-K for the year ended December 31, 2020.</w:t>
              </w:r>
            </w:hyperlink>
          </w:p>
        </w:tc>
        <w:tc>
          <w:tcPr>
            <w:tcW w:w="0" w:type="dxa"/>
            <w:vAlign w:val="bottom"/>
          </w:tcPr>
          <w:p>
            <w:pPr>
              <w:spacing w:after="0"/>
              <w:rPr>
                <w:sz w:val="1"/>
                <w:szCs w:val="1"/>
                <w:color w:val="auto"/>
              </w:rPr>
            </w:pPr>
          </w:p>
        </w:tc>
      </w:tr>
      <w:tr>
        <w:trPr>
          <w:trHeight w:val="56"/>
        </w:trPr>
        <w:tc>
          <w:tcPr>
            <w:tcW w:w="920" w:type="dxa"/>
            <w:vAlign w:val="bottom"/>
          </w:tcPr>
          <w:p>
            <w:pPr>
              <w:spacing w:after="0"/>
              <w:rPr>
                <w:sz w:val="4"/>
                <w:szCs w:val="4"/>
                <w:color w:val="auto"/>
              </w:rPr>
            </w:pPr>
          </w:p>
        </w:tc>
        <w:tc>
          <w:tcPr>
            <w:tcW w:w="103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10.1</w:t>
            </w:r>
          </w:p>
        </w:tc>
        <w:tc>
          <w:tcPr>
            <w:tcW w:w="10340" w:type="dxa"/>
            <w:vAlign w:val="bottom"/>
            <w:gridSpan w:val="24"/>
          </w:tcPr>
          <w:p>
            <w:pPr>
              <w:spacing w:after="0"/>
              <w:rPr>
                <w:rFonts w:ascii="Arial" w:cs="Arial" w:eastAsia="Arial" w:hAnsi="Arial"/>
                <w:sz w:val="16"/>
                <w:szCs w:val="16"/>
                <w:color w:val="231F20"/>
              </w:rPr>
            </w:pPr>
            <w:hyperlink r:id="rId299">
              <w:r>
                <w:rPr>
                  <w:rFonts w:ascii="Arial" w:cs="Arial" w:eastAsia="Arial" w:hAnsi="Arial"/>
                  <w:sz w:val="16"/>
                  <w:szCs w:val="16"/>
                  <w:color w:val="231F20"/>
                </w:rPr>
                <w:t>Credit Agreement dated as of May 27, 2022 among the Company, a syndicate of lenders and JPMorgan Chase Bank, N.A., as Administrative</w:t>
              </w:r>
            </w:hyperlink>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7040" w:type="dxa"/>
            <w:vAlign w:val="bottom"/>
            <w:tcBorders>
              <w:top w:val="single" w:sz="8" w:color="0000EE"/>
              <w:bottom w:val="single" w:sz="8" w:color="0000EE"/>
            </w:tcBorders>
            <w:gridSpan w:val="11"/>
          </w:tcPr>
          <w:p>
            <w:pPr>
              <w:spacing w:after="0" w:line="158" w:lineRule="exact"/>
              <w:rPr>
                <w:rFonts w:ascii="Arial" w:cs="Arial" w:eastAsia="Arial" w:hAnsi="Arial"/>
                <w:sz w:val="16"/>
                <w:szCs w:val="16"/>
                <w:color w:val="231F20"/>
                <w:w w:val="98"/>
              </w:rPr>
            </w:pPr>
            <w:hyperlink r:id="rId299">
              <w:r>
                <w:rPr>
                  <w:rFonts w:ascii="Arial" w:cs="Arial" w:eastAsia="Arial" w:hAnsi="Arial"/>
                  <w:sz w:val="16"/>
                  <w:szCs w:val="16"/>
                  <w:color w:val="231F20"/>
                  <w:w w:val="98"/>
                </w:rPr>
                <w:t>Agent, incorporated by reference to the Company’s Current Report on Form 8-K dated May 27, 2022.</w:t>
              </w:r>
            </w:hyperlink>
          </w:p>
        </w:tc>
        <w:tc>
          <w:tcPr>
            <w:tcW w:w="2820" w:type="dxa"/>
            <w:vAlign w:val="bottom"/>
            <w:tcBorders>
              <w:top w:val="single" w:sz="8" w:color="0000EE"/>
            </w:tcBorders>
            <w:gridSpan w:val="5"/>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10.2</w:t>
            </w:r>
          </w:p>
        </w:tc>
        <w:tc>
          <w:tcPr>
            <w:tcW w:w="10340" w:type="dxa"/>
            <w:vAlign w:val="bottom"/>
            <w:gridSpan w:val="24"/>
          </w:tcPr>
          <w:p>
            <w:pPr>
              <w:spacing w:after="0"/>
              <w:rPr>
                <w:rFonts w:ascii="Arial" w:cs="Arial" w:eastAsia="Arial" w:hAnsi="Arial"/>
                <w:sz w:val="16"/>
                <w:szCs w:val="16"/>
                <w:color w:val="231F20"/>
              </w:rPr>
            </w:pPr>
            <w:hyperlink r:id="rId300">
              <w:r>
                <w:rPr>
                  <w:rFonts w:ascii="Arial" w:cs="Arial" w:eastAsia="Arial" w:hAnsi="Arial"/>
                  <w:sz w:val="16"/>
                  <w:szCs w:val="16"/>
                  <w:color w:val="231F20"/>
                </w:rPr>
                <w:t>Manpower Savings Related Share Option Scheme incorporated by reference to the Company’s Annual Report on Form 10-K for the year ended</w:t>
              </w:r>
            </w:hyperlink>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1580" w:type="dxa"/>
            <w:vAlign w:val="bottom"/>
            <w:tcBorders>
              <w:top w:val="single" w:sz="8" w:color="0000EE"/>
              <w:bottom w:val="single" w:sz="8" w:color="0000EE"/>
            </w:tcBorders>
            <w:gridSpan w:val="3"/>
          </w:tcPr>
          <w:p>
            <w:pPr>
              <w:spacing w:after="0" w:line="158" w:lineRule="exact"/>
              <w:rPr>
                <w:rFonts w:ascii="Arial" w:cs="Arial" w:eastAsia="Arial" w:hAnsi="Arial"/>
                <w:sz w:val="16"/>
                <w:szCs w:val="16"/>
                <w:color w:val="231F20"/>
                <w:w w:val="96"/>
              </w:rPr>
            </w:pPr>
            <w:hyperlink r:id="rId300">
              <w:r>
                <w:rPr>
                  <w:rFonts w:ascii="Arial" w:cs="Arial" w:eastAsia="Arial" w:hAnsi="Arial"/>
                  <w:sz w:val="16"/>
                  <w:szCs w:val="16"/>
                  <w:color w:val="231F20"/>
                  <w:w w:val="96"/>
                </w:rPr>
                <w:t>December 31, 2010. **</w:t>
              </w:r>
            </w:hyperlink>
          </w:p>
        </w:tc>
        <w:tc>
          <w:tcPr>
            <w:tcW w:w="8460" w:type="dxa"/>
            <w:vAlign w:val="bottom"/>
            <w:tcBorders>
              <w:top w:val="single" w:sz="8" w:color="0000EE"/>
            </w:tcBorders>
            <w:gridSpan w:val="15"/>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10.3</w:t>
            </w:r>
          </w:p>
        </w:tc>
        <w:tc>
          <w:tcPr>
            <w:tcW w:w="10340" w:type="dxa"/>
            <w:vAlign w:val="bottom"/>
            <w:gridSpan w:val="24"/>
          </w:tcPr>
          <w:p>
            <w:pPr>
              <w:spacing w:after="0"/>
              <w:rPr>
                <w:rFonts w:ascii="Arial" w:cs="Arial" w:eastAsia="Arial" w:hAnsi="Arial"/>
                <w:sz w:val="16"/>
                <w:szCs w:val="16"/>
                <w:color w:val="231F20"/>
              </w:rPr>
            </w:pPr>
            <w:hyperlink r:id="rId301">
              <w:r>
                <w:rPr>
                  <w:rFonts w:ascii="Arial" w:cs="Arial" w:eastAsia="Arial" w:hAnsi="Arial"/>
                  <w:sz w:val="16"/>
                  <w:szCs w:val="16"/>
                  <w:color w:val="231F20"/>
                </w:rPr>
                <w:t>Manpower 1990 Employee Stock Purchase Plan (Amended and Restated effective April 26, 2005), incorporated by reference to the Company’s</w:t>
              </w:r>
            </w:hyperlink>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EE"/>
            </w:tcBorders>
            <w:gridSpan w:val="18"/>
          </w:tcPr>
          <w:p>
            <w:pPr>
              <w:spacing w:after="0" w:line="158" w:lineRule="exact"/>
              <w:rPr>
                <w:rFonts w:ascii="Arial" w:cs="Arial" w:eastAsia="Arial" w:hAnsi="Arial"/>
                <w:sz w:val="16"/>
                <w:szCs w:val="16"/>
                <w:color w:val="231F20"/>
              </w:rPr>
            </w:pPr>
            <w:hyperlink r:id="rId301">
              <w:r>
                <w:rPr>
                  <w:rFonts w:ascii="Arial" w:cs="Arial" w:eastAsia="Arial" w:hAnsi="Arial"/>
                  <w:sz w:val="16"/>
                  <w:szCs w:val="16"/>
                  <w:color w:val="231F20"/>
                </w:rPr>
                <w:t>Proxy Statement for the 2005 Annual Meeting of Shareholders.**</w:t>
              </w:r>
            </w:hyperlink>
          </w:p>
        </w:tc>
        <w:tc>
          <w:tcPr>
            <w:tcW w:w="10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10.6(a)</w:t>
            </w:r>
          </w:p>
        </w:tc>
        <w:tc>
          <w:tcPr>
            <w:tcW w:w="10340" w:type="dxa"/>
            <w:vAlign w:val="bottom"/>
            <w:gridSpan w:val="24"/>
          </w:tcPr>
          <w:p>
            <w:pPr>
              <w:spacing w:after="0"/>
              <w:rPr>
                <w:rFonts w:ascii="Arial" w:cs="Arial" w:eastAsia="Arial" w:hAnsi="Arial"/>
                <w:sz w:val="16"/>
                <w:szCs w:val="16"/>
                <w:color w:val="231F20"/>
              </w:rPr>
            </w:pPr>
            <w:hyperlink r:id="rId74">
              <w:r>
                <w:rPr>
                  <w:rFonts w:ascii="Arial" w:cs="Arial" w:eastAsia="Arial" w:hAnsi="Arial"/>
                  <w:sz w:val="16"/>
                  <w:szCs w:val="16"/>
                  <w:color w:val="231F20"/>
                </w:rPr>
                <w:t>Terms and Conditions Regarding the Grant of Awards to Non-Employee Directors Under the 2011 Equity Incentive Plan (Amended and Restated</w:t>
              </w:r>
            </w:hyperlink>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EE"/>
            </w:tcBorders>
            <w:gridSpan w:val="19"/>
          </w:tcPr>
          <w:p>
            <w:pPr>
              <w:spacing w:after="0" w:line="158" w:lineRule="exact"/>
              <w:rPr>
                <w:rFonts w:ascii="Arial" w:cs="Arial" w:eastAsia="Arial" w:hAnsi="Arial"/>
                <w:sz w:val="16"/>
                <w:szCs w:val="16"/>
                <w:color w:val="231F20"/>
                <w:w w:val="99"/>
              </w:rPr>
            </w:pPr>
            <w:hyperlink r:id="rId74">
              <w:r>
                <w:rPr>
                  <w:rFonts w:ascii="Arial" w:cs="Arial" w:eastAsia="Arial" w:hAnsi="Arial"/>
                  <w:sz w:val="16"/>
                  <w:szCs w:val="16"/>
                  <w:color w:val="231F20"/>
                  <w:w w:val="99"/>
                </w:rPr>
                <w:t>January 1, 2024), incorporated by reference to Exhibit 10.6(a) of the Company's Annual Report on Form 10-K for the year ended December 31,</w:t>
              </w:r>
            </w:hyperlink>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540" w:type="dxa"/>
            <w:vAlign w:val="bottom"/>
            <w:tcBorders>
              <w:top w:val="single" w:sz="8" w:color="0000EE"/>
              <w:bottom w:val="single" w:sz="8" w:color="0000EE"/>
            </w:tcBorders>
            <w:gridSpan w:val="2"/>
          </w:tcPr>
          <w:p>
            <w:pPr>
              <w:spacing w:after="0" w:line="158" w:lineRule="exact"/>
              <w:rPr>
                <w:rFonts w:ascii="Arial" w:cs="Arial" w:eastAsia="Arial" w:hAnsi="Arial"/>
                <w:sz w:val="16"/>
                <w:szCs w:val="16"/>
                <w:color w:val="231F20"/>
                <w:w w:val="91"/>
              </w:rPr>
            </w:pPr>
            <w:hyperlink r:id="rId74">
              <w:r>
                <w:rPr>
                  <w:rFonts w:ascii="Arial" w:cs="Arial" w:eastAsia="Arial" w:hAnsi="Arial"/>
                  <w:sz w:val="16"/>
                  <w:szCs w:val="16"/>
                  <w:color w:val="231F20"/>
                  <w:w w:val="91"/>
                </w:rPr>
                <w:t>2023. **</w:t>
              </w:r>
            </w:hyperlink>
          </w:p>
        </w:tc>
        <w:tc>
          <w:tcPr>
            <w:tcW w:w="1040" w:type="dxa"/>
            <w:vAlign w:val="bottom"/>
            <w:tcBorders>
              <w:top w:val="single" w:sz="8" w:color="0000EE"/>
            </w:tcBorders>
          </w:tcPr>
          <w:p>
            <w:pPr>
              <w:spacing w:after="0"/>
              <w:rPr>
                <w:sz w:val="13"/>
                <w:szCs w:val="13"/>
                <w:color w:val="auto"/>
              </w:rPr>
            </w:pPr>
          </w:p>
        </w:tc>
        <w:tc>
          <w:tcPr>
            <w:tcW w:w="1000" w:type="dxa"/>
            <w:vAlign w:val="bottom"/>
            <w:tcBorders>
              <w:top w:val="single" w:sz="8" w:color="0000EE"/>
            </w:tcBorders>
          </w:tcPr>
          <w:p>
            <w:pPr>
              <w:spacing w:after="0"/>
              <w:rPr>
                <w:sz w:val="13"/>
                <w:szCs w:val="13"/>
                <w:color w:val="auto"/>
              </w:rPr>
            </w:pPr>
          </w:p>
        </w:tc>
        <w:tc>
          <w:tcPr>
            <w:tcW w:w="880" w:type="dxa"/>
            <w:vAlign w:val="bottom"/>
            <w:tcBorders>
              <w:top w:val="single" w:sz="8" w:color="0000EE"/>
            </w:tcBorders>
          </w:tcPr>
          <w:p>
            <w:pPr>
              <w:spacing w:after="0"/>
              <w:rPr>
                <w:sz w:val="13"/>
                <w:szCs w:val="13"/>
                <w:color w:val="auto"/>
              </w:rPr>
            </w:pPr>
          </w:p>
        </w:tc>
        <w:tc>
          <w:tcPr>
            <w:tcW w:w="68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00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10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5"/>
        </w:trPr>
        <w:tc>
          <w:tcPr>
            <w:tcW w:w="920" w:type="dxa"/>
            <w:vAlign w:val="bottom"/>
            <w:vMerge w:val="restart"/>
          </w:tcPr>
          <w:p>
            <w:pPr>
              <w:spacing w:after="0"/>
              <w:rPr>
                <w:sz w:val="20"/>
                <w:szCs w:val="20"/>
                <w:color w:val="auto"/>
              </w:rPr>
            </w:pPr>
            <w:r>
              <w:rPr>
                <w:rFonts w:ascii="Arial" w:cs="Arial" w:eastAsia="Arial" w:hAnsi="Arial"/>
                <w:sz w:val="16"/>
                <w:szCs w:val="16"/>
                <w:color w:val="231F20"/>
              </w:rPr>
              <w:t>10.6(b)</w:t>
            </w:r>
          </w:p>
        </w:tc>
        <w:tc>
          <w:tcPr>
            <w:tcW w:w="10340" w:type="dxa"/>
            <w:vAlign w:val="bottom"/>
            <w:gridSpan w:val="24"/>
          </w:tcPr>
          <w:p>
            <w:pPr>
              <w:spacing w:after="0"/>
              <w:rPr>
                <w:rFonts w:ascii="Arial" w:cs="Arial" w:eastAsia="Arial" w:hAnsi="Arial"/>
                <w:sz w:val="16"/>
                <w:szCs w:val="16"/>
                <w:color w:val="231F20"/>
              </w:rPr>
            </w:pPr>
            <w:hyperlink r:id="rId74">
              <w:r>
                <w:rPr>
                  <w:rFonts w:ascii="Arial" w:cs="Arial" w:eastAsia="Arial" w:hAnsi="Arial"/>
                  <w:sz w:val="16"/>
                  <w:szCs w:val="16"/>
                  <w:color w:val="231F20"/>
                </w:rPr>
                <w:t>ManpowerGroup Inc. Compensation for Non-Employee Directors (Amended and Restated Effective January 1, 2024). incorporate by reference to</w:t>
              </w:r>
            </w:hyperlink>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920" w:type="dxa"/>
            <w:vAlign w:val="bottom"/>
            <w:vMerge w:val="continue"/>
          </w:tcPr>
          <w:p>
            <w:pPr>
              <w:spacing w:after="0"/>
              <w:rPr>
                <w:sz w:val="8"/>
                <w:szCs w:val="8"/>
                <w:color w:val="auto"/>
              </w:rPr>
            </w:pPr>
          </w:p>
        </w:tc>
        <w:tc>
          <w:tcPr>
            <w:tcW w:w="7260" w:type="dxa"/>
            <w:vAlign w:val="bottom"/>
            <w:gridSpan w:val="13"/>
            <w:vMerge w:val="restart"/>
          </w:tcPr>
          <w:p>
            <w:pPr>
              <w:spacing w:after="0" w:line="158" w:lineRule="exact"/>
              <w:rPr>
                <w:rFonts w:ascii="Arial" w:cs="Arial" w:eastAsia="Arial" w:hAnsi="Arial"/>
                <w:sz w:val="16"/>
                <w:szCs w:val="16"/>
                <w:color w:val="231F20"/>
                <w:w w:val="98"/>
              </w:rPr>
            </w:pPr>
            <w:hyperlink r:id="rId74">
              <w:r>
                <w:rPr>
                  <w:rFonts w:ascii="Arial" w:cs="Arial" w:eastAsia="Arial" w:hAnsi="Arial"/>
                  <w:sz w:val="16"/>
                  <w:szCs w:val="16"/>
                  <w:color w:val="231F20"/>
                  <w:w w:val="98"/>
                </w:rPr>
                <w:t>Exhibit 10.6(b) of the Company's Annual Report on Form 10-K for the year ended December 31, 2023.**</w:t>
              </w:r>
            </w:hyperlink>
          </w:p>
        </w:tc>
        <w:tc>
          <w:tcPr>
            <w:tcW w:w="3080" w:type="dxa"/>
            <w:vAlign w:val="bottom"/>
            <w:gridSpan w:val="11"/>
            <w:vMerge w:val="restart"/>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4"/>
                <w:szCs w:val="4"/>
                <w:color w:val="auto"/>
              </w:rPr>
            </w:pPr>
          </w:p>
        </w:tc>
        <w:tc>
          <w:tcPr>
            <w:tcW w:w="7260" w:type="dxa"/>
            <w:vAlign w:val="bottom"/>
            <w:tcBorders>
              <w:bottom w:val="single" w:sz="8" w:color="0000EE"/>
            </w:tcBorders>
            <w:gridSpan w:val="13"/>
            <w:vMerge w:val="continue"/>
          </w:tcPr>
          <w:p>
            <w:pPr>
              <w:spacing w:after="0"/>
              <w:rPr>
                <w:sz w:val="4"/>
                <w:szCs w:val="4"/>
                <w:color w:val="auto"/>
              </w:rPr>
            </w:pPr>
          </w:p>
        </w:tc>
        <w:tc>
          <w:tcPr>
            <w:tcW w:w="308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10.6(c)</w:t>
            </w:r>
          </w:p>
        </w:tc>
        <w:tc>
          <w:tcPr>
            <w:tcW w:w="10340" w:type="dxa"/>
            <w:vAlign w:val="bottom"/>
            <w:gridSpan w:val="24"/>
          </w:tcPr>
          <w:p>
            <w:pPr>
              <w:spacing w:after="0"/>
              <w:rPr>
                <w:rFonts w:ascii="Arial" w:cs="Arial" w:eastAsia="Arial" w:hAnsi="Arial"/>
                <w:sz w:val="16"/>
                <w:szCs w:val="16"/>
                <w:color w:val="231F20"/>
              </w:rPr>
            </w:pPr>
            <w:hyperlink r:id="rId302">
              <w:r>
                <w:rPr>
                  <w:rFonts w:ascii="Arial" w:cs="Arial" w:eastAsia="Arial" w:hAnsi="Arial"/>
                  <w:sz w:val="16"/>
                  <w:szCs w:val="16"/>
                  <w:color w:val="231F20"/>
                </w:rPr>
                <w:t>Letter Agreement between Jonas Prising and the Company dated as of February 17, 2023, incorporated by reference to the Company's Annual</w:t>
              </w:r>
            </w:hyperlink>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480" w:type="dxa"/>
            <w:vAlign w:val="bottom"/>
            <w:tcBorders>
              <w:top w:val="single" w:sz="8" w:color="0000EE"/>
              <w:bottom w:val="single" w:sz="8" w:color="0000EE"/>
            </w:tcBorders>
            <w:gridSpan w:val="7"/>
          </w:tcPr>
          <w:p>
            <w:pPr>
              <w:spacing w:after="0" w:line="158" w:lineRule="exact"/>
              <w:rPr>
                <w:rFonts w:ascii="Arial" w:cs="Arial" w:eastAsia="Arial" w:hAnsi="Arial"/>
                <w:sz w:val="16"/>
                <w:szCs w:val="16"/>
                <w:color w:val="231F20"/>
                <w:w w:val="98"/>
              </w:rPr>
            </w:pPr>
            <w:hyperlink r:id="rId302">
              <w:r>
                <w:rPr>
                  <w:rFonts w:ascii="Arial" w:cs="Arial" w:eastAsia="Arial" w:hAnsi="Arial"/>
                  <w:sz w:val="16"/>
                  <w:szCs w:val="16"/>
                  <w:color w:val="231F20"/>
                  <w:w w:val="98"/>
                </w:rPr>
                <w:t>Report on Form 10-K for the year ended December 31, 2022. **</w:t>
              </w:r>
            </w:hyperlink>
          </w:p>
        </w:tc>
        <w:tc>
          <w:tcPr>
            <w:tcW w:w="5520" w:type="dxa"/>
            <w:vAlign w:val="bottom"/>
            <w:tcBorders>
              <w:top w:val="single" w:sz="8" w:color="0000EE"/>
            </w:tcBorders>
            <w:gridSpan w:val="10"/>
          </w:tcPr>
          <w:p>
            <w:pPr>
              <w:spacing w:after="0"/>
              <w:rPr>
                <w:sz w:val="13"/>
                <w:szCs w:val="13"/>
                <w:color w:val="auto"/>
              </w:rPr>
            </w:pPr>
          </w:p>
        </w:tc>
        <w:tc>
          <w:tcPr>
            <w:tcW w:w="3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10.6(d)</w:t>
            </w:r>
          </w:p>
        </w:tc>
        <w:tc>
          <w:tcPr>
            <w:tcW w:w="6800" w:type="dxa"/>
            <w:vAlign w:val="bottom"/>
            <w:tcBorders>
              <w:bottom w:val="single" w:sz="8" w:color="0000EE"/>
            </w:tcBorders>
            <w:gridSpan w:val="11"/>
          </w:tcPr>
          <w:p>
            <w:pPr>
              <w:spacing w:after="0"/>
              <w:rPr>
                <w:rFonts w:ascii="Arial" w:cs="Arial" w:eastAsia="Arial" w:hAnsi="Arial"/>
                <w:sz w:val="16"/>
                <w:szCs w:val="16"/>
                <w:color w:val="231F20"/>
                <w:w w:val="98"/>
              </w:rPr>
            </w:pPr>
            <w:hyperlink r:id="rId303">
              <w:r>
                <w:rPr>
                  <w:rFonts w:ascii="Arial" w:cs="Arial" w:eastAsia="Arial" w:hAnsi="Arial"/>
                  <w:sz w:val="16"/>
                  <w:szCs w:val="16"/>
                  <w:color w:val="231F20"/>
                  <w:w w:val="98"/>
                </w:rPr>
                <w:t>Transition Agreement between Richard Buchband and the Company as of December 17, 2024. **</w:t>
              </w:r>
            </w:hyperlink>
          </w:p>
        </w:tc>
        <w:tc>
          <w:tcPr>
            <w:tcW w:w="35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10.6(e)</w:t>
            </w:r>
          </w:p>
        </w:tc>
        <w:tc>
          <w:tcPr>
            <w:tcW w:w="10340" w:type="dxa"/>
            <w:vAlign w:val="bottom"/>
            <w:gridSpan w:val="24"/>
          </w:tcPr>
          <w:p>
            <w:pPr>
              <w:spacing w:after="0"/>
              <w:rPr>
                <w:rFonts w:ascii="Arial" w:cs="Arial" w:eastAsia="Arial" w:hAnsi="Arial"/>
                <w:sz w:val="16"/>
                <w:szCs w:val="16"/>
                <w:color w:val="231F20"/>
              </w:rPr>
            </w:pPr>
            <w:hyperlink r:id="rId304">
              <w:r>
                <w:rPr>
                  <w:rFonts w:ascii="Arial" w:cs="Arial" w:eastAsia="Arial" w:hAnsi="Arial"/>
                  <w:sz w:val="16"/>
                  <w:szCs w:val="16"/>
                  <w:color w:val="231F20"/>
                </w:rPr>
                <w:t>2011 Equity Incentive Plan of Manpower Inc. (Amended and Restated Effective May 8, 2020), incorporated by reference to the Company’s</w:t>
              </w:r>
            </w:hyperlink>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EE"/>
            </w:tcBorders>
            <w:gridSpan w:val="14"/>
          </w:tcPr>
          <w:p>
            <w:pPr>
              <w:spacing w:after="0" w:line="158" w:lineRule="exact"/>
              <w:rPr>
                <w:rFonts w:ascii="Arial" w:cs="Arial" w:eastAsia="Arial" w:hAnsi="Arial"/>
                <w:sz w:val="16"/>
                <w:szCs w:val="16"/>
                <w:color w:val="231F20"/>
              </w:rPr>
            </w:pPr>
            <w:hyperlink r:id="rId304">
              <w:r>
                <w:rPr>
                  <w:rFonts w:ascii="Arial" w:cs="Arial" w:eastAsia="Arial" w:hAnsi="Arial"/>
                  <w:sz w:val="16"/>
                  <w:szCs w:val="16"/>
                  <w:color w:val="231F20"/>
                </w:rPr>
                <w:t>Registration Statement on Form S-8 dated May 29, 2020. **</w:t>
              </w:r>
            </w:hyperlink>
          </w:p>
        </w:tc>
        <w:tc>
          <w:tcPr>
            <w:tcW w:w="5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10.6(f)</w:t>
            </w:r>
          </w:p>
        </w:tc>
        <w:tc>
          <w:tcPr>
            <w:tcW w:w="10340" w:type="dxa"/>
            <w:vAlign w:val="bottom"/>
            <w:gridSpan w:val="24"/>
          </w:tcPr>
          <w:p>
            <w:pPr>
              <w:spacing w:after="0"/>
              <w:rPr>
                <w:rFonts w:ascii="Arial" w:cs="Arial" w:eastAsia="Arial" w:hAnsi="Arial"/>
                <w:sz w:val="16"/>
                <w:szCs w:val="16"/>
                <w:color w:val="231F20"/>
              </w:rPr>
            </w:pPr>
            <w:hyperlink r:id="rId305">
              <w:r>
                <w:rPr>
                  <w:rFonts w:ascii="Arial" w:cs="Arial" w:eastAsia="Arial" w:hAnsi="Arial"/>
                  <w:sz w:val="16"/>
                  <w:szCs w:val="16"/>
                  <w:color w:val="231F20"/>
                </w:rPr>
                <w:t>Form of Indemnification Agreement, incorporated by reference to the Company’s Current Report on Form 8-K dated October 31, 2006.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6760" w:type="dxa"/>
            <w:vAlign w:val="bottom"/>
            <w:gridSpan w:val="9"/>
            <w:shd w:val="clear" w:color="auto" w:fill="0000EE"/>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6"/>
                <w:szCs w:val="16"/>
                <w:color w:val="231F20"/>
              </w:rPr>
              <w:t>10.7(a)</w:t>
            </w:r>
          </w:p>
        </w:tc>
        <w:tc>
          <w:tcPr>
            <w:tcW w:w="10340" w:type="dxa"/>
            <w:vAlign w:val="bottom"/>
            <w:gridSpan w:val="24"/>
          </w:tcPr>
          <w:p>
            <w:pPr>
              <w:spacing w:after="0"/>
              <w:rPr>
                <w:rFonts w:ascii="Arial" w:cs="Arial" w:eastAsia="Arial" w:hAnsi="Arial"/>
                <w:sz w:val="16"/>
                <w:szCs w:val="16"/>
                <w:color w:val="231F20"/>
                <w:w w:val="98"/>
              </w:rPr>
            </w:pPr>
            <w:hyperlink r:id="rId306">
              <w:r>
                <w:rPr>
                  <w:rFonts w:ascii="Arial" w:cs="Arial" w:eastAsia="Arial" w:hAnsi="Arial"/>
                  <w:sz w:val="16"/>
                  <w:szCs w:val="16"/>
                  <w:color w:val="231F20"/>
                  <w:w w:val="98"/>
                </w:rPr>
                <w:t>Form of Stock Option Agreement under 2011 Equity Incentive Plan, incorporated by reference to the Company’s Quarterly Report on Form 10-Q for</w:t>
              </w:r>
            </w:hyperlink>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top w:val="single" w:sz="8" w:color="0000EE"/>
              <w:bottom w:val="single" w:sz="8" w:color="0000EE"/>
            </w:tcBorders>
            <w:gridSpan w:val="4"/>
          </w:tcPr>
          <w:p>
            <w:pPr>
              <w:spacing w:after="0" w:line="158" w:lineRule="exact"/>
              <w:rPr>
                <w:rFonts w:ascii="Arial" w:cs="Arial" w:eastAsia="Arial" w:hAnsi="Arial"/>
                <w:sz w:val="16"/>
                <w:szCs w:val="16"/>
                <w:color w:val="231F20"/>
                <w:w w:val="97"/>
              </w:rPr>
            </w:pPr>
            <w:hyperlink r:id="rId306">
              <w:r>
                <w:rPr>
                  <w:rFonts w:ascii="Arial" w:cs="Arial" w:eastAsia="Arial" w:hAnsi="Arial"/>
                  <w:sz w:val="16"/>
                  <w:szCs w:val="16"/>
                  <w:color w:val="231F20"/>
                  <w:w w:val="97"/>
                </w:rPr>
                <w:t>the quarter ended March 31, 2019. **</w:t>
              </w:r>
            </w:hyperlink>
          </w:p>
        </w:tc>
        <w:tc>
          <w:tcPr>
            <w:tcW w:w="7720" w:type="dxa"/>
            <w:vAlign w:val="bottom"/>
            <w:tcBorders>
              <w:top w:val="single" w:sz="8" w:color="0000EE"/>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920" w:type="dxa"/>
            <w:vAlign w:val="bottom"/>
          </w:tcPr>
          <w:p>
            <w:pPr>
              <w:spacing w:after="0"/>
              <w:rPr>
                <w:sz w:val="24"/>
                <w:szCs w:val="24"/>
                <w:color w:val="auto"/>
              </w:rPr>
            </w:pPr>
          </w:p>
        </w:tc>
        <w:tc>
          <w:tcPr>
            <w:tcW w:w="4800" w:type="dxa"/>
            <w:vAlign w:val="bottom"/>
            <w:gridSpan w:val="10"/>
          </w:tcPr>
          <w:p>
            <w:pPr>
              <w:ind w:left="4620"/>
              <w:spacing w:after="0"/>
              <w:rPr>
                <w:sz w:val="20"/>
                <w:szCs w:val="20"/>
                <w:color w:val="auto"/>
              </w:rPr>
            </w:pPr>
            <w:r>
              <w:rPr>
                <w:rFonts w:ascii="Arial" w:cs="Arial" w:eastAsia="Arial" w:hAnsi="Arial"/>
                <w:sz w:val="16"/>
                <w:szCs w:val="16"/>
                <w:color w:val="auto"/>
                <w:w w:val="89"/>
              </w:rPr>
              <w:t>92</w:t>
            </w: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92" w:name="page93"/>
    <w:bookmarkEnd w:id="92"/>
    <w:tbl>
      <w:tblPr>
        <w:tblLayout w:type="fixed"/>
        <w:tblInd w:w="5" w:type="dxa"/>
        <w:tblCellMar>
          <w:top w:w="0" w:type="dxa"/>
          <w:left w:w="0" w:type="dxa"/>
          <w:bottom w:w="0" w:type="dxa"/>
          <w:right w:w="0" w:type="dxa"/>
        </w:tblCellMar>
      </w:tblPr>
      <w:tr>
        <w:trPr>
          <w:trHeight w:val="213"/>
        </w:trPr>
        <w:tc>
          <w:tcPr>
            <w:tcW w:w="920" w:type="dxa"/>
            <w:vAlign w:val="bottom"/>
            <w:shd w:val="clear" w:color="auto" w:fill="5B89B4"/>
          </w:tcPr>
          <w:p>
            <w:pPr>
              <w:spacing w:after="0"/>
              <w:rPr>
                <w:sz w:val="18"/>
                <w:szCs w:val="18"/>
                <w:color w:val="auto"/>
              </w:rPr>
            </w:pPr>
          </w:p>
        </w:tc>
        <w:tc>
          <w:tcPr>
            <w:tcW w:w="20" w:type="dxa"/>
            <w:vAlign w:val="bottom"/>
            <w:shd w:val="clear" w:color="auto" w:fill="5B89B4"/>
          </w:tcPr>
          <w:p>
            <w:pPr>
              <w:spacing w:after="0"/>
              <w:rPr>
                <w:sz w:val="18"/>
                <w:szCs w:val="18"/>
                <w:color w:val="auto"/>
              </w:rPr>
            </w:pPr>
          </w:p>
        </w:tc>
        <w:tc>
          <w:tcPr>
            <w:tcW w:w="820" w:type="dxa"/>
            <w:vAlign w:val="bottom"/>
            <w:shd w:val="clear" w:color="auto" w:fill="5B89B4"/>
          </w:tcPr>
          <w:p>
            <w:pPr>
              <w:spacing w:after="0"/>
              <w:rPr>
                <w:sz w:val="18"/>
                <w:szCs w:val="18"/>
                <w:color w:val="auto"/>
              </w:rPr>
            </w:pPr>
          </w:p>
        </w:tc>
        <w:tc>
          <w:tcPr>
            <w:tcW w:w="460" w:type="dxa"/>
            <w:vAlign w:val="bottom"/>
            <w:shd w:val="clear" w:color="auto" w:fill="5B89B4"/>
          </w:tcPr>
          <w:p>
            <w:pPr>
              <w:spacing w:after="0"/>
              <w:rPr>
                <w:sz w:val="18"/>
                <w:szCs w:val="18"/>
                <w:color w:val="auto"/>
              </w:rPr>
            </w:pPr>
          </w:p>
        </w:tc>
        <w:tc>
          <w:tcPr>
            <w:tcW w:w="260" w:type="dxa"/>
            <w:vAlign w:val="bottom"/>
            <w:shd w:val="clear" w:color="auto" w:fill="5B89B4"/>
          </w:tcPr>
          <w:p>
            <w:pPr>
              <w:spacing w:after="0"/>
              <w:rPr>
                <w:sz w:val="18"/>
                <w:szCs w:val="18"/>
                <w:color w:val="auto"/>
              </w:rPr>
            </w:pPr>
          </w:p>
        </w:tc>
        <w:tc>
          <w:tcPr>
            <w:tcW w:w="500" w:type="dxa"/>
            <w:vAlign w:val="bottom"/>
            <w:shd w:val="clear" w:color="auto" w:fill="5B89B4"/>
          </w:tcPr>
          <w:p>
            <w:pPr>
              <w:spacing w:after="0"/>
              <w:rPr>
                <w:sz w:val="18"/>
                <w:szCs w:val="18"/>
                <w:color w:val="auto"/>
              </w:rPr>
            </w:pPr>
          </w:p>
        </w:tc>
        <w:tc>
          <w:tcPr>
            <w:tcW w:w="360" w:type="dxa"/>
            <w:vAlign w:val="bottom"/>
            <w:shd w:val="clear" w:color="auto" w:fill="5B89B4"/>
          </w:tcPr>
          <w:p>
            <w:pPr>
              <w:spacing w:after="0"/>
              <w:rPr>
                <w:sz w:val="18"/>
                <w:szCs w:val="18"/>
                <w:color w:val="auto"/>
              </w:rPr>
            </w:pPr>
          </w:p>
        </w:tc>
        <w:tc>
          <w:tcPr>
            <w:tcW w:w="800" w:type="dxa"/>
            <w:vAlign w:val="bottom"/>
            <w:shd w:val="clear" w:color="auto" w:fill="5B89B4"/>
          </w:tcPr>
          <w:p>
            <w:pPr>
              <w:spacing w:after="0"/>
              <w:rPr>
                <w:sz w:val="18"/>
                <w:szCs w:val="18"/>
                <w:color w:val="auto"/>
              </w:rPr>
            </w:pPr>
          </w:p>
        </w:tc>
        <w:tc>
          <w:tcPr>
            <w:tcW w:w="400" w:type="dxa"/>
            <w:vAlign w:val="bottom"/>
            <w:shd w:val="clear" w:color="auto" w:fill="5B89B4"/>
          </w:tcPr>
          <w:p>
            <w:pPr>
              <w:spacing w:after="0"/>
              <w:rPr>
                <w:sz w:val="18"/>
                <w:szCs w:val="18"/>
                <w:color w:val="auto"/>
              </w:rPr>
            </w:pPr>
          </w:p>
        </w:tc>
        <w:tc>
          <w:tcPr>
            <w:tcW w:w="820" w:type="dxa"/>
            <w:vAlign w:val="bottom"/>
            <w:shd w:val="clear" w:color="auto" w:fill="5B89B4"/>
          </w:tcPr>
          <w:p>
            <w:pPr>
              <w:spacing w:after="0"/>
              <w:rPr>
                <w:sz w:val="18"/>
                <w:szCs w:val="18"/>
                <w:color w:val="auto"/>
              </w:rPr>
            </w:pPr>
          </w:p>
        </w:tc>
        <w:tc>
          <w:tcPr>
            <w:tcW w:w="540" w:type="dxa"/>
            <w:vAlign w:val="bottom"/>
            <w:shd w:val="clear" w:color="auto" w:fill="5B89B4"/>
          </w:tcPr>
          <w:p>
            <w:pPr>
              <w:spacing w:after="0"/>
              <w:rPr>
                <w:sz w:val="18"/>
                <w:szCs w:val="18"/>
                <w:color w:val="auto"/>
              </w:rPr>
            </w:pPr>
          </w:p>
        </w:tc>
        <w:tc>
          <w:tcPr>
            <w:tcW w:w="760" w:type="dxa"/>
            <w:vAlign w:val="bottom"/>
            <w:shd w:val="clear" w:color="auto" w:fill="5B89B4"/>
          </w:tcPr>
          <w:p>
            <w:pPr>
              <w:spacing w:after="0"/>
              <w:rPr>
                <w:sz w:val="18"/>
                <w:szCs w:val="18"/>
                <w:color w:val="auto"/>
              </w:rPr>
            </w:pPr>
          </w:p>
        </w:tc>
        <w:tc>
          <w:tcPr>
            <w:tcW w:w="60" w:type="dxa"/>
            <w:vAlign w:val="bottom"/>
            <w:shd w:val="clear" w:color="auto" w:fill="5B89B4"/>
          </w:tcPr>
          <w:p>
            <w:pPr>
              <w:spacing w:after="0"/>
              <w:rPr>
                <w:sz w:val="18"/>
                <w:szCs w:val="18"/>
                <w:color w:val="auto"/>
              </w:rPr>
            </w:pPr>
          </w:p>
        </w:tc>
        <w:tc>
          <w:tcPr>
            <w:tcW w:w="60" w:type="dxa"/>
            <w:vAlign w:val="bottom"/>
            <w:shd w:val="clear" w:color="auto" w:fill="5B89B4"/>
          </w:tcPr>
          <w:p>
            <w:pPr>
              <w:spacing w:after="0"/>
              <w:rPr>
                <w:sz w:val="18"/>
                <w:szCs w:val="18"/>
                <w:color w:val="auto"/>
              </w:rPr>
            </w:pPr>
          </w:p>
        </w:tc>
        <w:tc>
          <w:tcPr>
            <w:tcW w:w="2320" w:type="dxa"/>
            <w:vAlign w:val="bottom"/>
            <w:shd w:val="clear" w:color="auto" w:fill="5B89B4"/>
          </w:tcPr>
          <w:p>
            <w:pPr>
              <w:spacing w:after="0"/>
              <w:rPr>
                <w:sz w:val="18"/>
                <w:szCs w:val="18"/>
                <w:color w:val="auto"/>
              </w:rPr>
            </w:pPr>
          </w:p>
        </w:tc>
        <w:tc>
          <w:tcPr>
            <w:tcW w:w="480" w:type="dxa"/>
            <w:vAlign w:val="bottom"/>
            <w:shd w:val="clear" w:color="auto" w:fill="5B89B4"/>
          </w:tcPr>
          <w:p>
            <w:pPr>
              <w:spacing w:after="0"/>
              <w:rPr>
                <w:sz w:val="18"/>
                <w:szCs w:val="18"/>
                <w:color w:val="auto"/>
              </w:rPr>
            </w:pPr>
          </w:p>
        </w:tc>
        <w:tc>
          <w:tcPr>
            <w:tcW w:w="1680" w:type="dxa"/>
            <w:vAlign w:val="bottom"/>
            <w:gridSpan w:val="8"/>
            <w:shd w:val="clear" w:color="auto" w:fill="5B89B4"/>
          </w:tcPr>
          <w:p>
            <w:pPr>
              <w:ind w:left="1120"/>
              <w:spacing w:after="0"/>
              <w:rPr>
                <w:sz w:val="20"/>
                <w:szCs w:val="20"/>
                <w:color w:val="auto"/>
              </w:rPr>
            </w:pPr>
            <w:r>
              <w:rPr>
                <w:rFonts w:ascii="Arial" w:cs="Arial" w:eastAsia="Arial" w:hAnsi="Arial"/>
                <w:sz w:val="16"/>
                <w:szCs w:val="16"/>
                <w:color w:val="FFFFFF"/>
              </w:rPr>
              <w:t>Part IV</w:t>
            </w:r>
          </w:p>
        </w:tc>
      </w:tr>
      <w:tr>
        <w:trPr>
          <w:trHeight w:val="237"/>
        </w:trPr>
        <w:tc>
          <w:tcPr>
            <w:tcW w:w="920" w:type="dxa"/>
            <w:vAlign w:val="bottom"/>
          </w:tcPr>
          <w:p>
            <w:pPr>
              <w:spacing w:after="0"/>
              <w:rPr>
                <w:sz w:val="20"/>
                <w:szCs w:val="20"/>
                <w:color w:val="auto"/>
              </w:rPr>
            </w:pPr>
            <w:r>
              <w:rPr>
                <w:rFonts w:ascii="Arial" w:cs="Arial" w:eastAsia="Arial" w:hAnsi="Arial"/>
                <w:sz w:val="16"/>
                <w:szCs w:val="16"/>
                <w:color w:val="231F20"/>
              </w:rPr>
              <w:t>10.7(b)</w:t>
            </w:r>
          </w:p>
        </w:tc>
        <w:tc>
          <w:tcPr>
            <w:tcW w:w="10340" w:type="dxa"/>
            <w:vAlign w:val="bottom"/>
            <w:gridSpan w:val="23"/>
          </w:tcPr>
          <w:p>
            <w:pPr>
              <w:spacing w:after="0"/>
              <w:rPr>
                <w:rFonts w:ascii="Arial" w:cs="Arial" w:eastAsia="Arial" w:hAnsi="Arial"/>
                <w:sz w:val="16"/>
                <w:szCs w:val="16"/>
                <w:color w:val="231F20"/>
                <w:w w:val="99"/>
              </w:rPr>
            </w:pPr>
            <w:hyperlink r:id="rId309">
              <w:r>
                <w:rPr>
                  <w:rFonts w:ascii="Arial" w:cs="Arial" w:eastAsia="Arial" w:hAnsi="Arial"/>
                  <w:sz w:val="16"/>
                  <w:szCs w:val="16"/>
                  <w:color w:val="231F20"/>
                  <w:w w:val="99"/>
                </w:rPr>
                <w:t>Form of Restricted Stock Unit Agreement under 2011 Equity Incentive Plan, incorporated by reference to the Company’s Quarterly Report on Form</w:t>
              </w:r>
            </w:hyperlink>
          </w:p>
        </w:tc>
      </w:tr>
      <w:tr>
        <w:trPr>
          <w:trHeight w:val="157"/>
        </w:trPr>
        <w:tc>
          <w:tcPr>
            <w:tcW w:w="9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200" w:type="dxa"/>
            <w:vAlign w:val="bottom"/>
            <w:tcBorders>
              <w:top w:val="single" w:sz="8" w:color="0000EE"/>
              <w:bottom w:val="single" w:sz="8" w:color="0000EE"/>
            </w:tcBorders>
            <w:gridSpan w:val="6"/>
          </w:tcPr>
          <w:p>
            <w:pPr>
              <w:spacing w:after="0" w:line="158" w:lineRule="exact"/>
              <w:rPr>
                <w:rFonts w:ascii="Arial" w:cs="Arial" w:eastAsia="Arial" w:hAnsi="Arial"/>
                <w:sz w:val="16"/>
                <w:szCs w:val="16"/>
                <w:color w:val="231F20"/>
                <w:w w:val="97"/>
              </w:rPr>
            </w:pPr>
            <w:hyperlink r:id="rId309">
              <w:r>
                <w:rPr>
                  <w:rFonts w:ascii="Arial" w:cs="Arial" w:eastAsia="Arial" w:hAnsi="Arial"/>
                  <w:sz w:val="16"/>
                  <w:szCs w:val="16"/>
                  <w:color w:val="231F20"/>
                  <w:w w:val="97"/>
                </w:rPr>
                <w:t>10-Q for the quarter ended March 31, 2012. **</w:t>
              </w:r>
            </w:hyperlink>
          </w:p>
        </w:tc>
        <w:tc>
          <w:tcPr>
            <w:tcW w:w="7040" w:type="dxa"/>
            <w:vAlign w:val="bottom"/>
            <w:tcBorders>
              <w:top w:val="single" w:sz="8" w:color="0000EE"/>
            </w:tcBorders>
            <w:gridSpan w:val="15"/>
          </w:tcPr>
          <w:p>
            <w:pPr>
              <w:spacing w:after="0"/>
              <w:rPr>
                <w:sz w:val="13"/>
                <w:szCs w:val="13"/>
                <w:color w:val="auto"/>
              </w:rPr>
            </w:pPr>
          </w:p>
        </w:tc>
        <w:tc>
          <w:tcPr>
            <w:tcW w:w="80" w:type="dxa"/>
            <w:vAlign w:val="bottom"/>
          </w:tcPr>
          <w:p>
            <w:pPr>
              <w:spacing w:after="0"/>
              <w:rPr>
                <w:sz w:val="13"/>
                <w:szCs w:val="13"/>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10.7(c)</w:t>
            </w:r>
          </w:p>
        </w:tc>
        <w:tc>
          <w:tcPr>
            <w:tcW w:w="10340" w:type="dxa"/>
            <w:vAlign w:val="bottom"/>
            <w:gridSpan w:val="23"/>
          </w:tcPr>
          <w:p>
            <w:pPr>
              <w:spacing w:after="0"/>
              <w:rPr>
                <w:rFonts w:ascii="Arial" w:cs="Arial" w:eastAsia="Arial" w:hAnsi="Arial"/>
                <w:sz w:val="16"/>
                <w:szCs w:val="16"/>
                <w:color w:val="231F20"/>
              </w:rPr>
            </w:pPr>
            <w:hyperlink r:id="rId310">
              <w:r>
                <w:rPr>
                  <w:rFonts w:ascii="Arial" w:cs="Arial" w:eastAsia="Arial" w:hAnsi="Arial"/>
                  <w:sz w:val="16"/>
                  <w:szCs w:val="16"/>
                  <w:color w:val="231F20"/>
                </w:rPr>
                <w:t>Form of 2014 Career Share Agreement under the 2011 Equity Incentive Plan, incorporated by reference to the Company’s Quarterly Report on</w:t>
              </w:r>
            </w:hyperlink>
          </w:p>
        </w:tc>
      </w:tr>
      <w:tr>
        <w:trPr>
          <w:trHeight w:val="157"/>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EE"/>
            </w:tcBorders>
            <w:gridSpan w:val="17"/>
          </w:tcPr>
          <w:p>
            <w:pPr>
              <w:spacing w:after="0" w:line="158" w:lineRule="exact"/>
              <w:rPr>
                <w:rFonts w:ascii="Arial" w:cs="Arial" w:eastAsia="Arial" w:hAnsi="Arial"/>
                <w:sz w:val="16"/>
                <w:szCs w:val="16"/>
                <w:color w:val="231F20"/>
              </w:rPr>
            </w:pPr>
            <w:hyperlink r:id="rId310">
              <w:r>
                <w:rPr>
                  <w:rFonts w:ascii="Arial" w:cs="Arial" w:eastAsia="Arial" w:hAnsi="Arial"/>
                  <w:sz w:val="16"/>
                  <w:szCs w:val="16"/>
                  <w:color w:val="231F20"/>
                </w:rPr>
                <w:t>Form 10-Q for the quarter ended March 31, 2014. **</w:t>
              </w:r>
            </w:hyperlink>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10.7(d)</w:t>
            </w:r>
          </w:p>
        </w:tc>
        <w:tc>
          <w:tcPr>
            <w:tcW w:w="10340" w:type="dxa"/>
            <w:vAlign w:val="bottom"/>
            <w:gridSpan w:val="23"/>
          </w:tcPr>
          <w:p>
            <w:pPr>
              <w:spacing w:after="0"/>
              <w:rPr>
                <w:rFonts w:ascii="Arial" w:cs="Arial" w:eastAsia="Arial" w:hAnsi="Arial"/>
                <w:sz w:val="16"/>
                <w:szCs w:val="16"/>
                <w:color w:val="231F20"/>
              </w:rPr>
            </w:pPr>
            <w:hyperlink r:id="rId311">
              <w:r>
                <w:rPr>
                  <w:rFonts w:ascii="Arial" w:cs="Arial" w:eastAsia="Arial" w:hAnsi="Arial"/>
                  <w:sz w:val="16"/>
                  <w:szCs w:val="16"/>
                  <w:color w:val="231F20"/>
                </w:rPr>
                <w:t>Form of 2021 Performance Share Unit Agreement Under the 2011 Equity Incentive Plan of ManpowerGroup Inc., incorporated by reference to the</w:t>
              </w:r>
            </w:hyperlink>
          </w:p>
        </w:tc>
      </w:tr>
      <w:tr>
        <w:trPr>
          <w:trHeight w:val="157"/>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EE"/>
              <w:bottom w:val="single" w:sz="8" w:color="0000EE"/>
            </w:tcBorders>
            <w:gridSpan w:val="11"/>
          </w:tcPr>
          <w:p>
            <w:pPr>
              <w:spacing w:after="0" w:line="158" w:lineRule="exact"/>
              <w:rPr>
                <w:rFonts w:ascii="Arial" w:cs="Arial" w:eastAsia="Arial" w:hAnsi="Arial"/>
                <w:sz w:val="16"/>
                <w:szCs w:val="16"/>
                <w:color w:val="231F20"/>
                <w:w w:val="98"/>
              </w:rPr>
            </w:pPr>
            <w:hyperlink r:id="rId311">
              <w:r>
                <w:rPr>
                  <w:rFonts w:ascii="Arial" w:cs="Arial" w:eastAsia="Arial" w:hAnsi="Arial"/>
                  <w:sz w:val="16"/>
                  <w:szCs w:val="16"/>
                  <w:color w:val="231F20"/>
                  <w:w w:val="98"/>
                </w:rPr>
                <w:t>Company’s Quarterly Report on Form 10-Q for the Quarter ended March 31, 2021.</w:t>
              </w:r>
            </w:hyperlink>
          </w:p>
        </w:tc>
        <w:tc>
          <w:tcPr>
            <w:tcW w:w="4400" w:type="dxa"/>
            <w:vAlign w:val="bottom"/>
            <w:tcBorders>
              <w:top w:val="single" w:sz="8" w:color="0000EE"/>
            </w:tcBorders>
            <w:gridSpan w:val="9"/>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10.7(e)</w:t>
            </w:r>
          </w:p>
        </w:tc>
        <w:tc>
          <w:tcPr>
            <w:tcW w:w="10340" w:type="dxa"/>
            <w:vAlign w:val="bottom"/>
            <w:gridSpan w:val="23"/>
          </w:tcPr>
          <w:p>
            <w:pPr>
              <w:spacing w:after="0"/>
              <w:rPr>
                <w:rFonts w:ascii="Arial" w:cs="Arial" w:eastAsia="Arial" w:hAnsi="Arial"/>
                <w:sz w:val="16"/>
                <w:szCs w:val="16"/>
                <w:color w:val="231F20"/>
              </w:rPr>
            </w:pPr>
            <w:hyperlink r:id="rId312">
              <w:r>
                <w:rPr>
                  <w:rFonts w:ascii="Arial" w:cs="Arial" w:eastAsia="Arial" w:hAnsi="Arial"/>
                  <w:sz w:val="16"/>
                  <w:szCs w:val="16"/>
                  <w:color w:val="231F20"/>
                </w:rPr>
                <w:t>Form of 2022 Performance Share Unit Agreement Under the 2011 Equity Inventive Plan of ManpowerGroup Inc., incorporated by reference to the</w:t>
              </w:r>
            </w:hyperlink>
          </w:p>
        </w:tc>
      </w:tr>
      <w:tr>
        <w:trPr>
          <w:trHeight w:val="157"/>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EE"/>
            </w:tcBorders>
            <w:gridSpan w:val="20"/>
          </w:tcPr>
          <w:p>
            <w:pPr>
              <w:spacing w:after="0" w:line="158" w:lineRule="exact"/>
              <w:rPr>
                <w:rFonts w:ascii="Arial" w:cs="Arial" w:eastAsia="Arial" w:hAnsi="Arial"/>
                <w:sz w:val="16"/>
                <w:szCs w:val="16"/>
                <w:color w:val="231F20"/>
              </w:rPr>
            </w:pPr>
            <w:hyperlink r:id="rId312">
              <w:r>
                <w:rPr>
                  <w:rFonts w:ascii="Arial" w:cs="Arial" w:eastAsia="Arial" w:hAnsi="Arial"/>
                  <w:sz w:val="16"/>
                  <w:szCs w:val="16"/>
                  <w:color w:val="231F20"/>
                </w:rPr>
                <w:t>Company's Quarterly Report on Form 10-Q for the Quarter ended March 31, 2022.</w:t>
              </w:r>
            </w:hyperlink>
          </w:p>
        </w:tc>
        <w:tc>
          <w:tcPr>
            <w:tcW w:w="140" w:type="dxa"/>
            <w:vAlign w:val="bottom"/>
            <w:gridSpan w:val="2"/>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10.7(f)</w:t>
            </w:r>
          </w:p>
        </w:tc>
        <w:tc>
          <w:tcPr>
            <w:tcW w:w="10340" w:type="dxa"/>
            <w:vAlign w:val="bottom"/>
            <w:gridSpan w:val="23"/>
          </w:tcPr>
          <w:p>
            <w:pPr>
              <w:spacing w:after="0"/>
              <w:rPr>
                <w:rFonts w:ascii="Arial" w:cs="Arial" w:eastAsia="Arial" w:hAnsi="Arial"/>
                <w:sz w:val="16"/>
                <w:szCs w:val="16"/>
                <w:color w:val="auto"/>
              </w:rPr>
            </w:pPr>
            <w:hyperlink r:id="rId313">
              <w:r>
                <w:rPr>
                  <w:rFonts w:ascii="Arial" w:cs="Arial" w:eastAsia="Arial" w:hAnsi="Arial"/>
                  <w:sz w:val="16"/>
                  <w:szCs w:val="16"/>
                  <w:color w:val="auto"/>
                </w:rPr>
                <w:t>Form of 2024 Performance Share Unit Agreement Under the 2011 Equity Inventive Plan of ManpowerGroup Inc., incorporated by reference to the</w:t>
              </w:r>
            </w:hyperlink>
          </w:p>
        </w:tc>
      </w:tr>
      <w:tr>
        <w:trPr>
          <w:trHeight w:val="157"/>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EE"/>
            </w:tcBorders>
            <w:gridSpan w:val="20"/>
          </w:tcPr>
          <w:p>
            <w:pPr>
              <w:spacing w:after="0" w:line="158" w:lineRule="exact"/>
              <w:rPr>
                <w:rFonts w:ascii="Arial" w:cs="Arial" w:eastAsia="Arial" w:hAnsi="Arial"/>
                <w:sz w:val="16"/>
                <w:szCs w:val="16"/>
                <w:color w:val="auto"/>
              </w:rPr>
            </w:pPr>
            <w:hyperlink r:id="rId313">
              <w:r>
                <w:rPr>
                  <w:rFonts w:ascii="Arial" w:cs="Arial" w:eastAsia="Arial" w:hAnsi="Arial"/>
                  <w:sz w:val="16"/>
                  <w:szCs w:val="16"/>
                  <w:color w:val="auto"/>
                </w:rPr>
                <w:t>Company's Quarterly Report on Form 10-Q for the Quarter ended March 31, 2024.</w:t>
              </w:r>
            </w:hyperlink>
          </w:p>
        </w:tc>
        <w:tc>
          <w:tcPr>
            <w:tcW w:w="140" w:type="dxa"/>
            <w:vAlign w:val="bottom"/>
            <w:gridSpan w:val="2"/>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10.8(a)</w:t>
            </w:r>
          </w:p>
        </w:tc>
        <w:tc>
          <w:tcPr>
            <w:tcW w:w="10340" w:type="dxa"/>
            <w:vAlign w:val="bottom"/>
            <w:gridSpan w:val="23"/>
          </w:tcPr>
          <w:p>
            <w:pPr>
              <w:spacing w:after="0"/>
              <w:rPr>
                <w:rFonts w:ascii="Arial" w:cs="Arial" w:eastAsia="Arial" w:hAnsi="Arial"/>
                <w:sz w:val="16"/>
                <w:szCs w:val="16"/>
                <w:color w:val="231F20"/>
              </w:rPr>
            </w:pPr>
            <w:hyperlink r:id="rId314">
              <w:r>
                <w:rPr>
                  <w:rFonts w:ascii="Arial" w:cs="Arial" w:eastAsia="Arial" w:hAnsi="Arial"/>
                  <w:sz w:val="16"/>
                  <w:szCs w:val="16"/>
                  <w:color w:val="231F20"/>
                </w:rPr>
                <w:t>Letter Agreement between Michelle S. Nettles and the Company dated as of February 17, 2023, incorporated by reference to the Company's</w:t>
              </w:r>
            </w:hyperlink>
          </w:p>
        </w:tc>
      </w:tr>
      <w:tr>
        <w:trPr>
          <w:trHeight w:val="157"/>
        </w:trPr>
        <w:tc>
          <w:tcPr>
            <w:tcW w:w="9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960" w:type="dxa"/>
            <w:vAlign w:val="bottom"/>
            <w:tcBorders>
              <w:top w:val="single" w:sz="8" w:color="0000EE"/>
              <w:bottom w:val="single" w:sz="8" w:color="0000EE"/>
            </w:tcBorders>
            <w:gridSpan w:val="9"/>
          </w:tcPr>
          <w:p>
            <w:pPr>
              <w:spacing w:after="0" w:line="158" w:lineRule="exact"/>
              <w:rPr>
                <w:rFonts w:ascii="Arial" w:cs="Arial" w:eastAsia="Arial" w:hAnsi="Arial"/>
                <w:sz w:val="16"/>
                <w:szCs w:val="16"/>
                <w:color w:val="231F20"/>
                <w:w w:val="97"/>
              </w:rPr>
            </w:pPr>
            <w:hyperlink r:id="rId314">
              <w:r>
                <w:rPr>
                  <w:rFonts w:ascii="Arial" w:cs="Arial" w:eastAsia="Arial" w:hAnsi="Arial"/>
                  <w:sz w:val="16"/>
                  <w:szCs w:val="16"/>
                  <w:color w:val="231F20"/>
                  <w:w w:val="97"/>
                </w:rPr>
                <w:t>Annual Report on Form 10-K for the year ended December 31, 2022. **</w:t>
              </w:r>
            </w:hyperlink>
          </w:p>
        </w:tc>
        <w:tc>
          <w:tcPr>
            <w:tcW w:w="4860" w:type="dxa"/>
            <w:vAlign w:val="bottom"/>
            <w:tcBorders>
              <w:top w:val="single" w:sz="8" w:color="0000EE"/>
            </w:tcBorders>
            <w:gridSpan w:val="6"/>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10.8(b)</w:t>
            </w:r>
          </w:p>
        </w:tc>
        <w:tc>
          <w:tcPr>
            <w:tcW w:w="10340" w:type="dxa"/>
            <w:vAlign w:val="bottom"/>
            <w:gridSpan w:val="23"/>
          </w:tcPr>
          <w:p>
            <w:pPr>
              <w:spacing w:after="0"/>
              <w:rPr>
                <w:rFonts w:ascii="Arial" w:cs="Arial" w:eastAsia="Arial" w:hAnsi="Arial"/>
                <w:sz w:val="16"/>
                <w:szCs w:val="16"/>
                <w:color w:val="231F20"/>
              </w:rPr>
            </w:pPr>
            <w:hyperlink r:id="rId315">
              <w:r>
                <w:rPr>
                  <w:rFonts w:ascii="Arial" w:cs="Arial" w:eastAsia="Arial" w:hAnsi="Arial"/>
                  <w:sz w:val="16"/>
                  <w:szCs w:val="16"/>
                  <w:color w:val="231F20"/>
                </w:rPr>
                <w:t>Letter Agreement between John T. McGinnis and the Company dated February 17, 2023, incorporated by reference to the Company's Annual</w:t>
              </w:r>
            </w:hyperlink>
          </w:p>
        </w:tc>
      </w:tr>
      <w:tr>
        <w:trPr>
          <w:trHeight w:val="157"/>
        </w:trPr>
        <w:tc>
          <w:tcPr>
            <w:tcW w:w="9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420" w:type="dxa"/>
            <w:vAlign w:val="bottom"/>
            <w:tcBorders>
              <w:top w:val="single" w:sz="8" w:color="0000EE"/>
              <w:bottom w:val="single" w:sz="8" w:color="0000EE"/>
            </w:tcBorders>
            <w:gridSpan w:val="8"/>
          </w:tcPr>
          <w:p>
            <w:pPr>
              <w:spacing w:after="0" w:line="158" w:lineRule="exact"/>
              <w:rPr>
                <w:rFonts w:ascii="Arial" w:cs="Arial" w:eastAsia="Arial" w:hAnsi="Arial"/>
                <w:sz w:val="16"/>
                <w:szCs w:val="16"/>
                <w:color w:val="231F20"/>
                <w:w w:val="97"/>
              </w:rPr>
            </w:pPr>
            <w:hyperlink r:id="rId315">
              <w:r>
                <w:rPr>
                  <w:rFonts w:ascii="Arial" w:cs="Arial" w:eastAsia="Arial" w:hAnsi="Arial"/>
                  <w:sz w:val="16"/>
                  <w:szCs w:val="16"/>
                  <w:color w:val="231F20"/>
                  <w:w w:val="97"/>
                </w:rPr>
                <w:t>Report on Form 10-K for the year ended December 31, 2022. **</w:t>
              </w:r>
            </w:hyperlink>
          </w:p>
        </w:tc>
        <w:tc>
          <w:tcPr>
            <w:tcW w:w="5480" w:type="dxa"/>
            <w:vAlign w:val="bottom"/>
            <w:tcBorders>
              <w:top w:val="single" w:sz="8" w:color="0000EE"/>
            </w:tcBorders>
            <w:gridSpan w:val="8"/>
          </w:tcPr>
          <w:p>
            <w:pPr>
              <w:spacing w:after="0"/>
              <w:rPr>
                <w:sz w:val="13"/>
                <w:szCs w:val="13"/>
                <w:color w:val="auto"/>
              </w:rPr>
            </w:pPr>
          </w:p>
        </w:tc>
        <w:tc>
          <w:tcPr>
            <w:tcW w:w="2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10.9</w:t>
            </w:r>
          </w:p>
        </w:tc>
        <w:tc>
          <w:tcPr>
            <w:tcW w:w="10180" w:type="dxa"/>
            <w:vAlign w:val="bottom"/>
            <w:tcBorders>
              <w:bottom w:val="single" w:sz="8" w:color="0000EE"/>
            </w:tcBorders>
            <w:gridSpan w:val="20"/>
          </w:tcPr>
          <w:p>
            <w:pPr>
              <w:spacing w:after="0"/>
              <w:rPr>
                <w:rFonts w:ascii="Arial" w:cs="Arial" w:eastAsia="Arial" w:hAnsi="Arial"/>
                <w:sz w:val="16"/>
                <w:szCs w:val="16"/>
                <w:color w:val="231F20"/>
                <w:w w:val="98"/>
              </w:rPr>
            </w:pPr>
            <w:hyperlink r:id="rId316">
              <w:r>
                <w:rPr>
                  <w:rFonts w:ascii="Arial" w:cs="Arial" w:eastAsia="Arial" w:hAnsi="Arial"/>
                  <w:sz w:val="16"/>
                  <w:szCs w:val="16"/>
                  <w:color w:val="231F20"/>
                  <w:w w:val="98"/>
                </w:rPr>
                <w:t>ManpowerGroup Inc. Annual Incentive Plan, incorporated by reference to the Company's Current Report on Form 8-K dated February 15, 2018. **</w:t>
              </w:r>
            </w:hyperlink>
          </w:p>
        </w:tc>
        <w:tc>
          <w:tcPr>
            <w:tcW w:w="160" w:type="dxa"/>
            <w:vAlign w:val="bottom"/>
            <w:gridSpan w:val="3"/>
          </w:tcPr>
          <w:p>
            <w:pPr>
              <w:spacing w:after="0"/>
              <w:rPr>
                <w:sz w:val="24"/>
                <w:szCs w:val="24"/>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19.1</w:t>
            </w:r>
          </w:p>
        </w:tc>
        <w:tc>
          <w:tcPr>
            <w:tcW w:w="156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231F20"/>
                <w:w w:val="97"/>
              </w:rPr>
              <w:t>Insider Trading Policy.</w:t>
            </w:r>
          </w:p>
        </w:tc>
        <w:tc>
          <w:tcPr>
            <w:tcW w:w="8780" w:type="dxa"/>
            <w:vAlign w:val="bottom"/>
            <w:gridSpan w:val="19"/>
          </w:tcPr>
          <w:p>
            <w:pPr>
              <w:spacing w:after="0"/>
              <w:rPr>
                <w:sz w:val="24"/>
                <w:szCs w:val="24"/>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21</w:t>
            </w:r>
          </w:p>
        </w:tc>
        <w:tc>
          <w:tcPr>
            <w:tcW w:w="206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231F20"/>
                <w:w w:val="97"/>
              </w:rPr>
              <w:t>Subsidiaries of the Company.</w:t>
            </w:r>
          </w:p>
        </w:tc>
        <w:tc>
          <w:tcPr>
            <w:tcW w:w="8280" w:type="dxa"/>
            <w:vAlign w:val="bottom"/>
            <w:gridSpan w:val="18"/>
          </w:tcPr>
          <w:p>
            <w:pPr>
              <w:spacing w:after="0"/>
              <w:rPr>
                <w:sz w:val="24"/>
                <w:szCs w:val="24"/>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23.1</w:t>
            </w:r>
          </w:p>
        </w:tc>
        <w:tc>
          <w:tcPr>
            <w:tcW w:w="10340" w:type="dxa"/>
            <w:vAlign w:val="bottom"/>
            <w:gridSpan w:val="23"/>
          </w:tcPr>
          <w:p>
            <w:pPr>
              <w:spacing w:after="0"/>
              <w:rPr>
                <w:sz w:val="20"/>
                <w:szCs w:val="20"/>
                <w:color w:val="auto"/>
              </w:rPr>
            </w:pPr>
            <w:r>
              <w:rPr>
                <w:rFonts w:ascii="Arial" w:cs="Arial" w:eastAsia="Arial" w:hAnsi="Arial"/>
                <w:sz w:val="16"/>
                <w:szCs w:val="16"/>
                <w:color w:val="231F20"/>
              </w:rPr>
              <w:t>Consent of Deloitte &amp; Touche LLP.</w:t>
            </w: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24</w:t>
            </w:r>
          </w:p>
        </w:tc>
        <w:tc>
          <w:tcPr>
            <w:tcW w:w="13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color w:val="231F20"/>
                <w:w w:val="97"/>
              </w:rPr>
              <w:t>Power of Attorney.</w:t>
            </w:r>
          </w:p>
        </w:tc>
        <w:tc>
          <w:tcPr>
            <w:tcW w:w="1120" w:type="dxa"/>
            <w:vAlign w:val="bottom"/>
            <w:tcBorders>
              <w:top w:val="single" w:sz="8" w:color="0000EE"/>
            </w:tcBorders>
            <w:gridSpan w:val="3"/>
          </w:tcPr>
          <w:p>
            <w:pPr>
              <w:spacing w:after="0"/>
              <w:rPr>
                <w:sz w:val="24"/>
                <w:szCs w:val="24"/>
                <w:color w:val="auto"/>
              </w:rPr>
            </w:pPr>
          </w:p>
        </w:tc>
        <w:tc>
          <w:tcPr>
            <w:tcW w:w="7920" w:type="dxa"/>
            <w:vAlign w:val="bottom"/>
            <w:gridSpan w:val="17"/>
          </w:tcPr>
          <w:p>
            <w:pPr>
              <w:spacing w:after="0"/>
              <w:rPr>
                <w:sz w:val="24"/>
                <w:szCs w:val="24"/>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31.1</w:t>
            </w:r>
          </w:p>
        </w:tc>
        <w:tc>
          <w:tcPr>
            <w:tcW w:w="10340" w:type="dxa"/>
            <w:vAlign w:val="bottom"/>
            <w:gridSpan w:val="23"/>
          </w:tcPr>
          <w:p>
            <w:pPr>
              <w:spacing w:after="0"/>
              <w:rPr>
                <w:sz w:val="20"/>
                <w:szCs w:val="20"/>
                <w:color w:val="auto"/>
              </w:rPr>
            </w:pPr>
            <w:r>
              <w:rPr>
                <w:rFonts w:ascii="Arial" w:cs="Arial" w:eastAsia="Arial" w:hAnsi="Arial"/>
                <w:sz w:val="16"/>
                <w:szCs w:val="16"/>
                <w:color w:val="231F20"/>
              </w:rPr>
              <w:t>Certification of Jonas Prising, Chief Executive Officer, pursuant to Section 13a-14(a) of the Securities Exchange Act of 1934.</w:t>
            </w:r>
          </w:p>
        </w:tc>
      </w:tr>
      <w:tr>
        <w:trPr>
          <w:trHeight w:val="20"/>
        </w:trPr>
        <w:tc>
          <w:tcPr>
            <w:tcW w:w="9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020" w:type="dxa"/>
            <w:vAlign w:val="bottom"/>
            <w:gridSpan w:val="11"/>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31.2</w:t>
            </w:r>
          </w:p>
        </w:tc>
        <w:tc>
          <w:tcPr>
            <w:tcW w:w="10340" w:type="dxa"/>
            <w:vAlign w:val="bottom"/>
            <w:gridSpan w:val="23"/>
          </w:tcPr>
          <w:p>
            <w:pPr>
              <w:spacing w:after="0"/>
              <w:rPr>
                <w:sz w:val="20"/>
                <w:szCs w:val="20"/>
                <w:color w:val="auto"/>
              </w:rPr>
            </w:pPr>
            <w:r>
              <w:rPr>
                <w:rFonts w:ascii="Arial" w:cs="Arial" w:eastAsia="Arial" w:hAnsi="Arial"/>
                <w:sz w:val="16"/>
                <w:szCs w:val="16"/>
                <w:color w:val="231F20"/>
              </w:rPr>
              <w:t>Certification of John T. McGinnis, Executive Vice President and Chief Financial Officer, pursuant to Section 13a-14(a) of the Securities Exchange</w:t>
            </w:r>
          </w:p>
        </w:tc>
      </w:tr>
      <w:tr>
        <w:trPr>
          <w:trHeight w:val="157"/>
        </w:trPr>
        <w:tc>
          <w:tcPr>
            <w:tcW w:w="9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820" w:type="dxa"/>
            <w:vAlign w:val="bottom"/>
            <w:tcBorders>
              <w:top w:val="single" w:sz="8" w:color="0000EE"/>
              <w:bottom w:val="single" w:sz="8" w:color="0000EE"/>
            </w:tcBorders>
          </w:tcPr>
          <w:p>
            <w:pPr>
              <w:spacing w:after="0" w:line="158" w:lineRule="exact"/>
              <w:rPr>
                <w:sz w:val="20"/>
                <w:szCs w:val="20"/>
                <w:color w:val="auto"/>
              </w:rPr>
            </w:pPr>
            <w:r>
              <w:rPr>
                <w:rFonts w:ascii="Arial" w:cs="Arial" w:eastAsia="Arial" w:hAnsi="Arial"/>
                <w:sz w:val="16"/>
                <w:szCs w:val="16"/>
                <w:color w:val="231F20"/>
                <w:w w:val="93"/>
              </w:rPr>
              <w:t>Act of 1934.</w:t>
            </w:r>
          </w:p>
        </w:tc>
        <w:tc>
          <w:tcPr>
            <w:tcW w:w="9300" w:type="dxa"/>
            <w:vAlign w:val="bottom"/>
            <w:tcBorders>
              <w:top w:val="single" w:sz="8" w:color="0000EE"/>
            </w:tcBorders>
            <w:gridSpan w:val="17"/>
          </w:tcPr>
          <w:p>
            <w:pPr>
              <w:spacing w:after="0"/>
              <w:rPr>
                <w:sz w:val="13"/>
                <w:szCs w:val="13"/>
                <w:color w:val="auto"/>
              </w:rPr>
            </w:pPr>
          </w:p>
        </w:tc>
        <w:tc>
          <w:tcPr>
            <w:tcW w:w="200" w:type="dxa"/>
            <w:vAlign w:val="bottom"/>
            <w:gridSpan w:val="4"/>
          </w:tcPr>
          <w:p>
            <w:pPr>
              <w:spacing w:after="0"/>
              <w:rPr>
                <w:sz w:val="13"/>
                <w:szCs w:val="13"/>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32.1</w:t>
            </w:r>
          </w:p>
        </w:tc>
        <w:tc>
          <w:tcPr>
            <w:tcW w:w="586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231F20"/>
                <w:w w:val="98"/>
              </w:rPr>
              <w:t>Statement of Jonas Prising, Chief Executive Officer, pursuant to 18 U.S.C. ss. 1350.</w:t>
            </w:r>
          </w:p>
        </w:tc>
        <w:tc>
          <w:tcPr>
            <w:tcW w:w="4480" w:type="dxa"/>
            <w:vAlign w:val="bottom"/>
            <w:gridSpan w:val="10"/>
          </w:tcPr>
          <w:p>
            <w:pPr>
              <w:spacing w:after="0"/>
              <w:rPr>
                <w:sz w:val="24"/>
                <w:szCs w:val="24"/>
                <w:color w:val="auto"/>
              </w:rPr>
            </w:pPr>
          </w:p>
        </w:tc>
      </w:tr>
      <w:tr>
        <w:trPr>
          <w:trHeight w:val="335"/>
        </w:trPr>
        <w:tc>
          <w:tcPr>
            <w:tcW w:w="920" w:type="dxa"/>
            <w:vAlign w:val="bottom"/>
          </w:tcPr>
          <w:p>
            <w:pPr>
              <w:spacing w:after="0"/>
              <w:rPr>
                <w:sz w:val="20"/>
                <w:szCs w:val="20"/>
                <w:color w:val="auto"/>
              </w:rPr>
            </w:pPr>
            <w:r>
              <w:rPr>
                <w:rFonts w:ascii="Arial" w:cs="Arial" w:eastAsia="Arial" w:hAnsi="Arial"/>
                <w:sz w:val="16"/>
                <w:szCs w:val="16"/>
                <w:color w:val="231F20"/>
              </w:rPr>
              <w:t>32.2</w:t>
            </w:r>
          </w:p>
        </w:tc>
        <w:tc>
          <w:tcPr>
            <w:tcW w:w="818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231F20"/>
                <w:w w:val="98"/>
              </w:rPr>
              <w:t>Statement of John T. McGinnis, Executive Vice President and Chief Financial Officer, pursuant to 18 U.S.C. ss. 1350.</w:t>
            </w:r>
          </w:p>
        </w:tc>
        <w:tc>
          <w:tcPr>
            <w:tcW w:w="2160" w:type="dxa"/>
            <w:vAlign w:val="bottom"/>
            <w:gridSpan w:val="9"/>
          </w:tcPr>
          <w:p>
            <w:pPr>
              <w:spacing w:after="0"/>
              <w:rPr>
                <w:sz w:val="24"/>
                <w:szCs w:val="24"/>
                <w:color w:val="auto"/>
              </w:rPr>
            </w:pPr>
          </w:p>
        </w:tc>
      </w:tr>
    </w:tbl>
    <w:p>
      <w:pPr>
        <w:spacing w:after="0" w:line="174" w:lineRule="exact"/>
        <w:rPr>
          <w:sz w:val="20"/>
          <w:szCs w:val="20"/>
          <w:color w:val="auto"/>
        </w:rPr>
      </w:pPr>
    </w:p>
    <w:p>
      <w:pPr>
        <w:ind w:left="925" w:right="320" w:hanging="914"/>
        <w:spacing w:after="0" w:line="260" w:lineRule="auto"/>
        <w:tabs>
          <w:tab w:leader="none" w:pos="925" w:val="left"/>
        </w:tabs>
        <w:numPr>
          <w:ilvl w:val="0"/>
          <w:numId w:val="71"/>
        </w:numPr>
        <w:rPr>
          <w:rFonts w:ascii="Arial" w:cs="Arial" w:eastAsia="Arial" w:hAnsi="Arial"/>
          <w:sz w:val="16"/>
          <w:szCs w:val="16"/>
          <w:color w:val="231F20"/>
        </w:rPr>
      </w:pPr>
      <w:r>
        <w:rPr>
          <w:rFonts w:ascii="Arial" w:cs="Arial" w:eastAsia="Arial" w:hAnsi="Arial"/>
          <w:sz w:val="16"/>
          <w:szCs w:val="16"/>
          <w:color w:val="231F20"/>
        </w:rPr>
        <w:t>Senior Executive Compensation Recovery Policy, incorporated by reference to Exhibit 97 of the Company's Annual Report on Form 10-K for the year ended December 31, 2024.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-145415</wp:posOffset>
            </wp:positionV>
            <wp:extent cx="639445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7">
                      <a:extLst>
                        <a:ext uri="{28A0092B-C50C-407E-A947-70E740481C1C}"/>
                      </a:extLst>
                    </a:blip>
                    <a:srcRect/>
                    <a:stretch>
                      <a:fillRect/>
                    </a:stretch>
                  </pic:blipFill>
                  <pic:spPr bwMode="auto">
                    <a:xfrm>
                      <a:off x="0" y="0"/>
                      <a:ext cx="6394450" cy="762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-33020</wp:posOffset>
            </wp:positionV>
            <wp:extent cx="154114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8">
                      <a:extLst>
                        <a:ext uri="{28A0092B-C50C-407E-A947-70E740481C1C}"/>
                      </a:extLst>
                    </a:blip>
                    <a:srcRect/>
                    <a:stretch>
                      <a:fillRect/>
                    </a:stretch>
                  </pic:blipFill>
                  <pic:spPr bwMode="auto">
                    <a:xfrm>
                      <a:off x="0" y="0"/>
                      <a:ext cx="1541145" cy="7620"/>
                    </a:xfrm>
                    <a:prstGeom prst="rect">
                      <a:avLst/>
                    </a:prstGeom>
                    <a:noFill/>
                  </pic:spPr>
                </pic:pic>
              </a:graphicData>
            </a:graphic>
          </wp:anchor>
        </w:drawing>
      </w:r>
    </w:p>
    <w:p>
      <w:pPr>
        <w:spacing w:after="0" w:line="107"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Arial" w:cs="Arial" w:eastAsia="Arial" w:hAnsi="Arial"/>
                <w:sz w:val="16"/>
                <w:szCs w:val="16"/>
                <w:color w:val="231F20"/>
              </w:rPr>
              <w:t>101.INS</w:t>
            </w:r>
          </w:p>
        </w:tc>
        <w:tc>
          <w:tcPr>
            <w:tcW w:w="10300" w:type="dxa"/>
            <w:vAlign w:val="bottom"/>
          </w:tcPr>
          <w:p>
            <w:pPr>
              <w:ind w:left="140"/>
              <w:spacing w:after="0"/>
              <w:rPr>
                <w:sz w:val="20"/>
                <w:szCs w:val="20"/>
                <w:color w:val="auto"/>
              </w:rPr>
            </w:pPr>
            <w:r>
              <w:rPr>
                <w:rFonts w:ascii="Arial" w:cs="Arial" w:eastAsia="Arial" w:hAnsi="Arial"/>
                <w:sz w:val="16"/>
                <w:szCs w:val="16"/>
                <w:color w:val="231F20"/>
                <w:w w:val="98"/>
              </w:rPr>
              <w:t>Inline XBRL Instance Document - the instance document does not appear in the Interactive Data File because its XBRL tags are embedded within</w:t>
            </w:r>
          </w:p>
        </w:tc>
      </w:tr>
      <w:tr>
        <w:trPr>
          <w:trHeight w:val="207"/>
        </w:trPr>
        <w:tc>
          <w:tcPr>
            <w:tcW w:w="780" w:type="dxa"/>
            <w:vAlign w:val="bottom"/>
          </w:tcPr>
          <w:p>
            <w:pPr>
              <w:spacing w:after="0"/>
              <w:rPr>
                <w:sz w:val="17"/>
                <w:szCs w:val="17"/>
                <w:color w:val="auto"/>
              </w:rPr>
            </w:pPr>
          </w:p>
        </w:tc>
        <w:tc>
          <w:tcPr>
            <w:tcW w:w="10300" w:type="dxa"/>
            <w:vAlign w:val="bottom"/>
          </w:tcPr>
          <w:p>
            <w:pPr>
              <w:ind w:left="140"/>
              <w:spacing w:after="0"/>
              <w:rPr>
                <w:sz w:val="20"/>
                <w:szCs w:val="20"/>
                <w:color w:val="auto"/>
              </w:rPr>
            </w:pPr>
            <w:r>
              <w:rPr>
                <w:rFonts w:ascii="Arial" w:cs="Arial" w:eastAsia="Arial" w:hAnsi="Arial"/>
                <w:sz w:val="16"/>
                <w:szCs w:val="16"/>
                <w:color w:val="231F20"/>
              </w:rPr>
              <w:t>the Inline XBRL document.</w:t>
            </w:r>
          </w:p>
        </w:tc>
      </w:tr>
      <w:tr>
        <w:trPr>
          <w:trHeight w:val="355"/>
        </w:trPr>
        <w:tc>
          <w:tcPr>
            <w:tcW w:w="780" w:type="dxa"/>
            <w:vAlign w:val="bottom"/>
          </w:tcPr>
          <w:p>
            <w:pPr>
              <w:spacing w:after="0"/>
              <w:rPr>
                <w:sz w:val="20"/>
                <w:szCs w:val="20"/>
                <w:color w:val="auto"/>
              </w:rPr>
            </w:pPr>
            <w:r>
              <w:rPr>
                <w:rFonts w:ascii="Arial" w:cs="Arial" w:eastAsia="Arial" w:hAnsi="Arial"/>
                <w:sz w:val="16"/>
                <w:szCs w:val="16"/>
                <w:color w:val="231F20"/>
              </w:rPr>
              <w:t>101.SCH</w:t>
            </w:r>
          </w:p>
        </w:tc>
        <w:tc>
          <w:tcPr>
            <w:tcW w:w="10300" w:type="dxa"/>
            <w:vAlign w:val="bottom"/>
          </w:tcPr>
          <w:p>
            <w:pPr>
              <w:ind w:left="140"/>
              <w:spacing w:after="0"/>
              <w:rPr>
                <w:sz w:val="20"/>
                <w:szCs w:val="20"/>
                <w:color w:val="auto"/>
              </w:rPr>
            </w:pPr>
            <w:r>
              <w:rPr>
                <w:rFonts w:ascii="Arial" w:cs="Arial" w:eastAsia="Arial" w:hAnsi="Arial"/>
                <w:sz w:val="16"/>
                <w:szCs w:val="16"/>
                <w:color w:val="231F20"/>
              </w:rPr>
              <w:t>Inline XBRL Taxonomy Extension Schema With Embedded Linkbase Documents</w:t>
            </w:r>
          </w:p>
        </w:tc>
      </w:tr>
    </w:tbl>
    <w:p>
      <w:pPr>
        <w:spacing w:after="0" w:line="148" w:lineRule="exact"/>
        <w:rPr>
          <w:sz w:val="20"/>
          <w:szCs w:val="20"/>
          <w:color w:val="auto"/>
        </w:rPr>
      </w:pPr>
    </w:p>
    <w:p>
      <w:pPr>
        <w:ind w:left="925" w:right="20" w:hanging="914"/>
        <w:spacing w:after="0" w:line="260" w:lineRule="auto"/>
        <w:tabs>
          <w:tab w:leader="none" w:pos="925" w:val="left"/>
        </w:tabs>
        <w:numPr>
          <w:ilvl w:val="1"/>
          <w:numId w:val="72"/>
        </w:numPr>
        <w:rPr>
          <w:rFonts w:ascii="Arial" w:cs="Arial" w:eastAsia="Arial" w:hAnsi="Arial"/>
          <w:sz w:val="16"/>
          <w:szCs w:val="16"/>
          <w:color w:val="231F20"/>
        </w:rPr>
      </w:pPr>
      <w:r>
        <w:rPr>
          <w:rFonts w:ascii="Arial" w:cs="Arial" w:eastAsia="Arial" w:hAnsi="Arial"/>
          <w:sz w:val="16"/>
          <w:szCs w:val="16"/>
          <w:color w:val="231F20"/>
        </w:rPr>
        <w:t>The cover page from the Company’s Annual Report on Form 10-K for the fiscal year ended December 31, 2024 has been formatted in Inline XBRL (Inline Extensible Business Reporting Language).</w:t>
      </w:r>
    </w:p>
    <w:p>
      <w:pPr>
        <w:spacing w:after="0" w:line="98" w:lineRule="exact"/>
        <w:rPr>
          <w:rFonts w:ascii="Arial" w:cs="Arial" w:eastAsia="Arial" w:hAnsi="Arial"/>
          <w:sz w:val="16"/>
          <w:szCs w:val="16"/>
          <w:color w:val="231F20"/>
        </w:rPr>
      </w:pPr>
    </w:p>
    <w:p>
      <w:pPr>
        <w:ind w:left="305" w:hanging="305"/>
        <w:spacing w:after="0"/>
        <w:tabs>
          <w:tab w:leader="none" w:pos="305" w:val="left"/>
        </w:tabs>
        <w:numPr>
          <w:ilvl w:val="0"/>
          <w:numId w:val="72"/>
        </w:numPr>
        <w:rPr>
          <w:rFonts w:ascii="Arial" w:cs="Arial" w:eastAsia="Arial" w:hAnsi="Arial"/>
          <w:sz w:val="16"/>
          <w:szCs w:val="16"/>
          <w:color w:val="231F20"/>
        </w:rPr>
      </w:pPr>
      <w:r>
        <w:rPr>
          <w:rFonts w:ascii="Arial" w:cs="Arial" w:eastAsia="Arial" w:hAnsi="Arial"/>
          <w:sz w:val="16"/>
          <w:szCs w:val="16"/>
          <w:color w:val="231F20"/>
        </w:rPr>
        <w:t>Management contract or compensatory plan or arrangement.</w:t>
      </w:r>
    </w:p>
    <w:p>
      <w:pPr>
        <w:spacing w:after="0" w:line="18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07" w:right="319" w:bottom="1440" w:gutter="0" w:footer="0" w:header="0"/>
        </w:sectPr>
      </w:pPr>
    </w:p>
    <w:bookmarkStart w:id="93" w:name="page94"/>
    <w:bookmarkEnd w:id="93"/>
    <w:p>
      <w:pPr>
        <w:ind w:left="60"/>
        <w:spacing w:after="0"/>
        <w:rPr>
          <w:sz w:val="20"/>
          <w:szCs w:val="20"/>
          <w:color w:val="auto"/>
        </w:rPr>
      </w:pPr>
      <w:r>
        <w:rPr>
          <w:rFonts w:ascii="Arial" w:cs="Arial" w:eastAsia="Arial" w:hAnsi="Arial"/>
          <w:sz w:val="16"/>
          <w:szCs w:val="16"/>
          <w:color w:val="FFFFFF"/>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149465" cy="135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5B89B4"/>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231F20"/>
        </w:rPr>
        <w:t>Not applicable.</w:t>
      </w:r>
    </w:p>
    <w:p>
      <w:pPr>
        <w:spacing w:after="0" w:line="183"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704" w:right="1440" w:bottom="1440" w:gutter="0" w:footer="0" w:header="0"/>
        </w:sectPr>
      </w:pPr>
    </w:p>
    <w:bookmarkStart w:id="94" w:name="page95"/>
    <w:bookmarkEnd w:id="94"/>
    <w:p>
      <w:pPr>
        <w:ind w:left="10705"/>
        <w:spacing w:after="0"/>
        <w:rPr>
          <w:sz w:val="20"/>
          <w:szCs w:val="20"/>
          <w:color w:val="auto"/>
        </w:rPr>
      </w:pPr>
      <w:r>
        <w:rPr>
          <w:rFonts w:ascii="Arial" w:cs="Arial" w:eastAsia="Arial" w:hAnsi="Arial"/>
          <w:sz w:val="16"/>
          <w:szCs w:val="16"/>
          <w:color w:val="FFFFFF"/>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9465" cy="135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62" w:lineRule="exact"/>
        <w:rPr>
          <w:sz w:val="20"/>
          <w:szCs w:val="20"/>
          <w:color w:val="auto"/>
        </w:rPr>
      </w:pPr>
    </w:p>
    <w:p>
      <w:pPr>
        <w:ind w:left="5"/>
        <w:spacing w:after="0"/>
        <w:rPr>
          <w:sz w:val="20"/>
          <w:szCs w:val="20"/>
          <w:color w:val="auto"/>
        </w:rPr>
      </w:pPr>
      <w:r>
        <w:rPr>
          <w:rFonts w:ascii="Arial" w:cs="Arial" w:eastAsia="Arial" w:hAnsi="Arial"/>
          <w:sz w:val="36"/>
          <w:szCs w:val="36"/>
          <w:color w:val="5B89B4"/>
        </w:rPr>
        <w:t>SIGNATURES</w:t>
      </w:r>
    </w:p>
    <w:p>
      <w:pPr>
        <w:spacing w:after="0" w:line="113" w:lineRule="exact"/>
        <w:rPr>
          <w:sz w:val="20"/>
          <w:szCs w:val="20"/>
          <w:color w:val="auto"/>
        </w:rPr>
      </w:pPr>
    </w:p>
    <w:p>
      <w:pPr>
        <w:ind w:left="5"/>
        <w:spacing w:after="0" w:line="260" w:lineRule="auto"/>
        <w:rPr>
          <w:sz w:val="20"/>
          <w:szCs w:val="20"/>
          <w:color w:val="auto"/>
        </w:rPr>
      </w:pPr>
      <w:r>
        <w:rPr>
          <w:rFonts w:ascii="Arial" w:cs="Arial" w:eastAsia="Arial" w:hAnsi="Arial"/>
          <w:sz w:val="16"/>
          <w:szCs w:val="16"/>
          <w:color w:val="231F20"/>
        </w:rPr>
        <w:t>Pursuant to the requirements of Section 13 or 15(d)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7025"/>
        <w:spacing w:after="0"/>
        <w:rPr>
          <w:sz w:val="20"/>
          <w:szCs w:val="20"/>
          <w:color w:val="auto"/>
        </w:rPr>
      </w:pPr>
      <w:r>
        <w:rPr>
          <w:rFonts w:ascii="Arial" w:cs="Arial" w:eastAsia="Arial" w:hAnsi="Arial"/>
          <w:sz w:val="16"/>
          <w:szCs w:val="16"/>
          <w:color w:val="231F20"/>
        </w:rPr>
        <w:t>MANPOWERGROUP INC.</w:t>
      </w:r>
    </w:p>
    <w:p>
      <w:pPr>
        <w:spacing w:after="0" w:line="254" w:lineRule="exact"/>
        <w:rPr>
          <w:sz w:val="20"/>
          <w:szCs w:val="20"/>
          <w:color w:val="auto"/>
        </w:rPr>
      </w:pPr>
    </w:p>
    <w:p>
      <w:pPr>
        <w:ind w:left="7025"/>
        <w:spacing w:after="0"/>
        <w:tabs>
          <w:tab w:leader="none" w:pos="7565" w:val="left"/>
        </w:tabs>
        <w:rPr>
          <w:sz w:val="20"/>
          <w:szCs w:val="20"/>
          <w:color w:val="auto"/>
        </w:rPr>
      </w:pPr>
      <w:r>
        <w:rPr>
          <w:rFonts w:ascii="Arial" w:cs="Arial" w:eastAsia="Arial" w:hAnsi="Arial"/>
          <w:sz w:val="16"/>
          <w:szCs w:val="16"/>
          <w:color w:val="231F20"/>
        </w:rPr>
        <w:t>By:</w:t>
      </w:r>
      <w:r>
        <w:rPr>
          <w:sz w:val="20"/>
          <w:szCs w:val="20"/>
          <w:color w:val="auto"/>
        </w:rPr>
        <w:tab/>
      </w:r>
      <w:r>
        <w:rPr>
          <w:rFonts w:ascii="Arial" w:cs="Arial" w:eastAsia="Arial" w:hAnsi="Arial"/>
          <w:sz w:val="16"/>
          <w:szCs w:val="16"/>
          <w:color w:val="231F20"/>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5080</wp:posOffset>
            </wp:positionV>
            <wp:extent cx="233553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3">
                      <a:extLst>
                        <a:ext uri="{28A0092B-C50C-407E-A947-70E740481C1C}"/>
                      </a:extLst>
                    </a:blip>
                    <a:srcRect/>
                    <a:stretch>
                      <a:fillRect/>
                    </a:stretch>
                  </pic:blipFill>
                  <pic:spPr bwMode="auto">
                    <a:xfrm>
                      <a:off x="0" y="0"/>
                      <a:ext cx="2335530" cy="7620"/>
                    </a:xfrm>
                    <a:prstGeom prst="rect">
                      <a:avLst/>
                    </a:prstGeom>
                    <a:noFill/>
                  </pic:spPr>
                </pic:pic>
              </a:graphicData>
            </a:graphic>
          </wp:anchor>
        </w:drawing>
      </w:r>
    </w:p>
    <w:p>
      <w:pPr>
        <w:ind w:left="7585"/>
        <w:spacing w:after="0"/>
        <w:rPr>
          <w:sz w:val="20"/>
          <w:szCs w:val="20"/>
          <w:color w:val="auto"/>
        </w:rPr>
      </w:pPr>
      <w:r>
        <w:rPr>
          <w:rFonts w:ascii="Arial" w:cs="Arial" w:eastAsia="Arial" w:hAnsi="Arial"/>
          <w:sz w:val="16"/>
          <w:szCs w:val="16"/>
          <w:color w:val="231F20"/>
        </w:rPr>
        <w:t>Jonas Prising</w:t>
      </w:r>
    </w:p>
    <w:p>
      <w:pPr>
        <w:ind w:left="7585"/>
        <w:spacing w:after="0"/>
        <w:rPr>
          <w:sz w:val="20"/>
          <w:szCs w:val="20"/>
          <w:color w:val="auto"/>
        </w:rPr>
      </w:pPr>
      <w:r>
        <w:rPr>
          <w:rFonts w:ascii="Arial" w:cs="Arial" w:eastAsia="Arial" w:hAnsi="Arial"/>
          <w:sz w:val="16"/>
          <w:szCs w:val="16"/>
          <w:color w:val="231F20"/>
        </w:rPr>
        <w:t>Chairman and Chief Executive Officer</w:t>
      </w:r>
    </w:p>
    <w:p>
      <w:pPr>
        <w:spacing w:after="0" w:line="299" w:lineRule="exact"/>
        <w:rPr>
          <w:sz w:val="20"/>
          <w:szCs w:val="20"/>
          <w:color w:val="auto"/>
        </w:rPr>
      </w:pPr>
    </w:p>
    <w:p>
      <w:pPr>
        <w:ind w:left="7025"/>
        <w:spacing w:after="0"/>
        <w:tabs>
          <w:tab w:leader="none" w:pos="7565" w:val="left"/>
        </w:tabs>
        <w:rPr>
          <w:sz w:val="20"/>
          <w:szCs w:val="20"/>
          <w:color w:val="auto"/>
        </w:rPr>
      </w:pPr>
      <w:r>
        <w:rPr>
          <w:rFonts w:ascii="Arial" w:cs="Arial" w:eastAsia="Arial" w:hAnsi="Arial"/>
          <w:sz w:val="16"/>
          <w:szCs w:val="16"/>
          <w:color w:val="231F20"/>
        </w:rPr>
        <w:t>Date:</w:t>
        <w:tab/>
        <w:t>February 19, 2025</w:t>
      </w:r>
    </w:p>
    <w:p>
      <w:pPr>
        <w:spacing w:after="0" w:line="135" w:lineRule="exact"/>
        <w:rPr>
          <w:sz w:val="20"/>
          <w:szCs w:val="20"/>
          <w:color w:val="auto"/>
        </w:rPr>
      </w:pPr>
    </w:p>
    <w:p>
      <w:pPr>
        <w:ind w:left="5"/>
        <w:spacing w:after="0" w:line="260" w:lineRule="auto"/>
        <w:rPr>
          <w:sz w:val="20"/>
          <w:szCs w:val="20"/>
          <w:color w:val="auto"/>
        </w:rPr>
      </w:pPr>
      <w:r>
        <w:rPr>
          <w:rFonts w:ascii="Arial" w:cs="Arial" w:eastAsia="Arial" w:hAnsi="Arial"/>
          <w:sz w:val="16"/>
          <w:szCs w:val="16"/>
          <w:color w:val="231F20"/>
        </w:rPr>
        <w:t>Pursuant to the requirements of the Securities Exchange Act of 1934, this report has been signed below by the following persons on behalf of the registrant and in the capacities and on the dates indicated.</w:t>
      </w:r>
    </w:p>
    <w:p>
      <w:pPr>
        <w:spacing w:after="0" w:line="83"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231F20"/>
              </w:rPr>
              <w:t>Name</w:t>
            </w:r>
          </w:p>
        </w:tc>
        <w:tc>
          <w:tcPr>
            <w:tcW w:w="2780" w:type="dxa"/>
            <w:vAlign w:val="bottom"/>
          </w:tcPr>
          <w:p>
            <w:pPr>
              <w:spacing w:after="0"/>
              <w:rPr>
                <w:sz w:val="16"/>
                <w:szCs w:val="16"/>
                <w:color w:val="auto"/>
              </w:rPr>
            </w:pPr>
          </w:p>
        </w:tc>
        <w:tc>
          <w:tcPr>
            <w:tcW w:w="2040" w:type="dxa"/>
            <w:vAlign w:val="bottom"/>
            <w:gridSpan w:val="2"/>
          </w:tcPr>
          <w:p>
            <w:pPr>
              <w:spacing w:after="0"/>
              <w:rPr>
                <w:sz w:val="20"/>
                <w:szCs w:val="20"/>
                <w:color w:val="auto"/>
              </w:rPr>
            </w:pPr>
            <w:r>
              <w:rPr>
                <w:rFonts w:ascii="Arial" w:cs="Arial" w:eastAsia="Arial" w:hAnsi="Arial"/>
                <w:sz w:val="16"/>
                <w:szCs w:val="16"/>
                <w:b w:val="1"/>
                <w:bCs w:val="1"/>
                <w:color w:val="231F20"/>
              </w:rPr>
              <w:t>Title</w:t>
            </w:r>
          </w:p>
        </w:tc>
        <w:tc>
          <w:tcPr>
            <w:tcW w:w="2560" w:type="dxa"/>
            <w:vAlign w:val="bottom"/>
            <w:gridSpan w:val="2"/>
          </w:tcPr>
          <w:p>
            <w:pPr>
              <w:ind w:left="2220"/>
              <w:spacing w:after="0"/>
              <w:rPr>
                <w:sz w:val="20"/>
                <w:szCs w:val="20"/>
                <w:color w:val="auto"/>
              </w:rPr>
            </w:pPr>
            <w:r>
              <w:rPr>
                <w:rFonts w:ascii="Arial" w:cs="Arial" w:eastAsia="Arial" w:hAnsi="Arial"/>
                <w:sz w:val="16"/>
                <w:szCs w:val="16"/>
                <w:b w:val="1"/>
                <w:bCs w:val="1"/>
                <w:color w:val="231F20"/>
                <w:w w:val="92"/>
              </w:rPr>
              <w:t>Date</w:t>
            </w: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r>
      <w:tr>
        <w:trPr>
          <w:trHeight w:val="370"/>
        </w:trPr>
        <w:tc>
          <w:tcPr>
            <w:tcW w:w="2700" w:type="dxa"/>
            <w:vAlign w:val="bottom"/>
            <w:tcBorders>
              <w:bottom w:val="single" w:sz="8" w:color="231F20"/>
            </w:tcBorders>
            <w:gridSpan w:val="3"/>
          </w:tcPr>
          <w:p>
            <w:pPr>
              <w:spacing w:after="0"/>
              <w:rPr>
                <w:sz w:val="20"/>
                <w:szCs w:val="20"/>
                <w:color w:val="auto"/>
              </w:rPr>
            </w:pPr>
            <w:r>
              <w:rPr>
                <w:rFonts w:ascii="Arial" w:cs="Arial" w:eastAsia="Arial" w:hAnsi="Arial"/>
                <w:sz w:val="16"/>
                <w:szCs w:val="16"/>
                <w:color w:val="231F20"/>
              </w:rPr>
              <w:t>/s/ Jonas Prising</w:t>
            </w:r>
          </w:p>
        </w:tc>
        <w:tc>
          <w:tcPr>
            <w:tcW w:w="4820" w:type="dxa"/>
            <w:vAlign w:val="bottom"/>
            <w:gridSpan w:val="3"/>
          </w:tcPr>
          <w:p>
            <w:pPr>
              <w:ind w:left="140"/>
              <w:spacing w:after="0"/>
              <w:rPr>
                <w:sz w:val="20"/>
                <w:szCs w:val="20"/>
                <w:color w:val="auto"/>
              </w:rPr>
            </w:pPr>
            <w:r>
              <w:rPr>
                <w:rFonts w:ascii="Arial" w:cs="Arial" w:eastAsia="Arial" w:hAnsi="Arial"/>
                <w:sz w:val="16"/>
                <w:szCs w:val="16"/>
                <w:color w:val="231F20"/>
              </w:rPr>
              <w:t>Chairman, Chief Executive Officer and a Director</w:t>
            </w:r>
          </w:p>
        </w:tc>
        <w:tc>
          <w:tcPr>
            <w:tcW w:w="2560" w:type="dxa"/>
            <w:vAlign w:val="bottom"/>
            <w:gridSpan w:val="2"/>
          </w:tcPr>
          <w:p>
            <w:pPr>
              <w:ind w:left="1040"/>
              <w:spacing w:after="0"/>
              <w:rPr>
                <w:sz w:val="20"/>
                <w:szCs w:val="20"/>
                <w:color w:val="auto"/>
              </w:rPr>
            </w:pPr>
            <w:r>
              <w:rPr>
                <w:rFonts w:ascii="Arial" w:cs="Arial" w:eastAsia="Arial" w:hAnsi="Arial"/>
                <w:sz w:val="16"/>
                <w:szCs w:val="16"/>
                <w:color w:val="231F20"/>
              </w:rPr>
              <w:t>February 19, 2025</w:t>
            </w:r>
          </w:p>
        </w:tc>
      </w:tr>
      <w:tr>
        <w:trPr>
          <w:trHeight w:val="198"/>
        </w:trPr>
        <w:tc>
          <w:tcPr>
            <w:tcW w:w="2700" w:type="dxa"/>
            <w:vAlign w:val="bottom"/>
            <w:gridSpan w:val="3"/>
          </w:tcPr>
          <w:p>
            <w:pPr>
              <w:spacing w:after="0"/>
              <w:rPr>
                <w:sz w:val="20"/>
                <w:szCs w:val="20"/>
                <w:color w:val="auto"/>
              </w:rPr>
            </w:pPr>
            <w:r>
              <w:rPr>
                <w:rFonts w:ascii="Arial" w:cs="Arial" w:eastAsia="Arial" w:hAnsi="Arial"/>
                <w:sz w:val="16"/>
                <w:szCs w:val="16"/>
                <w:color w:val="231F20"/>
              </w:rPr>
              <w:t>Jonas Prising</w:t>
            </w:r>
          </w:p>
        </w:tc>
        <w:tc>
          <w:tcPr>
            <w:tcW w:w="4820" w:type="dxa"/>
            <w:vAlign w:val="bottom"/>
            <w:gridSpan w:val="3"/>
          </w:tcPr>
          <w:p>
            <w:pPr>
              <w:ind w:left="140"/>
              <w:spacing w:after="0"/>
              <w:rPr>
                <w:sz w:val="20"/>
                <w:szCs w:val="20"/>
                <w:color w:val="auto"/>
              </w:rPr>
            </w:pPr>
            <w:r>
              <w:rPr>
                <w:rFonts w:ascii="Arial" w:cs="Arial" w:eastAsia="Arial" w:hAnsi="Arial"/>
                <w:sz w:val="16"/>
                <w:szCs w:val="16"/>
                <w:color w:val="231F20"/>
              </w:rPr>
              <w:t>(Principal Executive Officer)</w:t>
            </w: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61"/>
        </w:trPr>
        <w:tc>
          <w:tcPr>
            <w:tcW w:w="2700" w:type="dxa"/>
            <w:vAlign w:val="bottom"/>
            <w:tcBorders>
              <w:bottom w:val="single" w:sz="8" w:color="231F20"/>
            </w:tcBorders>
            <w:gridSpan w:val="3"/>
          </w:tcPr>
          <w:p>
            <w:pPr>
              <w:spacing w:after="0"/>
              <w:rPr>
                <w:sz w:val="20"/>
                <w:szCs w:val="20"/>
                <w:color w:val="auto"/>
              </w:rPr>
            </w:pPr>
            <w:r>
              <w:rPr>
                <w:rFonts w:ascii="Arial" w:cs="Arial" w:eastAsia="Arial" w:hAnsi="Arial"/>
                <w:sz w:val="16"/>
                <w:szCs w:val="16"/>
                <w:color w:val="231F20"/>
              </w:rPr>
              <w:t>/s/ John T. McGinnis</w:t>
            </w:r>
          </w:p>
        </w:tc>
        <w:tc>
          <w:tcPr>
            <w:tcW w:w="4820" w:type="dxa"/>
            <w:vAlign w:val="bottom"/>
            <w:gridSpan w:val="3"/>
          </w:tcPr>
          <w:p>
            <w:pPr>
              <w:ind w:left="140"/>
              <w:spacing w:after="0"/>
              <w:rPr>
                <w:sz w:val="20"/>
                <w:szCs w:val="20"/>
                <w:color w:val="auto"/>
              </w:rPr>
            </w:pPr>
            <w:r>
              <w:rPr>
                <w:rFonts w:ascii="Arial" w:cs="Arial" w:eastAsia="Arial" w:hAnsi="Arial"/>
                <w:sz w:val="16"/>
                <w:szCs w:val="16"/>
                <w:color w:val="231F20"/>
              </w:rPr>
              <w:t>Executive Vice President and Chief Financial Officer</w:t>
            </w:r>
          </w:p>
        </w:tc>
        <w:tc>
          <w:tcPr>
            <w:tcW w:w="2560" w:type="dxa"/>
            <w:vAlign w:val="bottom"/>
            <w:gridSpan w:val="2"/>
          </w:tcPr>
          <w:p>
            <w:pPr>
              <w:ind w:left="1040"/>
              <w:spacing w:after="0"/>
              <w:rPr>
                <w:sz w:val="20"/>
                <w:szCs w:val="20"/>
                <w:color w:val="auto"/>
              </w:rPr>
            </w:pPr>
            <w:r>
              <w:rPr>
                <w:rFonts w:ascii="Arial" w:cs="Arial" w:eastAsia="Arial" w:hAnsi="Arial"/>
                <w:sz w:val="16"/>
                <w:szCs w:val="16"/>
                <w:color w:val="231F20"/>
              </w:rPr>
              <w:t>February 19, 2025</w:t>
            </w:r>
          </w:p>
        </w:tc>
      </w:tr>
      <w:tr>
        <w:trPr>
          <w:trHeight w:val="198"/>
        </w:trPr>
        <w:tc>
          <w:tcPr>
            <w:tcW w:w="2700" w:type="dxa"/>
            <w:vAlign w:val="bottom"/>
            <w:gridSpan w:val="3"/>
          </w:tcPr>
          <w:p>
            <w:pPr>
              <w:spacing w:after="0"/>
              <w:rPr>
                <w:sz w:val="20"/>
                <w:szCs w:val="20"/>
                <w:color w:val="auto"/>
              </w:rPr>
            </w:pPr>
            <w:r>
              <w:rPr>
                <w:rFonts w:ascii="Arial" w:cs="Arial" w:eastAsia="Arial" w:hAnsi="Arial"/>
                <w:sz w:val="16"/>
                <w:szCs w:val="16"/>
                <w:color w:val="231F20"/>
              </w:rPr>
              <w:t>John T. McGinnis</w:t>
            </w:r>
          </w:p>
        </w:tc>
        <w:tc>
          <w:tcPr>
            <w:tcW w:w="4820" w:type="dxa"/>
            <w:vAlign w:val="bottom"/>
            <w:gridSpan w:val="3"/>
          </w:tcPr>
          <w:p>
            <w:pPr>
              <w:ind w:left="140"/>
              <w:spacing w:after="0"/>
              <w:rPr>
                <w:sz w:val="20"/>
                <w:szCs w:val="20"/>
                <w:color w:val="auto"/>
              </w:rPr>
            </w:pPr>
            <w:r>
              <w:rPr>
                <w:rFonts w:ascii="Arial" w:cs="Arial" w:eastAsia="Arial" w:hAnsi="Arial"/>
                <w:sz w:val="16"/>
                <w:szCs w:val="16"/>
                <w:color w:val="231F20"/>
              </w:rPr>
              <w:t>(Principal Financial Officer)</w:t>
            </w: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49"/>
        </w:trPr>
        <w:tc>
          <w:tcPr>
            <w:tcW w:w="2700" w:type="dxa"/>
            <w:vAlign w:val="bottom"/>
            <w:tcBorders>
              <w:bottom w:val="single" w:sz="8" w:color="231F20"/>
            </w:tcBorders>
            <w:gridSpan w:val="3"/>
          </w:tcPr>
          <w:p>
            <w:pPr>
              <w:spacing w:after="0"/>
              <w:rPr>
                <w:sz w:val="20"/>
                <w:szCs w:val="20"/>
                <w:color w:val="auto"/>
              </w:rPr>
            </w:pPr>
            <w:r>
              <w:rPr>
                <w:rFonts w:ascii="Arial" w:cs="Arial" w:eastAsia="Arial" w:hAnsi="Arial"/>
                <w:sz w:val="16"/>
                <w:szCs w:val="16"/>
                <w:color w:val="231F20"/>
              </w:rPr>
              <w:t>/s/ Eric Rozek</w:t>
            </w:r>
          </w:p>
        </w:tc>
        <w:tc>
          <w:tcPr>
            <w:tcW w:w="4820" w:type="dxa"/>
            <w:vAlign w:val="bottom"/>
            <w:gridSpan w:val="3"/>
          </w:tcPr>
          <w:p>
            <w:pPr>
              <w:ind w:left="140"/>
              <w:spacing w:after="0"/>
              <w:rPr>
                <w:sz w:val="20"/>
                <w:szCs w:val="20"/>
                <w:color w:val="auto"/>
              </w:rPr>
            </w:pPr>
            <w:r>
              <w:rPr>
                <w:rFonts w:ascii="Arial" w:cs="Arial" w:eastAsia="Arial" w:hAnsi="Arial"/>
                <w:sz w:val="16"/>
                <w:szCs w:val="16"/>
                <w:color w:val="231F20"/>
              </w:rPr>
              <w:t>Vice President and Global Controller</w:t>
            </w:r>
          </w:p>
        </w:tc>
        <w:tc>
          <w:tcPr>
            <w:tcW w:w="2560" w:type="dxa"/>
            <w:vAlign w:val="bottom"/>
            <w:gridSpan w:val="2"/>
          </w:tcPr>
          <w:p>
            <w:pPr>
              <w:ind w:left="1040"/>
              <w:spacing w:after="0"/>
              <w:rPr>
                <w:sz w:val="20"/>
                <w:szCs w:val="20"/>
                <w:color w:val="auto"/>
              </w:rPr>
            </w:pPr>
            <w:r>
              <w:rPr>
                <w:rFonts w:ascii="Arial" w:cs="Arial" w:eastAsia="Arial" w:hAnsi="Arial"/>
                <w:sz w:val="16"/>
                <w:szCs w:val="16"/>
                <w:color w:val="231F20"/>
              </w:rPr>
              <w:t>February 19, 2025</w:t>
            </w:r>
          </w:p>
        </w:tc>
      </w:tr>
      <w:tr>
        <w:trPr>
          <w:trHeight w:val="198"/>
        </w:trPr>
        <w:tc>
          <w:tcPr>
            <w:tcW w:w="2700" w:type="dxa"/>
            <w:vAlign w:val="bottom"/>
            <w:gridSpan w:val="3"/>
          </w:tcPr>
          <w:p>
            <w:pPr>
              <w:spacing w:after="0"/>
              <w:rPr>
                <w:sz w:val="20"/>
                <w:szCs w:val="20"/>
                <w:color w:val="auto"/>
              </w:rPr>
            </w:pPr>
            <w:r>
              <w:rPr>
                <w:rFonts w:ascii="Arial" w:cs="Arial" w:eastAsia="Arial" w:hAnsi="Arial"/>
                <w:sz w:val="16"/>
                <w:szCs w:val="16"/>
                <w:color w:val="231F20"/>
              </w:rPr>
              <w:t>Eric Rozek</w:t>
            </w:r>
          </w:p>
        </w:tc>
        <w:tc>
          <w:tcPr>
            <w:tcW w:w="4820" w:type="dxa"/>
            <w:vAlign w:val="bottom"/>
            <w:gridSpan w:val="3"/>
          </w:tcPr>
          <w:p>
            <w:pPr>
              <w:ind w:left="140"/>
              <w:spacing w:after="0"/>
              <w:rPr>
                <w:sz w:val="20"/>
                <w:szCs w:val="20"/>
                <w:color w:val="auto"/>
              </w:rPr>
            </w:pPr>
            <w:r>
              <w:rPr>
                <w:rFonts w:ascii="Arial" w:cs="Arial" w:eastAsia="Arial" w:hAnsi="Arial"/>
                <w:sz w:val="16"/>
                <w:szCs w:val="16"/>
                <w:color w:val="231F20"/>
              </w:rPr>
              <w:t>(Principal Accounting Officer)</w:t>
            </w: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r>
    </w:tbl>
    <w:p>
      <w:pPr>
        <w:spacing w:after="0" w:line="110" w:lineRule="exact"/>
        <w:rPr>
          <w:sz w:val="20"/>
          <w:szCs w:val="20"/>
          <w:color w:val="auto"/>
        </w:rPr>
      </w:pPr>
    </w:p>
    <w:p>
      <w:pPr>
        <w:ind w:left="5"/>
        <w:spacing w:after="0" w:line="260" w:lineRule="auto"/>
        <w:rPr>
          <w:sz w:val="20"/>
          <w:szCs w:val="20"/>
          <w:color w:val="auto"/>
        </w:rPr>
      </w:pPr>
      <w:r>
        <w:rPr>
          <w:rFonts w:ascii="Arial" w:cs="Arial" w:eastAsia="Arial" w:hAnsi="Arial"/>
          <w:sz w:val="16"/>
          <w:szCs w:val="16"/>
          <w:color w:val="231F20"/>
        </w:rPr>
        <w:t>Directors: Jean-Philippe Courtois, John F. Ferraro, William P. Gipson, Patricia A. Hemingway Hall, Julie M. Howard, Muriel Pénicaud, Ulice Payne, Jr., Paul Read, Elizabeth P. Sartain, and Michael J. Van Handel</w:t>
      </w:r>
    </w:p>
    <w:p>
      <w:pPr>
        <w:spacing w:after="0" w:line="134" w:lineRule="exact"/>
        <w:rPr>
          <w:sz w:val="20"/>
          <w:szCs w:val="20"/>
          <w:color w:val="auto"/>
        </w:rPr>
      </w:pPr>
    </w:p>
    <w:tbl>
      <w:tblPr>
        <w:tblLayout w:type="fixed"/>
        <w:tblInd w:w="5" w:type="dxa"/>
        <w:tblCellMar>
          <w:top w:w="0" w:type="dxa"/>
          <w:left w:w="0" w:type="dxa"/>
          <w:bottom w:w="0" w:type="dxa"/>
          <w:right w:w="0" w:type="dxa"/>
        </w:tblCellMar>
      </w:tblPr>
      <w:tr>
        <w:trPr>
          <w:trHeight w:val="192"/>
        </w:trPr>
        <w:tc>
          <w:tcPr>
            <w:tcW w:w="680" w:type="dxa"/>
            <w:vAlign w:val="bottom"/>
          </w:tcPr>
          <w:p>
            <w:pPr>
              <w:spacing w:after="0"/>
              <w:rPr>
                <w:sz w:val="20"/>
                <w:szCs w:val="20"/>
                <w:color w:val="auto"/>
              </w:rPr>
            </w:pPr>
            <w:r>
              <w:rPr>
                <w:rFonts w:ascii="Arial" w:cs="Arial" w:eastAsia="Arial" w:hAnsi="Arial"/>
                <w:sz w:val="16"/>
                <w:szCs w:val="16"/>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T. McGinnis</w:t>
            </w:r>
          </w:p>
        </w:tc>
      </w:tr>
      <w:tr>
        <w:trPr>
          <w:trHeight w:val="178"/>
        </w:trPr>
        <w:tc>
          <w:tcPr>
            <w:tcW w:w="680" w:type="dxa"/>
            <w:vAlign w:val="bottom"/>
          </w:tcPr>
          <w:p>
            <w:pPr>
              <w:spacing w:after="0"/>
              <w:rPr>
                <w:sz w:val="15"/>
                <w:szCs w:val="15"/>
                <w:color w:val="auto"/>
              </w:rPr>
            </w:pPr>
          </w:p>
        </w:tc>
        <w:tc>
          <w:tcPr>
            <w:tcW w:w="4940" w:type="dxa"/>
            <w:vAlign w:val="bottom"/>
          </w:tcPr>
          <w:p>
            <w:pPr>
              <w:ind w:left="20"/>
              <w:spacing w:after="0" w:line="178" w:lineRule="exact"/>
              <w:rPr>
                <w:sz w:val="20"/>
                <w:szCs w:val="20"/>
                <w:color w:val="auto"/>
              </w:rPr>
            </w:pPr>
            <w:r>
              <w:rPr>
                <w:rFonts w:ascii="Arial" w:cs="Arial" w:eastAsia="Arial" w:hAnsi="Arial"/>
                <w:sz w:val="16"/>
                <w:szCs w:val="16"/>
                <w:color w:val="auto"/>
              </w:rPr>
              <w:t>John McGinnis</w:t>
            </w:r>
          </w:p>
        </w:tc>
      </w:tr>
      <w:tr>
        <w:trPr>
          <w:trHeight w:val="207"/>
        </w:trPr>
        <w:tc>
          <w:tcPr>
            <w:tcW w:w="680" w:type="dxa"/>
            <w:vAlign w:val="bottom"/>
          </w:tcPr>
          <w:p>
            <w:pPr>
              <w:spacing w:after="0"/>
              <w:rPr>
                <w:sz w:val="17"/>
                <w:szCs w:val="17"/>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Attorney-In-Fact*</w:t>
            </w:r>
          </w:p>
        </w:tc>
      </w:tr>
      <w:tr>
        <w:trPr>
          <w:trHeight w:val="438"/>
        </w:trPr>
        <w:tc>
          <w:tcPr>
            <w:tcW w:w="680" w:type="dxa"/>
            <w:vAlign w:val="bottom"/>
          </w:tcPr>
          <w:p>
            <w:pPr>
              <w:spacing w:after="0"/>
              <w:rPr>
                <w:sz w:val="20"/>
                <w:szCs w:val="20"/>
                <w:color w:val="auto"/>
              </w:rPr>
            </w:pPr>
            <w:r>
              <w:rPr>
                <w:rFonts w:ascii="Arial" w:cs="Arial" w:eastAsia="Arial" w:hAnsi="Arial"/>
                <w:sz w:val="16"/>
                <w:szCs w:val="16"/>
                <w:color w:val="auto"/>
              </w:rPr>
              <w:t>Date:</w:t>
            </w:r>
          </w:p>
        </w:tc>
        <w:tc>
          <w:tcPr>
            <w:tcW w:w="4940" w:type="dxa"/>
            <w:vAlign w:val="bottom"/>
          </w:tcPr>
          <w:p>
            <w:pPr>
              <w:ind w:left="20"/>
              <w:spacing w:after="0"/>
              <w:rPr>
                <w:sz w:val="20"/>
                <w:szCs w:val="20"/>
                <w:color w:val="auto"/>
              </w:rPr>
            </w:pPr>
            <w:r>
              <w:rPr>
                <w:rFonts w:ascii="Arial" w:cs="Arial" w:eastAsia="Arial" w:hAnsi="Arial"/>
                <w:sz w:val="16"/>
                <w:szCs w:val="16"/>
                <w:color w:val="231F20"/>
              </w:rPr>
              <w:t>February 19, 2025</w:t>
            </w:r>
          </w:p>
        </w:tc>
      </w:tr>
    </w:tbl>
    <w:p>
      <w:pPr>
        <w:spacing w:after="0" w:line="113" w:lineRule="exact"/>
        <w:rPr>
          <w:sz w:val="20"/>
          <w:szCs w:val="20"/>
          <w:color w:val="auto"/>
        </w:rPr>
      </w:pPr>
    </w:p>
    <w:p>
      <w:pPr>
        <w:ind w:left="5545" w:right="5100" w:hanging="5545"/>
        <w:spacing w:after="0" w:line="398" w:lineRule="auto"/>
        <w:tabs>
          <w:tab w:leader="none" w:pos="109" w:val="left"/>
        </w:tabs>
        <w:numPr>
          <w:ilvl w:val="0"/>
          <w:numId w:val="73"/>
        </w:numPr>
        <w:rPr>
          <w:rFonts w:ascii="Arial" w:cs="Arial" w:eastAsia="Arial" w:hAnsi="Arial"/>
          <w:sz w:val="15"/>
          <w:szCs w:val="15"/>
          <w:color w:val="auto"/>
        </w:rPr>
      </w:pPr>
      <w:r>
        <w:rPr>
          <w:rFonts w:ascii="Arial" w:cs="Arial" w:eastAsia="Arial" w:hAnsi="Arial"/>
          <w:sz w:val="15"/>
          <w:szCs w:val="15"/>
          <w:color w:val="auto"/>
        </w:rPr>
        <w:t>Pursuant to authority granted by powers of attorney, copies of which are filed herewith.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581025</wp:posOffset>
            </wp:positionV>
            <wp:extent cx="7174865" cy="406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704"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7"/>
          <w:szCs w:val="17"/>
          <w:b w:val="1"/>
          <w:bCs w:val="1"/>
          <w:color w:val="auto"/>
        </w:rPr>
        <w:t>EXHIBIT 10.6(d)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TRANSITION AND RETIREMENT AGREEMENT</w:t>
      </w:r>
    </w:p>
    <w:p>
      <w:pPr>
        <w:spacing w:after="0" w:line="89" w:lineRule="exact"/>
        <w:rPr>
          <w:sz w:val="20"/>
          <w:szCs w:val="20"/>
          <w:color w:val="auto"/>
        </w:rPr>
      </w:pPr>
    </w:p>
    <w:p>
      <w:pPr>
        <w:ind w:right="20" w:firstLine="751"/>
        <w:spacing w:after="0" w:line="266" w:lineRule="auto"/>
        <w:rPr>
          <w:sz w:val="20"/>
          <w:szCs w:val="20"/>
          <w:color w:val="auto"/>
        </w:rPr>
      </w:pPr>
      <w:r>
        <w:rPr>
          <w:rFonts w:ascii="Times New Roman" w:cs="Times New Roman" w:eastAsia="Times New Roman" w:hAnsi="Times New Roman"/>
          <w:sz w:val="19"/>
          <w:szCs w:val="19"/>
          <w:color w:val="auto"/>
        </w:rPr>
        <w:t>This Transition and Retirement Agreement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xml:space="preserve">”) is entered into by and among ManpowerGroup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 Richard Buchband (“</w:t>
      </w:r>
      <w:r>
        <w:rPr>
          <w:rFonts w:ascii="Times New Roman" w:cs="Times New Roman" w:eastAsia="Times New Roman" w:hAnsi="Times New Roman"/>
          <w:sz w:val="19"/>
          <w:szCs w:val="19"/>
          <w:b w:val="1"/>
          <w:bCs w:val="1"/>
          <w:color w:val="auto"/>
        </w:rPr>
        <w:t>Executive</w:t>
      </w:r>
      <w:r>
        <w:rPr>
          <w:rFonts w:ascii="Times New Roman" w:cs="Times New Roman" w:eastAsia="Times New Roman" w:hAnsi="Times New Roman"/>
          <w:sz w:val="19"/>
          <w:szCs w:val="19"/>
          <w:color w:val="auto"/>
        </w:rPr>
        <w:t>”) (Executive and the Company are collectively referred to herein as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WHEREAS, Executive has been employed by the Company as its Senior Vice President, General Counsel and Secretary; and</w:t>
      </w:r>
    </w:p>
    <w:p>
      <w:pPr>
        <w:spacing w:after="0" w:line="184" w:lineRule="exact"/>
        <w:rPr>
          <w:sz w:val="20"/>
          <w:szCs w:val="20"/>
          <w:color w:val="auto"/>
        </w:rPr>
      </w:pPr>
    </w:p>
    <w:p>
      <w:pPr>
        <w:ind w:firstLine="751"/>
        <w:spacing w:after="0" w:line="262" w:lineRule="auto"/>
        <w:rPr>
          <w:sz w:val="20"/>
          <w:szCs w:val="20"/>
          <w:color w:val="auto"/>
        </w:rPr>
      </w:pPr>
      <w:r>
        <w:rPr>
          <w:rFonts w:ascii="Times New Roman" w:cs="Times New Roman" w:eastAsia="Times New Roman" w:hAnsi="Times New Roman"/>
          <w:sz w:val="19"/>
          <w:szCs w:val="19"/>
          <w:color w:val="auto"/>
        </w:rPr>
        <w:t>WHEREAS, the Parties have agreed to a transition in connection with Executive’s retirement and the Company’s reallocation of certain duties and responsibilities among its key executives; and</w:t>
      </w:r>
    </w:p>
    <w:p>
      <w:pPr>
        <w:spacing w:after="0" w:line="138" w:lineRule="exact"/>
        <w:rPr>
          <w:sz w:val="20"/>
          <w:szCs w:val="20"/>
          <w:color w:val="auto"/>
        </w:rPr>
      </w:pPr>
    </w:p>
    <w:p>
      <w:pPr>
        <w:ind w:right="20" w:firstLine="751"/>
        <w:spacing w:after="0" w:line="262" w:lineRule="auto"/>
        <w:rPr>
          <w:sz w:val="20"/>
          <w:szCs w:val="20"/>
          <w:color w:val="auto"/>
        </w:rPr>
      </w:pPr>
      <w:r>
        <w:rPr>
          <w:rFonts w:ascii="Times New Roman" w:cs="Times New Roman" w:eastAsia="Times New Roman" w:hAnsi="Times New Roman"/>
          <w:sz w:val="19"/>
          <w:szCs w:val="19"/>
          <w:color w:val="auto"/>
        </w:rPr>
        <w:t>WHEREAS, the Parties desire to set forth the terms and conditions of this transition, Executive’s retirement, Executive’s continued involvement with the Company during a transition period, all as set forth in this Agreement;</w:t>
      </w:r>
    </w:p>
    <w:p>
      <w:pPr>
        <w:spacing w:after="0" w:line="138" w:lineRule="exact"/>
        <w:rPr>
          <w:sz w:val="20"/>
          <w:szCs w:val="20"/>
          <w:color w:val="auto"/>
        </w:rPr>
      </w:pPr>
    </w:p>
    <w:p>
      <w:pPr>
        <w:ind w:firstLine="751"/>
        <w:spacing w:after="0" w:line="262" w:lineRule="auto"/>
        <w:rPr>
          <w:sz w:val="20"/>
          <w:szCs w:val="20"/>
          <w:color w:val="auto"/>
        </w:rPr>
      </w:pPr>
      <w:r>
        <w:rPr>
          <w:rFonts w:ascii="Times New Roman" w:cs="Times New Roman" w:eastAsia="Times New Roman" w:hAnsi="Times New Roman"/>
          <w:sz w:val="19"/>
          <w:szCs w:val="19"/>
          <w:color w:val="auto"/>
        </w:rPr>
        <w:t>NOW, THEREFORE, in consideration of the promises and mutual covenants set forth herein, the Parties agree effective as of December 17, 2024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as follows:</w:t>
      </w:r>
    </w:p>
    <w:p>
      <w:pPr>
        <w:spacing w:after="0" w:line="134" w:lineRule="exact"/>
        <w:rPr>
          <w:sz w:val="20"/>
          <w:szCs w:val="20"/>
          <w:color w:val="auto"/>
        </w:rPr>
      </w:pPr>
    </w:p>
    <w:p>
      <w:pPr>
        <w:ind w:left="1020" w:hanging="275"/>
        <w:spacing w:after="0"/>
        <w:tabs>
          <w:tab w:leader="none" w:pos="102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Continued Employment; Transition Period; Duties</w:t>
      </w:r>
      <w:r>
        <w:rPr>
          <w:rFonts w:ascii="Times New Roman" w:cs="Times New Roman" w:eastAsia="Times New Roman" w:hAnsi="Times New Roman"/>
          <w:sz w:val="19"/>
          <w:szCs w:val="19"/>
          <w:b w:val="1"/>
          <w:bCs w:val="1"/>
          <w:color w:val="auto"/>
        </w:rPr>
        <w:t>.</w:t>
      </w:r>
    </w:p>
    <w:p>
      <w:pPr>
        <w:spacing w:after="0" w:line="187" w:lineRule="exact"/>
        <w:rPr>
          <w:rFonts w:ascii="Times New Roman" w:cs="Times New Roman" w:eastAsia="Times New Roman" w:hAnsi="Times New Roman"/>
          <w:sz w:val="19"/>
          <w:szCs w:val="19"/>
          <w:color w:val="auto"/>
        </w:rPr>
      </w:pPr>
    </w:p>
    <w:p>
      <w:pPr>
        <w:jc w:val="both"/>
        <w:ind w:firstLine="1496"/>
        <w:spacing w:after="0" w:line="243" w:lineRule="auto"/>
        <w:tabs>
          <w:tab w:leader="none" w:pos="2041"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relationship with the Company shall continue and Executive shall serve as the Company’s Senior Vice President, General Counsel and Secretary through December 31, 2024, and will continue to be employed by the Company thereafter through February 28, 2025 in a transition and advisory capacity to assist with the Company’s restructuring of duties and responsibilities and will have the title of Special Advisor (effective as of January 1, 2025).</w:t>
      </w:r>
    </w:p>
    <w:p>
      <w:pPr>
        <w:spacing w:after="0" w:line="155" w:lineRule="exact"/>
        <w:rPr>
          <w:rFonts w:ascii="Times New Roman" w:cs="Times New Roman" w:eastAsia="Times New Roman" w:hAnsi="Times New Roman"/>
          <w:sz w:val="19"/>
          <w:szCs w:val="19"/>
          <w:color w:val="auto"/>
        </w:rPr>
      </w:pPr>
    </w:p>
    <w:p>
      <w:pPr>
        <w:jc w:val="both"/>
        <w:ind w:firstLine="1496"/>
        <w:spacing w:after="0" w:line="243" w:lineRule="auto"/>
        <w:tabs>
          <w:tab w:leader="none" w:pos="2041"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end of Executive’s period of employment, Executive will retire and cease to have any further duties or additional compensation from the Company except to the extent provided in this Agreement, or as may be provided for under the terms of any Company employee benefit plans in which Executive participated which may, under their terms, provide for payments to be made following termination of employment.</w:t>
      </w:r>
    </w:p>
    <w:p>
      <w:pPr>
        <w:spacing w:after="0" w:line="155" w:lineRule="exact"/>
        <w:rPr>
          <w:rFonts w:ascii="Times New Roman" w:cs="Times New Roman" w:eastAsia="Times New Roman" w:hAnsi="Times New Roman"/>
          <w:sz w:val="19"/>
          <w:szCs w:val="19"/>
          <w:color w:val="auto"/>
        </w:rPr>
      </w:pPr>
    </w:p>
    <w:p>
      <w:pPr>
        <w:ind w:right="20" w:firstLine="1496"/>
        <w:spacing w:after="0" w:line="262" w:lineRule="auto"/>
        <w:tabs>
          <w:tab w:leader="none" w:pos="2041"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termination of Executive’s employment as Special Advisor may be modified from February 28, 2025 to another date as mutually agreed to by the Parties.</w:t>
      </w:r>
    </w:p>
    <w:p>
      <w:pPr>
        <w:spacing w:after="0" w:line="133" w:lineRule="exact"/>
        <w:rPr>
          <w:rFonts w:ascii="Times New Roman" w:cs="Times New Roman" w:eastAsia="Times New Roman" w:hAnsi="Times New Roman"/>
          <w:sz w:val="19"/>
          <w:szCs w:val="19"/>
          <w:color w:val="auto"/>
        </w:rPr>
      </w:pPr>
    </w:p>
    <w:p>
      <w:pPr>
        <w:ind w:left="1020" w:hanging="275"/>
        <w:spacing w:after="0"/>
        <w:tabs>
          <w:tab w:leader="none" w:pos="102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Compensation.</w:t>
      </w:r>
    </w:p>
    <w:p>
      <w:pPr>
        <w:spacing w:after="0" w:line="187" w:lineRule="exact"/>
        <w:rPr>
          <w:rFonts w:ascii="Times New Roman" w:cs="Times New Roman" w:eastAsia="Times New Roman" w:hAnsi="Times New Roman"/>
          <w:sz w:val="19"/>
          <w:szCs w:val="19"/>
          <w:color w:val="auto"/>
        </w:rPr>
      </w:pPr>
    </w:p>
    <w:p>
      <w:pPr>
        <w:ind w:right="20" w:firstLine="1496"/>
        <w:spacing w:after="0" w:line="262" w:lineRule="auto"/>
        <w:tabs>
          <w:tab w:leader="none" w:pos="2041"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Base Compensation Rate</w:t>
      </w:r>
      <w:r>
        <w:rPr>
          <w:rFonts w:ascii="Times New Roman" w:cs="Times New Roman" w:eastAsia="Times New Roman" w:hAnsi="Times New Roman"/>
          <w:sz w:val="19"/>
          <w:szCs w:val="19"/>
          <w:color w:val="auto"/>
        </w:rPr>
        <w:t>. During the period of Executive’s continued employment with the Company, Executive’s base salary as in effect immediately prior to the Effective Date will continue to be paid to Executive.</w:t>
      </w:r>
    </w:p>
    <w:p>
      <w:pPr>
        <w:spacing w:after="0" w:line="137" w:lineRule="exact"/>
        <w:rPr>
          <w:rFonts w:ascii="Times New Roman" w:cs="Times New Roman" w:eastAsia="Times New Roman" w:hAnsi="Times New Roman"/>
          <w:sz w:val="19"/>
          <w:szCs w:val="19"/>
          <w:color w:val="auto"/>
        </w:rPr>
      </w:pPr>
    </w:p>
    <w:p>
      <w:pPr>
        <w:ind w:right="140" w:firstLine="1496"/>
        <w:spacing w:after="0" w:line="241" w:lineRule="auto"/>
        <w:tabs>
          <w:tab w:leader="none" w:pos="2041"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Incentive Compensation</w:t>
      </w:r>
      <w:r>
        <w:rPr>
          <w:rFonts w:ascii="Times New Roman" w:cs="Times New Roman" w:eastAsia="Times New Roman" w:hAnsi="Times New Roman"/>
          <w:sz w:val="19"/>
          <w:szCs w:val="19"/>
          <w:color w:val="auto"/>
        </w:rPr>
        <w:t>. With respect to 2024, Executive shall be entitled to an annual bonus based on the terms and conditions of the Company’s short term incentive compensation program as currently in effect, which bonus will be paid in accordance with the normal procedures for the Company’s annual bonus program, with Strategic KPIs and ESG Goals treated as “meeting expectations,” with payment to be made during 2025 during the first calendar quarter. The estimated amount of Executive’s bonus for 2024 is One Hundred Sixty-Seven Thousand Dollars ($167,000).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882650</wp:posOffset>
            </wp:positionV>
            <wp:extent cx="7174865" cy="40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96" w:name="page97"/>
    <w:bookmarkEnd w:id="96"/>
    <w:p>
      <w:pPr>
        <w:spacing w:after="0" w:line="13" w:lineRule="exact"/>
        <w:rPr>
          <w:sz w:val="20"/>
          <w:szCs w:val="20"/>
          <w:color w:val="auto"/>
        </w:rPr>
      </w:pPr>
    </w:p>
    <w:p>
      <w:pPr>
        <w:jc w:val="both"/>
        <w:ind w:right="20" w:firstLine="1496"/>
        <w:spacing w:after="0" w:line="261" w:lineRule="auto"/>
        <w:tabs>
          <w:tab w:leader="none" w:pos="20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Compensation</w:t>
      </w:r>
      <w:r>
        <w:rPr>
          <w:rFonts w:ascii="Times New Roman" w:cs="Times New Roman" w:eastAsia="Times New Roman" w:hAnsi="Times New Roman"/>
          <w:sz w:val="18"/>
          <w:szCs w:val="18"/>
          <w:color w:val="auto"/>
        </w:rPr>
        <w:t xml:space="preserve">. An additional award of restricted stock units will be granted to Executive during February of 2025 (the </w:t>
      </w:r>
      <w:r>
        <w:rPr>
          <w:rFonts w:ascii="Times New Roman" w:cs="Times New Roman" w:eastAsia="Times New Roman" w:hAnsi="Times New Roman"/>
          <w:sz w:val="18"/>
          <w:szCs w:val="18"/>
          <w:b w:val="1"/>
          <w:bCs w:val="1"/>
          <w:color w:val="auto"/>
        </w:rPr>
        <w:t>“2025 RSU Award”</w:t>
      </w:r>
      <w:r>
        <w:rPr>
          <w:rFonts w:ascii="Times New Roman" w:cs="Times New Roman" w:eastAsia="Times New Roman" w:hAnsi="Times New Roman"/>
          <w:sz w:val="18"/>
          <w:szCs w:val="18"/>
          <w:color w:val="auto"/>
        </w:rPr>
        <w:t xml:space="preserve">), for that number of shares having a value as of the date of grant of One Million One Hundred Twenty Thousand Dollars ($1,120,000). The grant of the 2025 RSU Award will only be made if Executive Executes a Release of Claims in substantially the form attached hereto as Exhibit A (the </w:t>
      </w:r>
      <w:r>
        <w:rPr>
          <w:rFonts w:ascii="Times New Roman" w:cs="Times New Roman" w:eastAsia="Times New Roman" w:hAnsi="Times New Roman"/>
          <w:sz w:val="18"/>
          <w:szCs w:val="18"/>
          <w:b w:val="1"/>
          <w:bCs w:val="1"/>
          <w:color w:val="auto"/>
        </w:rPr>
        <w:t>“Initial Release”</w:t>
      </w:r>
      <w:r>
        <w:rPr>
          <w:rFonts w:ascii="Times New Roman" w:cs="Times New Roman" w:eastAsia="Times New Roman" w:hAnsi="Times New Roman"/>
          <w:sz w:val="18"/>
          <w:szCs w:val="18"/>
          <w:color w:val="auto"/>
        </w:rPr>
        <w:t>) and the Initial Release becomes irrevocable prior to the date the 2025 RSU Award is to be made.</w:t>
      </w:r>
    </w:p>
    <w:p>
      <w:pPr>
        <w:spacing w:after="0" w:line="140" w:lineRule="exact"/>
        <w:rPr>
          <w:rFonts w:ascii="Times New Roman" w:cs="Times New Roman" w:eastAsia="Times New Roman" w:hAnsi="Times New Roman"/>
          <w:sz w:val="18"/>
          <w:szCs w:val="18"/>
          <w:color w:val="auto"/>
        </w:rPr>
      </w:pPr>
    </w:p>
    <w:p>
      <w:pPr>
        <w:jc w:val="both"/>
        <w:ind w:right="160" w:firstLine="1496"/>
        <w:spacing w:after="0" w:line="248" w:lineRule="auto"/>
        <w:tabs>
          <w:tab w:leader="none" w:pos="2041"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Benefits</w:t>
      </w:r>
      <w:r>
        <w:rPr>
          <w:rFonts w:ascii="Times New Roman" w:cs="Times New Roman" w:eastAsia="Times New Roman" w:hAnsi="Times New Roman"/>
          <w:sz w:val="19"/>
          <w:szCs w:val="19"/>
          <w:color w:val="auto"/>
        </w:rPr>
        <w:t>. During Executive’s continued employment with the Company, Executive shall be entitled to participate in the Company’s employee benefit plans and programs consistent with past practice for similarly situated executives in accordance with the terms and conditions set forth in the governing plan documents and Company policies.</w:t>
      </w:r>
    </w:p>
    <w:p>
      <w:pPr>
        <w:spacing w:after="0" w:line="150" w:lineRule="exact"/>
        <w:rPr>
          <w:rFonts w:ascii="Times New Roman" w:cs="Times New Roman" w:eastAsia="Times New Roman" w:hAnsi="Times New Roman"/>
          <w:sz w:val="19"/>
          <w:szCs w:val="19"/>
          <w:color w:val="auto"/>
        </w:rPr>
      </w:pPr>
    </w:p>
    <w:p>
      <w:pPr>
        <w:ind w:right="60" w:firstLine="1496"/>
        <w:spacing w:after="0" w:line="262" w:lineRule="auto"/>
        <w:tabs>
          <w:tab w:leader="none" w:pos="2041"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Additional Compensation</w:t>
      </w:r>
      <w:r>
        <w:rPr>
          <w:rFonts w:ascii="Times New Roman" w:cs="Times New Roman" w:eastAsia="Times New Roman" w:hAnsi="Times New Roman"/>
          <w:sz w:val="19"/>
          <w:szCs w:val="19"/>
          <w:color w:val="auto"/>
        </w:rPr>
        <w:t>. For purposes of clarity and avoidance of doubt, unless otherwise expressly provided for in this Agreement, Executive’s compensation and benefits shall be limited to the compensation and benefits described in this Section 2.</w:t>
      </w:r>
    </w:p>
    <w:p>
      <w:pPr>
        <w:spacing w:after="0" w:line="134" w:lineRule="exact"/>
        <w:rPr>
          <w:sz w:val="20"/>
          <w:szCs w:val="20"/>
          <w:color w:val="auto"/>
        </w:rPr>
      </w:pPr>
    </w:p>
    <w:p>
      <w:pPr>
        <w:ind w:left="1020" w:hanging="275"/>
        <w:spacing w:after="0"/>
        <w:tabs>
          <w:tab w:leader="none" w:pos="102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Termination of Employment and Service Relationship with the Company by the Company without Cause</w:t>
      </w:r>
      <w:r>
        <w:rPr>
          <w:rFonts w:ascii="Times New Roman" w:cs="Times New Roman" w:eastAsia="Times New Roman" w:hAnsi="Times New Roman"/>
          <w:sz w:val="19"/>
          <w:szCs w:val="19"/>
          <w:b w:val="1"/>
          <w:bCs w:val="1"/>
          <w:color w:val="auto"/>
        </w:rPr>
        <w:t>.</w:t>
      </w:r>
    </w:p>
    <w:p>
      <w:pPr>
        <w:spacing w:after="0" w:line="188"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Because Executive is employed on an “at will” basis, either the Company or Executive may terminate Executive’s employment with the Company at any time and for any or no reason. Notwithstanding the foregoing, however, if the Company terminates Executive’s employment with the Company other than for Cause (as defined in the letter agreement between the Company and Executive dated February 17, 2023), the Company will provide the compensation and benefits described in Section 2, above, and will also provide the Retirement Vesting (as defined below); provided, however, that the Company shall only provide the compensation described in this Section 3 if Executive executes a Final Release (as defined below) during the time period permitted under the terms of the Final Release, and the Final Release becomes irrevocable under its terms.</w:t>
      </w:r>
    </w:p>
    <w:p>
      <w:pPr>
        <w:spacing w:after="0" w:line="157" w:lineRule="exact"/>
        <w:rPr>
          <w:sz w:val="20"/>
          <w:szCs w:val="20"/>
          <w:color w:val="auto"/>
        </w:rPr>
      </w:pPr>
    </w:p>
    <w:p>
      <w:pPr>
        <w:ind w:left="1020" w:hanging="275"/>
        <w:spacing w:after="0"/>
        <w:tabs>
          <w:tab w:leader="none" w:pos="102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Termination of Employment or Service due to Death or Disability</w:t>
      </w:r>
      <w:r>
        <w:rPr>
          <w:rFonts w:ascii="Times New Roman" w:cs="Times New Roman" w:eastAsia="Times New Roman" w:hAnsi="Times New Roman"/>
          <w:sz w:val="19"/>
          <w:szCs w:val="19"/>
          <w:b w:val="1"/>
          <w:bCs w:val="1"/>
          <w:color w:val="auto"/>
        </w:rPr>
        <w:t>.</w:t>
      </w:r>
    </w:p>
    <w:p>
      <w:pPr>
        <w:spacing w:after="0" w:line="188" w:lineRule="exact"/>
        <w:rPr>
          <w:sz w:val="20"/>
          <w:szCs w:val="20"/>
          <w:color w:val="auto"/>
        </w:rPr>
      </w:pPr>
    </w:p>
    <w:p>
      <w:pPr>
        <w:jc w:val="both"/>
        <w:ind w:right="20" w:firstLine="751"/>
        <w:spacing w:after="0" w:line="243" w:lineRule="auto"/>
        <w:rPr>
          <w:sz w:val="20"/>
          <w:szCs w:val="20"/>
          <w:color w:val="auto"/>
        </w:rPr>
      </w:pPr>
      <w:r>
        <w:rPr>
          <w:rFonts w:ascii="Times New Roman" w:cs="Times New Roman" w:eastAsia="Times New Roman" w:hAnsi="Times New Roman"/>
          <w:sz w:val="19"/>
          <w:szCs w:val="19"/>
          <w:color w:val="auto"/>
        </w:rPr>
        <w:t>In the event Executive’s employment or service with the Company terminates due to Executive’s death or disability (as defined in the letter agreement between the Company and Executive dated February 17, 2023), the provisions of Section 3 will also apply and will also be subject to a requirement that a Final Release be executed; provided, however, that in the event of Executive’s death, the Final Release must be executed by a party authorized to act on behalf of Executive’s estate.</w:t>
      </w:r>
    </w:p>
    <w:p>
      <w:pPr>
        <w:spacing w:after="0" w:line="152" w:lineRule="exact"/>
        <w:rPr>
          <w:sz w:val="20"/>
          <w:szCs w:val="20"/>
          <w:color w:val="auto"/>
        </w:rPr>
      </w:pPr>
    </w:p>
    <w:p>
      <w:pPr>
        <w:jc w:val="both"/>
        <w:ind w:firstLine="745"/>
        <w:spacing w:after="0"/>
        <w:tabs>
          <w:tab w:leader="none" w:pos="1021"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Retirement Vesting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Executive’s termination of employment with the Company on February 28, 2025 (or such other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may be mutually agreed upon by the Parties), subject to Executive’s execution of a Final Release and the Final Release becoming irrevocable under its terms, the Company shall take all appropriate steps so as to treat all of Executive’s then outstanding equity awards (including, for purposes of clarity and avoidance of doubt, all restricted stock units and performance stock units granted prior to the Effective Date, and the additional restricted stock units granted in February of 2025 pursuant to Section 2(c) of this Agreement, as fully vested, and such vested equity awards will be settled in</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706755</wp:posOffset>
            </wp:positionV>
            <wp:extent cx="7174865" cy="406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7" w:name="page98"/>
    <w:bookmarkEnd w:id="97"/>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accordance with the terms of the relevant award agreements and the plan under which such awards were granted.</w:t>
      </w:r>
    </w:p>
    <w:p>
      <w:pPr>
        <w:spacing w:after="0" w:line="180" w:lineRule="exact"/>
        <w:rPr>
          <w:sz w:val="20"/>
          <w:szCs w:val="20"/>
          <w:color w:val="auto"/>
        </w:rPr>
      </w:pPr>
    </w:p>
    <w:p>
      <w:pPr>
        <w:jc w:val="both"/>
        <w:ind w:firstLine="745"/>
        <w:spacing w:after="0" w:line="244" w:lineRule="auto"/>
        <w:tabs>
          <w:tab w:leader="none" w:pos="1021"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Final Release of Claims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Certain compensation or benefits provided for under this Agreement require that Executive execute a Final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Release and that Final Release become irrevocable under its terms. For purposes of this Agreement, the term </w:t>
      </w:r>
      <w:r>
        <w:rPr>
          <w:rFonts w:ascii="Times New Roman" w:cs="Times New Roman" w:eastAsia="Times New Roman" w:hAnsi="Times New Roman"/>
          <w:sz w:val="19"/>
          <w:szCs w:val="19"/>
          <w:b w:val="1"/>
          <w:bCs w:val="1"/>
          <w:color w:val="auto"/>
        </w:rPr>
        <w:t>“Final Release”</w:t>
      </w:r>
      <w:r>
        <w:rPr>
          <w:rFonts w:ascii="Times New Roman" w:cs="Times New Roman" w:eastAsia="Times New Roman" w:hAnsi="Times New Roman"/>
          <w:sz w:val="19"/>
          <w:szCs w:val="19"/>
          <w:color w:val="auto"/>
        </w:rPr>
        <w:t xml:space="preserve"> means a release of claims Executive or Executive’s representative or estate may have against the Company or an affiliate of the Company in substantially the form attached hereto as Exhibit B.</w:t>
      </w:r>
    </w:p>
    <w:p>
      <w:pPr>
        <w:spacing w:after="0" w:line="152" w:lineRule="exact"/>
        <w:rPr>
          <w:rFonts w:ascii="Times New Roman" w:cs="Times New Roman" w:eastAsia="Times New Roman" w:hAnsi="Times New Roman"/>
          <w:sz w:val="19"/>
          <w:szCs w:val="19"/>
          <w:color w:val="auto"/>
        </w:rPr>
      </w:pPr>
    </w:p>
    <w:p>
      <w:pPr>
        <w:jc w:val="both"/>
        <w:ind w:firstLine="745"/>
        <w:spacing w:after="0" w:line="250" w:lineRule="auto"/>
        <w:tabs>
          <w:tab w:leader="none" w:pos="1021"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Termination of Employment for Cause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the event the Company terminates Executive’s employment or service for Cause, no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further compensation shall be provided under this Agreement, and Executive shall only be entitled to compensation that has been earned prior to such termination of employment consistent with applicable law.</w:t>
      </w:r>
    </w:p>
    <w:p>
      <w:pPr>
        <w:spacing w:after="0" w:line="145" w:lineRule="exact"/>
        <w:rPr>
          <w:rFonts w:ascii="Times New Roman" w:cs="Times New Roman" w:eastAsia="Times New Roman" w:hAnsi="Times New Roman"/>
          <w:sz w:val="19"/>
          <w:szCs w:val="19"/>
          <w:color w:val="auto"/>
        </w:rPr>
      </w:pPr>
    </w:p>
    <w:p>
      <w:pPr>
        <w:ind w:right="20" w:firstLine="745"/>
        <w:spacing w:after="0" w:line="266" w:lineRule="auto"/>
        <w:tabs>
          <w:tab w:leader="none" w:pos="1021"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Choice of Law and Forum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 governed by and construed under the laws of the State of New York, without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regard to its conflicts of law provisions.</w:t>
      </w:r>
    </w:p>
    <w:p>
      <w:pPr>
        <w:spacing w:after="0" w:line="130" w:lineRule="exact"/>
        <w:rPr>
          <w:rFonts w:ascii="Times New Roman" w:cs="Times New Roman" w:eastAsia="Times New Roman" w:hAnsi="Times New Roman"/>
          <w:sz w:val="19"/>
          <w:szCs w:val="19"/>
          <w:color w:val="auto"/>
        </w:rPr>
      </w:pPr>
    </w:p>
    <w:p>
      <w:pPr>
        <w:ind w:right="20" w:firstLine="745"/>
        <w:spacing w:after="0" w:line="266" w:lineRule="auto"/>
        <w:tabs>
          <w:tab w:leader="none" w:pos="1021"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Successors</w:t>
      </w:r>
      <w:r>
        <w:rPr>
          <w:rFonts w:ascii="Times New Roman" w:cs="Times New Roman" w:eastAsia="Times New Roman" w:hAnsi="Times New Roman"/>
          <w:sz w:val="19"/>
          <w:szCs w:val="19"/>
          <w:color w:val="auto"/>
        </w:rPr>
        <w:t>. This Agreement shall be binding upon and inure to the benefit of the Parties and their respective heirs, representatives,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executors, administrators, successors, insurers, and assigns.</w:t>
      </w:r>
    </w:p>
    <w:p>
      <w:pPr>
        <w:spacing w:after="0" w:line="130" w:lineRule="exact"/>
        <w:rPr>
          <w:rFonts w:ascii="Times New Roman" w:cs="Times New Roman" w:eastAsia="Times New Roman" w:hAnsi="Times New Roman"/>
          <w:sz w:val="19"/>
          <w:szCs w:val="19"/>
          <w:color w:val="auto"/>
        </w:rPr>
      </w:pPr>
    </w:p>
    <w:p>
      <w:pPr>
        <w:ind w:right="20" w:firstLine="745"/>
        <w:spacing w:after="0" w:line="266" w:lineRule="auto"/>
        <w:tabs>
          <w:tab w:leader="none" w:pos="1021"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provisions of this Agreement are severable, and if any part of it is found to be unenforceable or invalid, the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Sections shall remain fully valid and enforceable.</w:t>
      </w:r>
    </w:p>
    <w:p>
      <w:pPr>
        <w:spacing w:after="0" w:line="130" w:lineRule="exact"/>
        <w:rPr>
          <w:rFonts w:ascii="Times New Roman" w:cs="Times New Roman" w:eastAsia="Times New Roman" w:hAnsi="Times New Roman"/>
          <w:sz w:val="19"/>
          <w:szCs w:val="19"/>
          <w:color w:val="auto"/>
        </w:rPr>
      </w:pPr>
    </w:p>
    <w:p>
      <w:pPr>
        <w:jc w:val="both"/>
        <w:ind w:firstLine="745"/>
        <w:spacing w:after="0" w:line="244" w:lineRule="auto"/>
        <w:tabs>
          <w:tab w:leader="none" w:pos="1021"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References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Parties shall work together in good faith to notify interested parties of this Agreement, and the Company agrees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coordinate with Executive so as to make available the CEO or another senior executive of the Company to serve as a reference for Executive as the Company deems appropriate based on the position sought by Executive. Executive will contact Michelle Nettles of the Company (or the then existing global head of People and Culture) to request any such reference.</w:t>
      </w:r>
    </w:p>
    <w:p>
      <w:pPr>
        <w:spacing w:after="0" w:line="152" w:lineRule="exact"/>
        <w:rPr>
          <w:rFonts w:ascii="Times New Roman" w:cs="Times New Roman" w:eastAsia="Times New Roman" w:hAnsi="Times New Roman"/>
          <w:sz w:val="19"/>
          <w:szCs w:val="19"/>
          <w:color w:val="auto"/>
        </w:rPr>
      </w:pPr>
    </w:p>
    <w:p>
      <w:pPr>
        <w:jc w:val="both"/>
        <w:ind w:firstLine="745"/>
        <w:spacing w:after="0" w:line="237" w:lineRule="auto"/>
        <w:tabs>
          <w:tab w:leader="none" w:pos="1021"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Entire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sets forth the entire agreement between the Parties relating to the issues expressly addressed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herein and supersedes all prior agreements or understandings (written or otherwise) between the Parties, including but not limited to the letter agreement between the Company and Executive dated February 17, 2023. The Parties are not relying on any other agreements or oral representations not fully addressed or incorporated by reference in this Agreement. Any prior agreements between or directly involving Executive and the Company, are superseded by this Agreement,, except that this Agreement shall not in any way affect, modify, or nullify any prior agreement that Executive entered into with the Company regarding confidentiality, trade secrets, inventions, or unfair competition, nor shall this Agreement supersede or modify any provisions of prior agreements between Executive and the Company regarding the resolution of disputes between the Parties or relating to nondisparagement prohibitions. For purposes of clarity and avoidance of doubt, except as expressly set forth in this Agreement, no severance or other post-termination compensation will be provided by the Company to Executive following Executive’s termination of employment. The headings in this Agreement are provided for reference only and shall not affect the substance of this Agreement.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706755</wp:posOffset>
            </wp:positionV>
            <wp:extent cx="7174865" cy="406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8" w:name="page99"/>
    <w:bookmarkEnd w:id="98"/>
    <w:p>
      <w:pPr>
        <w:spacing w:after="0" w:line="9" w:lineRule="exact"/>
        <w:rPr>
          <w:sz w:val="20"/>
          <w:szCs w:val="20"/>
          <w:color w:val="auto"/>
        </w:rPr>
      </w:pPr>
    </w:p>
    <w:p>
      <w:pPr>
        <w:jc w:val="both"/>
        <w:ind w:firstLine="745"/>
        <w:spacing w:after="0" w:line="236" w:lineRule="auto"/>
        <w:tabs>
          <w:tab w:leader="none" w:pos="1021"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Section 409A of the Code</w:t>
      </w:r>
      <w:r>
        <w:rPr>
          <w:rFonts w:ascii="Times New Roman" w:cs="Times New Roman" w:eastAsia="Times New Roman" w:hAnsi="Times New Roman"/>
          <w:sz w:val="19"/>
          <w:szCs w:val="19"/>
          <w:color w:val="auto"/>
        </w:rPr>
        <w:t>. All payments provided for under this Agreement are intended to be either exempt from Section 409A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Internal Revenue Code of 1986, as amended (the “Code”) or compliant with the requirements of Code Section 409A, and this Agreement shall be interpreted in all respects to the maximum extent possible consistent with this intent. In addition, all payments that are in the form of instalment payments that are subject to Code Section 409A shall be treated as a series of separate payments for these purposes. To the extent required under Code Section 409A, any payments to be made under this Agreement in connection with a termination of employment shall only be made if such termination constitutes a “separation from service” under Code Section 409A To the extent that reimbursements or other in-kind benefits under this Agreement constitute “nonqualified deferred compensation” for purposes of Code Section 409A, (i) all expenses or other reimbursements hereunder shall be made on or prior to the last day of the taxable year following the taxable year in which such expenses were incurred by Executive, (ii) any right to reimbursement or in-kind benefits shall not be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Executive on account of non-compliance with Section 409A.</w:t>
      </w:r>
    </w:p>
    <w:p>
      <w:pPr>
        <w:spacing w:after="0" w:line="161" w:lineRule="exact"/>
        <w:rPr>
          <w:rFonts w:ascii="Times New Roman" w:cs="Times New Roman" w:eastAsia="Times New Roman" w:hAnsi="Times New Roman"/>
          <w:sz w:val="19"/>
          <w:szCs w:val="19"/>
          <w:color w:val="auto"/>
        </w:rPr>
      </w:pPr>
    </w:p>
    <w:p>
      <w:pPr>
        <w:ind w:firstLine="745"/>
        <w:spacing w:after="0" w:line="266" w:lineRule="auto"/>
        <w:tabs>
          <w:tab w:leader="none" w:pos="1021"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Tax Withholding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may withhold from any and all amounts payable under this Agreement or otherwise such federal,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state and local taxes as may be required to be withheld pursuant to any applicable law or regulation.</w:t>
      </w:r>
    </w:p>
    <w:p>
      <w:pPr>
        <w:spacing w:after="0" w:line="130" w:lineRule="exact"/>
        <w:rPr>
          <w:rFonts w:ascii="Times New Roman" w:cs="Times New Roman" w:eastAsia="Times New Roman" w:hAnsi="Times New Roman"/>
          <w:sz w:val="19"/>
          <w:szCs w:val="19"/>
          <w:color w:val="auto"/>
        </w:rPr>
      </w:pPr>
    </w:p>
    <w:p>
      <w:pPr>
        <w:jc w:val="both"/>
        <w:ind w:firstLine="745"/>
        <w:spacing w:after="0" w:line="250" w:lineRule="auto"/>
        <w:tabs>
          <w:tab w:leader="none" w:pos="1021"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Execution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may be executed in two or more counterparts, each of which shall be deemed an original, and together,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of which shall constitute one original document. Original signatures that are transmitted by fax or electronic mail shall be considered original signatures under this Agreement.</w:t>
      </w:r>
    </w:p>
    <w:p>
      <w:pPr>
        <w:spacing w:after="0" w:line="1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as of the Effective Date.</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320" w:type="dxa"/>
            <w:vAlign w:val="bottom"/>
            <w:gridSpan w:val="3"/>
          </w:tcPr>
          <w:p>
            <w:pPr>
              <w:ind w:left="80"/>
              <w:spacing w:after="0"/>
              <w:rPr>
                <w:sz w:val="20"/>
                <w:szCs w:val="20"/>
                <w:color w:val="auto"/>
              </w:rPr>
            </w:pPr>
            <w:r>
              <w:rPr>
                <w:rFonts w:ascii="Times New Roman" w:cs="Times New Roman" w:eastAsia="Times New Roman" w:hAnsi="Times New Roman"/>
                <w:sz w:val="19"/>
                <w:szCs w:val="19"/>
                <w:b w:val="1"/>
                <w:bCs w:val="1"/>
                <w:color w:val="auto"/>
              </w:rPr>
              <w:t>RICHARD BUCHBAND</w:t>
            </w:r>
          </w:p>
        </w:tc>
        <w:tc>
          <w:tcPr>
            <w:tcW w:w="6940" w:type="dxa"/>
            <w:vAlign w:val="bottom"/>
            <w:gridSpan w:val="5"/>
          </w:tcPr>
          <w:p>
            <w:pPr>
              <w:ind w:left="1380"/>
              <w:spacing w:after="0"/>
              <w:rPr>
                <w:sz w:val="20"/>
                <w:szCs w:val="20"/>
                <w:color w:val="auto"/>
              </w:rPr>
            </w:pPr>
            <w:r>
              <w:rPr>
                <w:rFonts w:ascii="Times New Roman" w:cs="Times New Roman" w:eastAsia="Times New Roman" w:hAnsi="Times New Roman"/>
                <w:sz w:val="19"/>
                <w:szCs w:val="19"/>
                <w:b w:val="1"/>
                <w:bCs w:val="1"/>
                <w:color w:val="auto"/>
              </w:rPr>
              <w:t>MANPOWERGROUP INC.</w:t>
            </w:r>
          </w:p>
        </w:tc>
        <w:tc>
          <w:tcPr>
            <w:tcW w:w="0" w:type="dxa"/>
            <w:vAlign w:val="bottom"/>
          </w:tcPr>
          <w:p>
            <w:pPr>
              <w:spacing w:after="0"/>
              <w:rPr>
                <w:sz w:val="1"/>
                <w:szCs w:val="1"/>
                <w:color w:val="auto"/>
              </w:rPr>
            </w:pPr>
          </w:p>
        </w:tc>
      </w:tr>
      <w:tr>
        <w:trPr>
          <w:trHeight w:val="571"/>
        </w:trPr>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940" w:type="dxa"/>
            <w:vAlign w:val="bottom"/>
            <w:gridSpan w:val="5"/>
          </w:tcPr>
          <w:p>
            <w:pPr>
              <w:ind w:left="1380"/>
              <w:spacing w:after="0"/>
              <w:rPr>
                <w:sz w:val="20"/>
                <w:szCs w:val="20"/>
                <w:color w:val="auto"/>
              </w:rPr>
            </w:pPr>
            <w:r>
              <w:rPr>
                <w:rFonts w:ascii="Times New Roman" w:cs="Times New Roman" w:eastAsia="Times New Roman" w:hAnsi="Times New Roman"/>
                <w:sz w:val="19"/>
                <w:szCs w:val="19"/>
                <w:color w:val="auto"/>
              </w:rPr>
              <w:t>By: _/s/ Jonas Prising____________</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6"/>
              </w:rPr>
              <w:t>/s/ Richard Buchband</w:t>
            </w:r>
          </w:p>
        </w:tc>
        <w:tc>
          <w:tcPr>
            <w:tcW w:w="2880" w:type="dxa"/>
            <w:vAlign w:val="bottom"/>
            <w:vMerge w:val="restart"/>
          </w:tcPr>
          <w:p>
            <w:pPr>
              <w:jc w:val="right"/>
              <w:ind w:right="1301"/>
              <w:spacing w:after="0"/>
              <w:rPr>
                <w:sz w:val="20"/>
                <w:szCs w:val="20"/>
                <w:color w:val="auto"/>
              </w:rPr>
            </w:pPr>
            <w:r>
              <w:rPr>
                <w:rFonts w:ascii="Times New Roman" w:cs="Times New Roman" w:eastAsia="Times New Roman" w:hAnsi="Times New Roman"/>
                <w:sz w:val="16"/>
                <w:szCs w:val="16"/>
                <w:color w:val="auto"/>
                <w:w w:val="97"/>
              </w:rPr>
              <w:t>___________________</w:t>
            </w: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2880" w:type="dxa"/>
            <w:vAlign w:val="bottom"/>
            <w:vMerge w:val="continue"/>
          </w:tcPr>
          <w:p>
            <w:pPr>
              <w:spacing w:after="0"/>
              <w:rPr>
                <w:sz w:val="20"/>
                <w:szCs w:val="20"/>
                <w:color w:val="auto"/>
              </w:rPr>
            </w:pPr>
          </w:p>
        </w:tc>
        <w:tc>
          <w:tcPr>
            <w:tcW w:w="6940" w:type="dxa"/>
            <w:vAlign w:val="bottom"/>
            <w:gridSpan w:val="5"/>
            <w:vMerge w:val="restart"/>
          </w:tcPr>
          <w:p>
            <w:pPr>
              <w:ind w:left="1380"/>
              <w:spacing w:after="0"/>
              <w:rPr>
                <w:sz w:val="20"/>
                <w:szCs w:val="20"/>
                <w:color w:val="auto"/>
              </w:rPr>
            </w:pPr>
            <w:r>
              <w:rPr>
                <w:rFonts w:ascii="Times New Roman" w:cs="Times New Roman" w:eastAsia="Times New Roman" w:hAnsi="Times New Roman"/>
                <w:sz w:val="19"/>
                <w:szCs w:val="19"/>
                <w:color w:val="auto"/>
              </w:rPr>
              <w:t>Title: Chief Executive Officer______</w:t>
            </w:r>
          </w:p>
        </w:tc>
        <w:tc>
          <w:tcPr>
            <w:tcW w:w="0" w:type="dxa"/>
            <w:vAlign w:val="bottom"/>
          </w:tcPr>
          <w:p>
            <w:pPr>
              <w:spacing w:after="0"/>
              <w:rPr>
                <w:sz w:val="1"/>
                <w:szCs w:val="1"/>
                <w:color w:val="auto"/>
              </w:rPr>
            </w:pPr>
          </w:p>
        </w:tc>
      </w:tr>
      <w:tr>
        <w:trPr>
          <w:trHeight w:val="27"/>
        </w:trPr>
        <w:tc>
          <w:tcPr>
            <w:tcW w:w="1440" w:type="dxa"/>
            <w:vAlign w:val="bottom"/>
            <w:gridSpan w:val="2"/>
            <w:vMerge w:val="restart"/>
          </w:tcPr>
          <w:p>
            <w:pPr>
              <w:jc w:val="right"/>
              <w:ind w:right="941"/>
              <w:spacing w:after="0"/>
              <w:rPr>
                <w:sz w:val="20"/>
                <w:szCs w:val="20"/>
                <w:color w:val="auto"/>
              </w:rPr>
            </w:pPr>
            <w:r>
              <w:rPr>
                <w:rFonts w:ascii="Times New Roman" w:cs="Times New Roman" w:eastAsia="Times New Roman" w:hAnsi="Times New Roman"/>
                <w:sz w:val="16"/>
                <w:szCs w:val="16"/>
                <w:color w:val="auto"/>
              </w:rPr>
              <w:t>4</w:t>
            </w:r>
          </w:p>
        </w:tc>
        <w:tc>
          <w:tcPr>
            <w:tcW w:w="2880" w:type="dxa"/>
            <w:vAlign w:val="bottom"/>
            <w:vMerge w:val="continue"/>
          </w:tcPr>
          <w:p>
            <w:pPr>
              <w:spacing w:after="0"/>
              <w:rPr>
                <w:sz w:val="2"/>
                <w:szCs w:val="2"/>
                <w:color w:val="auto"/>
              </w:rPr>
            </w:pPr>
          </w:p>
        </w:tc>
        <w:tc>
          <w:tcPr>
            <w:tcW w:w="694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91"/>
        </w:trPr>
        <w:tc>
          <w:tcPr>
            <w:tcW w:w="1440" w:type="dxa"/>
            <w:vAlign w:val="bottom"/>
            <w:gridSpan w:val="2"/>
            <w:vMerge w:val="continue"/>
          </w:tcPr>
          <w:p>
            <w:pPr>
              <w:spacing w:after="0"/>
              <w:rPr>
                <w:sz w:val="24"/>
                <w:szCs w:val="24"/>
                <w:color w:val="auto"/>
              </w:rPr>
            </w:pPr>
          </w:p>
        </w:tc>
        <w:tc>
          <w:tcPr>
            <w:tcW w:w="2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5"/>
        </w:trPr>
        <w:tc>
          <w:tcPr>
            <w:tcW w:w="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96024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0">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1">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2">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3">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4">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5">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6">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7">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93268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9"/>
          <w:szCs w:val="19"/>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ind w:left="3960"/>
              <w:spacing w:after="0"/>
              <w:rPr>
                <w:sz w:val="20"/>
                <w:szCs w:val="20"/>
                <w:color w:val="auto"/>
              </w:rPr>
            </w:pPr>
            <w:r>
              <w:rPr>
                <w:rFonts w:ascii="Arial" w:cs="Arial" w:eastAsia="Arial" w:hAnsi="Arial"/>
                <w:sz w:val="16"/>
                <w:szCs w:val="16"/>
                <w:b w:val="1"/>
                <w:bCs w:val="1"/>
                <w:color w:val="auto"/>
                <w:w w:val="98"/>
              </w:rPr>
              <w:t>SUBSIDIARIES OF MANPOWERGROUP INC.</w:t>
            </w:r>
          </w:p>
        </w:tc>
        <w:tc>
          <w:tcPr>
            <w:tcW w:w="3960" w:type="dxa"/>
            <w:vAlign w:val="bottom"/>
          </w:tcPr>
          <w:p>
            <w:pPr>
              <w:spacing w:after="0"/>
              <w:rPr>
                <w:sz w:val="16"/>
                <w:szCs w:val="16"/>
                <w:color w:val="auto"/>
              </w:rPr>
            </w:pPr>
          </w:p>
        </w:tc>
      </w:tr>
      <w:tr>
        <w:trPr>
          <w:trHeight w:val="217"/>
        </w:trPr>
        <w:tc>
          <w:tcPr>
            <w:tcW w:w="7300" w:type="dxa"/>
            <w:vAlign w:val="bottom"/>
          </w:tcPr>
          <w:p>
            <w:pPr>
              <w:ind w:left="4700"/>
              <w:spacing w:after="0"/>
              <w:rPr>
                <w:sz w:val="20"/>
                <w:szCs w:val="20"/>
                <w:color w:val="auto"/>
              </w:rPr>
            </w:pPr>
            <w:r>
              <w:rPr>
                <w:rFonts w:ascii="Arial" w:cs="Arial" w:eastAsia="Arial" w:hAnsi="Arial"/>
                <w:sz w:val="16"/>
                <w:szCs w:val="16"/>
                <w:b w:val="1"/>
                <w:bCs w:val="1"/>
                <w:color w:val="auto"/>
              </w:rPr>
              <w:t>As of December 31, 2024</w:t>
            </w:r>
          </w:p>
        </w:tc>
        <w:tc>
          <w:tcPr>
            <w:tcW w:w="3960" w:type="dxa"/>
            <w:vAlign w:val="bottom"/>
          </w:tcPr>
          <w:p>
            <w:pPr>
              <w:spacing w:after="0"/>
              <w:rPr>
                <w:sz w:val="18"/>
                <w:szCs w:val="18"/>
                <w:color w:val="auto"/>
              </w:rPr>
            </w:pPr>
          </w:p>
        </w:tc>
      </w:tr>
      <w:tr>
        <w:trPr>
          <w:trHeight w:val="370"/>
        </w:trPr>
        <w:tc>
          <w:tcPr>
            <w:tcW w:w="7300" w:type="dxa"/>
            <w:vAlign w:val="bottom"/>
          </w:tcPr>
          <w:p>
            <w:pPr>
              <w:ind w:left="80"/>
              <w:spacing w:after="0"/>
              <w:rPr>
                <w:sz w:val="20"/>
                <w:szCs w:val="20"/>
                <w:color w:val="auto"/>
              </w:rPr>
            </w:pPr>
            <w:r>
              <w:rPr>
                <w:rFonts w:ascii="Arial" w:cs="Arial" w:eastAsia="Arial" w:hAnsi="Arial"/>
                <w:sz w:val="16"/>
                <w:szCs w:val="16"/>
                <w:color w:val="auto"/>
              </w:rPr>
              <w:t>Corporation Name</w:t>
            </w:r>
          </w:p>
        </w:tc>
        <w:tc>
          <w:tcPr>
            <w:tcW w:w="3960" w:type="dxa"/>
            <w:vAlign w:val="bottom"/>
          </w:tcPr>
          <w:p>
            <w:pPr>
              <w:ind w:left="40"/>
              <w:spacing w:after="0"/>
              <w:rPr>
                <w:sz w:val="20"/>
                <w:szCs w:val="20"/>
                <w:color w:val="auto"/>
              </w:rPr>
            </w:pPr>
            <w:r>
              <w:rPr>
                <w:rFonts w:ascii="Arial" w:cs="Arial" w:eastAsia="Arial" w:hAnsi="Arial"/>
                <w:sz w:val="16"/>
                <w:szCs w:val="16"/>
                <w:color w:val="auto"/>
              </w:rPr>
              <w:t>Incorporated in State /Country of</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Benefits S.A.</w:t>
            </w:r>
          </w:p>
        </w:tc>
        <w:tc>
          <w:tcPr>
            <w:tcW w:w="3960" w:type="dxa"/>
            <w:vAlign w:val="bottom"/>
          </w:tcPr>
          <w:p>
            <w:pPr>
              <w:ind w:left="40"/>
              <w:spacing w:after="0"/>
              <w:rPr>
                <w:sz w:val="20"/>
                <w:szCs w:val="20"/>
                <w:color w:val="auto"/>
              </w:rPr>
            </w:pPr>
            <w:r>
              <w:rPr>
                <w:rFonts w:ascii="Arial" w:cs="Arial" w:eastAsia="Arial" w:hAnsi="Arial"/>
                <w:sz w:val="16"/>
                <w:szCs w:val="16"/>
                <w:color w:val="auto"/>
              </w:rPr>
              <w:t>Argentina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Cotecsud Compania Technica Sudamericana S.A.S.E.</w:t>
            </w:r>
          </w:p>
        </w:tc>
        <w:tc>
          <w:tcPr>
            <w:tcW w:w="3960" w:type="dxa"/>
            <w:vAlign w:val="bottom"/>
          </w:tcPr>
          <w:p>
            <w:pPr>
              <w:ind w:left="40"/>
              <w:spacing w:after="0"/>
              <w:rPr>
                <w:sz w:val="20"/>
                <w:szCs w:val="20"/>
                <w:color w:val="auto"/>
              </w:rPr>
            </w:pPr>
            <w:r>
              <w:rPr>
                <w:rFonts w:ascii="Arial" w:cs="Arial" w:eastAsia="Arial" w:hAnsi="Arial"/>
                <w:sz w:val="16"/>
                <w:szCs w:val="16"/>
                <w:color w:val="auto"/>
              </w:rPr>
              <w:t>Argentina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Experis S.A.</w:t>
            </w:r>
          </w:p>
        </w:tc>
        <w:tc>
          <w:tcPr>
            <w:tcW w:w="3960" w:type="dxa"/>
            <w:vAlign w:val="bottom"/>
          </w:tcPr>
          <w:p>
            <w:pPr>
              <w:ind w:left="40"/>
              <w:spacing w:after="0"/>
              <w:rPr>
                <w:sz w:val="20"/>
                <w:szCs w:val="20"/>
                <w:color w:val="auto"/>
              </w:rPr>
            </w:pPr>
            <w:r>
              <w:rPr>
                <w:rFonts w:ascii="Arial" w:cs="Arial" w:eastAsia="Arial" w:hAnsi="Arial"/>
                <w:sz w:val="16"/>
                <w:szCs w:val="16"/>
                <w:color w:val="auto"/>
              </w:rPr>
              <w:t>Argentina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Salespower S.A.</w:t>
            </w:r>
          </w:p>
        </w:tc>
        <w:tc>
          <w:tcPr>
            <w:tcW w:w="3960" w:type="dxa"/>
            <w:vAlign w:val="bottom"/>
          </w:tcPr>
          <w:p>
            <w:pPr>
              <w:ind w:left="40"/>
              <w:spacing w:after="0"/>
              <w:rPr>
                <w:sz w:val="20"/>
                <w:szCs w:val="20"/>
                <w:color w:val="auto"/>
              </w:rPr>
            </w:pPr>
            <w:r>
              <w:rPr>
                <w:rFonts w:ascii="Arial" w:cs="Arial" w:eastAsia="Arial" w:hAnsi="Arial"/>
                <w:sz w:val="16"/>
                <w:szCs w:val="16"/>
                <w:color w:val="auto"/>
              </w:rPr>
              <w:t>Argentina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EXPERIS AUSTRALIA PTY LTD</w:t>
            </w:r>
          </w:p>
        </w:tc>
        <w:tc>
          <w:tcPr>
            <w:tcW w:w="3960" w:type="dxa"/>
            <w:vAlign w:val="bottom"/>
          </w:tcPr>
          <w:p>
            <w:pPr>
              <w:ind w:left="40"/>
              <w:spacing w:after="0"/>
              <w:rPr>
                <w:sz w:val="20"/>
                <w:szCs w:val="20"/>
                <w:color w:val="auto"/>
              </w:rPr>
            </w:pPr>
            <w:r>
              <w:rPr>
                <w:rFonts w:ascii="Arial" w:cs="Arial" w:eastAsia="Arial" w:hAnsi="Arial"/>
                <w:sz w:val="16"/>
                <w:szCs w:val="16"/>
                <w:color w:val="auto"/>
              </w:rPr>
              <w:t>Australia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Manpower Services (Australia) Pty. Ltd.</w:t>
            </w:r>
          </w:p>
        </w:tc>
        <w:tc>
          <w:tcPr>
            <w:tcW w:w="3960" w:type="dxa"/>
            <w:vAlign w:val="bottom"/>
          </w:tcPr>
          <w:p>
            <w:pPr>
              <w:ind w:left="40"/>
              <w:spacing w:after="0"/>
              <w:rPr>
                <w:sz w:val="20"/>
                <w:szCs w:val="20"/>
                <w:color w:val="auto"/>
              </w:rPr>
            </w:pPr>
            <w:r>
              <w:rPr>
                <w:rFonts w:ascii="Arial" w:cs="Arial" w:eastAsia="Arial" w:hAnsi="Arial"/>
                <w:sz w:val="16"/>
                <w:szCs w:val="16"/>
                <w:color w:val="auto"/>
              </w:rPr>
              <w:t>Australia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Manpower Staffing (Australia) Pty Limited</w:t>
            </w:r>
          </w:p>
        </w:tc>
        <w:tc>
          <w:tcPr>
            <w:tcW w:w="3960" w:type="dxa"/>
            <w:vAlign w:val="bottom"/>
          </w:tcPr>
          <w:p>
            <w:pPr>
              <w:ind w:left="40"/>
              <w:spacing w:after="0"/>
              <w:rPr>
                <w:sz w:val="20"/>
                <w:szCs w:val="20"/>
                <w:color w:val="auto"/>
              </w:rPr>
            </w:pPr>
            <w:r>
              <w:rPr>
                <w:rFonts w:ascii="Arial" w:cs="Arial" w:eastAsia="Arial" w:hAnsi="Arial"/>
                <w:sz w:val="16"/>
                <w:szCs w:val="16"/>
                <w:color w:val="auto"/>
              </w:rPr>
              <w:t>Australia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Manpower Staffing Holdings (Australia) Pty Limited</w:t>
            </w:r>
          </w:p>
        </w:tc>
        <w:tc>
          <w:tcPr>
            <w:tcW w:w="3960" w:type="dxa"/>
            <w:vAlign w:val="bottom"/>
          </w:tcPr>
          <w:p>
            <w:pPr>
              <w:ind w:left="40"/>
              <w:spacing w:after="0"/>
              <w:rPr>
                <w:sz w:val="20"/>
                <w:szCs w:val="20"/>
                <w:color w:val="auto"/>
              </w:rPr>
            </w:pPr>
            <w:r>
              <w:rPr>
                <w:rFonts w:ascii="Arial" w:cs="Arial" w:eastAsia="Arial" w:hAnsi="Arial"/>
                <w:sz w:val="16"/>
                <w:szCs w:val="16"/>
                <w:color w:val="auto"/>
              </w:rPr>
              <w:t>Australia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Right Management Consultants (OC) Pty Ltd.</w:t>
            </w:r>
          </w:p>
        </w:tc>
        <w:tc>
          <w:tcPr>
            <w:tcW w:w="3960" w:type="dxa"/>
            <w:vAlign w:val="bottom"/>
          </w:tcPr>
          <w:p>
            <w:pPr>
              <w:ind w:left="40"/>
              <w:spacing w:after="0"/>
              <w:rPr>
                <w:sz w:val="20"/>
                <w:szCs w:val="20"/>
                <w:color w:val="auto"/>
              </w:rPr>
            </w:pPr>
            <w:r>
              <w:rPr>
                <w:rFonts w:ascii="Arial" w:cs="Arial" w:eastAsia="Arial" w:hAnsi="Arial"/>
                <w:sz w:val="16"/>
                <w:szCs w:val="16"/>
                <w:color w:val="auto"/>
              </w:rPr>
              <w:t>Australia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Right Management Consultants Holdings Pty Ltd</w:t>
            </w:r>
          </w:p>
        </w:tc>
        <w:tc>
          <w:tcPr>
            <w:tcW w:w="3960" w:type="dxa"/>
            <w:vAlign w:val="bottom"/>
          </w:tcPr>
          <w:p>
            <w:pPr>
              <w:ind w:left="40"/>
              <w:spacing w:after="0"/>
              <w:rPr>
                <w:sz w:val="20"/>
                <w:szCs w:val="20"/>
                <w:color w:val="auto"/>
              </w:rPr>
            </w:pPr>
            <w:r>
              <w:rPr>
                <w:rFonts w:ascii="Arial" w:cs="Arial" w:eastAsia="Arial" w:hAnsi="Arial"/>
                <w:sz w:val="16"/>
                <w:szCs w:val="16"/>
                <w:color w:val="auto"/>
              </w:rPr>
              <w:t>Australia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Right Management Consultants International Pty Ltd</w:t>
            </w:r>
          </w:p>
        </w:tc>
        <w:tc>
          <w:tcPr>
            <w:tcW w:w="3960" w:type="dxa"/>
            <w:vAlign w:val="bottom"/>
          </w:tcPr>
          <w:p>
            <w:pPr>
              <w:ind w:left="40"/>
              <w:spacing w:after="0"/>
              <w:rPr>
                <w:sz w:val="20"/>
                <w:szCs w:val="20"/>
                <w:color w:val="auto"/>
              </w:rPr>
            </w:pPr>
            <w:r>
              <w:rPr>
                <w:rFonts w:ascii="Arial" w:cs="Arial" w:eastAsia="Arial" w:hAnsi="Arial"/>
                <w:sz w:val="16"/>
                <w:szCs w:val="16"/>
                <w:color w:val="auto"/>
              </w:rPr>
              <w:t>Australia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Right Management Consultants Pty Ltd</w:t>
            </w:r>
          </w:p>
        </w:tc>
        <w:tc>
          <w:tcPr>
            <w:tcW w:w="3960" w:type="dxa"/>
            <w:vAlign w:val="bottom"/>
          </w:tcPr>
          <w:p>
            <w:pPr>
              <w:ind w:left="40"/>
              <w:spacing w:after="0"/>
              <w:rPr>
                <w:sz w:val="20"/>
                <w:szCs w:val="20"/>
                <w:color w:val="auto"/>
              </w:rPr>
            </w:pPr>
            <w:r>
              <w:rPr>
                <w:rFonts w:ascii="Arial" w:cs="Arial" w:eastAsia="Arial" w:hAnsi="Arial"/>
                <w:sz w:val="16"/>
                <w:szCs w:val="16"/>
                <w:color w:val="auto"/>
              </w:rPr>
              <w:t>Australia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INT Technologies, LLC</w:t>
            </w:r>
          </w:p>
        </w:tc>
        <w:tc>
          <w:tcPr>
            <w:tcW w:w="3960" w:type="dxa"/>
            <w:vAlign w:val="bottom"/>
          </w:tcPr>
          <w:p>
            <w:pPr>
              <w:ind w:left="40"/>
              <w:spacing w:after="0"/>
              <w:rPr>
                <w:sz w:val="20"/>
                <w:szCs w:val="20"/>
                <w:color w:val="auto"/>
              </w:rPr>
            </w:pPr>
            <w:r>
              <w:rPr>
                <w:rFonts w:ascii="Arial" w:cs="Arial" w:eastAsia="Arial" w:hAnsi="Arial"/>
                <w:sz w:val="16"/>
                <w:szCs w:val="16"/>
                <w:color w:val="auto"/>
              </w:rPr>
              <w:t>AZ</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ManpowerGroup Captive Insurance Inc.</w:t>
            </w:r>
          </w:p>
        </w:tc>
        <w:tc>
          <w:tcPr>
            <w:tcW w:w="3960" w:type="dxa"/>
            <w:vAlign w:val="bottom"/>
          </w:tcPr>
          <w:p>
            <w:pPr>
              <w:ind w:left="40"/>
              <w:spacing w:after="0"/>
              <w:rPr>
                <w:sz w:val="20"/>
                <w:szCs w:val="20"/>
                <w:color w:val="auto"/>
              </w:rPr>
            </w:pPr>
            <w:r>
              <w:rPr>
                <w:rFonts w:ascii="Arial" w:cs="Arial" w:eastAsia="Arial" w:hAnsi="Arial"/>
                <w:sz w:val="16"/>
                <w:szCs w:val="16"/>
                <w:color w:val="auto"/>
              </w:rPr>
              <w:t>AZ</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Experis Belgium SA</w:t>
            </w:r>
          </w:p>
        </w:tc>
        <w:tc>
          <w:tcPr>
            <w:tcW w:w="3960" w:type="dxa"/>
            <w:vAlign w:val="bottom"/>
          </w:tcPr>
          <w:p>
            <w:pPr>
              <w:ind w:left="40"/>
              <w:spacing w:after="0"/>
              <w:rPr>
                <w:sz w:val="20"/>
                <w:szCs w:val="20"/>
                <w:color w:val="auto"/>
              </w:rPr>
            </w:pPr>
            <w:r>
              <w:rPr>
                <w:rFonts w:ascii="Arial" w:cs="Arial" w:eastAsia="Arial" w:hAnsi="Arial"/>
                <w:sz w:val="16"/>
                <w:szCs w:val="16"/>
                <w:color w:val="auto"/>
              </w:rPr>
              <w:t>Belgium</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Manpower Personal Services NV</w:t>
            </w:r>
          </w:p>
        </w:tc>
        <w:tc>
          <w:tcPr>
            <w:tcW w:w="3960" w:type="dxa"/>
            <w:vAlign w:val="bottom"/>
          </w:tcPr>
          <w:p>
            <w:pPr>
              <w:ind w:left="40"/>
              <w:spacing w:after="0"/>
              <w:rPr>
                <w:sz w:val="20"/>
                <w:szCs w:val="20"/>
                <w:color w:val="auto"/>
              </w:rPr>
            </w:pPr>
            <w:r>
              <w:rPr>
                <w:rFonts w:ascii="Arial" w:cs="Arial" w:eastAsia="Arial" w:hAnsi="Arial"/>
                <w:sz w:val="16"/>
                <w:szCs w:val="16"/>
                <w:color w:val="auto"/>
              </w:rPr>
              <w:t>Belgium</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ManpowerGroup Solutions Belgium SA</w:t>
            </w:r>
          </w:p>
        </w:tc>
        <w:tc>
          <w:tcPr>
            <w:tcW w:w="3960" w:type="dxa"/>
            <w:vAlign w:val="bottom"/>
          </w:tcPr>
          <w:p>
            <w:pPr>
              <w:ind w:left="40"/>
              <w:spacing w:after="0"/>
              <w:rPr>
                <w:sz w:val="20"/>
                <w:szCs w:val="20"/>
                <w:color w:val="auto"/>
              </w:rPr>
            </w:pPr>
            <w:r>
              <w:rPr>
                <w:rFonts w:ascii="Arial" w:cs="Arial" w:eastAsia="Arial" w:hAnsi="Arial"/>
                <w:sz w:val="16"/>
                <w:szCs w:val="16"/>
                <w:color w:val="auto"/>
              </w:rPr>
              <w:t>Belgium</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Right Management Belgium NV</w:t>
            </w:r>
          </w:p>
        </w:tc>
        <w:tc>
          <w:tcPr>
            <w:tcW w:w="3960" w:type="dxa"/>
            <w:vAlign w:val="bottom"/>
          </w:tcPr>
          <w:p>
            <w:pPr>
              <w:ind w:left="40"/>
              <w:spacing w:after="0"/>
              <w:rPr>
                <w:sz w:val="20"/>
                <w:szCs w:val="20"/>
                <w:color w:val="auto"/>
              </w:rPr>
            </w:pPr>
            <w:r>
              <w:rPr>
                <w:rFonts w:ascii="Arial" w:cs="Arial" w:eastAsia="Arial" w:hAnsi="Arial"/>
                <w:sz w:val="16"/>
                <w:szCs w:val="16"/>
                <w:color w:val="auto"/>
              </w:rPr>
              <w:t>Belgium</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S.A. Manpower (Belgium) N.V.</w:t>
            </w:r>
          </w:p>
        </w:tc>
        <w:tc>
          <w:tcPr>
            <w:tcW w:w="3960" w:type="dxa"/>
            <w:vAlign w:val="bottom"/>
          </w:tcPr>
          <w:p>
            <w:pPr>
              <w:ind w:left="40"/>
              <w:spacing w:after="0"/>
              <w:rPr>
                <w:sz w:val="20"/>
                <w:szCs w:val="20"/>
                <w:color w:val="auto"/>
              </w:rPr>
            </w:pPr>
            <w:r>
              <w:rPr>
                <w:rFonts w:ascii="Arial" w:cs="Arial" w:eastAsia="Arial" w:hAnsi="Arial"/>
                <w:sz w:val="16"/>
                <w:szCs w:val="16"/>
                <w:color w:val="auto"/>
              </w:rPr>
              <w:t>Belgium</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Stegmann Belgium BVBA</w:t>
            </w:r>
          </w:p>
        </w:tc>
        <w:tc>
          <w:tcPr>
            <w:tcW w:w="3960" w:type="dxa"/>
            <w:vAlign w:val="bottom"/>
          </w:tcPr>
          <w:p>
            <w:pPr>
              <w:ind w:left="40"/>
              <w:spacing w:after="0"/>
              <w:rPr>
                <w:sz w:val="20"/>
                <w:szCs w:val="20"/>
                <w:color w:val="auto"/>
              </w:rPr>
            </w:pPr>
            <w:r>
              <w:rPr>
                <w:rFonts w:ascii="Arial" w:cs="Arial" w:eastAsia="Arial" w:hAnsi="Arial"/>
                <w:sz w:val="16"/>
                <w:szCs w:val="16"/>
                <w:color w:val="auto"/>
              </w:rPr>
              <w:t>Belgium</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Anyhelp Brasil Assessoria E Servicos em Sistemas de Informacao Ltda.</w:t>
            </w:r>
          </w:p>
        </w:tc>
        <w:tc>
          <w:tcPr>
            <w:tcW w:w="3960" w:type="dxa"/>
            <w:vAlign w:val="bottom"/>
          </w:tcPr>
          <w:p>
            <w:pPr>
              <w:ind w:left="40"/>
              <w:spacing w:after="0"/>
              <w:rPr>
                <w:sz w:val="20"/>
                <w:szCs w:val="20"/>
                <w:color w:val="auto"/>
              </w:rPr>
            </w:pPr>
            <w:r>
              <w:rPr>
                <w:rFonts w:ascii="Arial" w:cs="Arial" w:eastAsia="Arial" w:hAnsi="Arial"/>
                <w:sz w:val="16"/>
                <w:szCs w:val="16"/>
                <w:color w:val="auto"/>
              </w:rPr>
              <w:t>Brazil</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Manpower Brasil Ltda.</w:t>
            </w:r>
          </w:p>
        </w:tc>
        <w:tc>
          <w:tcPr>
            <w:tcW w:w="3960" w:type="dxa"/>
            <w:vAlign w:val="bottom"/>
          </w:tcPr>
          <w:p>
            <w:pPr>
              <w:ind w:left="40"/>
              <w:spacing w:after="0"/>
              <w:rPr>
                <w:sz w:val="20"/>
                <w:szCs w:val="20"/>
                <w:color w:val="auto"/>
              </w:rPr>
            </w:pPr>
            <w:r>
              <w:rPr>
                <w:rFonts w:ascii="Arial" w:cs="Arial" w:eastAsia="Arial" w:hAnsi="Arial"/>
                <w:sz w:val="16"/>
                <w:szCs w:val="16"/>
                <w:color w:val="auto"/>
              </w:rPr>
              <w:t>Brazil</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Manpower Staffing Ltda.</w:t>
            </w:r>
          </w:p>
        </w:tc>
        <w:tc>
          <w:tcPr>
            <w:tcW w:w="3960" w:type="dxa"/>
            <w:vAlign w:val="bottom"/>
          </w:tcPr>
          <w:p>
            <w:pPr>
              <w:ind w:left="40"/>
              <w:spacing w:after="0"/>
              <w:rPr>
                <w:sz w:val="20"/>
                <w:szCs w:val="20"/>
                <w:color w:val="auto"/>
              </w:rPr>
            </w:pPr>
            <w:r>
              <w:rPr>
                <w:rFonts w:ascii="Arial" w:cs="Arial" w:eastAsia="Arial" w:hAnsi="Arial"/>
                <w:sz w:val="16"/>
                <w:szCs w:val="16"/>
                <w:color w:val="auto"/>
              </w:rPr>
              <w:t>Brazil</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Right do Brasil Ltda.</w:t>
            </w:r>
          </w:p>
        </w:tc>
        <w:tc>
          <w:tcPr>
            <w:tcW w:w="3960" w:type="dxa"/>
            <w:vAlign w:val="bottom"/>
          </w:tcPr>
          <w:p>
            <w:pPr>
              <w:ind w:left="40"/>
              <w:spacing w:after="0"/>
              <w:rPr>
                <w:sz w:val="20"/>
                <w:szCs w:val="20"/>
                <w:color w:val="auto"/>
              </w:rPr>
            </w:pPr>
            <w:r>
              <w:rPr>
                <w:rFonts w:ascii="Arial" w:cs="Arial" w:eastAsia="Arial" w:hAnsi="Arial"/>
                <w:sz w:val="16"/>
                <w:szCs w:val="16"/>
                <w:color w:val="auto"/>
              </w:rPr>
              <w:t>Brazil</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Manpower, Inc. / California Peninsula</w:t>
            </w:r>
          </w:p>
        </w:tc>
        <w:tc>
          <w:tcPr>
            <w:tcW w:w="3960" w:type="dxa"/>
            <w:vAlign w:val="bottom"/>
          </w:tcPr>
          <w:p>
            <w:pPr>
              <w:ind w:left="40"/>
              <w:spacing w:after="0"/>
              <w:rPr>
                <w:sz w:val="20"/>
                <w:szCs w:val="20"/>
                <w:color w:val="auto"/>
              </w:rPr>
            </w:pPr>
            <w:r>
              <w:rPr>
                <w:rFonts w:ascii="Arial" w:cs="Arial" w:eastAsia="Arial" w:hAnsi="Arial"/>
                <w:sz w:val="16"/>
                <w:szCs w:val="16"/>
                <w:color w:val="auto"/>
              </w:rPr>
              <w:t>CA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Misicom Inc</w:t>
            </w:r>
          </w:p>
        </w:tc>
        <w:tc>
          <w:tcPr>
            <w:tcW w:w="3960" w:type="dxa"/>
            <w:vAlign w:val="bottom"/>
          </w:tcPr>
          <w:p>
            <w:pPr>
              <w:ind w:left="40"/>
              <w:spacing w:after="0"/>
              <w:rPr>
                <w:sz w:val="20"/>
                <w:szCs w:val="20"/>
                <w:color w:val="auto"/>
              </w:rPr>
            </w:pPr>
            <w:r>
              <w:rPr>
                <w:rFonts w:ascii="Arial" w:cs="Arial" w:eastAsia="Arial" w:hAnsi="Arial"/>
                <w:sz w:val="16"/>
                <w:szCs w:val="16"/>
                <w:color w:val="auto"/>
              </w:rPr>
              <w:t>CA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Experis Canada Inc.</w:t>
            </w:r>
          </w:p>
        </w:tc>
        <w:tc>
          <w:tcPr>
            <w:tcW w:w="3960" w:type="dxa"/>
            <w:vAlign w:val="bottom"/>
          </w:tcPr>
          <w:p>
            <w:pPr>
              <w:ind w:left="40"/>
              <w:spacing w:after="0"/>
              <w:rPr>
                <w:sz w:val="20"/>
                <w:szCs w:val="20"/>
                <w:color w:val="auto"/>
              </w:rPr>
            </w:pPr>
            <w:r>
              <w:rPr>
                <w:rFonts w:ascii="Arial" w:cs="Arial" w:eastAsia="Arial" w:hAnsi="Arial"/>
                <w:sz w:val="16"/>
                <w:szCs w:val="16"/>
                <w:color w:val="auto"/>
              </w:rPr>
              <w:t>Canada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Ibis CA Acquisition, ULC</w:t>
            </w:r>
          </w:p>
        </w:tc>
        <w:tc>
          <w:tcPr>
            <w:tcW w:w="3960" w:type="dxa"/>
            <w:vAlign w:val="bottom"/>
          </w:tcPr>
          <w:p>
            <w:pPr>
              <w:ind w:left="40"/>
              <w:spacing w:after="0"/>
              <w:rPr>
                <w:sz w:val="20"/>
                <w:szCs w:val="20"/>
                <w:color w:val="auto"/>
              </w:rPr>
            </w:pPr>
            <w:r>
              <w:rPr>
                <w:rFonts w:ascii="Arial" w:cs="Arial" w:eastAsia="Arial" w:hAnsi="Arial"/>
                <w:sz w:val="16"/>
                <w:szCs w:val="16"/>
                <w:color w:val="auto"/>
              </w:rPr>
              <w:t>Canada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Manpower Services Canada Limited</w:t>
            </w:r>
          </w:p>
        </w:tc>
        <w:tc>
          <w:tcPr>
            <w:tcW w:w="3960" w:type="dxa"/>
            <w:vAlign w:val="bottom"/>
          </w:tcPr>
          <w:p>
            <w:pPr>
              <w:ind w:left="40"/>
              <w:spacing w:after="0"/>
              <w:rPr>
                <w:sz w:val="20"/>
                <w:szCs w:val="20"/>
                <w:color w:val="auto"/>
              </w:rPr>
            </w:pPr>
            <w:r>
              <w:rPr>
                <w:rFonts w:ascii="Arial" w:cs="Arial" w:eastAsia="Arial" w:hAnsi="Arial"/>
                <w:sz w:val="16"/>
                <w:szCs w:val="16"/>
                <w:color w:val="auto"/>
              </w:rPr>
              <w:t>Canada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Right Management Canada</w:t>
            </w:r>
          </w:p>
        </w:tc>
        <w:tc>
          <w:tcPr>
            <w:tcW w:w="3960" w:type="dxa"/>
            <w:vAlign w:val="bottom"/>
          </w:tcPr>
          <w:p>
            <w:pPr>
              <w:ind w:left="40"/>
              <w:spacing w:after="0"/>
              <w:rPr>
                <w:sz w:val="20"/>
                <w:szCs w:val="20"/>
                <w:color w:val="auto"/>
              </w:rPr>
            </w:pPr>
            <w:r>
              <w:rPr>
                <w:rFonts w:ascii="Arial" w:cs="Arial" w:eastAsia="Arial" w:hAnsi="Arial"/>
                <w:sz w:val="16"/>
                <w:szCs w:val="16"/>
                <w:color w:val="auto"/>
              </w:rPr>
              <w:t>Canada</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Experis Servicios Profesionales SpA</w:t>
            </w:r>
          </w:p>
        </w:tc>
        <w:tc>
          <w:tcPr>
            <w:tcW w:w="3960" w:type="dxa"/>
            <w:vAlign w:val="bottom"/>
          </w:tcPr>
          <w:p>
            <w:pPr>
              <w:ind w:left="40"/>
              <w:spacing w:after="0"/>
              <w:rPr>
                <w:sz w:val="20"/>
                <w:szCs w:val="20"/>
                <w:color w:val="auto"/>
              </w:rPr>
            </w:pPr>
            <w:r>
              <w:rPr>
                <w:rFonts w:ascii="Arial" w:cs="Arial" w:eastAsia="Arial" w:hAnsi="Arial"/>
                <w:sz w:val="16"/>
                <w:szCs w:val="16"/>
                <w:color w:val="auto"/>
              </w:rPr>
              <w:t>Chile</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Manpower Empresa de Servicios Transitorios Ltda</w:t>
            </w:r>
          </w:p>
        </w:tc>
        <w:tc>
          <w:tcPr>
            <w:tcW w:w="3960" w:type="dxa"/>
            <w:vAlign w:val="bottom"/>
          </w:tcPr>
          <w:p>
            <w:pPr>
              <w:ind w:left="40"/>
              <w:spacing w:after="0"/>
              <w:rPr>
                <w:sz w:val="20"/>
                <w:szCs w:val="20"/>
                <w:color w:val="auto"/>
              </w:rPr>
            </w:pPr>
            <w:r>
              <w:rPr>
                <w:rFonts w:ascii="Arial" w:cs="Arial" w:eastAsia="Arial" w:hAnsi="Arial"/>
                <w:sz w:val="16"/>
                <w:szCs w:val="16"/>
                <w:color w:val="auto"/>
              </w:rPr>
              <w:t>Chile</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Manpower Servicios Especializados Ltda</w:t>
            </w:r>
          </w:p>
        </w:tc>
        <w:tc>
          <w:tcPr>
            <w:tcW w:w="3960" w:type="dxa"/>
            <w:vAlign w:val="bottom"/>
          </w:tcPr>
          <w:p>
            <w:pPr>
              <w:ind w:left="40"/>
              <w:spacing w:after="0"/>
              <w:rPr>
                <w:sz w:val="20"/>
                <w:szCs w:val="20"/>
                <w:color w:val="auto"/>
              </w:rPr>
            </w:pPr>
            <w:r>
              <w:rPr>
                <w:rFonts w:ascii="Arial" w:cs="Arial" w:eastAsia="Arial" w:hAnsi="Arial"/>
                <w:sz w:val="16"/>
                <w:szCs w:val="16"/>
                <w:color w:val="auto"/>
              </w:rPr>
              <w:t>Chile</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Manpower Servicios Integrales SpA</w:t>
            </w:r>
          </w:p>
        </w:tc>
        <w:tc>
          <w:tcPr>
            <w:tcW w:w="3960" w:type="dxa"/>
            <w:vAlign w:val="bottom"/>
          </w:tcPr>
          <w:p>
            <w:pPr>
              <w:ind w:left="40"/>
              <w:spacing w:after="0"/>
              <w:rPr>
                <w:sz w:val="20"/>
                <w:szCs w:val="20"/>
                <w:color w:val="auto"/>
              </w:rPr>
            </w:pPr>
            <w:r>
              <w:rPr>
                <w:rFonts w:ascii="Arial" w:cs="Arial" w:eastAsia="Arial" w:hAnsi="Arial"/>
                <w:sz w:val="16"/>
                <w:szCs w:val="16"/>
                <w:color w:val="auto"/>
              </w:rPr>
              <w:t>Chile</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Talent Solutions Capacitacion SpA</w:t>
            </w:r>
          </w:p>
        </w:tc>
        <w:tc>
          <w:tcPr>
            <w:tcW w:w="3960" w:type="dxa"/>
            <w:vAlign w:val="bottom"/>
          </w:tcPr>
          <w:p>
            <w:pPr>
              <w:ind w:left="40"/>
              <w:spacing w:after="0"/>
              <w:rPr>
                <w:sz w:val="20"/>
                <w:szCs w:val="20"/>
                <w:color w:val="auto"/>
              </w:rPr>
            </w:pPr>
            <w:r>
              <w:rPr>
                <w:rFonts w:ascii="Arial" w:cs="Arial" w:eastAsia="Arial" w:hAnsi="Arial"/>
                <w:sz w:val="16"/>
                <w:szCs w:val="16"/>
                <w:color w:val="auto"/>
              </w:rPr>
              <w:t>Chile</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Aerospace Solutions Engineering, LLC</w:t>
            </w:r>
          </w:p>
        </w:tc>
        <w:tc>
          <w:tcPr>
            <w:tcW w:w="3960" w:type="dxa"/>
            <w:vAlign w:val="bottom"/>
          </w:tcPr>
          <w:p>
            <w:pPr>
              <w:ind w:left="40"/>
              <w:spacing w:after="0"/>
              <w:rPr>
                <w:sz w:val="20"/>
                <w:szCs w:val="20"/>
                <w:color w:val="auto"/>
              </w:rPr>
            </w:pPr>
            <w:r>
              <w:rPr>
                <w:rFonts w:ascii="Arial" w:cs="Arial" w:eastAsia="Arial" w:hAnsi="Arial"/>
                <w:sz w:val="16"/>
                <w:szCs w:val="16"/>
                <w:color w:val="auto"/>
              </w:rPr>
              <w:t>CO</w:t>
            </w:r>
          </w:p>
        </w:tc>
      </w:tr>
      <w:tr>
        <w:trPr>
          <w:trHeight w:val="237"/>
        </w:trPr>
        <w:tc>
          <w:tcPr>
            <w:tcW w:w="7300" w:type="dxa"/>
            <w:vAlign w:val="bottom"/>
          </w:tcPr>
          <w:p>
            <w:pPr>
              <w:ind w:left="80"/>
              <w:spacing w:after="0"/>
              <w:rPr>
                <w:sz w:val="20"/>
                <w:szCs w:val="20"/>
                <w:color w:val="auto"/>
              </w:rPr>
            </w:pPr>
            <w:r>
              <w:rPr>
                <w:rFonts w:ascii="Arial" w:cs="Arial" w:eastAsia="Arial" w:hAnsi="Arial"/>
                <w:sz w:val="16"/>
                <w:szCs w:val="16"/>
                <w:color w:val="auto"/>
              </w:rPr>
              <w:t>Fahrenheit IT, LLC</w:t>
            </w:r>
          </w:p>
        </w:tc>
        <w:tc>
          <w:tcPr>
            <w:tcW w:w="3960" w:type="dxa"/>
            <w:vAlign w:val="bottom"/>
          </w:tcPr>
          <w:p>
            <w:pPr>
              <w:ind w:left="40"/>
              <w:spacing w:after="0"/>
              <w:rPr>
                <w:sz w:val="20"/>
                <w:szCs w:val="20"/>
                <w:color w:val="auto"/>
              </w:rPr>
            </w:pPr>
            <w:r>
              <w:rPr>
                <w:rFonts w:ascii="Arial" w:cs="Arial" w:eastAsia="Arial" w:hAnsi="Arial"/>
                <w:sz w:val="16"/>
                <w:szCs w:val="16"/>
                <w:color w:val="auto"/>
              </w:rPr>
              <w:t>CO</w:t>
            </w:r>
          </w:p>
        </w:tc>
      </w:tr>
      <w:tr>
        <w:trPr>
          <w:trHeight w:val="1255"/>
        </w:trPr>
        <w:tc>
          <w:tcPr>
            <w:tcW w:w="730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9"/>
          <w:szCs w:val="19"/>
          <w:color w:val="auto"/>
        </w:rPr>
        <w:t>Exhibit 21</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ind w:left="80"/>
              <w:spacing w:after="0"/>
              <w:rPr>
                <w:sz w:val="20"/>
                <w:szCs w:val="20"/>
                <w:color w:val="auto"/>
              </w:rPr>
            </w:pPr>
            <w:r>
              <w:rPr>
                <w:rFonts w:ascii="Arial" w:cs="Arial" w:eastAsia="Arial" w:hAnsi="Arial"/>
                <w:sz w:val="16"/>
                <w:szCs w:val="16"/>
                <w:color w:val="auto"/>
              </w:rPr>
              <w:t>Global Employment Solutions, LLC</w:t>
            </w:r>
          </w:p>
        </w:tc>
        <w:tc>
          <w:tcPr>
            <w:tcW w:w="5940" w:type="dxa"/>
            <w:vAlign w:val="bottom"/>
          </w:tcPr>
          <w:p>
            <w:pPr>
              <w:ind w:left="2020"/>
              <w:spacing w:after="0"/>
              <w:rPr>
                <w:sz w:val="20"/>
                <w:szCs w:val="20"/>
                <w:color w:val="auto"/>
              </w:rPr>
            </w:pPr>
            <w:r>
              <w:rPr>
                <w:rFonts w:ascii="Arial" w:cs="Arial" w:eastAsia="Arial" w:hAnsi="Arial"/>
                <w:sz w:val="16"/>
                <w:szCs w:val="16"/>
                <w:color w:val="auto"/>
              </w:rPr>
              <w:t>CO</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Information Technology Engineering, LLC</w:t>
            </w:r>
          </w:p>
        </w:tc>
        <w:tc>
          <w:tcPr>
            <w:tcW w:w="5940" w:type="dxa"/>
            <w:vAlign w:val="bottom"/>
          </w:tcPr>
          <w:p>
            <w:pPr>
              <w:ind w:left="2020"/>
              <w:spacing w:after="0"/>
              <w:rPr>
                <w:sz w:val="20"/>
                <w:szCs w:val="20"/>
                <w:color w:val="auto"/>
              </w:rPr>
            </w:pPr>
            <w:r>
              <w:rPr>
                <w:rFonts w:ascii="Arial" w:cs="Arial" w:eastAsia="Arial" w:hAnsi="Arial"/>
                <w:sz w:val="16"/>
                <w:szCs w:val="16"/>
                <w:color w:val="auto"/>
              </w:rPr>
              <w:t>CO</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ITEC II, LLC</w:t>
            </w:r>
          </w:p>
        </w:tc>
        <w:tc>
          <w:tcPr>
            <w:tcW w:w="5940" w:type="dxa"/>
            <w:vAlign w:val="bottom"/>
          </w:tcPr>
          <w:p>
            <w:pPr>
              <w:ind w:left="2020"/>
              <w:spacing w:after="0"/>
              <w:rPr>
                <w:sz w:val="20"/>
                <w:szCs w:val="20"/>
                <w:color w:val="auto"/>
              </w:rPr>
            </w:pPr>
            <w:r>
              <w:rPr>
                <w:rFonts w:ascii="Arial" w:cs="Arial" w:eastAsia="Arial" w:hAnsi="Arial"/>
                <w:sz w:val="16"/>
                <w:szCs w:val="16"/>
                <w:color w:val="auto"/>
              </w:rPr>
              <w:t>CO</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 de Colombia Ltda.</w:t>
            </w:r>
          </w:p>
        </w:tc>
        <w:tc>
          <w:tcPr>
            <w:tcW w:w="5940" w:type="dxa"/>
            <w:vAlign w:val="bottom"/>
          </w:tcPr>
          <w:p>
            <w:pPr>
              <w:ind w:left="2020"/>
              <w:spacing w:after="0"/>
              <w:rPr>
                <w:sz w:val="20"/>
                <w:szCs w:val="20"/>
                <w:color w:val="auto"/>
              </w:rPr>
            </w:pPr>
            <w:r>
              <w:rPr>
                <w:rFonts w:ascii="Arial" w:cs="Arial" w:eastAsia="Arial" w:hAnsi="Arial"/>
                <w:sz w:val="16"/>
                <w:szCs w:val="16"/>
                <w:color w:val="auto"/>
              </w:rPr>
              <w:t>Colombia</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 Professional Ltd.</w:t>
            </w:r>
          </w:p>
        </w:tc>
        <w:tc>
          <w:tcPr>
            <w:tcW w:w="5940" w:type="dxa"/>
            <w:vAlign w:val="bottom"/>
          </w:tcPr>
          <w:p>
            <w:pPr>
              <w:ind w:left="2020"/>
              <w:spacing w:after="0"/>
              <w:rPr>
                <w:sz w:val="20"/>
                <w:szCs w:val="20"/>
                <w:color w:val="auto"/>
              </w:rPr>
            </w:pPr>
            <w:r>
              <w:rPr>
                <w:rFonts w:ascii="Arial" w:cs="Arial" w:eastAsia="Arial" w:hAnsi="Arial"/>
                <w:sz w:val="16"/>
                <w:szCs w:val="16"/>
                <w:color w:val="auto"/>
              </w:rPr>
              <w:t>Colombia</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Tahuma SAS</w:t>
            </w:r>
          </w:p>
        </w:tc>
        <w:tc>
          <w:tcPr>
            <w:tcW w:w="5940" w:type="dxa"/>
            <w:vAlign w:val="bottom"/>
          </w:tcPr>
          <w:p>
            <w:pPr>
              <w:ind w:left="2020"/>
              <w:spacing w:after="0"/>
              <w:rPr>
                <w:sz w:val="20"/>
                <w:szCs w:val="20"/>
                <w:color w:val="auto"/>
              </w:rPr>
            </w:pPr>
            <w:r>
              <w:rPr>
                <w:rFonts w:ascii="Arial" w:cs="Arial" w:eastAsia="Arial" w:hAnsi="Arial"/>
                <w:sz w:val="16"/>
                <w:szCs w:val="16"/>
                <w:color w:val="auto"/>
              </w:rPr>
              <w:t>Colombia</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 Costa Rica, S.A.</w:t>
            </w:r>
          </w:p>
        </w:tc>
        <w:tc>
          <w:tcPr>
            <w:tcW w:w="5940" w:type="dxa"/>
            <w:vAlign w:val="bottom"/>
          </w:tcPr>
          <w:p>
            <w:pPr>
              <w:ind w:left="2020"/>
              <w:spacing w:after="0"/>
              <w:rPr>
                <w:sz w:val="20"/>
                <w:szCs w:val="20"/>
                <w:color w:val="auto"/>
              </w:rPr>
            </w:pPr>
            <w:r>
              <w:rPr>
                <w:rFonts w:ascii="Arial" w:cs="Arial" w:eastAsia="Arial" w:hAnsi="Arial"/>
                <w:sz w:val="16"/>
                <w:szCs w:val="16"/>
                <w:color w:val="auto"/>
              </w:rPr>
              <w:t>Costa Rica</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 Professional Costa Rica, S.A.</w:t>
            </w:r>
          </w:p>
        </w:tc>
        <w:tc>
          <w:tcPr>
            <w:tcW w:w="5940" w:type="dxa"/>
            <w:vAlign w:val="bottom"/>
          </w:tcPr>
          <w:p>
            <w:pPr>
              <w:ind w:left="2020"/>
              <w:spacing w:after="0"/>
              <w:rPr>
                <w:sz w:val="20"/>
                <w:szCs w:val="20"/>
                <w:color w:val="auto"/>
              </w:rPr>
            </w:pPr>
            <w:r>
              <w:rPr>
                <w:rFonts w:ascii="Arial" w:cs="Arial" w:eastAsia="Arial" w:hAnsi="Arial"/>
                <w:sz w:val="16"/>
                <w:szCs w:val="16"/>
                <w:color w:val="auto"/>
              </w:rPr>
              <w:t>Costa Rica</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ManpowerGroup s.r.o.</w:t>
            </w:r>
          </w:p>
        </w:tc>
        <w:tc>
          <w:tcPr>
            <w:tcW w:w="5940" w:type="dxa"/>
            <w:vAlign w:val="bottom"/>
          </w:tcPr>
          <w:p>
            <w:pPr>
              <w:ind w:left="2020"/>
              <w:spacing w:after="0"/>
              <w:rPr>
                <w:sz w:val="20"/>
                <w:szCs w:val="20"/>
                <w:color w:val="auto"/>
              </w:rPr>
            </w:pPr>
            <w:r>
              <w:rPr>
                <w:rFonts w:ascii="Arial" w:cs="Arial" w:eastAsia="Arial" w:hAnsi="Arial"/>
                <w:sz w:val="16"/>
                <w:szCs w:val="16"/>
                <w:color w:val="auto"/>
              </w:rPr>
              <w:t>Czech Republic</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Workforce Solutions s.r.o.</w:t>
            </w:r>
          </w:p>
        </w:tc>
        <w:tc>
          <w:tcPr>
            <w:tcW w:w="5940" w:type="dxa"/>
            <w:vAlign w:val="bottom"/>
          </w:tcPr>
          <w:p>
            <w:pPr>
              <w:ind w:left="2020"/>
              <w:spacing w:after="0"/>
              <w:rPr>
                <w:sz w:val="20"/>
                <w:szCs w:val="20"/>
                <w:color w:val="auto"/>
              </w:rPr>
            </w:pPr>
            <w:r>
              <w:rPr>
                <w:rFonts w:ascii="Arial" w:cs="Arial" w:eastAsia="Arial" w:hAnsi="Arial"/>
                <w:sz w:val="16"/>
                <w:szCs w:val="16"/>
                <w:color w:val="auto"/>
              </w:rPr>
              <w:t>Czech Republic</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Econometrix, LLC</w:t>
            </w:r>
          </w:p>
        </w:tc>
        <w:tc>
          <w:tcPr>
            <w:tcW w:w="5940" w:type="dxa"/>
            <w:vAlign w:val="bottom"/>
          </w:tcPr>
          <w:p>
            <w:pPr>
              <w:ind w:left="2020"/>
              <w:spacing w:after="0"/>
              <w:rPr>
                <w:sz w:val="20"/>
                <w:szCs w:val="20"/>
                <w:color w:val="auto"/>
              </w:rPr>
            </w:pPr>
            <w:r>
              <w:rPr>
                <w:rFonts w:ascii="Arial" w:cs="Arial" w:eastAsia="Arial" w:hAnsi="Arial"/>
                <w:sz w:val="16"/>
                <w:szCs w:val="16"/>
                <w:color w:val="auto"/>
              </w:rPr>
              <w:t>DE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ettain group Holdings, LLC</w:t>
            </w:r>
          </w:p>
        </w:tc>
        <w:tc>
          <w:tcPr>
            <w:tcW w:w="5940" w:type="dxa"/>
            <w:vAlign w:val="bottom"/>
          </w:tcPr>
          <w:p>
            <w:pPr>
              <w:ind w:left="2020"/>
              <w:spacing w:after="0"/>
              <w:rPr>
                <w:sz w:val="20"/>
                <w:szCs w:val="20"/>
                <w:color w:val="auto"/>
              </w:rPr>
            </w:pPr>
            <w:r>
              <w:rPr>
                <w:rFonts w:ascii="Arial" w:cs="Arial" w:eastAsia="Arial" w:hAnsi="Arial"/>
                <w:sz w:val="16"/>
                <w:szCs w:val="16"/>
                <w:color w:val="auto"/>
              </w:rPr>
              <w:t>DE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Experis Finance US, LLC</w:t>
            </w:r>
          </w:p>
        </w:tc>
        <w:tc>
          <w:tcPr>
            <w:tcW w:w="5940" w:type="dxa"/>
            <w:vAlign w:val="bottom"/>
          </w:tcPr>
          <w:p>
            <w:pPr>
              <w:ind w:left="2020"/>
              <w:spacing w:after="0"/>
              <w:rPr>
                <w:sz w:val="20"/>
                <w:szCs w:val="20"/>
                <w:color w:val="auto"/>
              </w:rPr>
            </w:pPr>
            <w:r>
              <w:rPr>
                <w:rFonts w:ascii="Arial" w:cs="Arial" w:eastAsia="Arial" w:hAnsi="Arial"/>
                <w:sz w:val="16"/>
                <w:szCs w:val="16"/>
                <w:color w:val="auto"/>
              </w:rPr>
              <w:t>DE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Experis IT Services US, LLC</w:t>
            </w:r>
          </w:p>
        </w:tc>
        <w:tc>
          <w:tcPr>
            <w:tcW w:w="5940" w:type="dxa"/>
            <w:vAlign w:val="bottom"/>
          </w:tcPr>
          <w:p>
            <w:pPr>
              <w:ind w:left="2020"/>
              <w:spacing w:after="0"/>
              <w:rPr>
                <w:sz w:val="20"/>
                <w:szCs w:val="20"/>
                <w:color w:val="auto"/>
              </w:rPr>
            </w:pPr>
            <w:r>
              <w:rPr>
                <w:rFonts w:ascii="Arial" w:cs="Arial" w:eastAsia="Arial" w:hAnsi="Arial"/>
                <w:sz w:val="16"/>
                <w:szCs w:val="16"/>
                <w:color w:val="auto"/>
              </w:rPr>
              <w:t>DE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Friendly Advanced Software Technology, LLC</w:t>
            </w:r>
          </w:p>
        </w:tc>
        <w:tc>
          <w:tcPr>
            <w:tcW w:w="5940" w:type="dxa"/>
            <w:vAlign w:val="bottom"/>
          </w:tcPr>
          <w:p>
            <w:pPr>
              <w:ind w:left="2020"/>
              <w:spacing w:after="0"/>
              <w:rPr>
                <w:sz w:val="20"/>
                <w:szCs w:val="20"/>
                <w:color w:val="auto"/>
              </w:rPr>
            </w:pPr>
            <w:r>
              <w:rPr>
                <w:rFonts w:ascii="Arial" w:cs="Arial" w:eastAsia="Arial" w:hAnsi="Arial"/>
                <w:sz w:val="16"/>
                <w:szCs w:val="16"/>
                <w:color w:val="auto"/>
              </w:rPr>
              <w:t>DE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Leidos Health, LLC</w:t>
            </w:r>
          </w:p>
        </w:tc>
        <w:tc>
          <w:tcPr>
            <w:tcW w:w="5940" w:type="dxa"/>
            <w:vAlign w:val="bottom"/>
          </w:tcPr>
          <w:p>
            <w:pPr>
              <w:ind w:left="2020"/>
              <w:spacing w:after="0"/>
              <w:rPr>
                <w:sz w:val="20"/>
                <w:szCs w:val="20"/>
                <w:color w:val="auto"/>
              </w:rPr>
            </w:pPr>
            <w:r>
              <w:rPr>
                <w:rFonts w:ascii="Arial" w:cs="Arial" w:eastAsia="Arial" w:hAnsi="Arial"/>
                <w:sz w:val="16"/>
                <w:szCs w:val="16"/>
                <w:color w:val="auto"/>
              </w:rPr>
              <w:t>DE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 Franchises, LLC</w:t>
            </w:r>
          </w:p>
        </w:tc>
        <w:tc>
          <w:tcPr>
            <w:tcW w:w="5940" w:type="dxa"/>
            <w:vAlign w:val="bottom"/>
          </w:tcPr>
          <w:p>
            <w:pPr>
              <w:ind w:left="2020"/>
              <w:spacing w:after="0"/>
              <w:rPr>
                <w:sz w:val="20"/>
                <w:szCs w:val="20"/>
                <w:color w:val="auto"/>
              </w:rPr>
            </w:pPr>
            <w:r>
              <w:rPr>
                <w:rFonts w:ascii="Arial" w:cs="Arial" w:eastAsia="Arial" w:hAnsi="Arial"/>
                <w:sz w:val="16"/>
                <w:szCs w:val="16"/>
                <w:color w:val="auto"/>
              </w:rPr>
              <w:t>DE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 Holdings, Inc.</w:t>
            </w:r>
          </w:p>
        </w:tc>
        <w:tc>
          <w:tcPr>
            <w:tcW w:w="5940" w:type="dxa"/>
            <w:vAlign w:val="bottom"/>
          </w:tcPr>
          <w:p>
            <w:pPr>
              <w:ind w:left="2020"/>
              <w:spacing w:after="0"/>
              <w:rPr>
                <w:sz w:val="20"/>
                <w:szCs w:val="20"/>
                <w:color w:val="auto"/>
              </w:rPr>
            </w:pPr>
            <w:r>
              <w:rPr>
                <w:rFonts w:ascii="Arial" w:cs="Arial" w:eastAsia="Arial" w:hAnsi="Arial"/>
                <w:sz w:val="16"/>
                <w:szCs w:val="16"/>
                <w:color w:val="auto"/>
              </w:rPr>
              <w:t>DE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 NZ Holdings LLC</w:t>
            </w:r>
          </w:p>
        </w:tc>
        <w:tc>
          <w:tcPr>
            <w:tcW w:w="5940" w:type="dxa"/>
            <w:vAlign w:val="bottom"/>
          </w:tcPr>
          <w:p>
            <w:pPr>
              <w:ind w:left="2020"/>
              <w:spacing w:after="0"/>
              <w:rPr>
                <w:sz w:val="20"/>
                <w:szCs w:val="20"/>
                <w:color w:val="auto"/>
              </w:rPr>
            </w:pPr>
            <w:r>
              <w:rPr>
                <w:rFonts w:ascii="Arial" w:cs="Arial" w:eastAsia="Arial" w:hAnsi="Arial"/>
                <w:sz w:val="16"/>
                <w:szCs w:val="16"/>
                <w:color w:val="auto"/>
              </w:rPr>
              <w:t>DE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 US Inc.</w:t>
            </w:r>
          </w:p>
        </w:tc>
        <w:tc>
          <w:tcPr>
            <w:tcW w:w="5940" w:type="dxa"/>
            <w:vAlign w:val="bottom"/>
          </w:tcPr>
          <w:p>
            <w:pPr>
              <w:ind w:left="2020"/>
              <w:spacing w:after="0"/>
              <w:rPr>
                <w:sz w:val="20"/>
                <w:szCs w:val="20"/>
                <w:color w:val="auto"/>
              </w:rPr>
            </w:pPr>
            <w:r>
              <w:rPr>
                <w:rFonts w:ascii="Arial" w:cs="Arial" w:eastAsia="Arial" w:hAnsi="Arial"/>
                <w:sz w:val="16"/>
                <w:szCs w:val="16"/>
                <w:color w:val="auto"/>
              </w:rPr>
              <w:t>DE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ManpowerGroup Holdings LLC</w:t>
            </w:r>
          </w:p>
        </w:tc>
        <w:tc>
          <w:tcPr>
            <w:tcW w:w="5940" w:type="dxa"/>
            <w:vAlign w:val="bottom"/>
          </w:tcPr>
          <w:p>
            <w:pPr>
              <w:ind w:left="2020"/>
              <w:spacing w:after="0"/>
              <w:rPr>
                <w:sz w:val="20"/>
                <w:szCs w:val="20"/>
                <w:color w:val="auto"/>
              </w:rPr>
            </w:pPr>
            <w:r>
              <w:rPr>
                <w:rFonts w:ascii="Arial" w:cs="Arial" w:eastAsia="Arial" w:hAnsi="Arial"/>
                <w:sz w:val="16"/>
                <w:szCs w:val="16"/>
                <w:color w:val="auto"/>
              </w:rPr>
              <w:t>DE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ManpowerGroup Talent Solutions, LLC</w:t>
            </w:r>
          </w:p>
        </w:tc>
        <w:tc>
          <w:tcPr>
            <w:tcW w:w="5940" w:type="dxa"/>
            <w:vAlign w:val="bottom"/>
          </w:tcPr>
          <w:p>
            <w:pPr>
              <w:ind w:left="2020"/>
              <w:spacing w:after="0"/>
              <w:rPr>
                <w:sz w:val="20"/>
                <w:szCs w:val="20"/>
                <w:color w:val="auto"/>
              </w:rPr>
            </w:pPr>
            <w:r>
              <w:rPr>
                <w:rFonts w:ascii="Arial" w:cs="Arial" w:eastAsia="Arial" w:hAnsi="Arial"/>
                <w:sz w:val="16"/>
                <w:szCs w:val="16"/>
                <w:color w:val="auto"/>
              </w:rPr>
              <w:t>DE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ManpowerGroup US Holdings LLC</w:t>
            </w:r>
          </w:p>
        </w:tc>
        <w:tc>
          <w:tcPr>
            <w:tcW w:w="5940" w:type="dxa"/>
            <w:vAlign w:val="bottom"/>
          </w:tcPr>
          <w:p>
            <w:pPr>
              <w:ind w:left="2020"/>
              <w:spacing w:after="0"/>
              <w:rPr>
                <w:sz w:val="20"/>
                <w:szCs w:val="20"/>
                <w:color w:val="auto"/>
              </w:rPr>
            </w:pPr>
            <w:r>
              <w:rPr>
                <w:rFonts w:ascii="Arial" w:cs="Arial" w:eastAsia="Arial" w:hAnsi="Arial"/>
                <w:sz w:val="16"/>
                <w:szCs w:val="16"/>
                <w:color w:val="auto"/>
              </w:rPr>
              <w:t>DE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TAPFIN LLC</w:t>
            </w:r>
          </w:p>
        </w:tc>
        <w:tc>
          <w:tcPr>
            <w:tcW w:w="5940" w:type="dxa"/>
            <w:vAlign w:val="bottom"/>
          </w:tcPr>
          <w:p>
            <w:pPr>
              <w:ind w:left="2020"/>
              <w:spacing w:after="0"/>
              <w:rPr>
                <w:sz w:val="20"/>
                <w:szCs w:val="20"/>
                <w:color w:val="auto"/>
              </w:rPr>
            </w:pPr>
            <w:r>
              <w:rPr>
                <w:rFonts w:ascii="Arial" w:cs="Arial" w:eastAsia="Arial" w:hAnsi="Arial"/>
                <w:sz w:val="16"/>
                <w:szCs w:val="16"/>
                <w:color w:val="auto"/>
              </w:rPr>
              <w:t>DE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Experis A/S</w:t>
            </w:r>
          </w:p>
        </w:tc>
        <w:tc>
          <w:tcPr>
            <w:tcW w:w="5940" w:type="dxa"/>
            <w:vAlign w:val="bottom"/>
          </w:tcPr>
          <w:p>
            <w:pPr>
              <w:ind w:left="2020"/>
              <w:spacing w:after="0"/>
              <w:rPr>
                <w:sz w:val="20"/>
                <w:szCs w:val="20"/>
                <w:color w:val="auto"/>
              </w:rPr>
            </w:pPr>
            <w:r>
              <w:rPr>
                <w:rFonts w:ascii="Arial" w:cs="Arial" w:eastAsia="Arial" w:hAnsi="Arial"/>
                <w:sz w:val="16"/>
                <w:szCs w:val="16"/>
                <w:color w:val="auto"/>
              </w:rPr>
              <w:t>Denmark</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 Republica Dominicana, S.A.</w:t>
            </w:r>
          </w:p>
        </w:tc>
        <w:tc>
          <w:tcPr>
            <w:tcW w:w="5940" w:type="dxa"/>
            <w:vAlign w:val="bottom"/>
          </w:tcPr>
          <w:p>
            <w:pPr>
              <w:ind w:left="2020"/>
              <w:spacing w:after="0"/>
              <w:rPr>
                <w:sz w:val="20"/>
                <w:szCs w:val="20"/>
                <w:color w:val="auto"/>
              </w:rPr>
            </w:pPr>
            <w:r>
              <w:rPr>
                <w:rFonts w:ascii="Arial" w:cs="Arial" w:eastAsia="Arial" w:hAnsi="Arial"/>
                <w:sz w:val="16"/>
                <w:szCs w:val="16"/>
                <w:color w:val="auto"/>
              </w:rPr>
              <w:t>Dominican Republic</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 El Salvador, S.A. de C.V.</w:t>
            </w:r>
          </w:p>
        </w:tc>
        <w:tc>
          <w:tcPr>
            <w:tcW w:w="5940" w:type="dxa"/>
            <w:vAlign w:val="bottom"/>
          </w:tcPr>
          <w:p>
            <w:pPr>
              <w:ind w:left="2020"/>
              <w:spacing w:after="0"/>
              <w:rPr>
                <w:sz w:val="20"/>
                <w:szCs w:val="20"/>
                <w:color w:val="auto"/>
              </w:rPr>
            </w:pPr>
            <w:r>
              <w:rPr>
                <w:rFonts w:ascii="Arial" w:cs="Arial" w:eastAsia="Arial" w:hAnsi="Arial"/>
                <w:sz w:val="16"/>
                <w:szCs w:val="16"/>
                <w:color w:val="auto"/>
              </w:rPr>
              <w:t>El Salvador</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 OÜ</w:t>
            </w:r>
          </w:p>
        </w:tc>
        <w:tc>
          <w:tcPr>
            <w:tcW w:w="5940" w:type="dxa"/>
            <w:vAlign w:val="bottom"/>
          </w:tcPr>
          <w:p>
            <w:pPr>
              <w:ind w:left="2020"/>
              <w:spacing w:after="0"/>
              <w:rPr>
                <w:sz w:val="20"/>
                <w:szCs w:val="20"/>
                <w:color w:val="auto"/>
              </w:rPr>
            </w:pPr>
            <w:r>
              <w:rPr>
                <w:rFonts w:ascii="Arial" w:cs="Arial" w:eastAsia="Arial" w:hAnsi="Arial"/>
                <w:sz w:val="16"/>
                <w:szCs w:val="16"/>
                <w:color w:val="auto"/>
              </w:rPr>
              <w:t>Estonia</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 Inclusive Oy</w:t>
            </w:r>
          </w:p>
        </w:tc>
        <w:tc>
          <w:tcPr>
            <w:tcW w:w="5940" w:type="dxa"/>
            <w:vAlign w:val="bottom"/>
          </w:tcPr>
          <w:p>
            <w:pPr>
              <w:ind w:left="2020"/>
              <w:spacing w:after="0"/>
              <w:rPr>
                <w:sz w:val="20"/>
                <w:szCs w:val="20"/>
                <w:color w:val="auto"/>
              </w:rPr>
            </w:pPr>
            <w:r>
              <w:rPr>
                <w:rFonts w:ascii="Arial" w:cs="Arial" w:eastAsia="Arial" w:hAnsi="Arial"/>
                <w:sz w:val="16"/>
                <w:szCs w:val="16"/>
                <w:color w:val="auto"/>
              </w:rPr>
              <w:t>Finland</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ManpowerGroup OY</w:t>
            </w:r>
          </w:p>
        </w:tc>
        <w:tc>
          <w:tcPr>
            <w:tcW w:w="5940" w:type="dxa"/>
            <w:vAlign w:val="bottom"/>
          </w:tcPr>
          <w:p>
            <w:pPr>
              <w:ind w:left="2020"/>
              <w:spacing w:after="0"/>
              <w:rPr>
                <w:sz w:val="20"/>
                <w:szCs w:val="20"/>
                <w:color w:val="auto"/>
              </w:rPr>
            </w:pPr>
            <w:r>
              <w:rPr>
                <w:rFonts w:ascii="Arial" w:cs="Arial" w:eastAsia="Arial" w:hAnsi="Arial"/>
                <w:sz w:val="16"/>
                <w:szCs w:val="16"/>
                <w:color w:val="auto"/>
              </w:rPr>
              <w:t>Finland</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ManpowerGroup Solutions OY</w:t>
            </w:r>
          </w:p>
        </w:tc>
        <w:tc>
          <w:tcPr>
            <w:tcW w:w="5940" w:type="dxa"/>
            <w:vAlign w:val="bottom"/>
          </w:tcPr>
          <w:p>
            <w:pPr>
              <w:ind w:left="2020"/>
              <w:spacing w:after="0"/>
              <w:rPr>
                <w:sz w:val="20"/>
                <w:szCs w:val="20"/>
                <w:color w:val="auto"/>
              </w:rPr>
            </w:pPr>
            <w:r>
              <w:rPr>
                <w:rFonts w:ascii="Arial" w:cs="Arial" w:eastAsia="Arial" w:hAnsi="Arial"/>
                <w:sz w:val="16"/>
                <w:szCs w:val="16"/>
                <w:color w:val="auto"/>
              </w:rPr>
              <w:t>Finland</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Experis France SAS</w:t>
            </w:r>
          </w:p>
        </w:tc>
        <w:tc>
          <w:tcPr>
            <w:tcW w:w="5940" w:type="dxa"/>
            <w:vAlign w:val="bottom"/>
          </w:tcPr>
          <w:p>
            <w:pPr>
              <w:ind w:left="2020"/>
              <w:spacing w:after="0"/>
              <w:rPr>
                <w:sz w:val="20"/>
                <w:szCs w:val="20"/>
                <w:color w:val="auto"/>
              </w:rPr>
            </w:pPr>
            <w:r>
              <w:rPr>
                <w:rFonts w:ascii="Arial" w:cs="Arial" w:eastAsia="Arial" w:hAnsi="Arial"/>
                <w:sz w:val="16"/>
                <w:szCs w:val="16"/>
                <w:color w:val="auto"/>
              </w:rPr>
              <w:t>France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FuturSkill IT SAS</w:t>
            </w:r>
          </w:p>
        </w:tc>
        <w:tc>
          <w:tcPr>
            <w:tcW w:w="5940" w:type="dxa"/>
            <w:vAlign w:val="bottom"/>
          </w:tcPr>
          <w:p>
            <w:pPr>
              <w:ind w:left="2020"/>
              <w:spacing w:after="0"/>
              <w:rPr>
                <w:sz w:val="20"/>
                <w:szCs w:val="20"/>
                <w:color w:val="auto"/>
              </w:rPr>
            </w:pPr>
            <w:r>
              <w:rPr>
                <w:rFonts w:ascii="Arial" w:cs="Arial" w:eastAsia="Arial" w:hAnsi="Arial"/>
                <w:sz w:val="16"/>
                <w:szCs w:val="16"/>
                <w:color w:val="auto"/>
              </w:rPr>
              <w:t>France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 France Holding SAS</w:t>
            </w:r>
          </w:p>
        </w:tc>
        <w:tc>
          <w:tcPr>
            <w:tcW w:w="5940" w:type="dxa"/>
            <w:vAlign w:val="bottom"/>
          </w:tcPr>
          <w:p>
            <w:pPr>
              <w:ind w:left="2020"/>
              <w:spacing w:after="0"/>
              <w:rPr>
                <w:sz w:val="20"/>
                <w:szCs w:val="20"/>
                <w:color w:val="auto"/>
              </w:rPr>
            </w:pPr>
            <w:r>
              <w:rPr>
                <w:rFonts w:ascii="Arial" w:cs="Arial" w:eastAsia="Arial" w:hAnsi="Arial"/>
                <w:sz w:val="16"/>
                <w:szCs w:val="16"/>
                <w:color w:val="auto"/>
              </w:rPr>
              <w:t>France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 France SAS</w:t>
            </w:r>
          </w:p>
        </w:tc>
        <w:tc>
          <w:tcPr>
            <w:tcW w:w="5940" w:type="dxa"/>
            <w:vAlign w:val="bottom"/>
          </w:tcPr>
          <w:p>
            <w:pPr>
              <w:ind w:left="2020"/>
              <w:spacing w:after="0"/>
              <w:rPr>
                <w:sz w:val="20"/>
                <w:szCs w:val="20"/>
                <w:color w:val="auto"/>
              </w:rPr>
            </w:pPr>
            <w:r>
              <w:rPr>
                <w:rFonts w:ascii="Arial" w:cs="Arial" w:eastAsia="Arial" w:hAnsi="Arial"/>
                <w:sz w:val="16"/>
                <w:szCs w:val="16"/>
                <w:color w:val="auto"/>
              </w:rPr>
              <w:t>France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 Nouvelles Competences SAS</w:t>
            </w:r>
          </w:p>
        </w:tc>
        <w:tc>
          <w:tcPr>
            <w:tcW w:w="5940" w:type="dxa"/>
            <w:vAlign w:val="bottom"/>
          </w:tcPr>
          <w:p>
            <w:pPr>
              <w:ind w:left="2020"/>
              <w:spacing w:after="0"/>
              <w:rPr>
                <w:sz w:val="20"/>
                <w:szCs w:val="20"/>
                <w:color w:val="auto"/>
              </w:rPr>
            </w:pPr>
            <w:r>
              <w:rPr>
                <w:rFonts w:ascii="Arial" w:cs="Arial" w:eastAsia="Arial" w:hAnsi="Arial"/>
                <w:sz w:val="16"/>
                <w:szCs w:val="16"/>
                <w:color w:val="auto"/>
              </w:rPr>
              <w:t>France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ManpowerGroup France SAS</w:t>
            </w:r>
          </w:p>
        </w:tc>
        <w:tc>
          <w:tcPr>
            <w:tcW w:w="5940" w:type="dxa"/>
            <w:vAlign w:val="bottom"/>
          </w:tcPr>
          <w:p>
            <w:pPr>
              <w:ind w:left="2020"/>
              <w:spacing w:after="0"/>
              <w:rPr>
                <w:sz w:val="20"/>
                <w:szCs w:val="20"/>
                <w:color w:val="auto"/>
              </w:rPr>
            </w:pPr>
            <w:r>
              <w:rPr>
                <w:rFonts w:ascii="Arial" w:cs="Arial" w:eastAsia="Arial" w:hAnsi="Arial"/>
                <w:sz w:val="16"/>
                <w:szCs w:val="16"/>
                <w:color w:val="auto"/>
              </w:rPr>
              <w:t>France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ManpowerGroup Solutions SAS</w:t>
            </w:r>
          </w:p>
        </w:tc>
        <w:tc>
          <w:tcPr>
            <w:tcW w:w="5940" w:type="dxa"/>
            <w:vAlign w:val="bottom"/>
          </w:tcPr>
          <w:p>
            <w:pPr>
              <w:ind w:left="2020"/>
              <w:spacing w:after="0"/>
              <w:rPr>
                <w:sz w:val="20"/>
                <w:szCs w:val="20"/>
                <w:color w:val="auto"/>
              </w:rPr>
            </w:pPr>
            <w:r>
              <w:rPr>
                <w:rFonts w:ascii="Arial" w:cs="Arial" w:eastAsia="Arial" w:hAnsi="Arial"/>
                <w:sz w:val="16"/>
                <w:szCs w:val="16"/>
                <w:color w:val="auto"/>
              </w:rPr>
              <w:t>France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Supplay SAS</w:t>
            </w:r>
          </w:p>
        </w:tc>
        <w:tc>
          <w:tcPr>
            <w:tcW w:w="5940" w:type="dxa"/>
            <w:vAlign w:val="bottom"/>
          </w:tcPr>
          <w:p>
            <w:pPr>
              <w:ind w:left="2020"/>
              <w:spacing w:after="0"/>
              <w:rPr>
                <w:sz w:val="20"/>
                <w:szCs w:val="20"/>
                <w:color w:val="auto"/>
              </w:rPr>
            </w:pPr>
            <w:r>
              <w:rPr>
                <w:rFonts w:ascii="Arial" w:cs="Arial" w:eastAsia="Arial" w:hAnsi="Arial"/>
                <w:sz w:val="16"/>
                <w:szCs w:val="16"/>
                <w:color w:val="auto"/>
              </w:rPr>
              <w:t>France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Tingari SASU</w:t>
            </w:r>
          </w:p>
        </w:tc>
        <w:tc>
          <w:tcPr>
            <w:tcW w:w="5940" w:type="dxa"/>
            <w:vAlign w:val="bottom"/>
          </w:tcPr>
          <w:p>
            <w:pPr>
              <w:ind w:left="2020"/>
              <w:spacing w:after="0"/>
              <w:rPr>
                <w:sz w:val="20"/>
                <w:szCs w:val="20"/>
                <w:color w:val="auto"/>
              </w:rPr>
            </w:pPr>
            <w:r>
              <w:rPr>
                <w:rFonts w:ascii="Arial" w:cs="Arial" w:eastAsia="Arial" w:hAnsi="Arial"/>
                <w:sz w:val="16"/>
                <w:szCs w:val="16"/>
                <w:color w:val="auto"/>
              </w:rPr>
              <w:t>France</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Temporary Placement Service, LLC</w:t>
            </w:r>
          </w:p>
        </w:tc>
        <w:tc>
          <w:tcPr>
            <w:tcW w:w="5940" w:type="dxa"/>
            <w:vAlign w:val="bottom"/>
          </w:tcPr>
          <w:p>
            <w:pPr>
              <w:ind w:left="2020"/>
              <w:spacing w:after="0"/>
              <w:rPr>
                <w:sz w:val="20"/>
                <w:szCs w:val="20"/>
                <w:color w:val="auto"/>
              </w:rPr>
            </w:pPr>
            <w:r>
              <w:rPr>
                <w:rFonts w:ascii="Arial" w:cs="Arial" w:eastAsia="Arial" w:hAnsi="Arial"/>
                <w:sz w:val="16"/>
                <w:szCs w:val="16"/>
                <w:color w:val="auto"/>
              </w:rPr>
              <w:t>GA</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7S Group GmbH</w:t>
            </w:r>
          </w:p>
        </w:tc>
        <w:tc>
          <w:tcPr>
            <w:tcW w:w="5940" w:type="dxa"/>
            <w:vAlign w:val="bottom"/>
          </w:tcPr>
          <w:p>
            <w:pPr>
              <w:ind w:left="2020"/>
              <w:spacing w:after="0"/>
              <w:rPr>
                <w:sz w:val="20"/>
                <w:szCs w:val="20"/>
                <w:color w:val="auto"/>
              </w:rPr>
            </w:pPr>
            <w:r>
              <w:rPr>
                <w:rFonts w:ascii="Arial" w:cs="Arial" w:eastAsia="Arial" w:hAnsi="Arial"/>
                <w:sz w:val="16"/>
                <w:szCs w:val="16"/>
                <w:color w:val="auto"/>
              </w:rPr>
              <w:t>Germany</w:t>
            </w:r>
          </w:p>
        </w:tc>
      </w:tr>
      <w:tr>
        <w:trPr>
          <w:trHeight w:val="237"/>
        </w:trPr>
        <w:tc>
          <w:tcPr>
            <w:tcW w:w="5320" w:type="dxa"/>
            <w:vAlign w:val="bottom"/>
          </w:tcPr>
          <w:p>
            <w:pPr>
              <w:ind w:left="80"/>
              <w:spacing w:after="0"/>
              <w:rPr>
                <w:sz w:val="20"/>
                <w:szCs w:val="20"/>
                <w:color w:val="auto"/>
              </w:rPr>
            </w:pPr>
            <w:r>
              <w:rPr>
                <w:rFonts w:ascii="Arial" w:cs="Arial" w:eastAsia="Arial" w:hAnsi="Arial"/>
                <w:sz w:val="16"/>
                <w:szCs w:val="16"/>
                <w:color w:val="auto"/>
              </w:rPr>
              <w:t>Arcqus GmbH</w:t>
            </w:r>
          </w:p>
        </w:tc>
        <w:tc>
          <w:tcPr>
            <w:tcW w:w="5940" w:type="dxa"/>
            <w:vAlign w:val="bottom"/>
          </w:tcPr>
          <w:p>
            <w:pPr>
              <w:ind w:left="2020"/>
              <w:spacing w:after="0"/>
              <w:rPr>
                <w:sz w:val="20"/>
                <w:szCs w:val="20"/>
                <w:color w:val="auto"/>
              </w:rPr>
            </w:pPr>
            <w:r>
              <w:rPr>
                <w:rFonts w:ascii="Arial" w:cs="Arial" w:eastAsia="Arial" w:hAnsi="Arial"/>
                <w:sz w:val="16"/>
                <w:szCs w:val="16"/>
                <w:color w:val="auto"/>
              </w:rPr>
              <w:t>Germany</w:t>
            </w:r>
          </w:p>
        </w:tc>
      </w:tr>
      <w:tr>
        <w:trPr>
          <w:trHeight w:val="1255"/>
        </w:trPr>
        <w:tc>
          <w:tcPr>
            <w:tcW w:w="5320" w:type="dxa"/>
            <w:vAlign w:val="bottom"/>
            <w:tcBorders>
              <w:bottom w:val="single" w:sz="8" w:color="9A9A9A"/>
            </w:tcBorders>
          </w:tcPr>
          <w:p>
            <w:pPr>
              <w:spacing w:after="0"/>
              <w:rPr>
                <w:sz w:val="24"/>
                <w:szCs w:val="24"/>
                <w:color w:val="auto"/>
              </w:rPr>
            </w:pPr>
          </w:p>
        </w:tc>
        <w:tc>
          <w:tcPr>
            <w:tcW w:w="5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9"/>
          <w:szCs w:val="19"/>
          <w:color w:val="auto"/>
        </w:rPr>
        <w:t>Exhibit 21</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ind w:left="80"/>
              <w:spacing w:after="0"/>
              <w:rPr>
                <w:sz w:val="20"/>
                <w:szCs w:val="20"/>
                <w:color w:val="auto"/>
              </w:rPr>
            </w:pPr>
            <w:r>
              <w:rPr>
                <w:rFonts w:ascii="Arial" w:cs="Arial" w:eastAsia="Arial" w:hAnsi="Arial"/>
                <w:sz w:val="16"/>
                <w:szCs w:val="16"/>
                <w:color w:val="auto"/>
              </w:rPr>
              <w:t>Arcqus Professionals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Aviation Staff Management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AviationPower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AviationPower Technical Services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Bankpower GmbH Personaldienstleistungen</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Experis Field Services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Experis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Experis IT Services GmbH &amp; Co. KG</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Experis Verwaltungs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K&amp;K HR-Services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 Beteiligungsgesellschaft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 Experts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 GmbH &amp; Co. KG</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 Personaldienstleistung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ManpowerGroup Deutschland GmbH &amp; Co. KG</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ManpowerGroup Deutschland Verwaltungs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ManpowerGroup Financial Services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ManpowerGroup Solutions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Right Management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Splu Experts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VIS GmbH</w:t>
            </w:r>
          </w:p>
        </w:tc>
        <w:tc>
          <w:tcPr>
            <w:tcW w:w="5600" w:type="dxa"/>
            <w:vAlign w:val="bottom"/>
          </w:tcPr>
          <w:p>
            <w:pPr>
              <w:ind w:left="1680"/>
              <w:spacing w:after="0"/>
              <w:rPr>
                <w:sz w:val="20"/>
                <w:szCs w:val="20"/>
                <w:color w:val="auto"/>
              </w:rPr>
            </w:pPr>
            <w:r>
              <w:rPr>
                <w:rFonts w:ascii="Arial" w:cs="Arial" w:eastAsia="Arial" w:hAnsi="Arial"/>
                <w:sz w:val="16"/>
                <w:szCs w:val="16"/>
                <w:color w:val="auto"/>
              </w:rPr>
              <w:t>Germany</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ManpowerGroup S.A.</w:t>
            </w:r>
          </w:p>
        </w:tc>
        <w:tc>
          <w:tcPr>
            <w:tcW w:w="5600" w:type="dxa"/>
            <w:vAlign w:val="bottom"/>
          </w:tcPr>
          <w:p>
            <w:pPr>
              <w:ind w:left="1680"/>
              <w:spacing w:after="0"/>
              <w:rPr>
                <w:sz w:val="20"/>
                <w:szCs w:val="20"/>
                <w:color w:val="auto"/>
              </w:rPr>
            </w:pPr>
            <w:r>
              <w:rPr>
                <w:rFonts w:ascii="Arial" w:cs="Arial" w:eastAsia="Arial" w:hAnsi="Arial"/>
                <w:sz w:val="16"/>
                <w:szCs w:val="16"/>
                <w:color w:val="auto"/>
              </w:rPr>
              <w:t>Greece</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Project Solutions S.A.</w:t>
            </w:r>
          </w:p>
        </w:tc>
        <w:tc>
          <w:tcPr>
            <w:tcW w:w="5600" w:type="dxa"/>
            <w:vAlign w:val="bottom"/>
          </w:tcPr>
          <w:p>
            <w:pPr>
              <w:ind w:left="1680"/>
              <w:spacing w:after="0"/>
              <w:rPr>
                <w:sz w:val="20"/>
                <w:szCs w:val="20"/>
                <w:color w:val="auto"/>
              </w:rPr>
            </w:pPr>
            <w:r>
              <w:rPr>
                <w:rFonts w:ascii="Arial" w:cs="Arial" w:eastAsia="Arial" w:hAnsi="Arial"/>
                <w:sz w:val="16"/>
                <w:szCs w:val="16"/>
                <w:color w:val="auto"/>
              </w:rPr>
              <w:t>Greece</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 Professional Guatemala S.A.</w:t>
            </w:r>
          </w:p>
        </w:tc>
        <w:tc>
          <w:tcPr>
            <w:tcW w:w="5600" w:type="dxa"/>
            <w:vAlign w:val="bottom"/>
          </w:tcPr>
          <w:p>
            <w:pPr>
              <w:ind w:left="1680"/>
              <w:spacing w:after="0"/>
              <w:rPr>
                <w:sz w:val="20"/>
                <w:szCs w:val="20"/>
                <w:color w:val="auto"/>
              </w:rPr>
            </w:pPr>
            <w:r>
              <w:rPr>
                <w:rFonts w:ascii="Arial" w:cs="Arial" w:eastAsia="Arial" w:hAnsi="Arial"/>
                <w:sz w:val="16"/>
                <w:szCs w:val="16"/>
                <w:color w:val="auto"/>
              </w:rPr>
              <w:t>Guatemala</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 S.A.</w:t>
            </w:r>
          </w:p>
        </w:tc>
        <w:tc>
          <w:tcPr>
            <w:tcW w:w="5600" w:type="dxa"/>
            <w:vAlign w:val="bottom"/>
          </w:tcPr>
          <w:p>
            <w:pPr>
              <w:ind w:left="1680"/>
              <w:spacing w:after="0"/>
              <w:rPr>
                <w:sz w:val="20"/>
                <w:szCs w:val="20"/>
                <w:color w:val="auto"/>
              </w:rPr>
            </w:pPr>
            <w:r>
              <w:rPr>
                <w:rFonts w:ascii="Arial" w:cs="Arial" w:eastAsia="Arial" w:hAnsi="Arial"/>
                <w:sz w:val="16"/>
                <w:szCs w:val="16"/>
                <w:color w:val="auto"/>
              </w:rPr>
              <w:t>Guatemala</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 Honduras, S.A.</w:t>
            </w:r>
          </w:p>
        </w:tc>
        <w:tc>
          <w:tcPr>
            <w:tcW w:w="5600" w:type="dxa"/>
            <w:vAlign w:val="bottom"/>
          </w:tcPr>
          <w:p>
            <w:pPr>
              <w:ind w:left="1680"/>
              <w:spacing w:after="0"/>
              <w:rPr>
                <w:sz w:val="20"/>
                <w:szCs w:val="20"/>
                <w:color w:val="auto"/>
              </w:rPr>
            </w:pPr>
            <w:r>
              <w:rPr>
                <w:rFonts w:ascii="Arial" w:cs="Arial" w:eastAsia="Arial" w:hAnsi="Arial"/>
                <w:sz w:val="16"/>
                <w:szCs w:val="16"/>
                <w:color w:val="auto"/>
              </w:rPr>
              <w:t>Honduras</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Tupromotoria Honduras, S.A.</w:t>
            </w:r>
          </w:p>
        </w:tc>
        <w:tc>
          <w:tcPr>
            <w:tcW w:w="5600" w:type="dxa"/>
            <w:vAlign w:val="bottom"/>
          </w:tcPr>
          <w:p>
            <w:pPr>
              <w:ind w:left="1680"/>
              <w:spacing w:after="0"/>
              <w:rPr>
                <w:sz w:val="20"/>
                <w:szCs w:val="20"/>
                <w:color w:val="auto"/>
              </w:rPr>
            </w:pPr>
            <w:r>
              <w:rPr>
                <w:rFonts w:ascii="Arial" w:cs="Arial" w:eastAsia="Arial" w:hAnsi="Arial"/>
                <w:sz w:val="16"/>
                <w:szCs w:val="16"/>
                <w:color w:val="auto"/>
              </w:rPr>
              <w:t>Honduras</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Jefferson Wells HK Limited</w:t>
            </w:r>
          </w:p>
        </w:tc>
        <w:tc>
          <w:tcPr>
            <w:tcW w:w="5600" w:type="dxa"/>
            <w:vAlign w:val="bottom"/>
          </w:tcPr>
          <w:p>
            <w:pPr>
              <w:ind w:left="1680"/>
              <w:spacing w:after="0"/>
              <w:rPr>
                <w:sz w:val="20"/>
                <w:szCs w:val="20"/>
                <w:color w:val="auto"/>
              </w:rPr>
            </w:pPr>
            <w:r>
              <w:rPr>
                <w:rFonts w:ascii="Arial" w:cs="Arial" w:eastAsia="Arial" w:hAnsi="Arial"/>
                <w:sz w:val="16"/>
                <w:szCs w:val="16"/>
                <w:color w:val="auto"/>
              </w:rPr>
              <w:t>Hong Kong</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ManpowerGroup Solutions Holdings Hong Kong Limited</w:t>
            </w:r>
          </w:p>
        </w:tc>
        <w:tc>
          <w:tcPr>
            <w:tcW w:w="5600" w:type="dxa"/>
            <w:vAlign w:val="bottom"/>
          </w:tcPr>
          <w:p>
            <w:pPr>
              <w:ind w:left="1680"/>
              <w:spacing w:after="0"/>
              <w:rPr>
                <w:sz w:val="20"/>
                <w:szCs w:val="20"/>
                <w:color w:val="auto"/>
              </w:rPr>
            </w:pPr>
            <w:r>
              <w:rPr>
                <w:rFonts w:ascii="Arial" w:cs="Arial" w:eastAsia="Arial" w:hAnsi="Arial"/>
                <w:sz w:val="16"/>
                <w:szCs w:val="16"/>
                <w:color w:val="auto"/>
              </w:rPr>
              <w:t>Hong Kong</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Geneva Technical Services, LLC</w:t>
            </w:r>
          </w:p>
        </w:tc>
        <w:tc>
          <w:tcPr>
            <w:tcW w:w="5600" w:type="dxa"/>
            <w:vAlign w:val="bottom"/>
          </w:tcPr>
          <w:p>
            <w:pPr>
              <w:ind w:left="1680"/>
              <w:spacing w:after="0"/>
              <w:rPr>
                <w:sz w:val="20"/>
                <w:szCs w:val="20"/>
                <w:color w:val="auto"/>
              </w:rPr>
            </w:pPr>
            <w:r>
              <w:rPr>
                <w:rFonts w:ascii="Arial" w:cs="Arial" w:eastAsia="Arial" w:hAnsi="Arial"/>
                <w:sz w:val="16"/>
                <w:szCs w:val="16"/>
                <w:color w:val="auto"/>
              </w:rPr>
              <w:t>IL</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HG Chicago Consulting, LLC</w:t>
            </w:r>
          </w:p>
        </w:tc>
        <w:tc>
          <w:tcPr>
            <w:tcW w:w="5600" w:type="dxa"/>
            <w:vAlign w:val="bottom"/>
          </w:tcPr>
          <w:p>
            <w:pPr>
              <w:ind w:left="1680"/>
              <w:spacing w:after="0"/>
              <w:rPr>
                <w:sz w:val="20"/>
                <w:szCs w:val="20"/>
                <w:color w:val="auto"/>
              </w:rPr>
            </w:pPr>
            <w:r>
              <w:rPr>
                <w:rFonts w:ascii="Arial" w:cs="Arial" w:eastAsia="Arial" w:hAnsi="Arial"/>
                <w:sz w:val="16"/>
                <w:szCs w:val="16"/>
                <w:color w:val="auto"/>
              </w:rPr>
              <w:t>IL</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Experis IT Private Limited</w:t>
            </w:r>
          </w:p>
        </w:tc>
        <w:tc>
          <w:tcPr>
            <w:tcW w:w="5600" w:type="dxa"/>
            <w:vAlign w:val="bottom"/>
          </w:tcPr>
          <w:p>
            <w:pPr>
              <w:ind w:left="1680"/>
              <w:spacing w:after="0"/>
              <w:rPr>
                <w:sz w:val="20"/>
                <w:szCs w:val="20"/>
                <w:color w:val="auto"/>
              </w:rPr>
            </w:pPr>
            <w:r>
              <w:rPr>
                <w:rFonts w:ascii="Arial" w:cs="Arial" w:eastAsia="Arial" w:hAnsi="Arial"/>
                <w:sz w:val="16"/>
                <w:szCs w:val="16"/>
                <w:color w:val="auto"/>
              </w:rPr>
              <w:t>India</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ManpowerGroup Services India Pvt. Ltd.</w:t>
            </w:r>
          </w:p>
        </w:tc>
        <w:tc>
          <w:tcPr>
            <w:tcW w:w="5600" w:type="dxa"/>
            <w:vAlign w:val="bottom"/>
          </w:tcPr>
          <w:p>
            <w:pPr>
              <w:ind w:left="1680"/>
              <w:spacing w:after="0"/>
              <w:rPr>
                <w:sz w:val="20"/>
                <w:szCs w:val="20"/>
                <w:color w:val="auto"/>
              </w:rPr>
            </w:pPr>
            <w:r>
              <w:rPr>
                <w:rFonts w:ascii="Arial" w:cs="Arial" w:eastAsia="Arial" w:hAnsi="Arial"/>
                <w:sz w:val="16"/>
                <w:szCs w:val="16"/>
                <w:color w:val="auto"/>
              </w:rPr>
              <w:t>India</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Right Management India Pvt. Limited</w:t>
            </w:r>
          </w:p>
        </w:tc>
        <w:tc>
          <w:tcPr>
            <w:tcW w:w="5600" w:type="dxa"/>
            <w:vAlign w:val="bottom"/>
          </w:tcPr>
          <w:p>
            <w:pPr>
              <w:ind w:left="1680"/>
              <w:spacing w:after="0"/>
              <w:rPr>
                <w:sz w:val="20"/>
                <w:szCs w:val="20"/>
                <w:color w:val="auto"/>
              </w:rPr>
            </w:pPr>
            <w:r>
              <w:rPr>
                <w:rFonts w:ascii="Arial" w:cs="Arial" w:eastAsia="Arial" w:hAnsi="Arial"/>
                <w:sz w:val="16"/>
                <w:szCs w:val="16"/>
                <w:color w:val="auto"/>
              </w:rPr>
              <w:t>India</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Rotostat Services Private Limited</w:t>
            </w:r>
          </w:p>
        </w:tc>
        <w:tc>
          <w:tcPr>
            <w:tcW w:w="5600" w:type="dxa"/>
            <w:vAlign w:val="bottom"/>
          </w:tcPr>
          <w:p>
            <w:pPr>
              <w:ind w:left="1680"/>
              <w:spacing w:after="0"/>
              <w:rPr>
                <w:sz w:val="20"/>
                <w:szCs w:val="20"/>
                <w:color w:val="auto"/>
              </w:rPr>
            </w:pPr>
            <w:r>
              <w:rPr>
                <w:rFonts w:ascii="Arial" w:cs="Arial" w:eastAsia="Arial" w:hAnsi="Arial"/>
                <w:sz w:val="16"/>
                <w:szCs w:val="16"/>
                <w:color w:val="auto"/>
              </w:rPr>
              <w:t>India</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P.T. Manpower Business Solutions Indonesia</w:t>
            </w:r>
          </w:p>
        </w:tc>
        <w:tc>
          <w:tcPr>
            <w:tcW w:w="5600" w:type="dxa"/>
            <w:vAlign w:val="bottom"/>
          </w:tcPr>
          <w:p>
            <w:pPr>
              <w:ind w:left="1680"/>
              <w:spacing w:after="0"/>
              <w:rPr>
                <w:sz w:val="20"/>
                <w:szCs w:val="20"/>
                <w:color w:val="auto"/>
              </w:rPr>
            </w:pPr>
            <w:r>
              <w:rPr>
                <w:rFonts w:ascii="Arial" w:cs="Arial" w:eastAsia="Arial" w:hAnsi="Arial"/>
                <w:sz w:val="16"/>
                <w:szCs w:val="16"/>
                <w:color w:val="auto"/>
              </w:rPr>
              <w:t>Indonesia</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 Holdings (Ireland) Limited</w:t>
            </w:r>
          </w:p>
        </w:tc>
        <w:tc>
          <w:tcPr>
            <w:tcW w:w="5600" w:type="dxa"/>
            <w:vAlign w:val="bottom"/>
          </w:tcPr>
          <w:p>
            <w:pPr>
              <w:ind w:left="1680"/>
              <w:spacing w:after="0"/>
              <w:rPr>
                <w:sz w:val="20"/>
                <w:szCs w:val="20"/>
                <w:color w:val="auto"/>
              </w:rPr>
            </w:pPr>
            <w:r>
              <w:rPr>
                <w:rFonts w:ascii="Arial" w:cs="Arial" w:eastAsia="Arial" w:hAnsi="Arial"/>
                <w:sz w:val="16"/>
                <w:szCs w:val="16"/>
                <w:color w:val="auto"/>
              </w:rPr>
              <w:t>Ireland</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ManpowerGroup (Ireland) Limited</w:t>
            </w:r>
          </w:p>
        </w:tc>
        <w:tc>
          <w:tcPr>
            <w:tcW w:w="5600" w:type="dxa"/>
            <w:vAlign w:val="bottom"/>
          </w:tcPr>
          <w:p>
            <w:pPr>
              <w:ind w:left="1680"/>
              <w:spacing w:after="0"/>
              <w:rPr>
                <w:sz w:val="20"/>
                <w:szCs w:val="20"/>
                <w:color w:val="auto"/>
              </w:rPr>
            </w:pPr>
            <w:r>
              <w:rPr>
                <w:rFonts w:ascii="Arial" w:cs="Arial" w:eastAsia="Arial" w:hAnsi="Arial"/>
                <w:sz w:val="16"/>
                <w:szCs w:val="16"/>
                <w:color w:val="auto"/>
              </w:rPr>
              <w:t>Ireland</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Right Transition Ltd</w:t>
            </w:r>
          </w:p>
        </w:tc>
        <w:tc>
          <w:tcPr>
            <w:tcW w:w="5600" w:type="dxa"/>
            <w:vAlign w:val="bottom"/>
          </w:tcPr>
          <w:p>
            <w:pPr>
              <w:ind w:left="1680"/>
              <w:spacing w:after="0"/>
              <w:rPr>
                <w:sz w:val="20"/>
                <w:szCs w:val="20"/>
                <w:color w:val="auto"/>
              </w:rPr>
            </w:pPr>
            <w:r>
              <w:rPr>
                <w:rFonts w:ascii="Arial" w:cs="Arial" w:eastAsia="Arial" w:hAnsi="Arial"/>
                <w:sz w:val="16"/>
                <w:szCs w:val="16"/>
                <w:color w:val="auto"/>
              </w:rPr>
              <w:t>Ireland</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Adam Ltd.</w:t>
            </w:r>
          </w:p>
        </w:tc>
        <w:tc>
          <w:tcPr>
            <w:tcW w:w="5600" w:type="dxa"/>
            <w:vAlign w:val="bottom"/>
          </w:tcPr>
          <w:p>
            <w:pPr>
              <w:ind w:left="1680"/>
              <w:spacing w:after="0"/>
              <w:rPr>
                <w:sz w:val="20"/>
                <w:szCs w:val="20"/>
                <w:color w:val="auto"/>
              </w:rPr>
            </w:pPr>
            <w:r>
              <w:rPr>
                <w:rFonts w:ascii="Arial" w:cs="Arial" w:eastAsia="Arial" w:hAnsi="Arial"/>
                <w:sz w:val="16"/>
                <w:szCs w:val="16"/>
                <w:color w:val="auto"/>
              </w:rPr>
              <w:t>Israel</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Adi Ltd.</w:t>
            </w:r>
          </w:p>
        </w:tc>
        <w:tc>
          <w:tcPr>
            <w:tcW w:w="5600" w:type="dxa"/>
            <w:vAlign w:val="bottom"/>
          </w:tcPr>
          <w:p>
            <w:pPr>
              <w:ind w:left="1680"/>
              <w:spacing w:after="0"/>
              <w:rPr>
                <w:sz w:val="20"/>
                <w:szCs w:val="20"/>
                <w:color w:val="auto"/>
              </w:rPr>
            </w:pPr>
            <w:r>
              <w:rPr>
                <w:rFonts w:ascii="Arial" w:cs="Arial" w:eastAsia="Arial" w:hAnsi="Arial"/>
                <w:sz w:val="16"/>
                <w:szCs w:val="16"/>
                <w:color w:val="auto"/>
              </w:rPr>
              <w:t>Israel</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Experis BI Ltd.</w:t>
            </w:r>
          </w:p>
        </w:tc>
        <w:tc>
          <w:tcPr>
            <w:tcW w:w="5600" w:type="dxa"/>
            <w:vAlign w:val="bottom"/>
          </w:tcPr>
          <w:p>
            <w:pPr>
              <w:ind w:left="1680"/>
              <w:spacing w:after="0"/>
              <w:rPr>
                <w:sz w:val="20"/>
                <w:szCs w:val="20"/>
                <w:color w:val="auto"/>
              </w:rPr>
            </w:pPr>
            <w:r>
              <w:rPr>
                <w:rFonts w:ascii="Arial" w:cs="Arial" w:eastAsia="Arial" w:hAnsi="Arial"/>
                <w:sz w:val="16"/>
                <w:szCs w:val="16"/>
                <w:color w:val="auto"/>
              </w:rPr>
              <w:t>Israel</w:t>
            </w:r>
          </w:p>
        </w:tc>
      </w:tr>
      <w:tr>
        <w:trPr>
          <w:trHeight w:val="237"/>
        </w:trPr>
        <w:tc>
          <w:tcPr>
            <w:tcW w:w="5660" w:type="dxa"/>
            <w:vAlign w:val="bottom"/>
          </w:tcPr>
          <w:p>
            <w:pPr>
              <w:ind w:left="80"/>
              <w:spacing w:after="0"/>
              <w:rPr>
                <w:sz w:val="20"/>
                <w:szCs w:val="20"/>
                <w:color w:val="auto"/>
              </w:rPr>
            </w:pPr>
            <w:r>
              <w:rPr>
                <w:rFonts w:ascii="Arial" w:cs="Arial" w:eastAsia="Arial" w:hAnsi="Arial"/>
                <w:sz w:val="16"/>
                <w:szCs w:val="16"/>
                <w:color w:val="auto"/>
              </w:rPr>
              <w:t>Experis Cyber Ltd.</w:t>
            </w:r>
          </w:p>
        </w:tc>
        <w:tc>
          <w:tcPr>
            <w:tcW w:w="5600" w:type="dxa"/>
            <w:vAlign w:val="bottom"/>
          </w:tcPr>
          <w:p>
            <w:pPr>
              <w:ind w:left="1680"/>
              <w:spacing w:after="0"/>
              <w:rPr>
                <w:sz w:val="20"/>
                <w:szCs w:val="20"/>
                <w:color w:val="auto"/>
              </w:rPr>
            </w:pPr>
            <w:r>
              <w:rPr>
                <w:rFonts w:ascii="Arial" w:cs="Arial" w:eastAsia="Arial" w:hAnsi="Arial"/>
                <w:sz w:val="16"/>
                <w:szCs w:val="16"/>
                <w:color w:val="auto"/>
              </w:rPr>
              <w:t>Israel</w:t>
            </w:r>
          </w:p>
        </w:tc>
      </w:tr>
      <w:tr>
        <w:trPr>
          <w:trHeight w:val="1255"/>
        </w:trPr>
        <w:tc>
          <w:tcPr>
            <w:tcW w:w="566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9"/>
          <w:szCs w:val="19"/>
          <w:color w:val="auto"/>
        </w:rPr>
        <w:t>Exhibit 21</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ind w:left="80"/>
              <w:spacing w:after="0"/>
              <w:rPr>
                <w:sz w:val="20"/>
                <w:szCs w:val="20"/>
                <w:color w:val="auto"/>
              </w:rPr>
            </w:pPr>
            <w:r>
              <w:rPr>
                <w:rFonts w:ascii="Arial" w:cs="Arial" w:eastAsia="Arial" w:hAnsi="Arial"/>
                <w:sz w:val="16"/>
                <w:szCs w:val="16"/>
                <w:color w:val="auto"/>
              </w:rPr>
              <w:t>Experis I.T.S. Ltd.</w:t>
            </w:r>
          </w:p>
        </w:tc>
        <w:tc>
          <w:tcPr>
            <w:tcW w:w="5660" w:type="dxa"/>
            <w:vAlign w:val="bottom"/>
          </w:tcPr>
          <w:p>
            <w:pPr>
              <w:ind w:left="1740"/>
              <w:spacing w:after="0"/>
              <w:rPr>
                <w:sz w:val="20"/>
                <w:szCs w:val="20"/>
                <w:color w:val="auto"/>
              </w:rPr>
            </w:pPr>
            <w:r>
              <w:rPr>
                <w:rFonts w:ascii="Arial" w:cs="Arial" w:eastAsia="Arial" w:hAnsi="Arial"/>
                <w:sz w:val="16"/>
                <w:szCs w:val="16"/>
                <w:color w:val="auto"/>
              </w:rPr>
              <w:t>Israel</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Experis Software Ltd.</w:t>
            </w:r>
          </w:p>
        </w:tc>
        <w:tc>
          <w:tcPr>
            <w:tcW w:w="5660" w:type="dxa"/>
            <w:vAlign w:val="bottom"/>
          </w:tcPr>
          <w:p>
            <w:pPr>
              <w:ind w:left="1740"/>
              <w:spacing w:after="0"/>
              <w:rPr>
                <w:sz w:val="20"/>
                <w:szCs w:val="20"/>
                <w:color w:val="auto"/>
              </w:rPr>
            </w:pPr>
            <w:r>
              <w:rPr>
                <w:rFonts w:ascii="Arial" w:cs="Arial" w:eastAsia="Arial" w:hAnsi="Arial"/>
                <w:sz w:val="16"/>
                <w:szCs w:val="16"/>
                <w:color w:val="auto"/>
              </w:rPr>
              <w:t>Israel</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M.F.S. Manpower Facility Services Ltd.</w:t>
            </w:r>
          </w:p>
        </w:tc>
        <w:tc>
          <w:tcPr>
            <w:tcW w:w="5660" w:type="dxa"/>
            <w:vAlign w:val="bottom"/>
          </w:tcPr>
          <w:p>
            <w:pPr>
              <w:ind w:left="1740"/>
              <w:spacing w:after="0"/>
              <w:rPr>
                <w:sz w:val="20"/>
                <w:szCs w:val="20"/>
                <w:color w:val="auto"/>
              </w:rPr>
            </w:pPr>
            <w:r>
              <w:rPr>
                <w:rFonts w:ascii="Arial" w:cs="Arial" w:eastAsia="Arial" w:hAnsi="Arial"/>
                <w:sz w:val="16"/>
                <w:szCs w:val="16"/>
                <w:color w:val="auto"/>
              </w:rPr>
              <w:t>Israel</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M.G.S.M. Advanced Medical Services Ltd</w:t>
            </w:r>
          </w:p>
        </w:tc>
        <w:tc>
          <w:tcPr>
            <w:tcW w:w="5660" w:type="dxa"/>
            <w:vAlign w:val="bottom"/>
          </w:tcPr>
          <w:p>
            <w:pPr>
              <w:ind w:left="1740"/>
              <w:spacing w:after="0"/>
              <w:rPr>
                <w:sz w:val="20"/>
                <w:szCs w:val="20"/>
                <w:color w:val="auto"/>
              </w:rPr>
            </w:pPr>
            <w:r>
              <w:rPr>
                <w:rFonts w:ascii="Arial" w:cs="Arial" w:eastAsia="Arial" w:hAnsi="Arial"/>
                <w:sz w:val="16"/>
                <w:szCs w:val="16"/>
                <w:color w:val="auto"/>
              </w:rPr>
              <w:t>Israel</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Manpower Care Ltd.</w:t>
            </w:r>
          </w:p>
        </w:tc>
        <w:tc>
          <w:tcPr>
            <w:tcW w:w="5660" w:type="dxa"/>
            <w:vAlign w:val="bottom"/>
          </w:tcPr>
          <w:p>
            <w:pPr>
              <w:ind w:left="1740"/>
              <w:spacing w:after="0"/>
              <w:rPr>
                <w:sz w:val="20"/>
                <w:szCs w:val="20"/>
                <w:color w:val="auto"/>
              </w:rPr>
            </w:pPr>
            <w:r>
              <w:rPr>
                <w:rFonts w:ascii="Arial" w:cs="Arial" w:eastAsia="Arial" w:hAnsi="Arial"/>
                <w:sz w:val="16"/>
                <w:szCs w:val="16"/>
                <w:color w:val="auto"/>
              </w:rPr>
              <w:t>Israel</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Manpower Israel Limited</w:t>
            </w:r>
          </w:p>
        </w:tc>
        <w:tc>
          <w:tcPr>
            <w:tcW w:w="5660" w:type="dxa"/>
            <w:vAlign w:val="bottom"/>
          </w:tcPr>
          <w:p>
            <w:pPr>
              <w:ind w:left="1740"/>
              <w:spacing w:after="0"/>
              <w:rPr>
                <w:sz w:val="20"/>
                <w:szCs w:val="20"/>
                <w:color w:val="auto"/>
              </w:rPr>
            </w:pPr>
            <w:r>
              <w:rPr>
                <w:rFonts w:ascii="Arial" w:cs="Arial" w:eastAsia="Arial" w:hAnsi="Arial"/>
                <w:sz w:val="16"/>
                <w:szCs w:val="16"/>
                <w:color w:val="auto"/>
              </w:rPr>
              <w:t>Israel</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ManpowerGroup Israel Holdings Ltd.</w:t>
            </w:r>
          </w:p>
        </w:tc>
        <w:tc>
          <w:tcPr>
            <w:tcW w:w="5660" w:type="dxa"/>
            <w:vAlign w:val="bottom"/>
          </w:tcPr>
          <w:p>
            <w:pPr>
              <w:ind w:left="1740"/>
              <w:spacing w:after="0"/>
              <w:rPr>
                <w:sz w:val="20"/>
                <w:szCs w:val="20"/>
                <w:color w:val="auto"/>
              </w:rPr>
            </w:pPr>
            <w:r>
              <w:rPr>
                <w:rFonts w:ascii="Arial" w:cs="Arial" w:eastAsia="Arial" w:hAnsi="Arial"/>
                <w:sz w:val="16"/>
                <w:szCs w:val="16"/>
                <w:color w:val="auto"/>
              </w:rPr>
              <w:t>Israel</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MNPM Solutions LTD.</w:t>
            </w:r>
          </w:p>
        </w:tc>
        <w:tc>
          <w:tcPr>
            <w:tcW w:w="5660" w:type="dxa"/>
            <w:vAlign w:val="bottom"/>
          </w:tcPr>
          <w:p>
            <w:pPr>
              <w:ind w:left="1740"/>
              <w:spacing w:after="0"/>
              <w:rPr>
                <w:sz w:val="20"/>
                <w:szCs w:val="20"/>
                <w:color w:val="auto"/>
              </w:rPr>
            </w:pPr>
            <w:r>
              <w:rPr>
                <w:rFonts w:ascii="Arial" w:cs="Arial" w:eastAsia="Arial" w:hAnsi="Arial"/>
                <w:sz w:val="16"/>
                <w:szCs w:val="16"/>
                <w:color w:val="auto"/>
              </w:rPr>
              <w:t>Israel</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Nativ 2 Ltd.</w:t>
            </w:r>
          </w:p>
        </w:tc>
        <w:tc>
          <w:tcPr>
            <w:tcW w:w="5660" w:type="dxa"/>
            <w:vAlign w:val="bottom"/>
          </w:tcPr>
          <w:p>
            <w:pPr>
              <w:ind w:left="1740"/>
              <w:spacing w:after="0"/>
              <w:rPr>
                <w:sz w:val="20"/>
                <w:szCs w:val="20"/>
                <w:color w:val="auto"/>
              </w:rPr>
            </w:pPr>
            <w:r>
              <w:rPr>
                <w:rFonts w:ascii="Arial" w:cs="Arial" w:eastAsia="Arial" w:hAnsi="Arial"/>
                <w:sz w:val="16"/>
                <w:szCs w:val="16"/>
                <w:color w:val="auto"/>
              </w:rPr>
              <w:t>Israel</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Talent Solutions Ltd.</w:t>
            </w:r>
          </w:p>
        </w:tc>
        <w:tc>
          <w:tcPr>
            <w:tcW w:w="5660" w:type="dxa"/>
            <w:vAlign w:val="bottom"/>
          </w:tcPr>
          <w:p>
            <w:pPr>
              <w:ind w:left="1740"/>
              <w:spacing w:after="0"/>
              <w:rPr>
                <w:sz w:val="20"/>
                <w:szCs w:val="20"/>
                <w:color w:val="auto"/>
              </w:rPr>
            </w:pPr>
            <w:r>
              <w:rPr>
                <w:rFonts w:ascii="Arial" w:cs="Arial" w:eastAsia="Arial" w:hAnsi="Arial"/>
                <w:sz w:val="16"/>
                <w:szCs w:val="16"/>
                <w:color w:val="auto"/>
              </w:rPr>
              <w:t>Israel</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Telepower Ltd.</w:t>
            </w:r>
          </w:p>
        </w:tc>
        <w:tc>
          <w:tcPr>
            <w:tcW w:w="5660" w:type="dxa"/>
            <w:vAlign w:val="bottom"/>
          </w:tcPr>
          <w:p>
            <w:pPr>
              <w:ind w:left="1740"/>
              <w:spacing w:after="0"/>
              <w:rPr>
                <w:sz w:val="20"/>
                <w:szCs w:val="20"/>
                <w:color w:val="auto"/>
              </w:rPr>
            </w:pPr>
            <w:r>
              <w:rPr>
                <w:rFonts w:ascii="Arial" w:cs="Arial" w:eastAsia="Arial" w:hAnsi="Arial"/>
                <w:sz w:val="16"/>
                <w:szCs w:val="16"/>
                <w:color w:val="auto"/>
              </w:rPr>
              <w:t>Israel</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Experis Srl</w:t>
            </w:r>
          </w:p>
        </w:tc>
        <w:tc>
          <w:tcPr>
            <w:tcW w:w="5660" w:type="dxa"/>
            <w:vAlign w:val="bottom"/>
          </w:tcPr>
          <w:p>
            <w:pPr>
              <w:ind w:left="1740"/>
              <w:spacing w:after="0"/>
              <w:rPr>
                <w:sz w:val="20"/>
                <w:szCs w:val="20"/>
                <w:color w:val="auto"/>
              </w:rPr>
            </w:pPr>
            <w:r>
              <w:rPr>
                <w:rFonts w:ascii="Arial" w:cs="Arial" w:eastAsia="Arial" w:hAnsi="Arial"/>
                <w:sz w:val="16"/>
                <w:szCs w:val="16"/>
                <w:color w:val="auto"/>
              </w:rPr>
              <w:t>Italy</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Manpower Srl</w:t>
            </w:r>
          </w:p>
        </w:tc>
        <w:tc>
          <w:tcPr>
            <w:tcW w:w="5660" w:type="dxa"/>
            <w:vAlign w:val="bottom"/>
          </w:tcPr>
          <w:p>
            <w:pPr>
              <w:ind w:left="1740"/>
              <w:spacing w:after="0"/>
              <w:rPr>
                <w:sz w:val="20"/>
                <w:szCs w:val="20"/>
                <w:color w:val="auto"/>
              </w:rPr>
            </w:pPr>
            <w:r>
              <w:rPr>
                <w:rFonts w:ascii="Arial" w:cs="Arial" w:eastAsia="Arial" w:hAnsi="Arial"/>
                <w:sz w:val="16"/>
                <w:szCs w:val="16"/>
                <w:color w:val="auto"/>
              </w:rPr>
              <w:t>Italy</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Manpower TBO S.r.l.</w:t>
            </w:r>
          </w:p>
        </w:tc>
        <w:tc>
          <w:tcPr>
            <w:tcW w:w="5660" w:type="dxa"/>
            <w:vAlign w:val="bottom"/>
          </w:tcPr>
          <w:p>
            <w:pPr>
              <w:ind w:left="1740"/>
              <w:spacing w:after="0"/>
              <w:rPr>
                <w:sz w:val="20"/>
                <w:szCs w:val="20"/>
                <w:color w:val="auto"/>
              </w:rPr>
            </w:pPr>
            <w:r>
              <w:rPr>
                <w:rFonts w:ascii="Arial" w:cs="Arial" w:eastAsia="Arial" w:hAnsi="Arial"/>
                <w:sz w:val="16"/>
                <w:szCs w:val="16"/>
                <w:color w:val="auto"/>
              </w:rPr>
              <w:t>Italy</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ManpowerGroup Service S.r.l.</w:t>
            </w:r>
          </w:p>
        </w:tc>
        <w:tc>
          <w:tcPr>
            <w:tcW w:w="5660" w:type="dxa"/>
            <w:vAlign w:val="bottom"/>
          </w:tcPr>
          <w:p>
            <w:pPr>
              <w:ind w:left="1740"/>
              <w:spacing w:after="0"/>
              <w:rPr>
                <w:sz w:val="20"/>
                <w:szCs w:val="20"/>
                <w:color w:val="auto"/>
              </w:rPr>
            </w:pPr>
            <w:r>
              <w:rPr>
                <w:rFonts w:ascii="Arial" w:cs="Arial" w:eastAsia="Arial" w:hAnsi="Arial"/>
                <w:sz w:val="16"/>
                <w:szCs w:val="16"/>
                <w:color w:val="auto"/>
              </w:rPr>
              <w:t>Italy</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Talent Solutions s.r.l.</w:t>
            </w:r>
          </w:p>
        </w:tc>
        <w:tc>
          <w:tcPr>
            <w:tcW w:w="5660" w:type="dxa"/>
            <w:vAlign w:val="bottom"/>
          </w:tcPr>
          <w:p>
            <w:pPr>
              <w:ind w:left="1740"/>
              <w:spacing w:after="0"/>
              <w:rPr>
                <w:sz w:val="20"/>
                <w:szCs w:val="20"/>
                <w:color w:val="auto"/>
              </w:rPr>
            </w:pPr>
            <w:r>
              <w:rPr>
                <w:rFonts w:ascii="Arial" w:cs="Arial" w:eastAsia="Arial" w:hAnsi="Arial"/>
                <w:sz w:val="16"/>
                <w:szCs w:val="16"/>
                <w:color w:val="auto"/>
              </w:rPr>
              <w:t>Italy</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Experis Executive Co. Ltd.</w:t>
            </w:r>
          </w:p>
        </w:tc>
        <w:tc>
          <w:tcPr>
            <w:tcW w:w="5660" w:type="dxa"/>
            <w:vAlign w:val="bottom"/>
          </w:tcPr>
          <w:p>
            <w:pPr>
              <w:ind w:left="1740"/>
              <w:spacing w:after="0"/>
              <w:rPr>
                <w:sz w:val="20"/>
                <w:szCs w:val="20"/>
                <w:color w:val="auto"/>
              </w:rPr>
            </w:pPr>
            <w:r>
              <w:rPr>
                <w:rFonts w:ascii="Arial" w:cs="Arial" w:eastAsia="Arial" w:hAnsi="Arial"/>
                <w:sz w:val="16"/>
                <w:szCs w:val="16"/>
                <w:color w:val="auto"/>
              </w:rPr>
              <w:t>Japan</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ManpowerGroup Co. Ltd.</w:t>
            </w:r>
          </w:p>
        </w:tc>
        <w:tc>
          <w:tcPr>
            <w:tcW w:w="5660" w:type="dxa"/>
            <w:vAlign w:val="bottom"/>
          </w:tcPr>
          <w:p>
            <w:pPr>
              <w:ind w:left="1740"/>
              <w:spacing w:after="0"/>
              <w:rPr>
                <w:sz w:val="20"/>
                <w:szCs w:val="20"/>
                <w:color w:val="auto"/>
              </w:rPr>
            </w:pPr>
            <w:r>
              <w:rPr>
                <w:rFonts w:ascii="Arial" w:cs="Arial" w:eastAsia="Arial" w:hAnsi="Arial"/>
                <w:sz w:val="16"/>
                <w:szCs w:val="16"/>
                <w:color w:val="auto"/>
              </w:rPr>
              <w:t>Japan</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ManpowerGroup PLUS Co., Ltd.</w:t>
            </w:r>
          </w:p>
        </w:tc>
        <w:tc>
          <w:tcPr>
            <w:tcW w:w="5660" w:type="dxa"/>
            <w:vAlign w:val="bottom"/>
          </w:tcPr>
          <w:p>
            <w:pPr>
              <w:ind w:left="1740"/>
              <w:spacing w:after="0"/>
              <w:rPr>
                <w:sz w:val="20"/>
                <w:szCs w:val="20"/>
                <w:color w:val="auto"/>
              </w:rPr>
            </w:pPr>
            <w:r>
              <w:rPr>
                <w:rFonts w:ascii="Arial" w:cs="Arial" w:eastAsia="Arial" w:hAnsi="Arial"/>
                <w:sz w:val="16"/>
                <w:szCs w:val="16"/>
                <w:color w:val="auto"/>
              </w:rPr>
              <w:t>Japan</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Pro-Hunt Co., Ltd.</w:t>
            </w:r>
          </w:p>
        </w:tc>
        <w:tc>
          <w:tcPr>
            <w:tcW w:w="5660" w:type="dxa"/>
            <w:vAlign w:val="bottom"/>
          </w:tcPr>
          <w:p>
            <w:pPr>
              <w:ind w:left="1740"/>
              <w:spacing w:after="0"/>
              <w:rPr>
                <w:sz w:val="20"/>
                <w:szCs w:val="20"/>
                <w:color w:val="auto"/>
              </w:rPr>
            </w:pPr>
            <w:r>
              <w:rPr>
                <w:rFonts w:ascii="Arial" w:cs="Arial" w:eastAsia="Arial" w:hAnsi="Arial"/>
                <w:sz w:val="16"/>
                <w:szCs w:val="16"/>
                <w:color w:val="auto"/>
              </w:rPr>
              <w:t>Japan</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Representative Office of UAB "Manpower Lit" in Latvia</w:t>
            </w:r>
          </w:p>
        </w:tc>
        <w:tc>
          <w:tcPr>
            <w:tcW w:w="5660" w:type="dxa"/>
            <w:vAlign w:val="bottom"/>
          </w:tcPr>
          <w:p>
            <w:pPr>
              <w:ind w:left="1740"/>
              <w:spacing w:after="0"/>
              <w:rPr>
                <w:sz w:val="20"/>
                <w:szCs w:val="20"/>
                <w:color w:val="auto"/>
              </w:rPr>
            </w:pPr>
            <w:r>
              <w:rPr>
                <w:rFonts w:ascii="Arial" w:cs="Arial" w:eastAsia="Arial" w:hAnsi="Arial"/>
                <w:sz w:val="16"/>
                <w:szCs w:val="16"/>
                <w:color w:val="auto"/>
              </w:rPr>
              <w:t>Latvia</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Manpower Lit UAB</w:t>
            </w:r>
          </w:p>
        </w:tc>
        <w:tc>
          <w:tcPr>
            <w:tcW w:w="5660" w:type="dxa"/>
            <w:vAlign w:val="bottom"/>
          </w:tcPr>
          <w:p>
            <w:pPr>
              <w:ind w:left="1740"/>
              <w:spacing w:after="0"/>
              <w:rPr>
                <w:sz w:val="20"/>
                <w:szCs w:val="20"/>
                <w:color w:val="auto"/>
              </w:rPr>
            </w:pPr>
            <w:r>
              <w:rPr>
                <w:rFonts w:ascii="Arial" w:cs="Arial" w:eastAsia="Arial" w:hAnsi="Arial"/>
                <w:sz w:val="16"/>
                <w:szCs w:val="16"/>
                <w:color w:val="auto"/>
              </w:rPr>
              <w:t>Lithuania</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Elan IT Resource S.a.r.l.</w:t>
            </w:r>
          </w:p>
        </w:tc>
        <w:tc>
          <w:tcPr>
            <w:tcW w:w="5660" w:type="dxa"/>
            <w:vAlign w:val="bottom"/>
          </w:tcPr>
          <w:p>
            <w:pPr>
              <w:ind w:left="1740"/>
              <w:spacing w:after="0"/>
              <w:rPr>
                <w:sz w:val="20"/>
                <w:szCs w:val="20"/>
                <w:color w:val="auto"/>
              </w:rPr>
            </w:pPr>
            <w:r>
              <w:rPr>
                <w:rFonts w:ascii="Arial" w:cs="Arial" w:eastAsia="Arial" w:hAnsi="Arial"/>
                <w:sz w:val="16"/>
                <w:szCs w:val="16"/>
                <w:color w:val="auto"/>
              </w:rPr>
              <w:t>Luxembourg</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Manpower Business Solutions Luxembourg S.A.</w:t>
            </w:r>
          </w:p>
        </w:tc>
        <w:tc>
          <w:tcPr>
            <w:tcW w:w="5660" w:type="dxa"/>
            <w:vAlign w:val="bottom"/>
          </w:tcPr>
          <w:p>
            <w:pPr>
              <w:ind w:left="1740"/>
              <w:spacing w:after="0"/>
              <w:rPr>
                <w:sz w:val="20"/>
                <w:szCs w:val="20"/>
                <w:color w:val="auto"/>
              </w:rPr>
            </w:pPr>
            <w:r>
              <w:rPr>
                <w:rFonts w:ascii="Arial" w:cs="Arial" w:eastAsia="Arial" w:hAnsi="Arial"/>
                <w:sz w:val="16"/>
                <w:szCs w:val="16"/>
                <w:color w:val="auto"/>
              </w:rPr>
              <w:t>Luxembourg</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Manpower Luxembourg S.A.</w:t>
            </w:r>
          </w:p>
        </w:tc>
        <w:tc>
          <w:tcPr>
            <w:tcW w:w="5660" w:type="dxa"/>
            <w:vAlign w:val="bottom"/>
          </w:tcPr>
          <w:p>
            <w:pPr>
              <w:ind w:left="1740"/>
              <w:spacing w:after="0"/>
              <w:rPr>
                <w:sz w:val="20"/>
                <w:szCs w:val="20"/>
                <w:color w:val="auto"/>
              </w:rPr>
            </w:pPr>
            <w:r>
              <w:rPr>
                <w:rFonts w:ascii="Arial" w:cs="Arial" w:eastAsia="Arial" w:hAnsi="Arial"/>
                <w:sz w:val="16"/>
                <w:szCs w:val="16"/>
                <w:color w:val="auto"/>
              </w:rPr>
              <w:t>Luxembourg</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Centerline Partners LLC</w:t>
            </w:r>
          </w:p>
        </w:tc>
        <w:tc>
          <w:tcPr>
            <w:tcW w:w="5660" w:type="dxa"/>
            <w:vAlign w:val="bottom"/>
          </w:tcPr>
          <w:p>
            <w:pPr>
              <w:ind w:left="1740"/>
              <w:spacing w:after="0"/>
              <w:rPr>
                <w:sz w:val="20"/>
                <w:szCs w:val="20"/>
                <w:color w:val="auto"/>
              </w:rPr>
            </w:pPr>
            <w:r>
              <w:rPr>
                <w:rFonts w:ascii="Arial" w:cs="Arial" w:eastAsia="Arial" w:hAnsi="Arial"/>
                <w:sz w:val="16"/>
                <w:szCs w:val="16"/>
                <w:color w:val="auto"/>
              </w:rPr>
              <w:t>MA</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Agensi Pekerjaan Manpower Recruitment Sdn Bhd</w:t>
            </w:r>
          </w:p>
        </w:tc>
        <w:tc>
          <w:tcPr>
            <w:tcW w:w="5660" w:type="dxa"/>
            <w:vAlign w:val="bottom"/>
          </w:tcPr>
          <w:p>
            <w:pPr>
              <w:ind w:left="1740"/>
              <w:spacing w:after="0"/>
              <w:rPr>
                <w:sz w:val="20"/>
                <w:szCs w:val="20"/>
                <w:color w:val="auto"/>
              </w:rPr>
            </w:pPr>
            <w:r>
              <w:rPr>
                <w:rFonts w:ascii="Arial" w:cs="Arial" w:eastAsia="Arial" w:hAnsi="Arial"/>
                <w:sz w:val="16"/>
                <w:szCs w:val="16"/>
                <w:color w:val="auto"/>
              </w:rPr>
              <w:t>Malaysia</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Experis (M) Sdn Bhd</w:t>
            </w:r>
          </w:p>
        </w:tc>
        <w:tc>
          <w:tcPr>
            <w:tcW w:w="5660" w:type="dxa"/>
            <w:vAlign w:val="bottom"/>
          </w:tcPr>
          <w:p>
            <w:pPr>
              <w:ind w:left="1740"/>
              <w:spacing w:after="0"/>
              <w:rPr>
                <w:sz w:val="20"/>
                <w:szCs w:val="20"/>
                <w:color w:val="auto"/>
              </w:rPr>
            </w:pPr>
            <w:r>
              <w:rPr>
                <w:rFonts w:ascii="Arial" w:cs="Arial" w:eastAsia="Arial" w:hAnsi="Arial"/>
                <w:sz w:val="16"/>
                <w:szCs w:val="16"/>
                <w:color w:val="auto"/>
              </w:rPr>
              <w:t>Malaysia</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Manpower Business Solutions (M) Sdn Bhd</w:t>
            </w:r>
          </w:p>
        </w:tc>
        <w:tc>
          <w:tcPr>
            <w:tcW w:w="5660" w:type="dxa"/>
            <w:vAlign w:val="bottom"/>
          </w:tcPr>
          <w:p>
            <w:pPr>
              <w:ind w:left="1740"/>
              <w:spacing w:after="0"/>
              <w:rPr>
                <w:sz w:val="20"/>
                <w:szCs w:val="20"/>
                <w:color w:val="auto"/>
              </w:rPr>
            </w:pPr>
            <w:r>
              <w:rPr>
                <w:rFonts w:ascii="Arial" w:cs="Arial" w:eastAsia="Arial" w:hAnsi="Arial"/>
                <w:sz w:val="16"/>
                <w:szCs w:val="16"/>
                <w:color w:val="auto"/>
              </w:rPr>
              <w:t>Malaysia</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Manpower Staffing Services (Malaysia) Sdn Bhd</w:t>
            </w:r>
          </w:p>
        </w:tc>
        <w:tc>
          <w:tcPr>
            <w:tcW w:w="5660" w:type="dxa"/>
            <w:vAlign w:val="bottom"/>
          </w:tcPr>
          <w:p>
            <w:pPr>
              <w:ind w:left="1740"/>
              <w:spacing w:after="0"/>
              <w:rPr>
                <w:sz w:val="20"/>
                <w:szCs w:val="20"/>
                <w:color w:val="auto"/>
              </w:rPr>
            </w:pPr>
            <w:r>
              <w:rPr>
                <w:rFonts w:ascii="Arial" w:cs="Arial" w:eastAsia="Arial" w:hAnsi="Arial"/>
                <w:sz w:val="16"/>
                <w:szCs w:val="16"/>
                <w:color w:val="auto"/>
              </w:rPr>
              <w:t>Malaysia</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Pancaran Pertiwi Sdn Bhd</w:t>
            </w:r>
          </w:p>
        </w:tc>
        <w:tc>
          <w:tcPr>
            <w:tcW w:w="5660" w:type="dxa"/>
            <w:vAlign w:val="bottom"/>
          </w:tcPr>
          <w:p>
            <w:pPr>
              <w:ind w:left="1740"/>
              <w:spacing w:after="0"/>
              <w:rPr>
                <w:sz w:val="20"/>
                <w:szCs w:val="20"/>
                <w:color w:val="auto"/>
              </w:rPr>
            </w:pPr>
            <w:r>
              <w:rPr>
                <w:rFonts w:ascii="Arial" w:cs="Arial" w:eastAsia="Arial" w:hAnsi="Arial"/>
                <w:sz w:val="16"/>
                <w:szCs w:val="16"/>
                <w:color w:val="auto"/>
              </w:rPr>
              <w:t>Malaysia</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Agropower, S.A. de C.V.</w:t>
            </w:r>
          </w:p>
        </w:tc>
        <w:tc>
          <w:tcPr>
            <w:tcW w:w="5660" w:type="dxa"/>
            <w:vAlign w:val="bottom"/>
          </w:tcPr>
          <w:p>
            <w:pPr>
              <w:ind w:left="1740"/>
              <w:spacing w:after="0"/>
              <w:rPr>
                <w:sz w:val="20"/>
                <w:szCs w:val="20"/>
                <w:color w:val="auto"/>
              </w:rPr>
            </w:pPr>
            <w:r>
              <w:rPr>
                <w:rFonts w:ascii="Arial" w:cs="Arial" w:eastAsia="Arial" w:hAnsi="Arial"/>
                <w:sz w:val="16"/>
                <w:szCs w:val="16"/>
                <w:color w:val="auto"/>
              </w:rPr>
              <w:t>Mexico</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Business Logistics Managers, S.A. de C.V.</w:t>
            </w:r>
          </w:p>
        </w:tc>
        <w:tc>
          <w:tcPr>
            <w:tcW w:w="5660" w:type="dxa"/>
            <w:vAlign w:val="bottom"/>
          </w:tcPr>
          <w:p>
            <w:pPr>
              <w:ind w:left="1740"/>
              <w:spacing w:after="0"/>
              <w:rPr>
                <w:sz w:val="20"/>
                <w:szCs w:val="20"/>
                <w:color w:val="auto"/>
              </w:rPr>
            </w:pPr>
            <w:r>
              <w:rPr>
                <w:rFonts w:ascii="Arial" w:cs="Arial" w:eastAsia="Arial" w:hAnsi="Arial"/>
                <w:sz w:val="16"/>
                <w:szCs w:val="16"/>
                <w:color w:val="auto"/>
              </w:rPr>
              <w:t>Mexico</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Experis Mexico S.A. de C.V.</w:t>
            </w:r>
          </w:p>
        </w:tc>
        <w:tc>
          <w:tcPr>
            <w:tcW w:w="5660" w:type="dxa"/>
            <w:vAlign w:val="bottom"/>
          </w:tcPr>
          <w:p>
            <w:pPr>
              <w:ind w:left="1740"/>
              <w:spacing w:after="0"/>
              <w:rPr>
                <w:sz w:val="20"/>
                <w:szCs w:val="20"/>
                <w:color w:val="auto"/>
              </w:rPr>
            </w:pPr>
            <w:r>
              <w:rPr>
                <w:rFonts w:ascii="Arial" w:cs="Arial" w:eastAsia="Arial" w:hAnsi="Arial"/>
                <w:sz w:val="16"/>
                <w:szCs w:val="16"/>
                <w:color w:val="auto"/>
              </w:rPr>
              <w:t>Mexico</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Experts Business Transportation, S.A. de C.V.</w:t>
            </w:r>
          </w:p>
        </w:tc>
        <w:tc>
          <w:tcPr>
            <w:tcW w:w="5660" w:type="dxa"/>
            <w:vAlign w:val="bottom"/>
          </w:tcPr>
          <w:p>
            <w:pPr>
              <w:ind w:left="1740"/>
              <w:spacing w:after="0"/>
              <w:rPr>
                <w:sz w:val="20"/>
                <w:szCs w:val="20"/>
                <w:color w:val="auto"/>
              </w:rPr>
            </w:pPr>
            <w:r>
              <w:rPr>
                <w:rFonts w:ascii="Arial" w:cs="Arial" w:eastAsia="Arial" w:hAnsi="Arial"/>
                <w:sz w:val="16"/>
                <w:szCs w:val="16"/>
                <w:color w:val="auto"/>
              </w:rPr>
              <w:t>Mexico</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Factoria Y Manufactura S.A. de C.V.</w:t>
            </w:r>
          </w:p>
        </w:tc>
        <w:tc>
          <w:tcPr>
            <w:tcW w:w="5660" w:type="dxa"/>
            <w:vAlign w:val="bottom"/>
          </w:tcPr>
          <w:p>
            <w:pPr>
              <w:ind w:left="1740"/>
              <w:spacing w:after="0"/>
              <w:rPr>
                <w:sz w:val="20"/>
                <w:szCs w:val="20"/>
                <w:color w:val="auto"/>
              </w:rPr>
            </w:pPr>
            <w:r>
              <w:rPr>
                <w:rFonts w:ascii="Arial" w:cs="Arial" w:eastAsia="Arial" w:hAnsi="Arial"/>
                <w:sz w:val="16"/>
                <w:szCs w:val="16"/>
                <w:color w:val="auto"/>
              </w:rPr>
              <w:t>Mexico</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Innovacion Tecnologia Smart, S.A. de C.V.</w:t>
            </w:r>
          </w:p>
        </w:tc>
        <w:tc>
          <w:tcPr>
            <w:tcW w:w="5660" w:type="dxa"/>
            <w:vAlign w:val="bottom"/>
          </w:tcPr>
          <w:p>
            <w:pPr>
              <w:ind w:left="1740"/>
              <w:spacing w:after="0"/>
              <w:rPr>
                <w:sz w:val="20"/>
                <w:szCs w:val="20"/>
                <w:color w:val="auto"/>
              </w:rPr>
            </w:pPr>
            <w:r>
              <w:rPr>
                <w:rFonts w:ascii="Arial" w:cs="Arial" w:eastAsia="Arial" w:hAnsi="Arial"/>
                <w:sz w:val="16"/>
                <w:szCs w:val="16"/>
                <w:color w:val="auto"/>
              </w:rPr>
              <w:t>Mexico</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Innovation Administrative Process, S.A. de C.V.</w:t>
            </w:r>
          </w:p>
        </w:tc>
        <w:tc>
          <w:tcPr>
            <w:tcW w:w="5660" w:type="dxa"/>
            <w:vAlign w:val="bottom"/>
          </w:tcPr>
          <w:p>
            <w:pPr>
              <w:ind w:left="1740"/>
              <w:spacing w:after="0"/>
              <w:rPr>
                <w:sz w:val="20"/>
                <w:szCs w:val="20"/>
                <w:color w:val="auto"/>
              </w:rPr>
            </w:pPr>
            <w:r>
              <w:rPr>
                <w:rFonts w:ascii="Arial" w:cs="Arial" w:eastAsia="Arial" w:hAnsi="Arial"/>
                <w:sz w:val="16"/>
                <w:szCs w:val="16"/>
                <w:color w:val="auto"/>
              </w:rPr>
              <w:t>Mexico</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Innovative Food Process, S.A. de C.V.</w:t>
            </w:r>
          </w:p>
        </w:tc>
        <w:tc>
          <w:tcPr>
            <w:tcW w:w="5660" w:type="dxa"/>
            <w:vAlign w:val="bottom"/>
          </w:tcPr>
          <w:p>
            <w:pPr>
              <w:ind w:left="1740"/>
              <w:spacing w:after="0"/>
              <w:rPr>
                <w:sz w:val="20"/>
                <w:szCs w:val="20"/>
                <w:color w:val="auto"/>
              </w:rPr>
            </w:pPr>
            <w:r>
              <w:rPr>
                <w:rFonts w:ascii="Arial" w:cs="Arial" w:eastAsia="Arial" w:hAnsi="Arial"/>
                <w:sz w:val="16"/>
                <w:szCs w:val="16"/>
                <w:color w:val="auto"/>
              </w:rPr>
              <w:t>Mexico</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Innovative Industrial Assembly, S.A. de C.V.</w:t>
            </w:r>
          </w:p>
        </w:tc>
        <w:tc>
          <w:tcPr>
            <w:tcW w:w="5660" w:type="dxa"/>
            <w:vAlign w:val="bottom"/>
          </w:tcPr>
          <w:p>
            <w:pPr>
              <w:ind w:left="1740"/>
              <w:spacing w:after="0"/>
              <w:rPr>
                <w:sz w:val="20"/>
                <w:szCs w:val="20"/>
                <w:color w:val="auto"/>
              </w:rPr>
            </w:pPr>
            <w:r>
              <w:rPr>
                <w:rFonts w:ascii="Arial" w:cs="Arial" w:eastAsia="Arial" w:hAnsi="Arial"/>
                <w:sz w:val="16"/>
                <w:szCs w:val="16"/>
                <w:color w:val="auto"/>
              </w:rPr>
              <w:t>Mexico</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Intelecto Tecnologico, S.A. De C.V.</w:t>
            </w:r>
          </w:p>
        </w:tc>
        <w:tc>
          <w:tcPr>
            <w:tcW w:w="5660" w:type="dxa"/>
            <w:vAlign w:val="bottom"/>
          </w:tcPr>
          <w:p>
            <w:pPr>
              <w:ind w:left="1740"/>
              <w:spacing w:after="0"/>
              <w:rPr>
                <w:sz w:val="20"/>
                <w:szCs w:val="20"/>
                <w:color w:val="auto"/>
              </w:rPr>
            </w:pPr>
            <w:r>
              <w:rPr>
                <w:rFonts w:ascii="Arial" w:cs="Arial" w:eastAsia="Arial" w:hAnsi="Arial"/>
                <w:sz w:val="16"/>
                <w:szCs w:val="16"/>
                <w:color w:val="auto"/>
              </w:rPr>
              <w:t>Mexico</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Manpower Corporativo, S.A. de C.V.</w:t>
            </w:r>
          </w:p>
        </w:tc>
        <w:tc>
          <w:tcPr>
            <w:tcW w:w="5660" w:type="dxa"/>
            <w:vAlign w:val="bottom"/>
          </w:tcPr>
          <w:p>
            <w:pPr>
              <w:ind w:left="1740"/>
              <w:spacing w:after="0"/>
              <w:rPr>
                <w:sz w:val="20"/>
                <w:szCs w:val="20"/>
                <w:color w:val="auto"/>
              </w:rPr>
            </w:pPr>
            <w:r>
              <w:rPr>
                <w:rFonts w:ascii="Arial" w:cs="Arial" w:eastAsia="Arial" w:hAnsi="Arial"/>
                <w:sz w:val="16"/>
                <w:szCs w:val="16"/>
                <w:color w:val="auto"/>
              </w:rPr>
              <w:t>Mexico</w:t>
            </w:r>
          </w:p>
        </w:tc>
      </w:tr>
      <w:tr>
        <w:trPr>
          <w:trHeight w:val="237"/>
        </w:trPr>
        <w:tc>
          <w:tcPr>
            <w:tcW w:w="5600" w:type="dxa"/>
            <w:vAlign w:val="bottom"/>
          </w:tcPr>
          <w:p>
            <w:pPr>
              <w:ind w:left="80"/>
              <w:spacing w:after="0"/>
              <w:rPr>
                <w:sz w:val="20"/>
                <w:szCs w:val="20"/>
                <w:color w:val="auto"/>
              </w:rPr>
            </w:pPr>
            <w:r>
              <w:rPr>
                <w:rFonts w:ascii="Arial" w:cs="Arial" w:eastAsia="Arial" w:hAnsi="Arial"/>
                <w:sz w:val="16"/>
                <w:szCs w:val="16"/>
                <w:color w:val="auto"/>
              </w:rPr>
              <w:t>Manpower Industrial, S. de R.L. de C.V.</w:t>
            </w:r>
          </w:p>
        </w:tc>
        <w:tc>
          <w:tcPr>
            <w:tcW w:w="5660" w:type="dxa"/>
            <w:vAlign w:val="bottom"/>
          </w:tcPr>
          <w:p>
            <w:pPr>
              <w:ind w:left="1740"/>
              <w:spacing w:after="0"/>
              <w:rPr>
                <w:sz w:val="20"/>
                <w:szCs w:val="20"/>
                <w:color w:val="auto"/>
              </w:rPr>
            </w:pPr>
            <w:r>
              <w:rPr>
                <w:rFonts w:ascii="Arial" w:cs="Arial" w:eastAsia="Arial" w:hAnsi="Arial"/>
                <w:sz w:val="16"/>
                <w:szCs w:val="16"/>
                <w:color w:val="auto"/>
              </w:rPr>
              <w:t>Mexico</w:t>
            </w:r>
          </w:p>
        </w:tc>
      </w:tr>
      <w:tr>
        <w:trPr>
          <w:trHeight w:val="1255"/>
        </w:trPr>
        <w:tc>
          <w:tcPr>
            <w:tcW w:w="560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9"/>
          <w:szCs w:val="19"/>
          <w:color w:val="auto"/>
        </w:rPr>
        <w:t>Exhibit 21</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ind w:left="80"/>
              <w:spacing w:after="0"/>
              <w:rPr>
                <w:sz w:val="20"/>
                <w:szCs w:val="20"/>
                <w:color w:val="auto"/>
              </w:rPr>
            </w:pPr>
            <w:r>
              <w:rPr>
                <w:rFonts w:ascii="Arial" w:cs="Arial" w:eastAsia="Arial" w:hAnsi="Arial"/>
                <w:sz w:val="16"/>
                <w:szCs w:val="16"/>
                <w:color w:val="auto"/>
              </w:rPr>
              <w:t>Manpower Professional, S.A. de C.V.</w:t>
            </w:r>
          </w:p>
        </w:tc>
        <w:tc>
          <w:tcPr>
            <w:tcW w:w="5960" w:type="dxa"/>
            <w:vAlign w:val="bottom"/>
          </w:tcPr>
          <w:p>
            <w:pPr>
              <w:ind w:left="2040"/>
              <w:spacing w:after="0"/>
              <w:rPr>
                <w:sz w:val="20"/>
                <w:szCs w:val="20"/>
                <w:color w:val="auto"/>
              </w:rPr>
            </w:pPr>
            <w:r>
              <w:rPr>
                <w:rFonts w:ascii="Arial" w:cs="Arial" w:eastAsia="Arial" w:hAnsi="Arial"/>
                <w:sz w:val="16"/>
                <w:szCs w:val="16"/>
                <w:color w:val="auto"/>
              </w:rPr>
              <w:t>Mexico</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S.A. de C.V.</w:t>
            </w:r>
          </w:p>
        </w:tc>
        <w:tc>
          <w:tcPr>
            <w:tcW w:w="5960" w:type="dxa"/>
            <w:vAlign w:val="bottom"/>
          </w:tcPr>
          <w:p>
            <w:pPr>
              <w:ind w:left="2040"/>
              <w:spacing w:after="0"/>
              <w:rPr>
                <w:sz w:val="20"/>
                <w:szCs w:val="20"/>
                <w:color w:val="auto"/>
              </w:rPr>
            </w:pPr>
            <w:r>
              <w:rPr>
                <w:rFonts w:ascii="Arial" w:cs="Arial" w:eastAsia="Arial" w:hAnsi="Arial"/>
                <w:sz w:val="16"/>
                <w:szCs w:val="16"/>
                <w:color w:val="auto"/>
              </w:rPr>
              <w:t>Mexico</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Nurse.Co de Mexico, S.A. de C.V.</w:t>
            </w:r>
          </w:p>
        </w:tc>
        <w:tc>
          <w:tcPr>
            <w:tcW w:w="5960" w:type="dxa"/>
            <w:vAlign w:val="bottom"/>
          </w:tcPr>
          <w:p>
            <w:pPr>
              <w:ind w:left="2040"/>
              <w:spacing w:after="0"/>
              <w:rPr>
                <w:sz w:val="20"/>
                <w:szCs w:val="20"/>
                <w:color w:val="auto"/>
              </w:rPr>
            </w:pPr>
            <w:r>
              <w:rPr>
                <w:rFonts w:ascii="Arial" w:cs="Arial" w:eastAsia="Arial" w:hAnsi="Arial"/>
                <w:sz w:val="16"/>
                <w:szCs w:val="16"/>
                <w:color w:val="auto"/>
              </w:rPr>
              <w:t>Mexico</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Payment Services S.A. de C.V.</w:t>
            </w:r>
          </w:p>
        </w:tc>
        <w:tc>
          <w:tcPr>
            <w:tcW w:w="5960" w:type="dxa"/>
            <w:vAlign w:val="bottom"/>
          </w:tcPr>
          <w:p>
            <w:pPr>
              <w:ind w:left="2040"/>
              <w:spacing w:after="0"/>
              <w:rPr>
                <w:sz w:val="20"/>
                <w:szCs w:val="20"/>
                <w:color w:val="auto"/>
              </w:rPr>
            </w:pPr>
            <w:r>
              <w:rPr>
                <w:rFonts w:ascii="Arial" w:cs="Arial" w:eastAsia="Arial" w:hAnsi="Arial"/>
                <w:sz w:val="16"/>
                <w:szCs w:val="16"/>
                <w:color w:val="auto"/>
              </w:rPr>
              <w:t>Mexico</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Right Management Mexico, S.A. de C.V.</w:t>
            </w:r>
          </w:p>
        </w:tc>
        <w:tc>
          <w:tcPr>
            <w:tcW w:w="5960" w:type="dxa"/>
            <w:vAlign w:val="bottom"/>
          </w:tcPr>
          <w:p>
            <w:pPr>
              <w:ind w:left="2040"/>
              <w:spacing w:after="0"/>
              <w:rPr>
                <w:sz w:val="20"/>
                <w:szCs w:val="20"/>
                <w:color w:val="auto"/>
              </w:rPr>
            </w:pPr>
            <w:r>
              <w:rPr>
                <w:rFonts w:ascii="Arial" w:cs="Arial" w:eastAsia="Arial" w:hAnsi="Arial"/>
                <w:sz w:val="16"/>
                <w:szCs w:val="16"/>
                <w:color w:val="auto"/>
              </w:rPr>
              <w:t>Mexico</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Smart Administracion y Soporte, S.A. de C.V.</w:t>
            </w:r>
          </w:p>
        </w:tc>
        <w:tc>
          <w:tcPr>
            <w:tcW w:w="5960" w:type="dxa"/>
            <w:vAlign w:val="bottom"/>
          </w:tcPr>
          <w:p>
            <w:pPr>
              <w:ind w:left="2040"/>
              <w:spacing w:after="0"/>
              <w:rPr>
                <w:sz w:val="20"/>
                <w:szCs w:val="20"/>
                <w:color w:val="auto"/>
              </w:rPr>
            </w:pPr>
            <w:r>
              <w:rPr>
                <w:rFonts w:ascii="Arial" w:cs="Arial" w:eastAsia="Arial" w:hAnsi="Arial"/>
                <w:sz w:val="16"/>
                <w:szCs w:val="16"/>
                <w:color w:val="auto"/>
              </w:rPr>
              <w:t>Mexico</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Tecnologia Y Manufactura, S.A. de C.V.</w:t>
            </w:r>
          </w:p>
        </w:tc>
        <w:tc>
          <w:tcPr>
            <w:tcW w:w="5960" w:type="dxa"/>
            <w:vAlign w:val="bottom"/>
          </w:tcPr>
          <w:p>
            <w:pPr>
              <w:ind w:left="2040"/>
              <w:spacing w:after="0"/>
              <w:rPr>
                <w:sz w:val="20"/>
                <w:szCs w:val="20"/>
                <w:color w:val="auto"/>
              </w:rPr>
            </w:pPr>
            <w:r>
              <w:rPr>
                <w:rFonts w:ascii="Arial" w:cs="Arial" w:eastAsia="Arial" w:hAnsi="Arial"/>
                <w:sz w:val="16"/>
                <w:szCs w:val="16"/>
                <w:color w:val="auto"/>
              </w:rPr>
              <w:t>Mexico</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Tupromotoria, S.A. de C.V.</w:t>
            </w:r>
          </w:p>
        </w:tc>
        <w:tc>
          <w:tcPr>
            <w:tcW w:w="5960" w:type="dxa"/>
            <w:vAlign w:val="bottom"/>
          </w:tcPr>
          <w:p>
            <w:pPr>
              <w:ind w:left="2040"/>
              <w:spacing w:after="0"/>
              <w:rPr>
                <w:sz w:val="20"/>
                <w:szCs w:val="20"/>
                <w:color w:val="auto"/>
              </w:rPr>
            </w:pPr>
            <w:r>
              <w:rPr>
                <w:rFonts w:ascii="Arial" w:cs="Arial" w:eastAsia="Arial" w:hAnsi="Arial"/>
                <w:sz w:val="16"/>
                <w:szCs w:val="16"/>
                <w:color w:val="auto"/>
              </w:rPr>
              <w:t>Mexico</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HG Atlanta Consulting, LLC</w:t>
            </w:r>
          </w:p>
        </w:tc>
        <w:tc>
          <w:tcPr>
            <w:tcW w:w="5960" w:type="dxa"/>
            <w:vAlign w:val="bottom"/>
          </w:tcPr>
          <w:p>
            <w:pPr>
              <w:ind w:left="2040"/>
              <w:spacing w:after="0"/>
              <w:rPr>
                <w:sz w:val="20"/>
                <w:szCs w:val="20"/>
                <w:color w:val="auto"/>
              </w:rPr>
            </w:pPr>
            <w:r>
              <w:rPr>
                <w:rFonts w:ascii="Arial" w:cs="Arial" w:eastAsia="Arial" w:hAnsi="Arial"/>
                <w:sz w:val="16"/>
                <w:szCs w:val="16"/>
                <w:color w:val="auto"/>
              </w:rPr>
              <w:t>MI</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HG Detroit Consulting, LLC</w:t>
            </w:r>
          </w:p>
        </w:tc>
        <w:tc>
          <w:tcPr>
            <w:tcW w:w="5960" w:type="dxa"/>
            <w:vAlign w:val="bottom"/>
          </w:tcPr>
          <w:p>
            <w:pPr>
              <w:ind w:left="2040"/>
              <w:spacing w:after="0"/>
              <w:rPr>
                <w:sz w:val="20"/>
                <w:szCs w:val="20"/>
                <w:color w:val="auto"/>
              </w:rPr>
            </w:pPr>
            <w:r>
              <w:rPr>
                <w:rFonts w:ascii="Arial" w:cs="Arial" w:eastAsia="Arial" w:hAnsi="Arial"/>
                <w:sz w:val="16"/>
                <w:szCs w:val="16"/>
                <w:color w:val="auto"/>
              </w:rPr>
              <w:t>MI</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Bradford &amp; Galt</w:t>
            </w:r>
          </w:p>
        </w:tc>
        <w:tc>
          <w:tcPr>
            <w:tcW w:w="5960" w:type="dxa"/>
            <w:vAlign w:val="bottom"/>
          </w:tcPr>
          <w:p>
            <w:pPr>
              <w:ind w:left="2040"/>
              <w:spacing w:after="0"/>
              <w:rPr>
                <w:sz w:val="20"/>
                <w:szCs w:val="20"/>
                <w:color w:val="auto"/>
              </w:rPr>
            </w:pPr>
            <w:r>
              <w:rPr>
                <w:rFonts w:ascii="Arial" w:cs="Arial" w:eastAsia="Arial" w:hAnsi="Arial"/>
                <w:sz w:val="16"/>
                <w:szCs w:val="16"/>
                <w:color w:val="auto"/>
              </w:rPr>
              <w:t>MO</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Monaco SAM</w:t>
            </w:r>
          </w:p>
        </w:tc>
        <w:tc>
          <w:tcPr>
            <w:tcW w:w="5960" w:type="dxa"/>
            <w:vAlign w:val="bottom"/>
          </w:tcPr>
          <w:p>
            <w:pPr>
              <w:ind w:left="2040"/>
              <w:spacing w:after="0"/>
              <w:rPr>
                <w:sz w:val="20"/>
                <w:szCs w:val="20"/>
                <w:color w:val="auto"/>
              </w:rPr>
            </w:pPr>
            <w:r>
              <w:rPr>
                <w:rFonts w:ascii="Arial" w:cs="Arial" w:eastAsia="Arial" w:hAnsi="Arial"/>
                <w:sz w:val="16"/>
                <w:szCs w:val="16"/>
                <w:color w:val="auto"/>
              </w:rPr>
              <w:t>Monaco</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Management Business Services Maroc Sarl</w:t>
            </w:r>
          </w:p>
        </w:tc>
        <w:tc>
          <w:tcPr>
            <w:tcW w:w="5960" w:type="dxa"/>
            <w:vAlign w:val="bottom"/>
          </w:tcPr>
          <w:p>
            <w:pPr>
              <w:ind w:left="2040"/>
              <w:spacing w:after="0"/>
              <w:rPr>
                <w:sz w:val="20"/>
                <w:szCs w:val="20"/>
                <w:color w:val="auto"/>
              </w:rPr>
            </w:pPr>
            <w:r>
              <w:rPr>
                <w:rFonts w:ascii="Arial" w:cs="Arial" w:eastAsia="Arial" w:hAnsi="Arial"/>
                <w:sz w:val="16"/>
                <w:szCs w:val="16"/>
                <w:color w:val="auto"/>
              </w:rPr>
              <w:t>Morocco</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MBSM S.A.R.L.A.U.</w:t>
            </w:r>
          </w:p>
        </w:tc>
        <w:tc>
          <w:tcPr>
            <w:tcW w:w="5960" w:type="dxa"/>
            <w:vAlign w:val="bottom"/>
          </w:tcPr>
          <w:p>
            <w:pPr>
              <w:ind w:left="2040"/>
              <w:spacing w:after="0"/>
              <w:rPr>
                <w:sz w:val="20"/>
                <w:szCs w:val="20"/>
                <w:color w:val="auto"/>
              </w:rPr>
            </w:pPr>
            <w:r>
              <w:rPr>
                <w:rFonts w:ascii="Arial" w:cs="Arial" w:eastAsia="Arial" w:hAnsi="Arial"/>
                <w:sz w:val="16"/>
                <w:szCs w:val="16"/>
                <w:color w:val="auto"/>
              </w:rPr>
              <w:t>Morocco</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Societe Marocaine De Travail Temporaire</w:t>
            </w:r>
          </w:p>
        </w:tc>
        <w:tc>
          <w:tcPr>
            <w:tcW w:w="5960" w:type="dxa"/>
            <w:vAlign w:val="bottom"/>
          </w:tcPr>
          <w:p>
            <w:pPr>
              <w:ind w:left="2040"/>
              <w:spacing w:after="0"/>
              <w:rPr>
                <w:sz w:val="20"/>
                <w:szCs w:val="20"/>
                <w:color w:val="auto"/>
              </w:rPr>
            </w:pPr>
            <w:r>
              <w:rPr>
                <w:rFonts w:ascii="Arial" w:cs="Arial" w:eastAsia="Arial" w:hAnsi="Arial"/>
                <w:sz w:val="16"/>
                <w:szCs w:val="16"/>
                <w:color w:val="auto"/>
              </w:rPr>
              <w:t>Morocco</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ettain group, LLC</w:t>
            </w:r>
          </w:p>
        </w:tc>
        <w:tc>
          <w:tcPr>
            <w:tcW w:w="5960" w:type="dxa"/>
            <w:vAlign w:val="bottom"/>
          </w:tcPr>
          <w:p>
            <w:pPr>
              <w:ind w:left="2040"/>
              <w:spacing w:after="0"/>
              <w:rPr>
                <w:sz w:val="20"/>
                <w:szCs w:val="20"/>
                <w:color w:val="auto"/>
              </w:rPr>
            </w:pPr>
            <w:r>
              <w:rPr>
                <w:rFonts w:ascii="Arial" w:cs="Arial" w:eastAsia="Arial" w:hAnsi="Arial"/>
                <w:sz w:val="16"/>
                <w:szCs w:val="16"/>
                <w:color w:val="auto"/>
              </w:rPr>
              <w:t>NC</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Experis Consulting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Experis Professionals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Experis Services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Experis Staff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Business Professionals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Business Services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Flexibility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Flexwork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Logistics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Solutions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Talent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Talentworkers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ManpowerGroup Netherlands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ManpowerGroup Solutions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ManpowerGroup Staff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Right Management Nederland B.V.</w:t>
            </w:r>
          </w:p>
        </w:tc>
        <w:tc>
          <w:tcPr>
            <w:tcW w:w="5960" w:type="dxa"/>
            <w:vAlign w:val="bottom"/>
          </w:tcPr>
          <w:p>
            <w:pPr>
              <w:ind w:left="2040"/>
              <w:spacing w:after="0"/>
              <w:rPr>
                <w:sz w:val="20"/>
                <w:szCs w:val="20"/>
                <w:color w:val="auto"/>
              </w:rPr>
            </w:pPr>
            <w:r>
              <w:rPr>
                <w:rFonts w:ascii="Arial" w:cs="Arial" w:eastAsia="Arial" w:hAnsi="Arial"/>
                <w:sz w:val="16"/>
                <w:szCs w:val="16"/>
                <w:color w:val="auto"/>
              </w:rPr>
              <w:t>Netherlands</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Nouvelle Caledonie Sarl</w:t>
            </w:r>
          </w:p>
        </w:tc>
        <w:tc>
          <w:tcPr>
            <w:tcW w:w="5960" w:type="dxa"/>
            <w:vAlign w:val="bottom"/>
          </w:tcPr>
          <w:p>
            <w:pPr>
              <w:ind w:left="2040"/>
              <w:spacing w:after="0"/>
              <w:rPr>
                <w:sz w:val="20"/>
                <w:szCs w:val="20"/>
                <w:color w:val="auto"/>
              </w:rPr>
            </w:pPr>
            <w:r>
              <w:rPr>
                <w:rFonts w:ascii="Arial" w:cs="Arial" w:eastAsia="Arial" w:hAnsi="Arial"/>
                <w:sz w:val="16"/>
                <w:szCs w:val="16"/>
                <w:color w:val="auto"/>
              </w:rPr>
              <w:t>New Caledonia</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Recrutement Sarl</w:t>
            </w:r>
          </w:p>
        </w:tc>
        <w:tc>
          <w:tcPr>
            <w:tcW w:w="5960" w:type="dxa"/>
            <w:vAlign w:val="bottom"/>
          </w:tcPr>
          <w:p>
            <w:pPr>
              <w:ind w:left="2040"/>
              <w:spacing w:after="0"/>
              <w:rPr>
                <w:sz w:val="20"/>
                <w:szCs w:val="20"/>
                <w:color w:val="auto"/>
              </w:rPr>
            </w:pPr>
            <w:r>
              <w:rPr>
                <w:rFonts w:ascii="Arial" w:cs="Arial" w:eastAsia="Arial" w:hAnsi="Arial"/>
                <w:sz w:val="16"/>
                <w:szCs w:val="16"/>
                <w:color w:val="auto"/>
              </w:rPr>
              <w:t>New Caledonia</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Nicaruagua S.A.</w:t>
            </w:r>
          </w:p>
        </w:tc>
        <w:tc>
          <w:tcPr>
            <w:tcW w:w="5960" w:type="dxa"/>
            <w:vAlign w:val="bottom"/>
          </w:tcPr>
          <w:p>
            <w:pPr>
              <w:ind w:left="2040"/>
              <w:spacing w:after="0"/>
              <w:rPr>
                <w:sz w:val="20"/>
                <w:szCs w:val="20"/>
                <w:color w:val="auto"/>
              </w:rPr>
            </w:pPr>
            <w:r>
              <w:rPr>
                <w:rFonts w:ascii="Arial" w:cs="Arial" w:eastAsia="Arial" w:hAnsi="Arial"/>
                <w:sz w:val="16"/>
                <w:szCs w:val="16"/>
                <w:color w:val="auto"/>
              </w:rPr>
              <w:t>Nicaragua</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Experis AS</w:t>
            </w:r>
          </w:p>
        </w:tc>
        <w:tc>
          <w:tcPr>
            <w:tcW w:w="5960" w:type="dxa"/>
            <w:vAlign w:val="bottom"/>
          </w:tcPr>
          <w:p>
            <w:pPr>
              <w:ind w:left="2040"/>
              <w:spacing w:after="0"/>
              <w:rPr>
                <w:sz w:val="20"/>
                <w:szCs w:val="20"/>
                <w:color w:val="auto"/>
              </w:rPr>
            </w:pPr>
            <w:r>
              <w:rPr>
                <w:rFonts w:ascii="Arial" w:cs="Arial" w:eastAsia="Arial" w:hAnsi="Arial"/>
                <w:sz w:val="16"/>
                <w:szCs w:val="16"/>
                <w:color w:val="auto"/>
              </w:rPr>
              <w:t>Norway</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Experis Services AS</w:t>
            </w:r>
          </w:p>
        </w:tc>
        <w:tc>
          <w:tcPr>
            <w:tcW w:w="5960" w:type="dxa"/>
            <w:vAlign w:val="bottom"/>
          </w:tcPr>
          <w:p>
            <w:pPr>
              <w:ind w:left="2040"/>
              <w:spacing w:after="0"/>
              <w:rPr>
                <w:sz w:val="20"/>
                <w:szCs w:val="20"/>
                <w:color w:val="auto"/>
              </w:rPr>
            </w:pPr>
            <w:r>
              <w:rPr>
                <w:rFonts w:ascii="Arial" w:cs="Arial" w:eastAsia="Arial" w:hAnsi="Arial"/>
                <w:sz w:val="16"/>
                <w:szCs w:val="16"/>
                <w:color w:val="auto"/>
              </w:rPr>
              <w:t>Norway</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Framnaes Installasjon AS</w:t>
            </w:r>
          </w:p>
        </w:tc>
        <w:tc>
          <w:tcPr>
            <w:tcW w:w="5960" w:type="dxa"/>
            <w:vAlign w:val="bottom"/>
          </w:tcPr>
          <w:p>
            <w:pPr>
              <w:ind w:left="2040"/>
              <w:spacing w:after="0"/>
              <w:rPr>
                <w:sz w:val="20"/>
                <w:szCs w:val="20"/>
                <w:color w:val="auto"/>
              </w:rPr>
            </w:pPr>
            <w:r>
              <w:rPr>
                <w:rFonts w:ascii="Arial" w:cs="Arial" w:eastAsia="Arial" w:hAnsi="Arial"/>
                <w:sz w:val="16"/>
                <w:szCs w:val="16"/>
                <w:color w:val="auto"/>
              </w:rPr>
              <w:t>Norway</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AS</w:t>
            </w:r>
          </w:p>
        </w:tc>
        <w:tc>
          <w:tcPr>
            <w:tcW w:w="5960" w:type="dxa"/>
            <w:vAlign w:val="bottom"/>
          </w:tcPr>
          <w:p>
            <w:pPr>
              <w:ind w:left="2040"/>
              <w:spacing w:after="0"/>
              <w:rPr>
                <w:sz w:val="20"/>
                <w:szCs w:val="20"/>
                <w:color w:val="auto"/>
              </w:rPr>
            </w:pPr>
            <w:r>
              <w:rPr>
                <w:rFonts w:ascii="Arial" w:cs="Arial" w:eastAsia="Arial" w:hAnsi="Arial"/>
                <w:sz w:val="16"/>
                <w:szCs w:val="16"/>
                <w:color w:val="auto"/>
              </w:rPr>
              <w:t>Norway</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 Staffing Services AS</w:t>
            </w:r>
          </w:p>
        </w:tc>
        <w:tc>
          <w:tcPr>
            <w:tcW w:w="5960" w:type="dxa"/>
            <w:vAlign w:val="bottom"/>
          </w:tcPr>
          <w:p>
            <w:pPr>
              <w:ind w:left="2040"/>
              <w:spacing w:after="0"/>
              <w:rPr>
                <w:sz w:val="20"/>
                <w:szCs w:val="20"/>
                <w:color w:val="auto"/>
              </w:rPr>
            </w:pPr>
            <w:r>
              <w:rPr>
                <w:rFonts w:ascii="Arial" w:cs="Arial" w:eastAsia="Arial" w:hAnsi="Arial"/>
                <w:sz w:val="16"/>
                <w:szCs w:val="16"/>
                <w:color w:val="auto"/>
              </w:rPr>
              <w:t>Norway</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ManpowerGroup AS</w:t>
            </w:r>
          </w:p>
        </w:tc>
        <w:tc>
          <w:tcPr>
            <w:tcW w:w="5960" w:type="dxa"/>
            <w:vAlign w:val="bottom"/>
          </w:tcPr>
          <w:p>
            <w:pPr>
              <w:ind w:left="2040"/>
              <w:spacing w:after="0"/>
              <w:rPr>
                <w:sz w:val="20"/>
                <w:szCs w:val="20"/>
                <w:color w:val="auto"/>
              </w:rPr>
            </w:pPr>
            <w:r>
              <w:rPr>
                <w:rFonts w:ascii="Arial" w:cs="Arial" w:eastAsia="Arial" w:hAnsi="Arial"/>
                <w:sz w:val="16"/>
                <w:szCs w:val="16"/>
                <w:color w:val="auto"/>
              </w:rPr>
              <w:t>Norway</w:t>
            </w:r>
          </w:p>
        </w:tc>
      </w:tr>
      <w:tr>
        <w:trPr>
          <w:trHeight w:val="237"/>
        </w:trPr>
        <w:tc>
          <w:tcPr>
            <w:tcW w:w="5300" w:type="dxa"/>
            <w:vAlign w:val="bottom"/>
          </w:tcPr>
          <w:p>
            <w:pPr>
              <w:ind w:left="80"/>
              <w:spacing w:after="0"/>
              <w:rPr>
                <w:sz w:val="20"/>
                <w:szCs w:val="20"/>
                <w:color w:val="auto"/>
              </w:rPr>
            </w:pPr>
            <w:r>
              <w:rPr>
                <w:rFonts w:ascii="Arial" w:cs="Arial" w:eastAsia="Arial" w:hAnsi="Arial"/>
                <w:sz w:val="16"/>
                <w:szCs w:val="16"/>
                <w:color w:val="auto"/>
              </w:rPr>
              <w:t>Talent Solutions AS</w:t>
            </w:r>
          </w:p>
        </w:tc>
        <w:tc>
          <w:tcPr>
            <w:tcW w:w="5960" w:type="dxa"/>
            <w:vAlign w:val="bottom"/>
          </w:tcPr>
          <w:p>
            <w:pPr>
              <w:ind w:left="2040"/>
              <w:spacing w:after="0"/>
              <w:rPr>
                <w:sz w:val="20"/>
                <w:szCs w:val="20"/>
                <w:color w:val="auto"/>
              </w:rPr>
            </w:pPr>
            <w:r>
              <w:rPr>
                <w:rFonts w:ascii="Arial" w:cs="Arial" w:eastAsia="Arial" w:hAnsi="Arial"/>
                <w:sz w:val="16"/>
                <w:szCs w:val="16"/>
                <w:color w:val="auto"/>
              </w:rPr>
              <w:t>Norway</w:t>
            </w:r>
          </w:p>
        </w:tc>
      </w:tr>
      <w:tr>
        <w:trPr>
          <w:trHeight w:val="1255"/>
        </w:trPr>
        <w:tc>
          <w:tcPr>
            <w:tcW w:w="530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9"/>
          <w:szCs w:val="19"/>
          <w:color w:val="auto"/>
        </w:rPr>
        <w:t>Exhibit 21</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ind w:left="80"/>
              <w:spacing w:after="0"/>
              <w:rPr>
                <w:sz w:val="20"/>
                <w:szCs w:val="20"/>
                <w:color w:val="auto"/>
              </w:rPr>
            </w:pPr>
            <w:r>
              <w:rPr>
                <w:rFonts w:ascii="Arial" w:cs="Arial" w:eastAsia="Arial" w:hAnsi="Arial"/>
                <w:sz w:val="16"/>
                <w:szCs w:val="16"/>
                <w:color w:val="auto"/>
              </w:rPr>
              <w:t>Workshop Bemanning og Kompetanse AS</w:t>
            </w:r>
          </w:p>
        </w:tc>
        <w:tc>
          <w:tcPr>
            <w:tcW w:w="5420" w:type="dxa"/>
            <w:vAlign w:val="bottom"/>
          </w:tcPr>
          <w:p>
            <w:pPr>
              <w:ind w:left="1500"/>
              <w:spacing w:after="0"/>
              <w:rPr>
                <w:sz w:val="20"/>
                <w:szCs w:val="20"/>
                <w:color w:val="auto"/>
              </w:rPr>
            </w:pPr>
            <w:r>
              <w:rPr>
                <w:rFonts w:ascii="Arial" w:cs="Arial" w:eastAsia="Arial" w:hAnsi="Arial"/>
                <w:sz w:val="16"/>
                <w:szCs w:val="16"/>
                <w:color w:val="auto"/>
              </w:rPr>
              <w:t>Norway</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Workshop Holding AS</w:t>
            </w:r>
          </w:p>
        </w:tc>
        <w:tc>
          <w:tcPr>
            <w:tcW w:w="5420" w:type="dxa"/>
            <w:vAlign w:val="bottom"/>
          </w:tcPr>
          <w:p>
            <w:pPr>
              <w:ind w:left="1500"/>
              <w:spacing w:after="0"/>
              <w:rPr>
                <w:sz w:val="20"/>
                <w:szCs w:val="20"/>
                <w:color w:val="auto"/>
              </w:rPr>
            </w:pPr>
            <w:r>
              <w:rPr>
                <w:rFonts w:ascii="Arial" w:cs="Arial" w:eastAsia="Arial" w:hAnsi="Arial"/>
                <w:sz w:val="16"/>
                <w:szCs w:val="16"/>
                <w:color w:val="auto"/>
              </w:rPr>
              <w:t>Norway</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Workshop Solutions AS</w:t>
            </w:r>
          </w:p>
        </w:tc>
        <w:tc>
          <w:tcPr>
            <w:tcW w:w="5420" w:type="dxa"/>
            <w:vAlign w:val="bottom"/>
          </w:tcPr>
          <w:p>
            <w:pPr>
              <w:ind w:left="1500"/>
              <w:spacing w:after="0"/>
              <w:rPr>
                <w:sz w:val="20"/>
                <w:szCs w:val="20"/>
                <w:color w:val="auto"/>
              </w:rPr>
            </w:pPr>
            <w:r>
              <w:rPr>
                <w:rFonts w:ascii="Arial" w:cs="Arial" w:eastAsia="Arial" w:hAnsi="Arial"/>
                <w:sz w:val="16"/>
                <w:szCs w:val="16"/>
                <w:color w:val="auto"/>
              </w:rPr>
              <w:t>Norway</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Right Management LLC</w:t>
            </w:r>
          </w:p>
        </w:tc>
        <w:tc>
          <w:tcPr>
            <w:tcW w:w="5420" w:type="dxa"/>
            <w:vAlign w:val="bottom"/>
          </w:tcPr>
          <w:p>
            <w:pPr>
              <w:ind w:left="1500"/>
              <w:spacing w:after="0"/>
              <w:rPr>
                <w:sz w:val="20"/>
                <w:szCs w:val="20"/>
                <w:color w:val="auto"/>
              </w:rPr>
            </w:pPr>
            <w:r>
              <w:rPr>
                <w:rFonts w:ascii="Arial" w:cs="Arial" w:eastAsia="Arial" w:hAnsi="Arial"/>
                <w:sz w:val="16"/>
                <w:szCs w:val="16"/>
                <w:color w:val="auto"/>
              </w:rPr>
              <w:t>PA</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 Panama S.A.</w:t>
            </w:r>
          </w:p>
        </w:tc>
        <w:tc>
          <w:tcPr>
            <w:tcW w:w="5420" w:type="dxa"/>
            <w:vAlign w:val="bottom"/>
          </w:tcPr>
          <w:p>
            <w:pPr>
              <w:ind w:left="1500"/>
              <w:spacing w:after="0"/>
              <w:rPr>
                <w:sz w:val="20"/>
                <w:szCs w:val="20"/>
                <w:color w:val="auto"/>
              </w:rPr>
            </w:pPr>
            <w:r>
              <w:rPr>
                <w:rFonts w:ascii="Arial" w:cs="Arial" w:eastAsia="Arial" w:hAnsi="Arial"/>
                <w:sz w:val="16"/>
                <w:szCs w:val="16"/>
                <w:color w:val="auto"/>
              </w:rPr>
              <w:t>Panama</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ManpowerGroup Panama Pacifico, S.A.</w:t>
            </w:r>
          </w:p>
        </w:tc>
        <w:tc>
          <w:tcPr>
            <w:tcW w:w="5420" w:type="dxa"/>
            <w:vAlign w:val="bottom"/>
          </w:tcPr>
          <w:p>
            <w:pPr>
              <w:ind w:left="1500"/>
              <w:spacing w:after="0"/>
              <w:rPr>
                <w:sz w:val="20"/>
                <w:szCs w:val="20"/>
                <w:color w:val="auto"/>
              </w:rPr>
            </w:pPr>
            <w:r>
              <w:rPr>
                <w:rFonts w:ascii="Arial" w:cs="Arial" w:eastAsia="Arial" w:hAnsi="Arial"/>
                <w:sz w:val="16"/>
                <w:szCs w:val="16"/>
                <w:color w:val="auto"/>
              </w:rPr>
              <w:t>Panama</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Staffing Services Panama, S.A.</w:t>
            </w:r>
          </w:p>
        </w:tc>
        <w:tc>
          <w:tcPr>
            <w:tcW w:w="5420" w:type="dxa"/>
            <w:vAlign w:val="bottom"/>
          </w:tcPr>
          <w:p>
            <w:pPr>
              <w:ind w:left="1500"/>
              <w:spacing w:after="0"/>
              <w:rPr>
                <w:sz w:val="20"/>
                <w:szCs w:val="20"/>
                <w:color w:val="auto"/>
              </w:rPr>
            </w:pPr>
            <w:r>
              <w:rPr>
                <w:rFonts w:ascii="Arial" w:cs="Arial" w:eastAsia="Arial" w:hAnsi="Arial"/>
                <w:sz w:val="16"/>
                <w:szCs w:val="16"/>
                <w:color w:val="auto"/>
              </w:rPr>
              <w:t>Panama</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 Paraguay S.R.L.</w:t>
            </w:r>
          </w:p>
        </w:tc>
        <w:tc>
          <w:tcPr>
            <w:tcW w:w="5420" w:type="dxa"/>
            <w:vAlign w:val="bottom"/>
          </w:tcPr>
          <w:p>
            <w:pPr>
              <w:ind w:left="1500"/>
              <w:spacing w:after="0"/>
              <w:rPr>
                <w:sz w:val="20"/>
                <w:szCs w:val="20"/>
                <w:color w:val="auto"/>
              </w:rPr>
            </w:pPr>
            <w:r>
              <w:rPr>
                <w:rFonts w:ascii="Arial" w:cs="Arial" w:eastAsia="Arial" w:hAnsi="Arial"/>
                <w:sz w:val="16"/>
                <w:szCs w:val="16"/>
                <w:color w:val="auto"/>
              </w:rPr>
              <w:t>Paraguay</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 Peru S.A.</w:t>
            </w:r>
          </w:p>
        </w:tc>
        <w:tc>
          <w:tcPr>
            <w:tcW w:w="5420" w:type="dxa"/>
            <w:vAlign w:val="bottom"/>
          </w:tcPr>
          <w:p>
            <w:pPr>
              <w:ind w:left="1500"/>
              <w:spacing w:after="0"/>
              <w:rPr>
                <w:sz w:val="20"/>
                <w:szCs w:val="20"/>
                <w:color w:val="auto"/>
              </w:rPr>
            </w:pPr>
            <w:r>
              <w:rPr>
                <w:rFonts w:ascii="Arial" w:cs="Arial" w:eastAsia="Arial" w:hAnsi="Arial"/>
                <w:sz w:val="16"/>
                <w:szCs w:val="16"/>
                <w:color w:val="auto"/>
              </w:rPr>
              <w:t>Peru</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 Professional Services S.A.</w:t>
            </w:r>
          </w:p>
        </w:tc>
        <w:tc>
          <w:tcPr>
            <w:tcW w:w="5420" w:type="dxa"/>
            <w:vAlign w:val="bottom"/>
          </w:tcPr>
          <w:p>
            <w:pPr>
              <w:ind w:left="1500"/>
              <w:spacing w:after="0"/>
              <w:rPr>
                <w:sz w:val="20"/>
                <w:szCs w:val="20"/>
                <w:color w:val="auto"/>
              </w:rPr>
            </w:pPr>
            <w:r>
              <w:rPr>
                <w:rFonts w:ascii="Arial" w:cs="Arial" w:eastAsia="Arial" w:hAnsi="Arial"/>
                <w:sz w:val="16"/>
                <w:szCs w:val="16"/>
                <w:color w:val="auto"/>
              </w:rPr>
              <w:t>Peru</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Right Management Peru S.A.C.</w:t>
            </w:r>
          </w:p>
        </w:tc>
        <w:tc>
          <w:tcPr>
            <w:tcW w:w="5420" w:type="dxa"/>
            <w:vAlign w:val="bottom"/>
          </w:tcPr>
          <w:p>
            <w:pPr>
              <w:ind w:left="1500"/>
              <w:spacing w:after="0"/>
              <w:rPr>
                <w:sz w:val="20"/>
                <w:szCs w:val="20"/>
                <w:color w:val="auto"/>
              </w:rPr>
            </w:pPr>
            <w:r>
              <w:rPr>
                <w:rFonts w:ascii="Arial" w:cs="Arial" w:eastAsia="Arial" w:hAnsi="Arial"/>
                <w:sz w:val="16"/>
                <w:szCs w:val="16"/>
                <w:color w:val="auto"/>
              </w:rPr>
              <w:t>Peru</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HR Hunters Sp. z.o.o.</w:t>
            </w:r>
          </w:p>
        </w:tc>
        <w:tc>
          <w:tcPr>
            <w:tcW w:w="5420" w:type="dxa"/>
            <w:vAlign w:val="bottom"/>
          </w:tcPr>
          <w:p>
            <w:pPr>
              <w:ind w:left="1500"/>
              <w:spacing w:after="0"/>
              <w:rPr>
                <w:sz w:val="20"/>
                <w:szCs w:val="20"/>
                <w:color w:val="auto"/>
              </w:rPr>
            </w:pPr>
            <w:r>
              <w:rPr>
                <w:rFonts w:ascii="Arial" w:cs="Arial" w:eastAsia="Arial" w:hAnsi="Arial"/>
                <w:sz w:val="16"/>
                <w:szCs w:val="16"/>
                <w:color w:val="auto"/>
              </w:rPr>
              <w:t>Poland</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 Transactions Sp. z.o.o.</w:t>
            </w:r>
          </w:p>
        </w:tc>
        <w:tc>
          <w:tcPr>
            <w:tcW w:w="5420" w:type="dxa"/>
            <w:vAlign w:val="bottom"/>
          </w:tcPr>
          <w:p>
            <w:pPr>
              <w:ind w:left="1500"/>
              <w:spacing w:after="0"/>
              <w:rPr>
                <w:sz w:val="20"/>
                <w:szCs w:val="20"/>
                <w:color w:val="auto"/>
              </w:rPr>
            </w:pPr>
            <w:r>
              <w:rPr>
                <w:rFonts w:ascii="Arial" w:cs="Arial" w:eastAsia="Arial" w:hAnsi="Arial"/>
                <w:sz w:val="16"/>
                <w:szCs w:val="16"/>
                <w:color w:val="auto"/>
              </w:rPr>
              <w:t>Poland</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ManpowerGroup Solutions Sp. z.o.o.</w:t>
            </w:r>
          </w:p>
        </w:tc>
        <w:tc>
          <w:tcPr>
            <w:tcW w:w="5420" w:type="dxa"/>
            <w:vAlign w:val="bottom"/>
          </w:tcPr>
          <w:p>
            <w:pPr>
              <w:ind w:left="1500"/>
              <w:spacing w:after="0"/>
              <w:rPr>
                <w:sz w:val="20"/>
                <w:szCs w:val="20"/>
                <w:color w:val="auto"/>
              </w:rPr>
            </w:pPr>
            <w:r>
              <w:rPr>
                <w:rFonts w:ascii="Arial" w:cs="Arial" w:eastAsia="Arial" w:hAnsi="Arial"/>
                <w:sz w:val="16"/>
                <w:szCs w:val="16"/>
                <w:color w:val="auto"/>
              </w:rPr>
              <w:t>Poland</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ManpowerGroup Sp. z.o.o.</w:t>
            </w:r>
          </w:p>
        </w:tc>
        <w:tc>
          <w:tcPr>
            <w:tcW w:w="5420" w:type="dxa"/>
            <w:vAlign w:val="bottom"/>
          </w:tcPr>
          <w:p>
            <w:pPr>
              <w:ind w:left="1500"/>
              <w:spacing w:after="0"/>
              <w:rPr>
                <w:sz w:val="20"/>
                <w:szCs w:val="20"/>
                <w:color w:val="auto"/>
              </w:rPr>
            </w:pPr>
            <w:r>
              <w:rPr>
                <w:rFonts w:ascii="Arial" w:cs="Arial" w:eastAsia="Arial" w:hAnsi="Arial"/>
                <w:sz w:val="16"/>
                <w:szCs w:val="16"/>
                <w:color w:val="auto"/>
              </w:rPr>
              <w:t>Poland</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MP Actions Sp. z.o.o.</w:t>
            </w:r>
          </w:p>
        </w:tc>
        <w:tc>
          <w:tcPr>
            <w:tcW w:w="5420" w:type="dxa"/>
            <w:vAlign w:val="bottom"/>
          </w:tcPr>
          <w:p>
            <w:pPr>
              <w:ind w:left="1500"/>
              <w:spacing w:after="0"/>
              <w:rPr>
                <w:sz w:val="20"/>
                <w:szCs w:val="20"/>
                <w:color w:val="auto"/>
              </w:rPr>
            </w:pPr>
            <w:r>
              <w:rPr>
                <w:rFonts w:ascii="Arial" w:cs="Arial" w:eastAsia="Arial" w:hAnsi="Arial"/>
                <w:sz w:val="16"/>
                <w:szCs w:val="16"/>
                <w:color w:val="auto"/>
              </w:rPr>
              <w:t>Poland</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MP Management Sp. z.o.o.</w:t>
            </w:r>
          </w:p>
        </w:tc>
        <w:tc>
          <w:tcPr>
            <w:tcW w:w="5420" w:type="dxa"/>
            <w:vAlign w:val="bottom"/>
          </w:tcPr>
          <w:p>
            <w:pPr>
              <w:ind w:left="1500"/>
              <w:spacing w:after="0"/>
              <w:rPr>
                <w:sz w:val="20"/>
                <w:szCs w:val="20"/>
                <w:color w:val="auto"/>
              </w:rPr>
            </w:pPr>
            <w:r>
              <w:rPr>
                <w:rFonts w:ascii="Arial" w:cs="Arial" w:eastAsia="Arial" w:hAnsi="Arial"/>
                <w:sz w:val="16"/>
                <w:szCs w:val="16"/>
                <w:color w:val="auto"/>
              </w:rPr>
              <w:t>Poland</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MP Services Sp. z.o.o.</w:t>
            </w:r>
          </w:p>
        </w:tc>
        <w:tc>
          <w:tcPr>
            <w:tcW w:w="5420" w:type="dxa"/>
            <w:vAlign w:val="bottom"/>
          </w:tcPr>
          <w:p>
            <w:pPr>
              <w:ind w:left="1500"/>
              <w:spacing w:after="0"/>
              <w:rPr>
                <w:sz w:val="20"/>
                <w:szCs w:val="20"/>
                <w:color w:val="auto"/>
              </w:rPr>
            </w:pPr>
            <w:r>
              <w:rPr>
                <w:rFonts w:ascii="Arial" w:cs="Arial" w:eastAsia="Arial" w:hAnsi="Arial"/>
                <w:sz w:val="16"/>
                <w:szCs w:val="16"/>
                <w:color w:val="auto"/>
              </w:rPr>
              <w:t>Poland</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Experis Lda.</w:t>
            </w:r>
          </w:p>
        </w:tc>
        <w:tc>
          <w:tcPr>
            <w:tcW w:w="5420" w:type="dxa"/>
            <w:vAlign w:val="bottom"/>
          </w:tcPr>
          <w:p>
            <w:pPr>
              <w:ind w:left="1500"/>
              <w:spacing w:after="0"/>
              <w:rPr>
                <w:sz w:val="20"/>
                <w:szCs w:val="20"/>
                <w:color w:val="auto"/>
              </w:rPr>
            </w:pPr>
            <w:r>
              <w:rPr>
                <w:rFonts w:ascii="Arial" w:cs="Arial" w:eastAsia="Arial" w:hAnsi="Arial"/>
                <w:sz w:val="16"/>
                <w:szCs w:val="16"/>
                <w:color w:val="auto"/>
              </w:rPr>
              <w:t>Portugal</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 Portugal Empresa de Trabalho Temporario S.A.</w:t>
            </w:r>
          </w:p>
        </w:tc>
        <w:tc>
          <w:tcPr>
            <w:tcW w:w="5420" w:type="dxa"/>
            <w:vAlign w:val="bottom"/>
          </w:tcPr>
          <w:p>
            <w:pPr>
              <w:ind w:left="1500"/>
              <w:spacing w:after="0"/>
              <w:rPr>
                <w:sz w:val="20"/>
                <w:szCs w:val="20"/>
                <w:color w:val="auto"/>
              </w:rPr>
            </w:pPr>
            <w:r>
              <w:rPr>
                <w:rFonts w:ascii="Arial" w:cs="Arial" w:eastAsia="Arial" w:hAnsi="Arial"/>
                <w:sz w:val="16"/>
                <w:szCs w:val="16"/>
                <w:color w:val="auto"/>
              </w:rPr>
              <w:t>Portugal</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ManpowerGroup Global Business Service, Unipessoal Lda.</w:t>
            </w:r>
          </w:p>
        </w:tc>
        <w:tc>
          <w:tcPr>
            <w:tcW w:w="5420" w:type="dxa"/>
            <w:vAlign w:val="bottom"/>
          </w:tcPr>
          <w:p>
            <w:pPr>
              <w:ind w:left="1500"/>
              <w:spacing w:after="0"/>
              <w:rPr>
                <w:sz w:val="20"/>
                <w:szCs w:val="20"/>
                <w:color w:val="auto"/>
              </w:rPr>
            </w:pPr>
            <w:r>
              <w:rPr>
                <w:rFonts w:ascii="Arial" w:cs="Arial" w:eastAsia="Arial" w:hAnsi="Arial"/>
                <w:sz w:val="16"/>
                <w:szCs w:val="16"/>
                <w:color w:val="auto"/>
              </w:rPr>
              <w:t>Portugal</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ManpowerGroup Portugal - SGPS, S.A.</w:t>
            </w:r>
          </w:p>
        </w:tc>
        <w:tc>
          <w:tcPr>
            <w:tcW w:w="5420" w:type="dxa"/>
            <w:vAlign w:val="bottom"/>
          </w:tcPr>
          <w:p>
            <w:pPr>
              <w:ind w:left="1500"/>
              <w:spacing w:after="0"/>
              <w:rPr>
                <w:sz w:val="20"/>
                <w:szCs w:val="20"/>
                <w:color w:val="auto"/>
              </w:rPr>
            </w:pPr>
            <w:r>
              <w:rPr>
                <w:rFonts w:ascii="Arial" w:cs="Arial" w:eastAsia="Arial" w:hAnsi="Arial"/>
                <w:sz w:val="16"/>
                <w:szCs w:val="16"/>
                <w:color w:val="auto"/>
              </w:rPr>
              <w:t>Portugal</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ManpowerGroup Talent Based Outsourcing, Unipessoal Lda.</w:t>
            </w:r>
          </w:p>
        </w:tc>
        <w:tc>
          <w:tcPr>
            <w:tcW w:w="5420" w:type="dxa"/>
            <w:vAlign w:val="bottom"/>
          </w:tcPr>
          <w:p>
            <w:pPr>
              <w:ind w:left="1500"/>
              <w:spacing w:after="0"/>
              <w:rPr>
                <w:sz w:val="20"/>
                <w:szCs w:val="20"/>
                <w:color w:val="auto"/>
              </w:rPr>
            </w:pPr>
            <w:r>
              <w:rPr>
                <w:rFonts w:ascii="Arial" w:cs="Arial" w:eastAsia="Arial" w:hAnsi="Arial"/>
                <w:sz w:val="16"/>
                <w:szCs w:val="16"/>
                <w:color w:val="auto"/>
              </w:rPr>
              <w:t>Portugal</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 HR SRL</w:t>
            </w:r>
          </w:p>
        </w:tc>
        <w:tc>
          <w:tcPr>
            <w:tcW w:w="5420" w:type="dxa"/>
            <w:vAlign w:val="bottom"/>
          </w:tcPr>
          <w:p>
            <w:pPr>
              <w:ind w:left="1500"/>
              <w:spacing w:after="0"/>
              <w:rPr>
                <w:sz w:val="20"/>
                <w:szCs w:val="20"/>
                <w:color w:val="auto"/>
              </w:rPr>
            </w:pPr>
            <w:r>
              <w:rPr>
                <w:rFonts w:ascii="Arial" w:cs="Arial" w:eastAsia="Arial" w:hAnsi="Arial"/>
                <w:sz w:val="16"/>
                <w:szCs w:val="16"/>
                <w:color w:val="auto"/>
              </w:rPr>
              <w:t>Romania</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SC Manpower Romania SRL</w:t>
            </w:r>
          </w:p>
        </w:tc>
        <w:tc>
          <w:tcPr>
            <w:tcW w:w="5420" w:type="dxa"/>
            <w:vAlign w:val="bottom"/>
          </w:tcPr>
          <w:p>
            <w:pPr>
              <w:ind w:left="1500"/>
              <w:spacing w:after="0"/>
              <w:rPr>
                <w:sz w:val="20"/>
                <w:szCs w:val="20"/>
                <w:color w:val="auto"/>
              </w:rPr>
            </w:pPr>
            <w:r>
              <w:rPr>
                <w:rFonts w:ascii="Arial" w:cs="Arial" w:eastAsia="Arial" w:hAnsi="Arial"/>
                <w:sz w:val="16"/>
                <w:szCs w:val="16"/>
                <w:color w:val="auto"/>
              </w:rPr>
              <w:t>Romania</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Clarendon Parker Arabia</w:t>
            </w:r>
          </w:p>
        </w:tc>
        <w:tc>
          <w:tcPr>
            <w:tcW w:w="5420" w:type="dxa"/>
            <w:vAlign w:val="bottom"/>
          </w:tcPr>
          <w:p>
            <w:pPr>
              <w:ind w:left="1500"/>
              <w:spacing w:after="0"/>
              <w:rPr>
                <w:sz w:val="20"/>
                <w:szCs w:val="20"/>
                <w:color w:val="auto"/>
              </w:rPr>
            </w:pPr>
            <w:r>
              <w:rPr>
                <w:rFonts w:ascii="Arial" w:cs="Arial" w:eastAsia="Arial" w:hAnsi="Arial"/>
                <w:sz w:val="16"/>
                <w:szCs w:val="16"/>
                <w:color w:val="auto"/>
              </w:rPr>
              <w:t>Saudi Arabia</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 Professional Singapore Pte Ltd</w:t>
            </w:r>
          </w:p>
        </w:tc>
        <w:tc>
          <w:tcPr>
            <w:tcW w:w="5420" w:type="dxa"/>
            <w:vAlign w:val="bottom"/>
          </w:tcPr>
          <w:p>
            <w:pPr>
              <w:ind w:left="1500"/>
              <w:spacing w:after="0"/>
              <w:rPr>
                <w:sz w:val="20"/>
                <w:szCs w:val="20"/>
                <w:color w:val="auto"/>
              </w:rPr>
            </w:pPr>
            <w:r>
              <w:rPr>
                <w:rFonts w:ascii="Arial" w:cs="Arial" w:eastAsia="Arial" w:hAnsi="Arial"/>
                <w:sz w:val="16"/>
                <w:szCs w:val="16"/>
                <w:color w:val="auto"/>
              </w:rPr>
              <w:t>Singapore</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 Staffing Services (Singapore) Pte. Ltd.</w:t>
            </w:r>
          </w:p>
        </w:tc>
        <w:tc>
          <w:tcPr>
            <w:tcW w:w="5420" w:type="dxa"/>
            <w:vAlign w:val="bottom"/>
          </w:tcPr>
          <w:p>
            <w:pPr>
              <w:ind w:left="1500"/>
              <w:spacing w:after="0"/>
              <w:rPr>
                <w:sz w:val="20"/>
                <w:szCs w:val="20"/>
                <w:color w:val="auto"/>
              </w:rPr>
            </w:pPr>
            <w:r>
              <w:rPr>
                <w:rFonts w:ascii="Arial" w:cs="Arial" w:eastAsia="Arial" w:hAnsi="Arial"/>
                <w:sz w:val="16"/>
                <w:szCs w:val="16"/>
                <w:color w:val="auto"/>
              </w:rPr>
              <w:t>Singapore</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ManpowerGroup Singapore Private Limited</w:t>
            </w:r>
          </w:p>
        </w:tc>
        <w:tc>
          <w:tcPr>
            <w:tcW w:w="5420" w:type="dxa"/>
            <w:vAlign w:val="bottom"/>
          </w:tcPr>
          <w:p>
            <w:pPr>
              <w:ind w:left="1500"/>
              <w:spacing w:after="0"/>
              <w:rPr>
                <w:sz w:val="20"/>
                <w:szCs w:val="20"/>
                <w:color w:val="auto"/>
              </w:rPr>
            </w:pPr>
            <w:r>
              <w:rPr>
                <w:rFonts w:ascii="Arial" w:cs="Arial" w:eastAsia="Arial" w:hAnsi="Arial"/>
                <w:sz w:val="16"/>
                <w:szCs w:val="16"/>
                <w:color w:val="auto"/>
              </w:rPr>
              <w:t>Singapore</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Right Management Singapore Pte. Ltd.</w:t>
            </w:r>
          </w:p>
        </w:tc>
        <w:tc>
          <w:tcPr>
            <w:tcW w:w="5420" w:type="dxa"/>
            <w:vAlign w:val="bottom"/>
          </w:tcPr>
          <w:p>
            <w:pPr>
              <w:ind w:left="1500"/>
              <w:spacing w:after="0"/>
              <w:rPr>
                <w:sz w:val="20"/>
                <w:szCs w:val="20"/>
                <w:color w:val="auto"/>
              </w:rPr>
            </w:pPr>
            <w:r>
              <w:rPr>
                <w:rFonts w:ascii="Arial" w:cs="Arial" w:eastAsia="Arial" w:hAnsi="Arial"/>
                <w:sz w:val="16"/>
                <w:szCs w:val="16"/>
                <w:color w:val="auto"/>
              </w:rPr>
              <w:t>Singapore</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ManpowerGroup Slovensko s.r.o.</w:t>
            </w:r>
          </w:p>
        </w:tc>
        <w:tc>
          <w:tcPr>
            <w:tcW w:w="5420" w:type="dxa"/>
            <w:vAlign w:val="bottom"/>
          </w:tcPr>
          <w:p>
            <w:pPr>
              <w:ind w:left="1500"/>
              <w:spacing w:after="0"/>
              <w:rPr>
                <w:sz w:val="20"/>
                <w:szCs w:val="20"/>
                <w:color w:val="auto"/>
              </w:rPr>
            </w:pPr>
            <w:r>
              <w:rPr>
                <w:rFonts w:ascii="Arial" w:cs="Arial" w:eastAsia="Arial" w:hAnsi="Arial"/>
                <w:sz w:val="16"/>
                <w:szCs w:val="16"/>
                <w:color w:val="auto"/>
              </w:rPr>
              <w:t>Slovakia</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ManpowerGroup Solutions s.r.o.</w:t>
            </w:r>
          </w:p>
        </w:tc>
        <w:tc>
          <w:tcPr>
            <w:tcW w:w="5420" w:type="dxa"/>
            <w:vAlign w:val="bottom"/>
          </w:tcPr>
          <w:p>
            <w:pPr>
              <w:ind w:left="1500"/>
              <w:spacing w:after="0"/>
              <w:rPr>
                <w:sz w:val="20"/>
                <w:szCs w:val="20"/>
                <w:color w:val="auto"/>
              </w:rPr>
            </w:pPr>
            <w:r>
              <w:rPr>
                <w:rFonts w:ascii="Arial" w:cs="Arial" w:eastAsia="Arial" w:hAnsi="Arial"/>
                <w:sz w:val="16"/>
                <w:szCs w:val="16"/>
                <w:color w:val="auto"/>
              </w:rPr>
              <w:t>Slovakia</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ManpowerGroup SA (Pty) Ltd.</w:t>
            </w:r>
          </w:p>
        </w:tc>
        <w:tc>
          <w:tcPr>
            <w:tcW w:w="5420" w:type="dxa"/>
            <w:vAlign w:val="bottom"/>
          </w:tcPr>
          <w:p>
            <w:pPr>
              <w:ind w:left="1500"/>
              <w:spacing w:after="0"/>
              <w:rPr>
                <w:sz w:val="20"/>
                <w:szCs w:val="20"/>
                <w:color w:val="auto"/>
              </w:rPr>
            </w:pPr>
            <w:r>
              <w:rPr>
                <w:rFonts w:ascii="Arial" w:cs="Arial" w:eastAsia="Arial" w:hAnsi="Arial"/>
                <w:sz w:val="16"/>
                <w:szCs w:val="16"/>
                <w:color w:val="auto"/>
              </w:rPr>
              <w:t>South Africa</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Experis ManpowerGroup S.L.U.</w:t>
            </w:r>
          </w:p>
        </w:tc>
        <w:tc>
          <w:tcPr>
            <w:tcW w:w="5420" w:type="dxa"/>
            <w:vAlign w:val="bottom"/>
          </w:tcPr>
          <w:p>
            <w:pPr>
              <w:ind w:left="1500"/>
              <w:spacing w:after="0"/>
              <w:rPr>
                <w:sz w:val="20"/>
                <w:szCs w:val="20"/>
                <w:color w:val="auto"/>
              </w:rPr>
            </w:pPr>
            <w:r>
              <w:rPr>
                <w:rFonts w:ascii="Arial" w:cs="Arial" w:eastAsia="Arial" w:hAnsi="Arial"/>
                <w:sz w:val="16"/>
                <w:szCs w:val="16"/>
                <w:color w:val="auto"/>
              </w:rPr>
              <w:t>Spain</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 Team E.T.T., S.A.U.</w:t>
            </w:r>
          </w:p>
        </w:tc>
        <w:tc>
          <w:tcPr>
            <w:tcW w:w="5420" w:type="dxa"/>
            <w:vAlign w:val="bottom"/>
          </w:tcPr>
          <w:p>
            <w:pPr>
              <w:ind w:left="1500"/>
              <w:spacing w:after="0"/>
              <w:rPr>
                <w:sz w:val="20"/>
                <w:szCs w:val="20"/>
                <w:color w:val="auto"/>
              </w:rPr>
            </w:pPr>
            <w:r>
              <w:rPr>
                <w:rFonts w:ascii="Arial" w:cs="Arial" w:eastAsia="Arial" w:hAnsi="Arial"/>
                <w:sz w:val="16"/>
                <w:szCs w:val="16"/>
                <w:color w:val="auto"/>
              </w:rPr>
              <w:t>Spain</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ManpowerGroup Innovative Talent Solutions S.L.U.</w:t>
            </w:r>
          </w:p>
        </w:tc>
        <w:tc>
          <w:tcPr>
            <w:tcW w:w="5420" w:type="dxa"/>
            <w:vAlign w:val="bottom"/>
          </w:tcPr>
          <w:p>
            <w:pPr>
              <w:ind w:left="1500"/>
              <w:spacing w:after="0"/>
              <w:rPr>
                <w:sz w:val="20"/>
                <w:szCs w:val="20"/>
                <w:color w:val="auto"/>
              </w:rPr>
            </w:pPr>
            <w:r>
              <w:rPr>
                <w:rFonts w:ascii="Arial" w:cs="Arial" w:eastAsia="Arial" w:hAnsi="Arial"/>
                <w:sz w:val="16"/>
                <w:szCs w:val="16"/>
                <w:color w:val="auto"/>
              </w:rPr>
              <w:t>Spain</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ManpowerGroup Solutions, S.L.U.</w:t>
            </w:r>
          </w:p>
        </w:tc>
        <w:tc>
          <w:tcPr>
            <w:tcW w:w="5420" w:type="dxa"/>
            <w:vAlign w:val="bottom"/>
          </w:tcPr>
          <w:p>
            <w:pPr>
              <w:ind w:left="1500"/>
              <w:spacing w:after="0"/>
              <w:rPr>
                <w:sz w:val="20"/>
                <w:szCs w:val="20"/>
                <w:color w:val="auto"/>
              </w:rPr>
            </w:pPr>
            <w:r>
              <w:rPr>
                <w:rFonts w:ascii="Arial" w:cs="Arial" w:eastAsia="Arial" w:hAnsi="Arial"/>
                <w:sz w:val="16"/>
                <w:szCs w:val="16"/>
                <w:color w:val="auto"/>
              </w:rPr>
              <w:t>Spain</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Right Management Spain, S.L.U.</w:t>
            </w:r>
          </w:p>
        </w:tc>
        <w:tc>
          <w:tcPr>
            <w:tcW w:w="5420" w:type="dxa"/>
            <w:vAlign w:val="bottom"/>
          </w:tcPr>
          <w:p>
            <w:pPr>
              <w:ind w:left="1500"/>
              <w:spacing w:after="0"/>
              <w:rPr>
                <w:sz w:val="20"/>
                <w:szCs w:val="20"/>
                <w:color w:val="auto"/>
              </w:rPr>
            </w:pPr>
            <w:r>
              <w:rPr>
                <w:rFonts w:ascii="Arial" w:cs="Arial" w:eastAsia="Arial" w:hAnsi="Arial"/>
                <w:sz w:val="16"/>
                <w:szCs w:val="16"/>
                <w:color w:val="auto"/>
              </w:rPr>
              <w:t>Spain</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Elan IT Resource AB</w:t>
            </w:r>
          </w:p>
        </w:tc>
        <w:tc>
          <w:tcPr>
            <w:tcW w:w="5420" w:type="dxa"/>
            <w:vAlign w:val="bottom"/>
          </w:tcPr>
          <w:p>
            <w:pPr>
              <w:ind w:left="1500"/>
              <w:spacing w:after="0"/>
              <w:rPr>
                <w:sz w:val="20"/>
                <w:szCs w:val="20"/>
                <w:color w:val="auto"/>
              </w:rPr>
            </w:pPr>
            <w:r>
              <w:rPr>
                <w:rFonts w:ascii="Arial" w:cs="Arial" w:eastAsia="Arial" w:hAnsi="Arial"/>
                <w:sz w:val="16"/>
                <w:szCs w:val="16"/>
                <w:color w:val="auto"/>
              </w:rPr>
              <w:t>Sweden</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Experis AB</w:t>
            </w:r>
          </w:p>
        </w:tc>
        <w:tc>
          <w:tcPr>
            <w:tcW w:w="5420" w:type="dxa"/>
            <w:vAlign w:val="bottom"/>
          </w:tcPr>
          <w:p>
            <w:pPr>
              <w:ind w:left="1500"/>
              <w:spacing w:after="0"/>
              <w:rPr>
                <w:sz w:val="20"/>
                <w:szCs w:val="20"/>
                <w:color w:val="auto"/>
              </w:rPr>
            </w:pPr>
            <w:r>
              <w:rPr>
                <w:rFonts w:ascii="Arial" w:cs="Arial" w:eastAsia="Arial" w:hAnsi="Arial"/>
                <w:sz w:val="16"/>
                <w:szCs w:val="16"/>
                <w:color w:val="auto"/>
              </w:rPr>
              <w:t>Sweden</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 &amp; Jefferson Wells AB</w:t>
            </w:r>
          </w:p>
        </w:tc>
        <w:tc>
          <w:tcPr>
            <w:tcW w:w="5420" w:type="dxa"/>
            <w:vAlign w:val="bottom"/>
          </w:tcPr>
          <w:p>
            <w:pPr>
              <w:ind w:left="1500"/>
              <w:spacing w:after="0"/>
              <w:rPr>
                <w:sz w:val="20"/>
                <w:szCs w:val="20"/>
                <w:color w:val="auto"/>
              </w:rPr>
            </w:pPr>
            <w:r>
              <w:rPr>
                <w:rFonts w:ascii="Arial" w:cs="Arial" w:eastAsia="Arial" w:hAnsi="Arial"/>
                <w:sz w:val="16"/>
                <w:szCs w:val="16"/>
                <w:color w:val="auto"/>
              </w:rPr>
              <w:t>Sweden</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 AB</w:t>
            </w:r>
          </w:p>
        </w:tc>
        <w:tc>
          <w:tcPr>
            <w:tcW w:w="5420" w:type="dxa"/>
            <w:vAlign w:val="bottom"/>
          </w:tcPr>
          <w:p>
            <w:pPr>
              <w:ind w:left="1500"/>
              <w:spacing w:after="0"/>
              <w:rPr>
                <w:sz w:val="20"/>
                <w:szCs w:val="20"/>
                <w:color w:val="auto"/>
              </w:rPr>
            </w:pPr>
            <w:r>
              <w:rPr>
                <w:rFonts w:ascii="Arial" w:cs="Arial" w:eastAsia="Arial" w:hAnsi="Arial"/>
                <w:sz w:val="16"/>
                <w:szCs w:val="16"/>
                <w:color w:val="auto"/>
              </w:rPr>
              <w:t>Sweden</w:t>
            </w:r>
          </w:p>
        </w:tc>
      </w:tr>
      <w:tr>
        <w:trPr>
          <w:trHeight w:val="237"/>
        </w:trPr>
        <w:tc>
          <w:tcPr>
            <w:tcW w:w="5840" w:type="dxa"/>
            <w:vAlign w:val="bottom"/>
          </w:tcPr>
          <w:p>
            <w:pPr>
              <w:ind w:left="80"/>
              <w:spacing w:after="0"/>
              <w:rPr>
                <w:sz w:val="20"/>
                <w:szCs w:val="20"/>
                <w:color w:val="auto"/>
              </w:rPr>
            </w:pPr>
            <w:r>
              <w:rPr>
                <w:rFonts w:ascii="Arial" w:cs="Arial" w:eastAsia="Arial" w:hAnsi="Arial"/>
                <w:sz w:val="16"/>
                <w:szCs w:val="16"/>
                <w:color w:val="auto"/>
              </w:rPr>
              <w:t>Manpower EL &amp; Tele AB</w:t>
            </w:r>
          </w:p>
        </w:tc>
        <w:tc>
          <w:tcPr>
            <w:tcW w:w="5420" w:type="dxa"/>
            <w:vAlign w:val="bottom"/>
          </w:tcPr>
          <w:p>
            <w:pPr>
              <w:ind w:left="1500"/>
              <w:spacing w:after="0"/>
              <w:rPr>
                <w:sz w:val="20"/>
                <w:szCs w:val="20"/>
                <w:color w:val="auto"/>
              </w:rPr>
            </w:pPr>
            <w:r>
              <w:rPr>
                <w:rFonts w:ascii="Arial" w:cs="Arial" w:eastAsia="Arial" w:hAnsi="Arial"/>
                <w:sz w:val="16"/>
                <w:szCs w:val="16"/>
                <w:color w:val="auto"/>
              </w:rPr>
              <w:t>Sweden</w:t>
            </w:r>
          </w:p>
        </w:tc>
      </w:tr>
      <w:tr>
        <w:trPr>
          <w:trHeight w:val="1255"/>
        </w:trPr>
        <w:tc>
          <w:tcPr>
            <w:tcW w:w="584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9"/>
          <w:szCs w:val="19"/>
          <w:color w:val="auto"/>
        </w:rPr>
        <w:t>Exhibit 21</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ind w:left="80"/>
              <w:spacing w:after="0"/>
              <w:rPr>
                <w:sz w:val="20"/>
                <w:szCs w:val="20"/>
                <w:color w:val="auto"/>
              </w:rPr>
            </w:pPr>
            <w:r>
              <w:rPr>
                <w:rFonts w:ascii="Arial" w:cs="Arial" w:eastAsia="Arial" w:hAnsi="Arial"/>
                <w:sz w:val="16"/>
                <w:szCs w:val="16"/>
                <w:color w:val="auto"/>
              </w:rPr>
              <w:t>Manpower Flexjobb AB</w:t>
            </w:r>
          </w:p>
        </w:tc>
        <w:tc>
          <w:tcPr>
            <w:tcW w:w="5440" w:type="dxa"/>
            <w:vAlign w:val="bottom"/>
          </w:tcPr>
          <w:p>
            <w:pPr>
              <w:ind w:left="1520"/>
              <w:spacing w:after="0"/>
              <w:rPr>
                <w:sz w:val="20"/>
                <w:szCs w:val="20"/>
                <w:color w:val="auto"/>
              </w:rPr>
            </w:pPr>
            <w:r>
              <w:rPr>
                <w:rFonts w:ascii="Arial" w:cs="Arial" w:eastAsia="Arial" w:hAnsi="Arial"/>
                <w:sz w:val="16"/>
                <w:szCs w:val="16"/>
                <w:color w:val="auto"/>
              </w:rPr>
              <w:t>Sweden</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 Matchning AB</w:t>
            </w:r>
          </w:p>
        </w:tc>
        <w:tc>
          <w:tcPr>
            <w:tcW w:w="5440" w:type="dxa"/>
            <w:vAlign w:val="bottom"/>
          </w:tcPr>
          <w:p>
            <w:pPr>
              <w:ind w:left="1520"/>
              <w:spacing w:after="0"/>
              <w:rPr>
                <w:sz w:val="20"/>
                <w:szCs w:val="20"/>
                <w:color w:val="auto"/>
              </w:rPr>
            </w:pPr>
            <w:r>
              <w:rPr>
                <w:rFonts w:ascii="Arial" w:cs="Arial" w:eastAsia="Arial" w:hAnsi="Arial"/>
                <w:sz w:val="16"/>
                <w:szCs w:val="16"/>
                <w:color w:val="auto"/>
              </w:rPr>
              <w:t>Sweden</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ManpowerGroup AB</w:t>
            </w:r>
          </w:p>
        </w:tc>
        <w:tc>
          <w:tcPr>
            <w:tcW w:w="5440" w:type="dxa"/>
            <w:vAlign w:val="bottom"/>
          </w:tcPr>
          <w:p>
            <w:pPr>
              <w:ind w:left="1520"/>
              <w:spacing w:after="0"/>
              <w:rPr>
                <w:sz w:val="20"/>
                <w:szCs w:val="20"/>
                <w:color w:val="auto"/>
              </w:rPr>
            </w:pPr>
            <w:r>
              <w:rPr>
                <w:rFonts w:ascii="Arial" w:cs="Arial" w:eastAsia="Arial" w:hAnsi="Arial"/>
                <w:sz w:val="16"/>
                <w:szCs w:val="16"/>
                <w:color w:val="auto"/>
              </w:rPr>
              <w:t>Sweden</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ManpowerGroup Solutions AB</w:t>
            </w:r>
          </w:p>
        </w:tc>
        <w:tc>
          <w:tcPr>
            <w:tcW w:w="5440" w:type="dxa"/>
            <w:vAlign w:val="bottom"/>
          </w:tcPr>
          <w:p>
            <w:pPr>
              <w:ind w:left="1520"/>
              <w:spacing w:after="0"/>
              <w:rPr>
                <w:sz w:val="20"/>
                <w:szCs w:val="20"/>
                <w:color w:val="auto"/>
              </w:rPr>
            </w:pPr>
            <w:r>
              <w:rPr>
                <w:rFonts w:ascii="Arial" w:cs="Arial" w:eastAsia="Arial" w:hAnsi="Arial"/>
                <w:sz w:val="16"/>
                <w:szCs w:val="16"/>
                <w:color w:val="auto"/>
              </w:rPr>
              <w:t>Sweden</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ManpowerGroup Solutions IT AB</w:t>
            </w:r>
          </w:p>
        </w:tc>
        <w:tc>
          <w:tcPr>
            <w:tcW w:w="5440" w:type="dxa"/>
            <w:vAlign w:val="bottom"/>
          </w:tcPr>
          <w:p>
            <w:pPr>
              <w:ind w:left="1520"/>
              <w:spacing w:after="0"/>
              <w:rPr>
                <w:sz w:val="20"/>
                <w:szCs w:val="20"/>
                <w:color w:val="auto"/>
              </w:rPr>
            </w:pPr>
            <w:r>
              <w:rPr>
                <w:rFonts w:ascii="Arial" w:cs="Arial" w:eastAsia="Arial" w:hAnsi="Arial"/>
                <w:sz w:val="16"/>
                <w:szCs w:val="16"/>
                <w:color w:val="auto"/>
              </w:rPr>
              <w:t>Sweden</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Right Management Sweden AB</w:t>
            </w:r>
          </w:p>
        </w:tc>
        <w:tc>
          <w:tcPr>
            <w:tcW w:w="5440" w:type="dxa"/>
            <w:vAlign w:val="bottom"/>
          </w:tcPr>
          <w:p>
            <w:pPr>
              <w:ind w:left="1520"/>
              <w:spacing w:after="0"/>
              <w:rPr>
                <w:sz w:val="20"/>
                <w:szCs w:val="20"/>
                <w:color w:val="auto"/>
              </w:rPr>
            </w:pPr>
            <w:r>
              <w:rPr>
                <w:rFonts w:ascii="Arial" w:cs="Arial" w:eastAsia="Arial" w:hAnsi="Arial"/>
                <w:sz w:val="16"/>
                <w:szCs w:val="16"/>
                <w:color w:val="auto"/>
              </w:rPr>
              <w:t>Sweden</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Experis AG</w:t>
            </w:r>
          </w:p>
        </w:tc>
        <w:tc>
          <w:tcPr>
            <w:tcW w:w="5440" w:type="dxa"/>
            <w:vAlign w:val="bottom"/>
          </w:tcPr>
          <w:p>
            <w:pPr>
              <w:ind w:left="1520"/>
              <w:spacing w:after="0"/>
              <w:rPr>
                <w:sz w:val="20"/>
                <w:szCs w:val="20"/>
                <w:color w:val="auto"/>
              </w:rPr>
            </w:pPr>
            <w:r>
              <w:rPr>
                <w:rFonts w:ascii="Arial" w:cs="Arial" w:eastAsia="Arial" w:hAnsi="Arial"/>
                <w:sz w:val="16"/>
                <w:szCs w:val="16"/>
                <w:color w:val="auto"/>
              </w:rPr>
              <w:t>Switzerland</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Experis Schweiz AG</w:t>
            </w:r>
          </w:p>
        </w:tc>
        <w:tc>
          <w:tcPr>
            <w:tcW w:w="5440" w:type="dxa"/>
            <w:vAlign w:val="bottom"/>
          </w:tcPr>
          <w:p>
            <w:pPr>
              <w:ind w:left="1520"/>
              <w:spacing w:after="0"/>
              <w:rPr>
                <w:sz w:val="20"/>
                <w:szCs w:val="20"/>
                <w:color w:val="auto"/>
              </w:rPr>
            </w:pPr>
            <w:r>
              <w:rPr>
                <w:rFonts w:ascii="Arial" w:cs="Arial" w:eastAsia="Arial" w:hAnsi="Arial"/>
                <w:sz w:val="16"/>
                <w:szCs w:val="16"/>
                <w:color w:val="auto"/>
              </w:rPr>
              <w:t>Switzerland</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 AG</w:t>
            </w:r>
          </w:p>
        </w:tc>
        <w:tc>
          <w:tcPr>
            <w:tcW w:w="5440" w:type="dxa"/>
            <w:vAlign w:val="bottom"/>
          </w:tcPr>
          <w:p>
            <w:pPr>
              <w:ind w:left="1520"/>
              <w:spacing w:after="0"/>
              <w:rPr>
                <w:sz w:val="20"/>
                <w:szCs w:val="20"/>
                <w:color w:val="auto"/>
              </w:rPr>
            </w:pPr>
            <w:r>
              <w:rPr>
                <w:rFonts w:ascii="Arial" w:cs="Arial" w:eastAsia="Arial" w:hAnsi="Arial"/>
                <w:sz w:val="16"/>
                <w:szCs w:val="16"/>
                <w:color w:val="auto"/>
              </w:rPr>
              <w:t>Switzerland</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ManpowerGroup SA</w:t>
            </w:r>
          </w:p>
        </w:tc>
        <w:tc>
          <w:tcPr>
            <w:tcW w:w="5440" w:type="dxa"/>
            <w:vAlign w:val="bottom"/>
          </w:tcPr>
          <w:p>
            <w:pPr>
              <w:ind w:left="1520"/>
              <w:spacing w:after="0"/>
              <w:rPr>
                <w:sz w:val="20"/>
                <w:szCs w:val="20"/>
                <w:color w:val="auto"/>
              </w:rPr>
            </w:pPr>
            <w:r>
              <w:rPr>
                <w:rFonts w:ascii="Arial" w:cs="Arial" w:eastAsia="Arial" w:hAnsi="Arial"/>
                <w:sz w:val="16"/>
                <w:szCs w:val="16"/>
                <w:color w:val="auto"/>
              </w:rPr>
              <w:t>Switzerland</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Talent Solutions ManpowerGroup AG</w:t>
            </w:r>
          </w:p>
        </w:tc>
        <w:tc>
          <w:tcPr>
            <w:tcW w:w="5440" w:type="dxa"/>
            <w:vAlign w:val="bottom"/>
          </w:tcPr>
          <w:p>
            <w:pPr>
              <w:ind w:left="1520"/>
              <w:spacing w:after="0"/>
              <w:rPr>
                <w:sz w:val="20"/>
                <w:szCs w:val="20"/>
                <w:color w:val="auto"/>
              </w:rPr>
            </w:pPr>
            <w:r>
              <w:rPr>
                <w:rFonts w:ascii="Arial" w:cs="Arial" w:eastAsia="Arial" w:hAnsi="Arial"/>
                <w:sz w:val="16"/>
                <w:szCs w:val="16"/>
                <w:color w:val="auto"/>
              </w:rPr>
              <w:t>Switzerland</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 Services (Taiwan) Co., Ltd.</w:t>
            </w:r>
          </w:p>
        </w:tc>
        <w:tc>
          <w:tcPr>
            <w:tcW w:w="5440" w:type="dxa"/>
            <w:vAlign w:val="bottom"/>
          </w:tcPr>
          <w:p>
            <w:pPr>
              <w:ind w:left="1520"/>
              <w:spacing w:after="0"/>
              <w:rPr>
                <w:sz w:val="20"/>
                <w:szCs w:val="20"/>
                <w:color w:val="auto"/>
              </w:rPr>
            </w:pPr>
            <w:r>
              <w:rPr>
                <w:rFonts w:ascii="Arial" w:cs="Arial" w:eastAsia="Arial" w:hAnsi="Arial"/>
                <w:sz w:val="16"/>
                <w:szCs w:val="16"/>
                <w:color w:val="auto"/>
              </w:rPr>
              <w:t>Taiwan</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Borderless Talent Solutions Recruitment Co.,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Thailand</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HR Power Solution Co., Ltd.</w:t>
            </w:r>
          </w:p>
        </w:tc>
        <w:tc>
          <w:tcPr>
            <w:tcW w:w="5440" w:type="dxa"/>
            <w:vAlign w:val="bottom"/>
          </w:tcPr>
          <w:p>
            <w:pPr>
              <w:ind w:left="1520"/>
              <w:spacing w:after="0"/>
              <w:rPr>
                <w:sz w:val="20"/>
                <w:szCs w:val="20"/>
                <w:color w:val="auto"/>
              </w:rPr>
            </w:pPr>
            <w:r>
              <w:rPr>
                <w:rFonts w:ascii="Arial" w:cs="Arial" w:eastAsia="Arial" w:hAnsi="Arial"/>
                <w:sz w:val="16"/>
                <w:szCs w:val="16"/>
                <w:color w:val="auto"/>
              </w:rPr>
              <w:t>Thailand</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 Professional and Executive Recruitment Co., Ltd.</w:t>
            </w:r>
          </w:p>
        </w:tc>
        <w:tc>
          <w:tcPr>
            <w:tcW w:w="5440" w:type="dxa"/>
            <w:vAlign w:val="bottom"/>
          </w:tcPr>
          <w:p>
            <w:pPr>
              <w:ind w:left="1520"/>
              <w:spacing w:after="0"/>
              <w:rPr>
                <w:sz w:val="20"/>
                <w:szCs w:val="20"/>
                <w:color w:val="auto"/>
              </w:rPr>
            </w:pPr>
            <w:r>
              <w:rPr>
                <w:rFonts w:ascii="Arial" w:cs="Arial" w:eastAsia="Arial" w:hAnsi="Arial"/>
                <w:sz w:val="16"/>
                <w:szCs w:val="16"/>
                <w:color w:val="auto"/>
              </w:rPr>
              <w:t>Thailand</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Skillpower Services (Thailand) Co. Ltd.</w:t>
            </w:r>
          </w:p>
        </w:tc>
        <w:tc>
          <w:tcPr>
            <w:tcW w:w="5440" w:type="dxa"/>
            <w:vAlign w:val="bottom"/>
          </w:tcPr>
          <w:p>
            <w:pPr>
              <w:ind w:left="1520"/>
              <w:spacing w:after="0"/>
              <w:rPr>
                <w:sz w:val="20"/>
                <w:szCs w:val="20"/>
                <w:color w:val="auto"/>
              </w:rPr>
            </w:pPr>
            <w:r>
              <w:rPr>
                <w:rFonts w:ascii="Arial" w:cs="Arial" w:eastAsia="Arial" w:hAnsi="Arial"/>
                <w:sz w:val="16"/>
                <w:szCs w:val="16"/>
                <w:color w:val="auto"/>
              </w:rPr>
              <w:t>Thailand</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 Insan Kaynaklari Limited Sirketi</w:t>
            </w:r>
          </w:p>
        </w:tc>
        <w:tc>
          <w:tcPr>
            <w:tcW w:w="5440" w:type="dxa"/>
            <w:vAlign w:val="bottom"/>
          </w:tcPr>
          <w:p>
            <w:pPr>
              <w:ind w:left="1520"/>
              <w:spacing w:after="0"/>
              <w:rPr>
                <w:sz w:val="20"/>
                <w:szCs w:val="20"/>
                <w:color w:val="auto"/>
              </w:rPr>
            </w:pPr>
            <w:r>
              <w:rPr>
                <w:rFonts w:ascii="Arial" w:cs="Arial" w:eastAsia="Arial" w:hAnsi="Arial"/>
                <w:sz w:val="16"/>
                <w:szCs w:val="16"/>
                <w:color w:val="auto"/>
              </w:rPr>
              <w:t>Turkey</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 Secme ve Yerlestirme Hizmetleri Limited Sirketi</w:t>
            </w:r>
          </w:p>
        </w:tc>
        <w:tc>
          <w:tcPr>
            <w:tcW w:w="5440" w:type="dxa"/>
            <w:vAlign w:val="bottom"/>
          </w:tcPr>
          <w:p>
            <w:pPr>
              <w:ind w:left="1520"/>
              <w:spacing w:after="0"/>
              <w:rPr>
                <w:sz w:val="20"/>
                <w:szCs w:val="20"/>
                <w:color w:val="auto"/>
              </w:rPr>
            </w:pPr>
            <w:r>
              <w:rPr>
                <w:rFonts w:ascii="Arial" w:cs="Arial" w:eastAsia="Arial" w:hAnsi="Arial"/>
                <w:sz w:val="16"/>
                <w:szCs w:val="16"/>
                <w:color w:val="auto"/>
              </w:rPr>
              <w:t>Turkey</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 Middle East FZ-LLC</w:t>
            </w:r>
          </w:p>
        </w:tc>
        <w:tc>
          <w:tcPr>
            <w:tcW w:w="5440" w:type="dxa"/>
            <w:vAlign w:val="bottom"/>
          </w:tcPr>
          <w:p>
            <w:pPr>
              <w:ind w:left="1520"/>
              <w:spacing w:after="0"/>
              <w:rPr>
                <w:sz w:val="20"/>
                <w:szCs w:val="20"/>
                <w:color w:val="auto"/>
              </w:rPr>
            </w:pPr>
            <w:r>
              <w:rPr>
                <w:rFonts w:ascii="Arial" w:cs="Arial" w:eastAsia="Arial" w:hAnsi="Arial"/>
                <w:sz w:val="16"/>
                <w:szCs w:val="16"/>
                <w:color w:val="auto"/>
              </w:rPr>
              <w:t>UAE</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 Middle East Ltd</w:t>
            </w:r>
          </w:p>
        </w:tc>
        <w:tc>
          <w:tcPr>
            <w:tcW w:w="5440" w:type="dxa"/>
            <w:vAlign w:val="bottom"/>
          </w:tcPr>
          <w:p>
            <w:pPr>
              <w:ind w:left="1520"/>
              <w:spacing w:after="0"/>
              <w:rPr>
                <w:sz w:val="20"/>
                <w:szCs w:val="20"/>
                <w:color w:val="auto"/>
              </w:rPr>
            </w:pPr>
            <w:r>
              <w:rPr>
                <w:rFonts w:ascii="Arial" w:cs="Arial" w:eastAsia="Arial" w:hAnsi="Arial"/>
                <w:sz w:val="16"/>
                <w:szCs w:val="16"/>
                <w:color w:val="auto"/>
              </w:rPr>
              <w:t>UAE</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777 Recruitment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Bafin Holdings</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Brook Street (UK)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Brook Street Bureau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BS Project Services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Comsys VMS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Experis Finance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Experis Group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Experis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Experis Resource Support Services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Jefferson Wells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Juice Resource Solutions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 Holdings (UK)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 IT Services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 Nominees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 Services Ltd.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 UK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ManpowerGroup (Scot) LP</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ManpowerGroup Digital Holdings Ltd.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ManpowerGroup Financing UK Ltd.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ManpowerGroup Scotland LLP</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ManpowerGroup UK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237"/>
        </w:trPr>
        <w:tc>
          <w:tcPr>
            <w:tcW w:w="5820" w:type="dxa"/>
            <w:vAlign w:val="bottom"/>
          </w:tcPr>
          <w:p>
            <w:pPr>
              <w:ind w:left="80"/>
              <w:spacing w:after="0"/>
              <w:rPr>
                <w:sz w:val="20"/>
                <w:szCs w:val="20"/>
                <w:color w:val="auto"/>
              </w:rPr>
            </w:pPr>
            <w:r>
              <w:rPr>
                <w:rFonts w:ascii="Arial" w:cs="Arial" w:eastAsia="Arial" w:hAnsi="Arial"/>
                <w:sz w:val="16"/>
                <w:szCs w:val="16"/>
                <w:color w:val="auto"/>
              </w:rPr>
              <w:t>Nicholas Andrews Limited</w:t>
            </w:r>
          </w:p>
        </w:tc>
        <w:tc>
          <w:tcPr>
            <w:tcW w:w="5440" w:type="dxa"/>
            <w:vAlign w:val="bottom"/>
          </w:tcPr>
          <w:p>
            <w:pPr>
              <w:ind w:left="1520"/>
              <w:spacing w:after="0"/>
              <w:rPr>
                <w:sz w:val="20"/>
                <w:szCs w:val="20"/>
                <w:color w:val="auto"/>
              </w:rPr>
            </w:pPr>
            <w:r>
              <w:rPr>
                <w:rFonts w:ascii="Arial" w:cs="Arial" w:eastAsia="Arial" w:hAnsi="Arial"/>
                <w:sz w:val="16"/>
                <w:szCs w:val="16"/>
                <w:color w:val="auto"/>
              </w:rPr>
              <w:t>United Kingdom</w:t>
            </w:r>
          </w:p>
        </w:tc>
      </w:tr>
      <w:tr>
        <w:trPr>
          <w:trHeight w:val="1255"/>
        </w:trPr>
        <w:tc>
          <w:tcPr>
            <w:tcW w:w="582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9"/>
          <w:szCs w:val="19"/>
          <w:color w:val="auto"/>
        </w:rPr>
        <w:t>Exhibit 21</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ind w:left="80"/>
              <w:spacing w:after="0"/>
              <w:rPr>
                <w:sz w:val="20"/>
                <w:szCs w:val="20"/>
                <w:color w:val="auto"/>
              </w:rPr>
            </w:pPr>
            <w:r>
              <w:rPr>
                <w:rFonts w:ascii="Arial" w:cs="Arial" w:eastAsia="Arial" w:hAnsi="Arial"/>
                <w:sz w:val="16"/>
                <w:szCs w:val="16"/>
                <w:color w:val="auto"/>
              </w:rPr>
              <w:t>People Source Consulting Limited</w:t>
            </w:r>
          </w:p>
        </w:tc>
        <w:tc>
          <w:tcPr>
            <w:tcW w:w="5900" w:type="dxa"/>
            <w:vAlign w:val="bottom"/>
          </w:tcPr>
          <w:p>
            <w:pPr>
              <w:ind w:left="1980"/>
              <w:spacing w:after="0"/>
              <w:rPr>
                <w:sz w:val="20"/>
                <w:szCs w:val="20"/>
                <w:color w:val="auto"/>
              </w:rPr>
            </w:pPr>
            <w:r>
              <w:rPr>
                <w:rFonts w:ascii="Arial" w:cs="Arial" w:eastAsia="Arial" w:hAnsi="Arial"/>
                <w:sz w:val="16"/>
                <w:szCs w:val="16"/>
                <w:color w:val="auto"/>
              </w:rPr>
              <w:t>United Kingdom</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People Source Limited</w:t>
            </w:r>
          </w:p>
        </w:tc>
        <w:tc>
          <w:tcPr>
            <w:tcW w:w="5900" w:type="dxa"/>
            <w:vAlign w:val="bottom"/>
          </w:tcPr>
          <w:p>
            <w:pPr>
              <w:ind w:left="1980"/>
              <w:spacing w:after="0"/>
              <w:rPr>
                <w:sz w:val="20"/>
                <w:szCs w:val="20"/>
                <w:color w:val="auto"/>
              </w:rPr>
            </w:pPr>
            <w:r>
              <w:rPr>
                <w:rFonts w:ascii="Arial" w:cs="Arial" w:eastAsia="Arial" w:hAnsi="Arial"/>
                <w:sz w:val="16"/>
                <w:szCs w:val="16"/>
                <w:color w:val="auto"/>
              </w:rPr>
              <w:t>United Kingdom</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Right Management Limited</w:t>
            </w:r>
          </w:p>
        </w:tc>
        <w:tc>
          <w:tcPr>
            <w:tcW w:w="5900" w:type="dxa"/>
            <w:vAlign w:val="bottom"/>
          </w:tcPr>
          <w:p>
            <w:pPr>
              <w:ind w:left="1980"/>
              <w:spacing w:after="0"/>
              <w:rPr>
                <w:sz w:val="20"/>
                <w:szCs w:val="20"/>
                <w:color w:val="auto"/>
              </w:rPr>
            </w:pPr>
            <w:r>
              <w:rPr>
                <w:rFonts w:ascii="Arial" w:cs="Arial" w:eastAsia="Arial" w:hAnsi="Arial"/>
                <w:sz w:val="16"/>
                <w:szCs w:val="16"/>
                <w:color w:val="auto"/>
              </w:rPr>
              <w:t>United Kingdom</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RMC EMEA Ltd.</w:t>
            </w:r>
          </w:p>
        </w:tc>
        <w:tc>
          <w:tcPr>
            <w:tcW w:w="5900" w:type="dxa"/>
            <w:vAlign w:val="bottom"/>
          </w:tcPr>
          <w:p>
            <w:pPr>
              <w:ind w:left="1980"/>
              <w:spacing w:after="0"/>
              <w:rPr>
                <w:sz w:val="20"/>
                <w:szCs w:val="20"/>
                <w:color w:val="auto"/>
              </w:rPr>
            </w:pPr>
            <w:r>
              <w:rPr>
                <w:rFonts w:ascii="Arial" w:cs="Arial" w:eastAsia="Arial" w:hAnsi="Arial"/>
                <w:sz w:val="16"/>
                <w:szCs w:val="16"/>
                <w:color w:val="auto"/>
              </w:rPr>
              <w:t>United Kingdom</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SJB Corporate Limited</w:t>
            </w:r>
          </w:p>
        </w:tc>
        <w:tc>
          <w:tcPr>
            <w:tcW w:w="5900" w:type="dxa"/>
            <w:vAlign w:val="bottom"/>
          </w:tcPr>
          <w:p>
            <w:pPr>
              <w:ind w:left="1980"/>
              <w:spacing w:after="0"/>
              <w:rPr>
                <w:sz w:val="20"/>
                <w:szCs w:val="20"/>
                <w:color w:val="auto"/>
              </w:rPr>
            </w:pPr>
            <w:r>
              <w:rPr>
                <w:rFonts w:ascii="Arial" w:cs="Arial" w:eastAsia="Arial" w:hAnsi="Arial"/>
                <w:sz w:val="16"/>
                <w:szCs w:val="16"/>
                <w:color w:val="auto"/>
              </w:rPr>
              <w:t>United Kingdom</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SJB Services UK Limited</w:t>
            </w:r>
          </w:p>
        </w:tc>
        <w:tc>
          <w:tcPr>
            <w:tcW w:w="5900" w:type="dxa"/>
            <w:vAlign w:val="bottom"/>
          </w:tcPr>
          <w:p>
            <w:pPr>
              <w:ind w:left="1980"/>
              <w:spacing w:after="0"/>
              <w:rPr>
                <w:sz w:val="20"/>
                <w:szCs w:val="20"/>
                <w:color w:val="auto"/>
              </w:rPr>
            </w:pPr>
            <w:r>
              <w:rPr>
                <w:rFonts w:ascii="Arial" w:cs="Arial" w:eastAsia="Arial" w:hAnsi="Arial"/>
                <w:sz w:val="16"/>
                <w:szCs w:val="16"/>
                <w:color w:val="auto"/>
              </w:rPr>
              <w:t>United Kingdom</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The Empower Group Ltd.</w:t>
            </w:r>
          </w:p>
        </w:tc>
        <w:tc>
          <w:tcPr>
            <w:tcW w:w="5900" w:type="dxa"/>
            <w:vAlign w:val="bottom"/>
          </w:tcPr>
          <w:p>
            <w:pPr>
              <w:ind w:left="1980"/>
              <w:spacing w:after="0"/>
              <w:rPr>
                <w:sz w:val="20"/>
                <w:szCs w:val="20"/>
                <w:color w:val="auto"/>
              </w:rPr>
            </w:pPr>
            <w:r>
              <w:rPr>
                <w:rFonts w:ascii="Arial" w:cs="Arial" w:eastAsia="Arial" w:hAnsi="Arial"/>
                <w:sz w:val="16"/>
                <w:szCs w:val="16"/>
                <w:color w:val="auto"/>
              </w:rPr>
              <w:t>United Kingdom</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Volaris Exec Recruitment Limited</w:t>
            </w:r>
          </w:p>
        </w:tc>
        <w:tc>
          <w:tcPr>
            <w:tcW w:w="5900" w:type="dxa"/>
            <w:vAlign w:val="bottom"/>
          </w:tcPr>
          <w:p>
            <w:pPr>
              <w:ind w:left="1980"/>
              <w:spacing w:after="0"/>
              <w:rPr>
                <w:sz w:val="20"/>
                <w:szCs w:val="20"/>
                <w:color w:val="auto"/>
              </w:rPr>
            </w:pPr>
            <w:r>
              <w:rPr>
                <w:rFonts w:ascii="Arial" w:cs="Arial" w:eastAsia="Arial" w:hAnsi="Arial"/>
                <w:sz w:val="16"/>
                <w:szCs w:val="16"/>
                <w:color w:val="auto"/>
              </w:rPr>
              <w:t>United Kingdom</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Aris Sociedad Anonima</w:t>
            </w:r>
          </w:p>
        </w:tc>
        <w:tc>
          <w:tcPr>
            <w:tcW w:w="5900" w:type="dxa"/>
            <w:vAlign w:val="bottom"/>
          </w:tcPr>
          <w:p>
            <w:pPr>
              <w:ind w:left="1980"/>
              <w:spacing w:after="0"/>
              <w:rPr>
                <w:sz w:val="20"/>
                <w:szCs w:val="20"/>
                <w:color w:val="auto"/>
              </w:rPr>
            </w:pPr>
            <w:r>
              <w:rPr>
                <w:rFonts w:ascii="Arial" w:cs="Arial" w:eastAsia="Arial" w:hAnsi="Arial"/>
                <w:sz w:val="16"/>
                <w:szCs w:val="16"/>
                <w:color w:val="auto"/>
              </w:rPr>
              <w:t>Uruguay</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ManpowerGroup Public Sector Inc.</w:t>
            </w:r>
          </w:p>
        </w:tc>
        <w:tc>
          <w:tcPr>
            <w:tcW w:w="5900" w:type="dxa"/>
            <w:vAlign w:val="bottom"/>
          </w:tcPr>
          <w:p>
            <w:pPr>
              <w:ind w:left="1980"/>
              <w:spacing w:after="0"/>
              <w:rPr>
                <w:sz w:val="20"/>
                <w:szCs w:val="20"/>
                <w:color w:val="auto"/>
              </w:rPr>
            </w:pPr>
            <w:r>
              <w:rPr>
                <w:rFonts w:ascii="Arial" w:cs="Arial" w:eastAsia="Arial" w:hAnsi="Arial"/>
                <w:sz w:val="16"/>
                <w:szCs w:val="16"/>
                <w:color w:val="auto"/>
              </w:rPr>
              <w:t>VA</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Manpower de Venezuela C.A.</w:t>
            </w:r>
          </w:p>
        </w:tc>
        <w:tc>
          <w:tcPr>
            <w:tcW w:w="5900" w:type="dxa"/>
            <w:vAlign w:val="bottom"/>
          </w:tcPr>
          <w:p>
            <w:pPr>
              <w:ind w:left="1980"/>
              <w:spacing w:after="0"/>
              <w:rPr>
                <w:sz w:val="20"/>
                <w:szCs w:val="20"/>
                <w:color w:val="auto"/>
              </w:rPr>
            </w:pPr>
            <w:r>
              <w:rPr>
                <w:rFonts w:ascii="Arial" w:cs="Arial" w:eastAsia="Arial" w:hAnsi="Arial"/>
                <w:sz w:val="16"/>
                <w:szCs w:val="16"/>
                <w:color w:val="auto"/>
              </w:rPr>
              <w:t>Venezuela</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Manpower Empresa de Trabajo Temporal, C.A.</w:t>
            </w:r>
          </w:p>
        </w:tc>
        <w:tc>
          <w:tcPr>
            <w:tcW w:w="5900" w:type="dxa"/>
            <w:vAlign w:val="bottom"/>
          </w:tcPr>
          <w:p>
            <w:pPr>
              <w:ind w:left="1980"/>
              <w:spacing w:after="0"/>
              <w:rPr>
                <w:sz w:val="20"/>
                <w:szCs w:val="20"/>
                <w:color w:val="auto"/>
              </w:rPr>
            </w:pPr>
            <w:r>
              <w:rPr>
                <w:rFonts w:ascii="Arial" w:cs="Arial" w:eastAsia="Arial" w:hAnsi="Arial"/>
                <w:sz w:val="16"/>
                <w:szCs w:val="16"/>
                <w:color w:val="auto"/>
              </w:rPr>
              <w:t>Venezuela</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Servicios Alleray, C.A.</w:t>
            </w:r>
          </w:p>
        </w:tc>
        <w:tc>
          <w:tcPr>
            <w:tcW w:w="5900" w:type="dxa"/>
            <w:vAlign w:val="bottom"/>
          </w:tcPr>
          <w:p>
            <w:pPr>
              <w:ind w:left="1980"/>
              <w:spacing w:after="0"/>
              <w:rPr>
                <w:sz w:val="20"/>
                <w:szCs w:val="20"/>
                <w:color w:val="auto"/>
              </w:rPr>
            </w:pPr>
            <w:r>
              <w:rPr>
                <w:rFonts w:ascii="Arial" w:cs="Arial" w:eastAsia="Arial" w:hAnsi="Arial"/>
                <w:sz w:val="16"/>
                <w:szCs w:val="16"/>
                <w:color w:val="auto"/>
              </w:rPr>
              <w:t>Venezuela</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Manpower Vietnam Company Ltd.</w:t>
            </w:r>
          </w:p>
        </w:tc>
        <w:tc>
          <w:tcPr>
            <w:tcW w:w="5900" w:type="dxa"/>
            <w:vAlign w:val="bottom"/>
          </w:tcPr>
          <w:p>
            <w:pPr>
              <w:ind w:left="1980"/>
              <w:spacing w:after="0"/>
              <w:rPr>
                <w:sz w:val="20"/>
                <w:szCs w:val="20"/>
                <w:color w:val="auto"/>
              </w:rPr>
            </w:pPr>
            <w:r>
              <w:rPr>
                <w:rFonts w:ascii="Arial" w:cs="Arial" w:eastAsia="Arial" w:hAnsi="Arial"/>
                <w:sz w:val="16"/>
                <w:szCs w:val="16"/>
                <w:color w:val="auto"/>
              </w:rPr>
              <w:t>Vietnam</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Experis US LLC</w:t>
            </w:r>
          </w:p>
        </w:tc>
        <w:tc>
          <w:tcPr>
            <w:tcW w:w="5900" w:type="dxa"/>
            <w:vAlign w:val="bottom"/>
          </w:tcPr>
          <w:p>
            <w:pPr>
              <w:ind w:left="1980"/>
              <w:spacing w:after="0"/>
              <w:rPr>
                <w:sz w:val="20"/>
                <w:szCs w:val="20"/>
                <w:color w:val="auto"/>
              </w:rPr>
            </w:pPr>
            <w:r>
              <w:rPr>
                <w:rFonts w:ascii="Arial" w:cs="Arial" w:eastAsia="Arial" w:hAnsi="Arial"/>
                <w:sz w:val="16"/>
                <w:szCs w:val="16"/>
                <w:color w:val="auto"/>
              </w:rPr>
              <w:t>WI</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Manpower Nominees Inc.</w:t>
            </w:r>
          </w:p>
        </w:tc>
        <w:tc>
          <w:tcPr>
            <w:tcW w:w="5900" w:type="dxa"/>
            <w:vAlign w:val="bottom"/>
          </w:tcPr>
          <w:p>
            <w:pPr>
              <w:ind w:left="1980"/>
              <w:spacing w:after="0"/>
              <w:rPr>
                <w:sz w:val="20"/>
                <w:szCs w:val="20"/>
                <w:color w:val="auto"/>
              </w:rPr>
            </w:pPr>
            <w:r>
              <w:rPr>
                <w:rFonts w:ascii="Arial" w:cs="Arial" w:eastAsia="Arial" w:hAnsi="Arial"/>
                <w:sz w:val="16"/>
                <w:szCs w:val="16"/>
                <w:color w:val="auto"/>
              </w:rPr>
              <w:t>WI</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ManpowerGroup Global Inc.</w:t>
            </w:r>
          </w:p>
        </w:tc>
        <w:tc>
          <w:tcPr>
            <w:tcW w:w="5900" w:type="dxa"/>
            <w:vAlign w:val="bottom"/>
          </w:tcPr>
          <w:p>
            <w:pPr>
              <w:ind w:left="1980"/>
              <w:spacing w:after="0"/>
              <w:rPr>
                <w:sz w:val="20"/>
                <w:szCs w:val="20"/>
                <w:color w:val="auto"/>
              </w:rPr>
            </w:pPr>
            <w:r>
              <w:rPr>
                <w:rFonts w:ascii="Arial" w:cs="Arial" w:eastAsia="Arial" w:hAnsi="Arial"/>
                <w:sz w:val="16"/>
                <w:szCs w:val="16"/>
                <w:color w:val="auto"/>
              </w:rPr>
              <w:t>WI</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ManpowerGroup Mexico Holdings LLC</w:t>
            </w:r>
          </w:p>
        </w:tc>
        <w:tc>
          <w:tcPr>
            <w:tcW w:w="5900" w:type="dxa"/>
            <w:vAlign w:val="bottom"/>
          </w:tcPr>
          <w:p>
            <w:pPr>
              <w:ind w:left="1980"/>
              <w:spacing w:after="0"/>
              <w:rPr>
                <w:sz w:val="20"/>
                <w:szCs w:val="20"/>
                <w:color w:val="auto"/>
              </w:rPr>
            </w:pPr>
            <w:r>
              <w:rPr>
                <w:rFonts w:ascii="Arial" w:cs="Arial" w:eastAsia="Arial" w:hAnsi="Arial"/>
                <w:sz w:val="16"/>
                <w:szCs w:val="16"/>
                <w:color w:val="auto"/>
              </w:rPr>
              <w:t>WI</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ManpowerGroup US Inc.</w:t>
            </w:r>
          </w:p>
        </w:tc>
        <w:tc>
          <w:tcPr>
            <w:tcW w:w="5900" w:type="dxa"/>
            <w:vAlign w:val="bottom"/>
          </w:tcPr>
          <w:p>
            <w:pPr>
              <w:ind w:left="1980"/>
              <w:spacing w:after="0"/>
              <w:rPr>
                <w:sz w:val="20"/>
                <w:szCs w:val="20"/>
                <w:color w:val="auto"/>
              </w:rPr>
            </w:pPr>
            <w:r>
              <w:rPr>
                <w:rFonts w:ascii="Arial" w:cs="Arial" w:eastAsia="Arial" w:hAnsi="Arial"/>
                <w:sz w:val="16"/>
                <w:szCs w:val="16"/>
                <w:color w:val="auto"/>
              </w:rPr>
              <w:t>WI</w:t>
            </w:r>
          </w:p>
        </w:tc>
      </w:tr>
      <w:tr>
        <w:trPr>
          <w:trHeight w:val="237"/>
        </w:trPr>
        <w:tc>
          <w:tcPr>
            <w:tcW w:w="5360" w:type="dxa"/>
            <w:vAlign w:val="bottom"/>
          </w:tcPr>
          <w:p>
            <w:pPr>
              <w:ind w:left="80"/>
              <w:spacing w:after="0"/>
              <w:rPr>
                <w:sz w:val="20"/>
                <w:szCs w:val="20"/>
                <w:color w:val="auto"/>
              </w:rPr>
            </w:pPr>
            <w:r>
              <w:rPr>
                <w:rFonts w:ascii="Arial" w:cs="Arial" w:eastAsia="Arial" w:hAnsi="Arial"/>
                <w:sz w:val="16"/>
                <w:szCs w:val="16"/>
                <w:color w:val="auto"/>
              </w:rPr>
              <w:t>Signature Graphics of Milwaukee, LLC</w:t>
            </w:r>
          </w:p>
        </w:tc>
        <w:tc>
          <w:tcPr>
            <w:tcW w:w="5900" w:type="dxa"/>
            <w:vAlign w:val="bottom"/>
          </w:tcPr>
          <w:p>
            <w:pPr>
              <w:ind w:left="1980"/>
              <w:spacing w:after="0"/>
              <w:rPr>
                <w:sz w:val="20"/>
                <w:szCs w:val="20"/>
                <w:color w:val="auto"/>
              </w:rPr>
            </w:pPr>
            <w:r>
              <w:rPr>
                <w:rFonts w:ascii="Arial" w:cs="Arial" w:eastAsia="Arial" w:hAnsi="Arial"/>
                <w:sz w:val="16"/>
                <w:szCs w:val="16"/>
                <w:color w:val="auto"/>
              </w:rPr>
              <w:t>WI</w:t>
            </w:r>
          </w:p>
        </w:tc>
      </w:tr>
      <w:tr>
        <w:trPr>
          <w:trHeight w:val="1976"/>
        </w:trPr>
        <w:tc>
          <w:tcPr>
            <w:tcW w:w="536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9"/>
          <w:szCs w:val="19"/>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9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 Nos. 33-40441, 333-1040, 333-105205, 333-126703, 333-135000, 333-161765, 333-174305, 333-195833, and 333-238801 on Form S-8 and Registration Nos. 333-650 and 33-95896 on Form S-4 of our reports dated February 19, 2025, relating to the consolidated financial statements and consolidated financial statement schedule of ManpowerGroup Inc. and subsidiaries (the “Company”), and the effectiveness of the Company’s internal control over financial reporting, appearing in this Annual Report on Form 10-K of ManpowerGroup Inc. for the year ended December 31, 2024.</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Milwaukee, Wisconsin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988695</wp:posOffset>
            </wp:positionV>
            <wp:extent cx="7174865" cy="40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9"/>
          <w:szCs w:val="19"/>
          <w:color w:val="auto"/>
        </w:rPr>
        <w:t>Exhibit 24</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 FOR ANNUAL REPORT ON FORM 10-K</w:t>
      </w:r>
    </w:p>
    <w:p>
      <w:pPr>
        <w:spacing w:after="0" w:line="350" w:lineRule="exact"/>
        <w:rPr>
          <w:sz w:val="20"/>
          <w:szCs w:val="20"/>
          <w:color w:val="auto"/>
        </w:rPr>
      </w:pPr>
    </w:p>
    <w:p>
      <w:pPr>
        <w:ind w:right="200" w:firstLine="751"/>
        <w:spacing w:after="0" w:line="236" w:lineRule="auto"/>
        <w:rPr>
          <w:sz w:val="20"/>
          <w:szCs w:val="20"/>
          <w:color w:val="auto"/>
        </w:rPr>
      </w:pPr>
      <w:r>
        <w:rPr>
          <w:rFonts w:ascii="Arial" w:cs="Arial" w:eastAsia="Arial" w:hAnsi="Arial"/>
          <w:sz w:val="16"/>
          <w:szCs w:val="16"/>
          <w:color w:val="auto"/>
        </w:rPr>
        <w:t>Each of the undersigned directors of ManpowerGroup Inc. (the “Company”) hereby constitutes and appoints Jonas Prising, John T. McGinnis and Richard Buchband,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2024,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327" w:lineRule="exact"/>
        <w:rPr>
          <w:sz w:val="20"/>
          <w:szCs w:val="20"/>
          <w:color w:val="auto"/>
        </w:rPr>
      </w:pPr>
    </w:p>
    <w:p>
      <w:pPr>
        <w:ind w:right="80" w:firstLine="751"/>
        <w:spacing w:after="0" w:line="278" w:lineRule="auto"/>
        <w:rPr>
          <w:sz w:val="20"/>
          <w:szCs w:val="20"/>
          <w:color w:val="auto"/>
        </w:rPr>
      </w:pPr>
      <w:r>
        <w:rPr>
          <w:rFonts w:ascii="Arial" w:cs="Arial" w:eastAsia="Arial" w:hAnsi="Arial"/>
          <w:sz w:val="16"/>
          <w:szCs w:val="16"/>
          <w:color w:val="auto"/>
        </w:rPr>
        <w:t>IN WITNESS WHEREOF, the undersigned have each executed this Power of Attorney for Annual Report on Form 10-K, on one or more counterparts, as of the 24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January, 2024.</w:t>
      </w:r>
    </w:p>
    <w:p>
      <w:pPr>
        <w:sectPr>
          <w:pgSz w:w="11900" w:h="16838" w:orient="portrait"/>
          <w:cols w:equalWidth="0" w:num="1">
            <w:col w:w="11260"/>
          </w:cols>
          <w:pgMar w:left="320" w:top="684" w:right="31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/s/ Jean-Philippe Courtois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27940</wp:posOffset>
            </wp:positionV>
            <wp:extent cx="1870075" cy="152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6">
                      <a:extLst>
                        <a:ext uri="{28A0092B-C50C-407E-A947-70E740481C1C}"/>
                      </a:extLst>
                    </a:blip>
                    <a:srcRect/>
                    <a:stretch>
                      <a:fillRect/>
                    </a:stretch>
                  </pic:blipFill>
                  <pic:spPr bwMode="auto">
                    <a:xfrm>
                      <a:off x="0" y="0"/>
                      <a:ext cx="1870075" cy="15240"/>
                    </a:xfrm>
                    <a:prstGeom prst="rect">
                      <a:avLst/>
                    </a:prstGeom>
                    <a:noFill/>
                  </pic:spPr>
                </pic:pic>
              </a:graphicData>
            </a:graphic>
          </wp:anchor>
        </w:drawing>
      </w:r>
    </w:p>
    <w:p>
      <w:pPr>
        <w:spacing w:after="0" w:line="56"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Jean-Philippe Courtois</w:t>
      </w:r>
    </w:p>
    <w:p>
      <w:pPr>
        <w:spacing w:after="0" w:line="200" w:lineRule="exact"/>
        <w:rPr>
          <w:sz w:val="20"/>
          <w:szCs w:val="20"/>
          <w:color w:val="auto"/>
        </w:rPr>
      </w:pPr>
    </w:p>
    <w:p>
      <w:pPr>
        <w:spacing w:after="0" w:line="326"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27940</wp:posOffset>
            </wp:positionV>
            <wp:extent cx="1870075" cy="152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7">
                      <a:extLst>
                        <a:ext uri="{28A0092B-C50C-407E-A947-70E740481C1C}"/>
                      </a:extLst>
                    </a:blip>
                    <a:srcRect/>
                    <a:stretch>
                      <a:fillRect/>
                    </a:stretch>
                  </pic:blipFill>
                  <pic:spPr bwMode="auto">
                    <a:xfrm>
                      <a:off x="0" y="0"/>
                      <a:ext cx="1870075" cy="15240"/>
                    </a:xfrm>
                    <a:prstGeom prst="rect">
                      <a:avLst/>
                    </a:prstGeom>
                    <a:noFill/>
                  </pic:spPr>
                </pic:pic>
              </a:graphicData>
            </a:graphic>
          </wp:anchor>
        </w:drawing>
      </w:r>
    </w:p>
    <w:p>
      <w:pPr>
        <w:spacing w:after="0" w:line="163"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William Downe</w:t>
      </w:r>
    </w:p>
    <w:p>
      <w:pPr>
        <w:spacing w:after="0" w:line="200" w:lineRule="exact"/>
        <w:rPr>
          <w:sz w:val="20"/>
          <w:szCs w:val="20"/>
          <w:color w:val="auto"/>
        </w:rPr>
      </w:pPr>
    </w:p>
    <w:p>
      <w:pPr>
        <w:spacing w:after="0" w:line="326"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/s/ John F.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27940</wp:posOffset>
            </wp:positionV>
            <wp:extent cx="1870075" cy="15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extLst>
                        <a:ext uri="{28A0092B-C50C-407E-A947-70E740481C1C}"/>
                      </a:extLst>
                    </a:blip>
                    <a:srcRect/>
                    <a:stretch>
                      <a:fillRect/>
                    </a:stretch>
                  </pic:blipFill>
                  <pic:spPr bwMode="auto">
                    <a:xfrm>
                      <a:off x="0" y="0"/>
                      <a:ext cx="1870075" cy="15240"/>
                    </a:xfrm>
                    <a:prstGeom prst="rect">
                      <a:avLst/>
                    </a:prstGeom>
                    <a:noFill/>
                  </pic:spPr>
                </pic:pic>
              </a:graphicData>
            </a:graphic>
          </wp:anchor>
        </w:drawing>
      </w:r>
    </w:p>
    <w:p>
      <w:pPr>
        <w:spacing w:after="0" w:line="56"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John F. Ferraro</w:t>
      </w:r>
    </w:p>
    <w:p>
      <w:pPr>
        <w:spacing w:after="0" w:line="200" w:lineRule="exact"/>
        <w:rPr>
          <w:sz w:val="20"/>
          <w:szCs w:val="20"/>
          <w:color w:val="auto"/>
        </w:rPr>
      </w:pPr>
    </w:p>
    <w:p>
      <w:pPr>
        <w:spacing w:after="0" w:line="326"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/s/ William P. Gipson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27940</wp:posOffset>
            </wp:positionV>
            <wp:extent cx="1870075" cy="15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9">
                      <a:extLst>
                        <a:ext uri="{28A0092B-C50C-407E-A947-70E740481C1C}"/>
                      </a:extLst>
                    </a:blip>
                    <a:srcRect/>
                    <a:stretch>
                      <a:fillRect/>
                    </a:stretch>
                  </pic:blipFill>
                  <pic:spPr bwMode="auto">
                    <a:xfrm>
                      <a:off x="0" y="0"/>
                      <a:ext cx="1870075" cy="15240"/>
                    </a:xfrm>
                    <a:prstGeom prst="rect">
                      <a:avLst/>
                    </a:prstGeom>
                    <a:noFill/>
                  </pic:spPr>
                </pic:pic>
              </a:graphicData>
            </a:graphic>
          </wp:anchor>
        </w:drawing>
      </w:r>
    </w:p>
    <w:p>
      <w:pPr>
        <w:spacing w:after="0" w:line="56"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William P. Gipson</w:t>
      </w:r>
    </w:p>
    <w:p>
      <w:pPr>
        <w:spacing w:after="0" w:line="200" w:lineRule="exact"/>
        <w:rPr>
          <w:sz w:val="20"/>
          <w:szCs w:val="20"/>
          <w:color w:val="auto"/>
        </w:rPr>
      </w:pPr>
    </w:p>
    <w:p>
      <w:pPr>
        <w:spacing w:after="0" w:line="32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/s/ Patricia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34925</wp:posOffset>
            </wp:positionV>
            <wp:extent cx="1870075" cy="15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0">
                      <a:extLst>
                        <a:ext uri="{28A0092B-C50C-407E-A947-70E740481C1C}"/>
                      </a:extLst>
                    </a:blip>
                    <a:srcRect/>
                    <a:stretch>
                      <a:fillRect/>
                    </a:stretch>
                  </pic:blipFill>
                  <pic:spPr bwMode="auto">
                    <a:xfrm>
                      <a:off x="0" y="0"/>
                      <a:ext cx="1870075" cy="15240"/>
                    </a:xfrm>
                    <a:prstGeom prst="rect">
                      <a:avLst/>
                    </a:prstGeom>
                    <a:noFill/>
                  </pic:spPr>
                </pic:pic>
              </a:graphicData>
            </a:graphic>
          </wp:anchor>
        </w:drawing>
      </w:r>
    </w:p>
    <w:p>
      <w:pPr>
        <w:spacing w:after="0" w:line="68"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Patricia Hemingway Hall</w:t>
      </w:r>
    </w:p>
    <w:p>
      <w:pPr>
        <w:spacing w:after="0" w:line="200" w:lineRule="exact"/>
        <w:rPr>
          <w:sz w:val="20"/>
          <w:szCs w:val="20"/>
          <w:color w:val="auto"/>
        </w:rPr>
      </w:pPr>
    </w:p>
    <w:p>
      <w:pPr>
        <w:spacing w:after="0" w:line="326"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/s/ 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27940</wp:posOffset>
            </wp:positionV>
            <wp:extent cx="1870075"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1">
                      <a:extLst>
                        <a:ext uri="{28A0092B-C50C-407E-A947-70E740481C1C}"/>
                      </a:extLst>
                    </a:blip>
                    <a:srcRect/>
                    <a:stretch>
                      <a:fillRect/>
                    </a:stretch>
                  </pic:blipFill>
                  <pic:spPr bwMode="auto">
                    <a:xfrm>
                      <a:off x="0" y="0"/>
                      <a:ext cx="1870075" cy="7620"/>
                    </a:xfrm>
                    <a:prstGeom prst="rect">
                      <a:avLst/>
                    </a:prstGeom>
                    <a:noFill/>
                  </pic:spPr>
                </pic:pic>
              </a:graphicData>
            </a:graphic>
          </wp:anchor>
        </w:drawing>
      </w:r>
    </w:p>
    <w:p>
      <w:pPr>
        <w:spacing w:after="0" w:line="44"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Julie M. Howard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27940</wp:posOffset>
            </wp:positionV>
            <wp:extent cx="1787525" cy="152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2">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Ulice Payne, Jr.</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/s/ Muriel Pénicaud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27940</wp:posOffset>
            </wp:positionV>
            <wp:extent cx="1787525" cy="15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3">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Muriel Pénicaud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27940</wp:posOffset>
            </wp:positionV>
            <wp:extent cx="1787525" cy="152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4">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Jonas Prising</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/s/ 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27940</wp:posOffset>
            </wp:positionV>
            <wp:extent cx="1787525" cy="15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5">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Paul Read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/s/ 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27940</wp:posOffset>
            </wp:positionV>
            <wp:extent cx="1787525" cy="152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6">
                      <a:extLst>
                        <a:ext uri="{28A0092B-C50C-407E-A947-70E740481C1C}"/>
                      </a:extLst>
                    </a:blip>
                    <a:srcRect/>
                    <a:stretch>
                      <a:fillRect/>
                    </a:stretch>
                  </pic:blipFill>
                  <pic:spPr bwMode="auto">
                    <a:xfrm>
                      <a:off x="0" y="0"/>
                      <a:ext cx="1787525" cy="1524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Elizabeth P. Sartain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34925</wp:posOffset>
            </wp:positionV>
            <wp:extent cx="178752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7">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675640</wp:posOffset>
            </wp:positionV>
            <wp:extent cx="7174865" cy="406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2">
            <w:col w:w="6060" w:space="720"/>
            <w:col w:w="4480"/>
          </w:cols>
          <w:pgMar w:left="320" w:top="684" w:right="319" w:bottom="1440" w:gutter="0" w:footer="0" w:header="0"/>
          <w:type w:val="continuous"/>
        </w:sectPr>
      </w:pPr>
    </w:p>
    <w:bookmarkStart w:id="118" w:name="page119"/>
    <w:bookmarkEnd w:id="118"/>
    <w:p>
      <w:pPr>
        <w:jc w:val="right"/>
        <w:spacing w:after="0"/>
        <w:rPr>
          <w:sz w:val="20"/>
          <w:szCs w:val="20"/>
          <w:color w:val="auto"/>
        </w:rPr>
      </w:pPr>
      <w:r>
        <w:rPr>
          <w:rFonts w:ascii="Times New Roman" w:cs="Times New Roman" w:eastAsia="Times New Roman" w:hAnsi="Times New Roman"/>
          <w:sz w:val="19"/>
          <w:szCs w:val="19"/>
          <w:color w:val="auto"/>
        </w:rPr>
        <w:t>Exhibit 31.1</w:t>
      </w:r>
    </w:p>
    <w:p>
      <w:pPr>
        <w:spacing w:after="0" w:line="200" w:lineRule="exact"/>
        <w:rPr>
          <w:sz w:val="20"/>
          <w:szCs w:val="20"/>
          <w:color w:val="auto"/>
        </w:rPr>
      </w:pPr>
    </w:p>
    <w:p>
      <w:pPr>
        <w:spacing w:after="0" w:line="3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Jonas Prising, Chairman and Chief Executive Officer of ManpowerGroup Inc., certify that:</w:t>
      </w:r>
    </w:p>
    <w:p>
      <w:pPr>
        <w:spacing w:after="0" w:line="100" w:lineRule="exact"/>
        <w:rPr>
          <w:sz w:val="20"/>
          <w:szCs w:val="20"/>
          <w:color w:val="auto"/>
        </w:rPr>
      </w:pPr>
    </w:p>
    <w:p>
      <w:pPr>
        <w:ind w:left="780" w:hanging="380"/>
        <w:spacing w:after="0"/>
        <w:tabs>
          <w:tab w:leader="none" w:pos="7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ManpowerGroup Inc.;</w:t>
      </w:r>
    </w:p>
    <w:p>
      <w:pPr>
        <w:spacing w:after="0" w:line="99" w:lineRule="exact"/>
        <w:rPr>
          <w:rFonts w:ascii="Times New Roman" w:cs="Times New Roman" w:eastAsia="Times New Roman" w:hAnsi="Times New Roman"/>
          <w:sz w:val="16"/>
          <w:szCs w:val="16"/>
          <w:color w:val="auto"/>
        </w:rPr>
      </w:pPr>
    </w:p>
    <w:p>
      <w:pPr>
        <w:ind w:left="780" w:right="20" w:hanging="380"/>
        <w:spacing w:after="0" w:line="276" w:lineRule="auto"/>
        <w:tabs>
          <w:tab w:leader="none" w:pos="7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6"/>
          <w:szCs w:val="16"/>
          <w:color w:val="auto"/>
        </w:rPr>
      </w:pPr>
    </w:p>
    <w:p>
      <w:pPr>
        <w:ind w:left="780" w:right="20" w:hanging="380"/>
        <w:spacing w:after="0" w:line="276" w:lineRule="auto"/>
        <w:tabs>
          <w:tab w:leader="none" w:pos="7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6"/>
          <w:szCs w:val="16"/>
          <w:color w:val="auto"/>
        </w:rPr>
      </w:pPr>
    </w:p>
    <w:p>
      <w:pPr>
        <w:ind w:left="780" w:right="140" w:hanging="380"/>
        <w:spacing w:after="0" w:line="310" w:lineRule="auto"/>
        <w:tabs>
          <w:tab w:leader="none" w:pos="7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Times New Roman" w:cs="Times New Roman" w:eastAsia="Times New Roman" w:hAnsi="Times New Roman"/>
          <w:sz w:val="15"/>
          <w:szCs w:val="15"/>
          <w:color w:val="auto"/>
        </w:rPr>
      </w:pPr>
    </w:p>
    <w:p>
      <w:pPr>
        <w:ind w:left="2040" w:right="280" w:hanging="424"/>
        <w:spacing w:after="0" w:line="261" w:lineRule="auto"/>
        <w:tabs>
          <w:tab w:leader="none" w:pos="2040"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2040" w:right="20" w:hanging="424"/>
        <w:spacing w:after="0" w:line="261" w:lineRule="auto"/>
        <w:tabs>
          <w:tab w:leader="none" w:pos="2040"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jc w:val="both"/>
        <w:ind w:left="2040" w:right="700" w:hanging="424"/>
        <w:spacing w:after="0" w:line="310" w:lineRule="auto"/>
        <w:tabs>
          <w:tab w:leader="none" w:pos="2040" w:val="left"/>
        </w:tabs>
        <w:numPr>
          <w:ilvl w:val="1"/>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5"/>
          <w:szCs w:val="15"/>
          <w:color w:val="auto"/>
        </w:rPr>
      </w:pPr>
    </w:p>
    <w:p>
      <w:pPr>
        <w:ind w:left="2040" w:right="20" w:hanging="424"/>
        <w:spacing w:after="0" w:line="261" w:lineRule="auto"/>
        <w:tabs>
          <w:tab w:leader="none" w:pos="2040"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780" w:right="300" w:hanging="380"/>
        <w:spacing w:after="0" w:line="276" w:lineRule="auto"/>
        <w:tabs>
          <w:tab w:leader="none" w:pos="7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6"/>
          <w:szCs w:val="16"/>
          <w:color w:val="auto"/>
        </w:rPr>
      </w:pPr>
    </w:p>
    <w:p>
      <w:pPr>
        <w:ind w:left="2040" w:right="160" w:hanging="424"/>
        <w:spacing w:after="0" w:line="276" w:lineRule="auto"/>
        <w:tabs>
          <w:tab w:leader="none" w:pos="2079"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6"/>
          <w:szCs w:val="16"/>
          <w:color w:val="auto"/>
        </w:rPr>
      </w:pPr>
    </w:p>
    <w:p>
      <w:pPr>
        <w:ind w:left="2040" w:right="160" w:hanging="424"/>
        <w:spacing w:after="0" w:line="276" w:lineRule="auto"/>
        <w:tabs>
          <w:tab w:leader="none" w:pos="2040"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February 19,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3574415"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9">
                      <a:extLst>
                        <a:ext uri="{28A0092B-C50C-407E-A947-70E740481C1C}"/>
                      </a:extLst>
                    </a:blip>
                    <a:srcRect/>
                    <a:stretch>
                      <a:fillRect/>
                    </a:stretch>
                  </pic:blipFill>
                  <pic:spPr bwMode="auto">
                    <a:xfrm>
                      <a:off x="0" y="0"/>
                      <a:ext cx="357441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Jonas Prising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891540</wp:posOffset>
            </wp:positionV>
            <wp:extent cx="7174865" cy="406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9"/>
          <w:szCs w:val="19"/>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T. McGinnis, Executive Vice President and Chief Financial Officer of ManpowerGroup Inc., certify that:</w:t>
      </w:r>
    </w:p>
    <w:p>
      <w:pPr>
        <w:spacing w:after="0" w:line="100" w:lineRule="exact"/>
        <w:rPr>
          <w:sz w:val="20"/>
          <w:szCs w:val="20"/>
          <w:color w:val="auto"/>
        </w:rPr>
      </w:pPr>
    </w:p>
    <w:p>
      <w:pPr>
        <w:ind w:left="780" w:hanging="380"/>
        <w:spacing w:after="0"/>
        <w:tabs>
          <w:tab w:leader="none" w:pos="7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ManpowerGroup Inc.;</w:t>
      </w:r>
    </w:p>
    <w:p>
      <w:pPr>
        <w:spacing w:after="0" w:line="99" w:lineRule="exact"/>
        <w:rPr>
          <w:rFonts w:ascii="Times New Roman" w:cs="Times New Roman" w:eastAsia="Times New Roman" w:hAnsi="Times New Roman"/>
          <w:sz w:val="16"/>
          <w:szCs w:val="16"/>
          <w:color w:val="auto"/>
        </w:rPr>
      </w:pPr>
    </w:p>
    <w:p>
      <w:pPr>
        <w:ind w:left="780" w:right="20" w:hanging="380"/>
        <w:spacing w:after="0" w:line="276" w:lineRule="auto"/>
        <w:tabs>
          <w:tab w:leader="none" w:pos="7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6"/>
          <w:szCs w:val="16"/>
          <w:color w:val="auto"/>
        </w:rPr>
      </w:pPr>
    </w:p>
    <w:p>
      <w:pPr>
        <w:ind w:left="780" w:right="20" w:hanging="380"/>
        <w:spacing w:after="0" w:line="276" w:lineRule="auto"/>
        <w:tabs>
          <w:tab w:leader="none" w:pos="7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6"/>
          <w:szCs w:val="16"/>
          <w:color w:val="auto"/>
        </w:rPr>
      </w:pPr>
    </w:p>
    <w:p>
      <w:pPr>
        <w:ind w:left="780" w:right="140" w:hanging="380"/>
        <w:spacing w:after="0" w:line="310" w:lineRule="auto"/>
        <w:tabs>
          <w:tab w:leader="none" w:pos="78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Times New Roman" w:cs="Times New Roman" w:eastAsia="Times New Roman" w:hAnsi="Times New Roman"/>
          <w:sz w:val="15"/>
          <w:szCs w:val="15"/>
          <w:color w:val="auto"/>
        </w:rPr>
      </w:pPr>
    </w:p>
    <w:p>
      <w:pPr>
        <w:ind w:left="2040" w:right="280" w:hanging="424"/>
        <w:spacing w:after="0" w:line="261" w:lineRule="auto"/>
        <w:tabs>
          <w:tab w:leader="none" w:pos="204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2040" w:right="20" w:hanging="424"/>
        <w:spacing w:after="0" w:line="261" w:lineRule="auto"/>
        <w:tabs>
          <w:tab w:leader="none" w:pos="204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jc w:val="both"/>
        <w:ind w:left="2040" w:right="700" w:hanging="424"/>
        <w:spacing w:after="0" w:line="310" w:lineRule="auto"/>
        <w:tabs>
          <w:tab w:leader="none" w:pos="2040"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5"/>
          <w:szCs w:val="15"/>
          <w:color w:val="auto"/>
        </w:rPr>
      </w:pPr>
    </w:p>
    <w:p>
      <w:pPr>
        <w:ind w:left="2040" w:right="20" w:hanging="424"/>
        <w:spacing w:after="0" w:line="261" w:lineRule="auto"/>
        <w:tabs>
          <w:tab w:leader="none" w:pos="204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780" w:right="300" w:hanging="380"/>
        <w:spacing w:after="0" w:line="276" w:lineRule="auto"/>
        <w:tabs>
          <w:tab w:leader="none" w:pos="7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6"/>
          <w:szCs w:val="16"/>
          <w:color w:val="auto"/>
        </w:rPr>
      </w:pPr>
    </w:p>
    <w:p>
      <w:pPr>
        <w:ind w:left="2040" w:right="200" w:hanging="424"/>
        <w:spacing w:after="0" w:line="276" w:lineRule="auto"/>
        <w:tabs>
          <w:tab w:leader="none" w:pos="204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6"/>
          <w:szCs w:val="16"/>
          <w:color w:val="auto"/>
        </w:rPr>
      </w:pPr>
    </w:p>
    <w:p>
      <w:pPr>
        <w:ind w:left="2040" w:right="160" w:hanging="424"/>
        <w:spacing w:after="0" w:line="276" w:lineRule="auto"/>
        <w:tabs>
          <w:tab w:leader="none" w:pos="204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February 19,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3574415"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1">
                      <a:extLst>
                        <a:ext uri="{28A0092B-C50C-407E-A947-70E740481C1C}"/>
                      </a:extLst>
                    </a:blip>
                    <a:srcRect/>
                    <a:stretch>
                      <a:fillRect/>
                    </a:stretch>
                  </pic:blipFill>
                  <pic:spPr bwMode="auto">
                    <a:xfrm>
                      <a:off x="0" y="0"/>
                      <a:ext cx="357441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John T. McGinnis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891540</wp:posOffset>
            </wp:positionV>
            <wp:extent cx="7174865" cy="406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9"/>
          <w:szCs w:val="19"/>
          <w:color w:val="auto"/>
        </w:rPr>
        <w:t>Exhibit 32.1</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w:t>
      </w:r>
    </w:p>
    <w:p>
      <w:pPr>
        <w:spacing w:after="0" w:line="173" w:lineRule="exact"/>
        <w:rPr>
          <w:sz w:val="20"/>
          <w:szCs w:val="20"/>
          <w:color w:val="auto"/>
        </w:rPr>
      </w:pPr>
    </w:p>
    <w:p>
      <w:pPr>
        <w:ind w:right="620"/>
        <w:spacing w:after="0" w:line="276" w:lineRule="auto"/>
        <w:rPr>
          <w:sz w:val="20"/>
          <w:szCs w:val="20"/>
          <w:color w:val="auto"/>
        </w:rPr>
      </w:pPr>
      <w:r>
        <w:rPr>
          <w:rFonts w:ascii="Times New Roman" w:cs="Times New Roman" w:eastAsia="Times New Roman" w:hAnsi="Times New Roman"/>
          <w:sz w:val="16"/>
          <w:szCs w:val="16"/>
          <w:color w:val="auto"/>
        </w:rPr>
        <w:t>Pursuant to ss. 906 of the Sarbanes-Oxley Act of 2002, 18 U.S.C. ss. 1350, the undersigned officer of ManpowerGroup Inc. (the “Company”), hereby certifies that to his knowledge:</w:t>
      </w:r>
    </w:p>
    <w:p>
      <w:pPr>
        <w:spacing w:after="0" w:line="109" w:lineRule="exact"/>
        <w:rPr>
          <w:sz w:val="20"/>
          <w:szCs w:val="20"/>
          <w:color w:val="auto"/>
        </w:rPr>
      </w:pPr>
    </w:p>
    <w:p>
      <w:pPr>
        <w:ind w:left="620" w:right="240" w:hanging="370"/>
        <w:spacing w:after="0" w:line="276" w:lineRule="auto"/>
        <w:tabs>
          <w:tab w:leader="none" w:pos="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Annual Report on Form 10-K for the year ended December 31, 2024 fully complies with the requirements of Section 13(a) or 15(d), as applicable, of the Securities Exchange Act of 1934, and</w:t>
      </w:r>
    </w:p>
    <w:p>
      <w:pPr>
        <w:spacing w:after="0" w:line="109" w:lineRule="exact"/>
        <w:rPr>
          <w:rFonts w:ascii="Times New Roman" w:cs="Times New Roman" w:eastAsia="Times New Roman" w:hAnsi="Times New Roman"/>
          <w:sz w:val="16"/>
          <w:szCs w:val="16"/>
          <w:color w:val="auto"/>
        </w:rPr>
      </w:pPr>
    </w:p>
    <w:p>
      <w:pPr>
        <w:ind w:left="620" w:hanging="370"/>
        <w:spacing w:after="0"/>
        <w:tabs>
          <w:tab w:leader="none" w:pos="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4" w:lineRule="exact"/>
        <w:rPr>
          <w:rFonts w:ascii="Times New Roman" w:cs="Times New Roman" w:eastAsia="Times New Roman" w:hAnsi="Times New Roman"/>
          <w:sz w:val="16"/>
          <w:szCs w:val="16"/>
          <w:color w:val="auto"/>
        </w:rPr>
      </w:pPr>
    </w:p>
    <w:p>
      <w:pPr>
        <w:ind w:right="9440"/>
        <w:spacing w:after="0" w:line="52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MANPOWERGROUP INC. Dated: February 19,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3574415"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3">
                      <a:extLst>
                        <a:ext uri="{28A0092B-C50C-407E-A947-70E740481C1C}"/>
                      </a:extLst>
                    </a:blip>
                    <a:srcRect/>
                    <a:stretch>
                      <a:fillRect/>
                    </a:stretch>
                  </pic:blipFill>
                  <pic:spPr bwMode="auto">
                    <a:xfrm>
                      <a:off x="0" y="0"/>
                      <a:ext cx="357441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Jonas Prising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175"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6"/>
          <w:szCs w:val="16"/>
          <w:i w:val="1"/>
          <w:iCs w:val="1"/>
          <w:color w:val="auto"/>
        </w:rPr>
        <w:t>This certification accompanies this Annual Report on Form 10-K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749935</wp:posOffset>
            </wp:positionV>
            <wp:extent cx="7174865" cy="406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9"/>
          <w:szCs w:val="19"/>
          <w:color w:val="auto"/>
        </w:rPr>
        <w:t>Exhibit 32.2</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w:t>
      </w:r>
    </w:p>
    <w:p>
      <w:pPr>
        <w:spacing w:after="0" w:line="173" w:lineRule="exact"/>
        <w:rPr>
          <w:sz w:val="20"/>
          <w:szCs w:val="20"/>
          <w:color w:val="auto"/>
        </w:rPr>
      </w:pPr>
    </w:p>
    <w:p>
      <w:pPr>
        <w:ind w:right="620"/>
        <w:spacing w:after="0" w:line="276" w:lineRule="auto"/>
        <w:rPr>
          <w:sz w:val="20"/>
          <w:szCs w:val="20"/>
          <w:color w:val="auto"/>
        </w:rPr>
      </w:pPr>
      <w:r>
        <w:rPr>
          <w:rFonts w:ascii="Times New Roman" w:cs="Times New Roman" w:eastAsia="Times New Roman" w:hAnsi="Times New Roman"/>
          <w:sz w:val="16"/>
          <w:szCs w:val="16"/>
          <w:color w:val="auto"/>
        </w:rPr>
        <w:t>Pursuant to ss. 906 of the Sarbanes-Oxley Act of 2002, 18 U.S.C. ss. 1350, the undersigned officer of ManpowerGroup Inc. (the “Company”), hereby certifies that to his knowledge:</w:t>
      </w:r>
    </w:p>
    <w:p>
      <w:pPr>
        <w:spacing w:after="0" w:line="109" w:lineRule="exact"/>
        <w:rPr>
          <w:sz w:val="20"/>
          <w:szCs w:val="20"/>
          <w:color w:val="auto"/>
        </w:rPr>
      </w:pPr>
    </w:p>
    <w:p>
      <w:pPr>
        <w:ind w:left="620" w:right="240" w:hanging="370"/>
        <w:spacing w:after="0" w:line="276" w:lineRule="auto"/>
        <w:tabs>
          <w:tab w:leader="none" w:pos="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Annual Report on Form 10-K for the year ended December 31, 2024 fully complies with the requirements of Section 13(a) or 15(d), as applicable, of the Securities Exchange Act of 1934, and</w:t>
      </w:r>
    </w:p>
    <w:p>
      <w:pPr>
        <w:spacing w:after="0" w:line="109" w:lineRule="exact"/>
        <w:rPr>
          <w:rFonts w:ascii="Times New Roman" w:cs="Times New Roman" w:eastAsia="Times New Roman" w:hAnsi="Times New Roman"/>
          <w:sz w:val="16"/>
          <w:szCs w:val="16"/>
          <w:color w:val="auto"/>
        </w:rPr>
      </w:pPr>
    </w:p>
    <w:p>
      <w:pPr>
        <w:ind w:left="620" w:hanging="370"/>
        <w:spacing w:after="0"/>
        <w:tabs>
          <w:tab w:leader="none" w:pos="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4" w:lineRule="exact"/>
        <w:rPr>
          <w:rFonts w:ascii="Times New Roman" w:cs="Times New Roman" w:eastAsia="Times New Roman" w:hAnsi="Times New Roman"/>
          <w:sz w:val="16"/>
          <w:szCs w:val="16"/>
          <w:color w:val="auto"/>
        </w:rPr>
      </w:pPr>
    </w:p>
    <w:p>
      <w:pPr>
        <w:ind w:right="9440"/>
        <w:spacing w:after="0" w:line="52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MANPOWERGROUP INC. Dated: February 19,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3574415"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5">
                      <a:extLst>
                        <a:ext uri="{28A0092B-C50C-407E-A947-70E740481C1C}"/>
                      </a:extLst>
                    </a:blip>
                    <a:srcRect/>
                    <a:stretch>
                      <a:fillRect/>
                    </a:stretch>
                  </pic:blipFill>
                  <pic:spPr bwMode="auto">
                    <a:xfrm>
                      <a:off x="0" y="0"/>
                      <a:ext cx="357441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John T. McGinnis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175"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6"/>
          <w:szCs w:val="16"/>
          <w:i w:val="1"/>
          <w:iCs w:val="1"/>
          <w:color w:val="auto"/>
        </w:rPr>
        <w:t>This certification accompanies this Annual Report on Form 10-K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749935</wp:posOffset>
            </wp:positionV>
            <wp:extent cx="7174865" cy="406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9"/>
          <w:szCs w:val="19"/>
          <w:color w:val="auto"/>
        </w:rPr>
        <w:t>Exhibit 97</w:t>
      </w:r>
    </w:p>
    <w:p>
      <w:pPr>
        <w:spacing w:after="0" w:line="200" w:lineRule="exact"/>
        <w:rPr>
          <w:sz w:val="20"/>
          <w:szCs w:val="20"/>
          <w:color w:val="auto"/>
        </w:rPr>
      </w:pPr>
    </w:p>
    <w:p>
      <w:pPr>
        <w:spacing w:after="0" w:line="27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MANPOWERGROUP INC.</w:t>
      </w:r>
    </w:p>
    <w:p>
      <w:pPr>
        <w:spacing w:after="0" w:line="20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9"/>
          <w:szCs w:val="19"/>
          <w:b w:val="1"/>
          <w:bCs w:val="1"/>
          <w:color w:val="auto"/>
        </w:rPr>
        <w:t>SENIOR EXECUTIVE COMPENSATION RECOVERY POLICY</w:t>
      </w:r>
    </w:p>
    <w:p>
      <w:pPr>
        <w:spacing w:after="0" w:line="20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i w:val="1"/>
          <w:iCs w:val="1"/>
          <w:color w:val="auto"/>
        </w:rPr>
        <w:t>Adopted as of August 4, 2023</w:t>
      </w:r>
    </w:p>
    <w:p>
      <w:pPr>
        <w:spacing w:after="0" w:line="213" w:lineRule="exact"/>
        <w:rPr>
          <w:sz w:val="20"/>
          <w:szCs w:val="20"/>
          <w:color w:val="auto"/>
        </w:rPr>
      </w:pPr>
    </w:p>
    <w:p>
      <w:pPr>
        <w:ind w:left="505" w:hanging="505"/>
        <w:spacing w:after="0"/>
        <w:tabs>
          <w:tab w:leader="none" w:pos="505"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PURPOSE.</w:t>
      </w:r>
    </w:p>
    <w:p>
      <w:pPr>
        <w:spacing w:after="0" w:line="207" w:lineRule="exact"/>
        <w:rPr>
          <w:sz w:val="20"/>
          <w:szCs w:val="20"/>
          <w:color w:val="auto"/>
        </w:rPr>
      </w:pPr>
    </w:p>
    <w:p>
      <w:pPr>
        <w:jc w:val="both"/>
        <w:ind w:left="5" w:firstLine="751"/>
        <w:spacing w:after="0" w:line="243" w:lineRule="auto"/>
        <w:rPr>
          <w:sz w:val="20"/>
          <w:szCs w:val="20"/>
          <w:color w:val="auto"/>
        </w:rPr>
      </w:pPr>
      <w:r>
        <w:rPr>
          <w:rFonts w:ascii="Times New Roman" w:cs="Times New Roman" w:eastAsia="Times New Roman" w:hAnsi="Times New Roman"/>
          <w:sz w:val="19"/>
          <w:szCs w:val="19"/>
          <w:color w:val="auto"/>
        </w:rPr>
        <w:t>The purpose of this Policy is to describe the circumstances in which Covered Individuals will be required to repay or return Erroneously Awarded Compensation to members of the Company Group in the event of an Accounting Restatement. This Policy is designed to comply with, and shall be interpreted to be consistent with, Section 10D of the Exchange Act, Rule 10D-1 promulgated under the Exchange Act and Section 303A.14 of the NYSE Listed Company Manual.</w:t>
      </w:r>
    </w:p>
    <w:p>
      <w:pPr>
        <w:spacing w:after="0" w:line="180" w:lineRule="exact"/>
        <w:rPr>
          <w:sz w:val="20"/>
          <w:szCs w:val="20"/>
          <w:color w:val="auto"/>
        </w:rPr>
      </w:pPr>
    </w:p>
    <w:p>
      <w:pPr>
        <w:ind w:left="505" w:hanging="505"/>
        <w:spacing w:after="0"/>
        <w:tabs>
          <w:tab w:leader="none" w:pos="505"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ADMINISTRATION.</w:t>
      </w:r>
    </w:p>
    <w:p>
      <w:pPr>
        <w:spacing w:after="0" w:line="207" w:lineRule="exact"/>
        <w:rPr>
          <w:sz w:val="20"/>
          <w:szCs w:val="20"/>
          <w:color w:val="auto"/>
        </w:rPr>
      </w:pPr>
    </w:p>
    <w:p>
      <w:pPr>
        <w:ind w:left="5" w:right="20" w:firstLine="751"/>
        <w:spacing w:after="0" w:line="262" w:lineRule="auto"/>
        <w:rPr>
          <w:sz w:val="20"/>
          <w:szCs w:val="20"/>
          <w:color w:val="auto"/>
        </w:rPr>
      </w:pPr>
      <w:r>
        <w:rPr>
          <w:rFonts w:ascii="Times New Roman" w:cs="Times New Roman" w:eastAsia="Times New Roman" w:hAnsi="Times New Roman"/>
          <w:sz w:val="19"/>
          <w:szCs w:val="19"/>
          <w:color w:val="auto"/>
        </w:rPr>
        <w:t>This Policy shall be administered by the Committee. Any determinations made by the Committee shall be final and binding on all affected individuals.</w:t>
      </w:r>
    </w:p>
    <w:p>
      <w:pPr>
        <w:spacing w:after="0" w:line="162" w:lineRule="exact"/>
        <w:rPr>
          <w:sz w:val="20"/>
          <w:szCs w:val="20"/>
          <w:color w:val="auto"/>
        </w:rPr>
      </w:pPr>
    </w:p>
    <w:p>
      <w:pPr>
        <w:ind w:left="505" w:hanging="505"/>
        <w:spacing w:after="0"/>
        <w:tabs>
          <w:tab w:leader="none" w:pos="505"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DEFINITIONS.</w:t>
      </w:r>
    </w:p>
    <w:p>
      <w:pPr>
        <w:spacing w:after="0" w:line="20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For purposes of this Policy, the following capitalized terms shall have the meanings set forth below.</w:t>
      </w:r>
    </w:p>
    <w:p>
      <w:pPr>
        <w:spacing w:after="0" w:line="207" w:lineRule="exact"/>
        <w:rPr>
          <w:sz w:val="20"/>
          <w:szCs w:val="20"/>
          <w:color w:val="auto"/>
        </w:rPr>
      </w:pPr>
    </w:p>
    <w:p>
      <w:pPr>
        <w:jc w:val="both"/>
        <w:ind w:left="5" w:firstLine="751"/>
        <w:spacing w:after="0" w:line="241" w:lineRule="auto"/>
        <w:rPr>
          <w:sz w:val="20"/>
          <w:szCs w:val="20"/>
          <w:color w:val="auto"/>
        </w:rPr>
      </w:pPr>
      <w:r>
        <w:rPr>
          <w:rFonts w:ascii="Times New Roman" w:cs="Times New Roman" w:eastAsia="Times New Roman" w:hAnsi="Times New Roman"/>
          <w:sz w:val="19"/>
          <w:szCs w:val="19"/>
          <w:color w:val="auto"/>
        </w:rPr>
        <w:t>“Accounting Restatement” shall mean an accounting restatement (i)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w:t>
      </w:r>
    </w:p>
    <w:p>
      <w:pPr>
        <w:spacing w:after="0" w:line="180" w:lineRule="exact"/>
        <w:rPr>
          <w:sz w:val="20"/>
          <w:szCs w:val="20"/>
          <w:color w:val="auto"/>
        </w:rPr>
      </w:pPr>
    </w:p>
    <w:p>
      <w:pPr>
        <w:jc w:val="both"/>
        <w:ind w:left="5" w:firstLine="751"/>
        <w:spacing w:after="0" w:line="239" w:lineRule="auto"/>
        <w:rPr>
          <w:sz w:val="20"/>
          <w:szCs w:val="20"/>
          <w:color w:val="auto"/>
        </w:rPr>
      </w:pPr>
      <w:r>
        <w:rPr>
          <w:rFonts w:ascii="Times New Roman" w:cs="Times New Roman" w:eastAsia="Times New Roman" w:hAnsi="Times New Roman"/>
          <w:sz w:val="19"/>
          <w:szCs w:val="19"/>
          <w:color w:val="auto"/>
        </w:rPr>
        <w:t>“Clawback Eligible Incentive Compensation” shall mean, in connection with an Accounting Restatement and with respect to each individual who served as a Covered Individual at any time during the applicable performance period for any Incentive-Based Compensation (whether or not such Covered Individual is serving at the time the Erroneously Awarded Compensation is required to be repaid to the Company Group), all Incentive-Based Compensation Received by such Covered Individual (i) on or after the Effective Date, (ii) after beginning service as a Covered Individual, (iii) while the Company has a class of securities listed on a national securities exchange or a national securities association, and (iv) during the applicable Clawback Period.</w:t>
      </w:r>
    </w:p>
    <w:p>
      <w:pPr>
        <w:spacing w:after="0" w:line="185" w:lineRule="exact"/>
        <w:rPr>
          <w:sz w:val="20"/>
          <w:szCs w:val="20"/>
          <w:color w:val="auto"/>
        </w:rPr>
      </w:pPr>
    </w:p>
    <w:p>
      <w:pPr>
        <w:jc w:val="both"/>
        <w:ind w:left="5" w:right="20" w:firstLine="751"/>
        <w:spacing w:after="0" w:line="248" w:lineRule="auto"/>
        <w:rPr>
          <w:sz w:val="20"/>
          <w:szCs w:val="20"/>
          <w:color w:val="auto"/>
        </w:rPr>
      </w:pPr>
      <w:r>
        <w:rPr>
          <w:rFonts w:ascii="Times New Roman" w:cs="Times New Roman" w:eastAsia="Times New Roman" w:hAnsi="Times New Roman"/>
          <w:sz w:val="19"/>
          <w:szCs w:val="19"/>
          <w:color w:val="auto"/>
        </w:rPr>
        <w:t>“Clawback Period” shall mean, with respect to any Accounting Restatement, the three (3) completed fiscal years of the Company immediately preceding the Restatement Date and any transition period (that results from a change in the Company’s fiscal year) within or immediately</w:t>
      </w:r>
    </w:p>
    <w:p>
      <w:pPr>
        <w:spacing w:after="0" w:line="5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584200</wp:posOffset>
            </wp:positionV>
            <wp:extent cx="7174865" cy="406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4" w:right="3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9"/>
          <w:szCs w:val="19"/>
          <w:color w:val="auto"/>
        </w:rPr>
        <w:t>Exhibit 97</w:t>
      </w:r>
    </w:p>
    <w:p>
      <w:pPr>
        <w:spacing w:after="0" w:line="200" w:lineRule="exact"/>
        <w:rPr>
          <w:sz w:val="20"/>
          <w:szCs w:val="20"/>
          <w:color w:val="auto"/>
        </w:rPr>
      </w:pPr>
    </w:p>
    <w:p>
      <w:pPr>
        <w:spacing w:after="0" w:line="27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following those three (3) completed fiscal years. However, a transition period between the last day of the Company’s previous fiscal year end and the first day of its new fiscal year that comprises a period of nine (9) to twelve (12) months shall be deemed a completed fiscal year.</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“Committee” shall mean the People, Culture and Compensation Committee of the Board of Directors of the Company.</w:t>
      </w:r>
    </w:p>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“Company” shall mean ManpowerGroup Inc., a Wisconsin corporation.</w:t>
      </w:r>
    </w:p>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“Company Group” shall mean the Company, together with each of its direct and indirect subsidiaries.</w:t>
      </w:r>
    </w:p>
    <w:p>
      <w:pPr>
        <w:spacing w:after="0" w:line="207" w:lineRule="exact"/>
        <w:rPr>
          <w:sz w:val="20"/>
          <w:szCs w:val="20"/>
          <w:color w:val="auto"/>
        </w:rPr>
      </w:pPr>
    </w:p>
    <w:p>
      <w:pPr>
        <w:jc w:val="both"/>
        <w:ind w:firstLine="751"/>
        <w:spacing w:after="0" w:line="262" w:lineRule="auto"/>
        <w:rPr>
          <w:sz w:val="20"/>
          <w:szCs w:val="20"/>
          <w:color w:val="auto"/>
        </w:rPr>
      </w:pPr>
      <w:r>
        <w:rPr>
          <w:rFonts w:ascii="Times New Roman" w:cs="Times New Roman" w:eastAsia="Times New Roman" w:hAnsi="Times New Roman"/>
          <w:sz w:val="19"/>
          <w:szCs w:val="19"/>
          <w:color w:val="auto"/>
        </w:rPr>
        <w:t>“Covered Individuals” shall mean (i) each Executive Officer and (ii) other senior officers of the Company as may be determined from time to time by the Committee.</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“Effective Date” shall mean October 2, 2023.</w:t>
      </w:r>
    </w:p>
    <w:p>
      <w:pPr>
        <w:spacing w:after="0" w:line="207"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“Erroneously Awarded Compensation” shall mean, with respect to each Covered Individual in connection with an Accounting Restatement, the amount of Clawback Eligible Incentive Compensation that is Received by such Covered Individual that exceeds the amount of Incentive-Based Compensation that otherwise would have been Received by such Covered Individual had it been determined based on the restated amounts, computed without regard to any taxes paid. 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spacing w:after="0" w:line="185" w:lineRule="exact"/>
        <w:rPr>
          <w:sz w:val="20"/>
          <w:szCs w:val="20"/>
          <w:color w:val="auto"/>
        </w:rPr>
      </w:pPr>
    </w:p>
    <w:p>
      <w:pPr>
        <w:jc w:val="both"/>
        <w:ind w:right="20" w:firstLine="751"/>
        <w:spacing w:after="0" w:line="248" w:lineRule="auto"/>
        <w:rPr>
          <w:sz w:val="20"/>
          <w:szCs w:val="20"/>
          <w:color w:val="auto"/>
        </w:rPr>
      </w:pPr>
      <w:r>
        <w:rPr>
          <w:rFonts w:ascii="Times New Roman" w:cs="Times New Roman" w:eastAsia="Times New Roman" w:hAnsi="Times New Roman"/>
          <w:sz w:val="19"/>
          <w:szCs w:val="19"/>
          <w:color w:val="auto"/>
        </w:rPr>
        <w:t>“Executive Officer” shall mean each individual who is or was designated as an “officer” of the Company in accordance with 17 C.F.R. 240.16a-1(f). Identification of an executive officer for purposes of this Policy shall include at a minimum executive officers identified pursuant to 17 C.F.R. 229.401(b).</w:t>
      </w:r>
    </w:p>
    <w:p>
      <w:pPr>
        <w:spacing w:after="0" w:line="1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“Exchange Act” shall mean the Securities Exchange Act of 1934, as amended.</w:t>
      </w:r>
    </w:p>
    <w:p>
      <w:pPr>
        <w:spacing w:after="0" w:line="207" w:lineRule="exact"/>
        <w:rPr>
          <w:sz w:val="20"/>
          <w:szCs w:val="20"/>
          <w:color w:val="auto"/>
        </w:rPr>
      </w:pPr>
    </w:p>
    <w:p>
      <w:pPr>
        <w:jc w:val="both"/>
        <w:ind w:firstLine="751"/>
        <w:spacing w:after="0" w:line="241" w:lineRule="auto"/>
        <w:rPr>
          <w:sz w:val="20"/>
          <w:szCs w:val="20"/>
          <w:color w:val="auto"/>
        </w:rPr>
      </w:pPr>
      <w:r>
        <w:rPr>
          <w:rFonts w:ascii="Times New Roman" w:cs="Times New Roman" w:eastAsia="Times New Roman" w:hAnsi="Times New Roman"/>
          <w:sz w:val="19"/>
          <w:szCs w:val="19"/>
          <w:color w:val="auto"/>
        </w:rPr>
        <w:t>“Financial Reporting Measures” shall mean measures that are determined and presented in accordance with the accounting principles used in preparing the Company’s financial statements, and any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180"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“Incentive-Based Compensation” shall mean any compensation that is granted, earned, or vested based wholly or in part upon the attainment of a Financial Reporting Measure.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“NYSE” shall mean The New York Stock Exchange.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584200</wp:posOffset>
            </wp:positionV>
            <wp:extent cx="7174865" cy="406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9"/>
          <w:szCs w:val="19"/>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“Policy” shall mean this Senior Executive Compensation Recovery Policy, as the same may be amended or restated from time to time.</w:t>
      </w:r>
    </w:p>
    <w:p>
      <w:pPr>
        <w:spacing w:after="0" w:line="207" w:lineRule="exact"/>
        <w:rPr>
          <w:sz w:val="20"/>
          <w:szCs w:val="20"/>
          <w:color w:val="auto"/>
        </w:rPr>
      </w:pPr>
    </w:p>
    <w:p>
      <w:pPr>
        <w:jc w:val="both"/>
        <w:ind w:left="5" w:right="20" w:firstLine="751"/>
        <w:spacing w:after="0" w:line="243" w:lineRule="auto"/>
        <w:rPr>
          <w:sz w:val="20"/>
          <w:szCs w:val="20"/>
          <w:color w:val="auto"/>
        </w:rPr>
      </w:pPr>
      <w:r>
        <w:rPr>
          <w:rFonts w:ascii="Times New Roman" w:cs="Times New Roman" w:eastAsia="Times New Roman" w:hAnsi="Times New Roman"/>
          <w:sz w:val="19"/>
          <w:szCs w:val="19"/>
          <w:color w:val="auto"/>
        </w:rPr>
        <w:t>“Received” shall, with respect to any Incentive-Based Compensation, mean actual or deemed receipt by the Covered Individual. Incentive-Based Compensation shall be deemed received in the Company’s fiscal period during which the Financial Reporting Measure specified in the Incentive-Based Compensation award or applicable granting policy is attained, even if payment or grant of the Incentive-Based Compensation occurs after the end of that period.</w:t>
      </w:r>
    </w:p>
    <w:p>
      <w:pPr>
        <w:spacing w:after="0" w:line="180" w:lineRule="exact"/>
        <w:rPr>
          <w:sz w:val="20"/>
          <w:szCs w:val="20"/>
          <w:color w:val="auto"/>
        </w:rPr>
      </w:pPr>
    </w:p>
    <w:p>
      <w:pPr>
        <w:jc w:val="both"/>
        <w:ind w:left="5" w:firstLine="751"/>
        <w:spacing w:after="0" w:line="243" w:lineRule="auto"/>
        <w:rPr>
          <w:sz w:val="20"/>
          <w:szCs w:val="20"/>
          <w:color w:val="auto"/>
        </w:rPr>
      </w:pPr>
      <w:r>
        <w:rPr>
          <w:rFonts w:ascii="Times New Roman" w:cs="Times New Roman" w:eastAsia="Times New Roman" w:hAnsi="Times New Roman"/>
          <w:sz w:val="19"/>
          <w:szCs w:val="19"/>
          <w:color w:val="auto"/>
        </w:rPr>
        <w:t>“Restatement Date” shall mean the earlier to occur of (i) the date the Board of Directors, a committee of the Board of Directors, or the officers of the Company authorized to take such action if Board of Directors’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80"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9"/>
          <w:szCs w:val="19"/>
          <w:color w:val="auto"/>
        </w:rPr>
        <w:t>“SEC” shall mean the U.S. Securities and Exchange Commission.</w:t>
      </w:r>
    </w:p>
    <w:p>
      <w:pPr>
        <w:spacing w:after="0" w:line="207" w:lineRule="exact"/>
        <w:rPr>
          <w:sz w:val="20"/>
          <w:szCs w:val="20"/>
          <w:color w:val="auto"/>
        </w:rPr>
      </w:pPr>
    </w:p>
    <w:p>
      <w:pPr>
        <w:ind w:left="5"/>
        <w:spacing w:after="0"/>
        <w:tabs>
          <w:tab w:leader="none" w:pos="485" w:val="left"/>
        </w:tabs>
        <w:rPr>
          <w:sz w:val="20"/>
          <w:szCs w:val="20"/>
          <w:color w:val="auto"/>
        </w:rPr>
      </w:pPr>
      <w:r>
        <w:rPr>
          <w:rFonts w:ascii="Times New Roman" w:cs="Times New Roman" w:eastAsia="Times New Roman" w:hAnsi="Times New Roman"/>
          <w:sz w:val="19"/>
          <w:szCs w:val="19"/>
          <w:color w:val="auto"/>
        </w:rPr>
        <w:t>IV.</w:t>
        <w:tab/>
        <w:t>REPAYMENT OF ERRONEOUSLY AWARDED COMPENSATION.</w:t>
      </w:r>
    </w:p>
    <w:p>
      <w:pPr>
        <w:spacing w:after="0" w:line="207" w:lineRule="exact"/>
        <w:rPr>
          <w:sz w:val="20"/>
          <w:szCs w:val="20"/>
          <w:color w:val="auto"/>
        </w:rPr>
      </w:pPr>
    </w:p>
    <w:p>
      <w:pPr>
        <w:jc w:val="both"/>
        <w:ind w:left="5" w:firstLine="745"/>
        <w:spacing w:after="0" w:line="238" w:lineRule="auto"/>
        <w:tabs>
          <w:tab w:leader="none" w:pos="1026"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 Accounting Restatement, the Committee shall determine the amount of any Erroneously Awarded Compensation promptly after the Restatement Date for each Covered Individual in connection with such Accounting Restatement and shall promptly thereafter provide each Covered Individual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the NYSE).</w:t>
      </w:r>
    </w:p>
    <w:p>
      <w:pPr>
        <w:spacing w:after="0" w:line="182" w:lineRule="exact"/>
        <w:rPr>
          <w:rFonts w:ascii="Times New Roman" w:cs="Times New Roman" w:eastAsia="Times New Roman" w:hAnsi="Times New Roman"/>
          <w:sz w:val="19"/>
          <w:szCs w:val="19"/>
          <w:color w:val="auto"/>
        </w:rPr>
      </w:pPr>
    </w:p>
    <w:p>
      <w:pPr>
        <w:jc w:val="both"/>
        <w:ind w:left="5" w:firstLine="745"/>
        <w:spacing w:after="0" w:line="237" w:lineRule="auto"/>
        <w:tabs>
          <w:tab w:leader="none" w:pos="1026"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Committee shall have broad discretion to determine the appropriate means of recovery of Erroneously Awarded Compensation based on all applicable facts and circumstances and taking into account the time value of money and the cost to shareholders of delaying recovery. To the extent that the Committee determines that any method of recovery other than repayment by the Covered Individual in a lump sum in cash or property is appropriate, the Company shall offer to enter into a repayment agreement (in a form reasonably acceptable to the Committee) with the Covered Individual. If the Covered Individual accepts such offer and signs the repayment agreement within thirty (30) days after such offer is extended, the Company shall countersign such repayment agreement. If the Covered Individual fails to sign the repayment agreement within thirty</w:t>
      </w:r>
    </w:p>
    <w:p>
      <w:pPr>
        <w:spacing w:after="0" w:line="2" w:lineRule="exact"/>
        <w:rPr>
          <w:rFonts w:ascii="Times New Roman" w:cs="Times New Roman" w:eastAsia="Times New Roman" w:hAnsi="Times New Roman"/>
          <w:sz w:val="19"/>
          <w:szCs w:val="19"/>
          <w:color w:val="auto"/>
        </w:rPr>
      </w:pPr>
    </w:p>
    <w:p>
      <w:pPr>
        <w:jc w:val="both"/>
        <w:ind w:left="5" w:right="20" w:hanging="5"/>
        <w:spacing w:after="0" w:line="238" w:lineRule="auto"/>
        <w:tabs>
          <w:tab w:leader="none" w:pos="378"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such offer is extended, the Covered Individual will be required to repay the Erroneously Awarded Compensation in a lump sum in cash (or such property as the Committee agrees to accept with a value equal to such Erroneously Awarded Compensation) on or prior to the date that is one hundred twenty (120) days following the Restatement Date. For the avoidance of</w:t>
      </w:r>
    </w:p>
    <w:p>
      <w:pPr>
        <w:spacing w:after="0" w:line="6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584200</wp:posOffset>
            </wp:positionV>
            <wp:extent cx="7174865" cy="406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4" w:right="3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9"/>
          <w:szCs w:val="19"/>
          <w:color w:val="auto"/>
        </w:rPr>
        <w:t>Exhibit 97</w:t>
      </w:r>
    </w:p>
    <w:p>
      <w:pPr>
        <w:spacing w:after="0" w:line="200" w:lineRule="exact"/>
        <w:rPr>
          <w:sz w:val="20"/>
          <w:szCs w:val="20"/>
          <w:color w:val="auto"/>
        </w:rPr>
      </w:pPr>
    </w:p>
    <w:p>
      <w:pPr>
        <w:spacing w:after="0" w:line="279"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9"/>
          <w:szCs w:val="19"/>
          <w:color w:val="auto"/>
        </w:rPr>
        <w:t>doubt, except as set forth in paragraph IV(d) below, in no event may the Company accept an amount that is less than the amount of Erroneously Awarded Compensation in satisfaction of a Covered Individual’s obligations hereunder.</w:t>
      </w:r>
    </w:p>
    <w:p>
      <w:pPr>
        <w:spacing w:after="0" w:line="162" w:lineRule="exact"/>
        <w:rPr>
          <w:sz w:val="20"/>
          <w:szCs w:val="20"/>
          <w:color w:val="auto"/>
        </w:rPr>
      </w:pPr>
    </w:p>
    <w:p>
      <w:pPr>
        <w:jc w:val="both"/>
        <w:ind w:left="5" w:right="20" w:firstLine="745"/>
        <w:spacing w:after="0" w:line="241" w:lineRule="auto"/>
        <w:tabs>
          <w:tab w:leader="none" w:pos="1026"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 Covered Individual fails to repay all Erroneously Awarded Compensation to the Company Group when due (as determined in accordance with paragraph IV(b) above), the Company shall, or shall cause one or more other members of the Company Group to, take all actions reasonable and appropriate to recover such Erroneously Awarded Compensation from the applicable Covered Individual. The applicable Covered Individual shall be required to reimburse the Company Group for any and all expenses reasonably incurred (including legal fees) by the Company Group in recovering such Erroneously Awarded Compensation in accordance with the immediately preceding sentence.</w:t>
      </w:r>
    </w:p>
    <w:p>
      <w:pPr>
        <w:spacing w:after="0" w:line="298" w:lineRule="exact"/>
        <w:rPr>
          <w:rFonts w:ascii="Times New Roman" w:cs="Times New Roman" w:eastAsia="Times New Roman" w:hAnsi="Times New Roman"/>
          <w:sz w:val="19"/>
          <w:szCs w:val="19"/>
          <w:color w:val="auto"/>
        </w:rPr>
      </w:pPr>
    </w:p>
    <w:p>
      <w:pPr>
        <w:ind w:left="5" w:right="20" w:firstLine="745"/>
        <w:spacing w:after="0" w:line="262" w:lineRule="auto"/>
        <w:tabs>
          <w:tab w:leader="none" w:pos="1026"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herein to the contrary, the Company shall not be required to take the actions contemplated by paragraph IV(b) and (c) above if any of the following conditions are met and the Committee determines that recovery would be impracticable:</w:t>
      </w:r>
    </w:p>
    <w:p>
      <w:pPr>
        <w:spacing w:after="0" w:line="291" w:lineRule="exact"/>
        <w:rPr>
          <w:rFonts w:ascii="Times New Roman" w:cs="Times New Roman" w:eastAsia="Times New Roman" w:hAnsi="Times New Roman"/>
          <w:sz w:val="19"/>
          <w:szCs w:val="19"/>
          <w:color w:val="auto"/>
        </w:rPr>
      </w:pPr>
    </w:p>
    <w:p>
      <w:pPr>
        <w:jc w:val="both"/>
        <w:ind w:left="745" w:right="20" w:firstLine="756"/>
        <w:spacing w:after="0" w:line="248" w:lineRule="auto"/>
        <w:tabs>
          <w:tab w:leader="none" w:pos="2036" w:val="left"/>
        </w:tabs>
        <w:numPr>
          <w:ilvl w:val="2"/>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 expenses paid to a third party to assist in enforcing the Policy against a Covered Individual would exceed the amount to be recovered, after the Company has made a reasonable attempt to recover the applicable Erroneously Awarded Compensation, documented such attempts and provided such documentation to the NYSE;</w:t>
      </w:r>
    </w:p>
    <w:p>
      <w:pPr>
        <w:spacing w:after="0" w:line="174" w:lineRule="exact"/>
        <w:rPr>
          <w:rFonts w:ascii="Times New Roman" w:cs="Times New Roman" w:eastAsia="Times New Roman" w:hAnsi="Times New Roman"/>
          <w:sz w:val="19"/>
          <w:szCs w:val="19"/>
          <w:color w:val="auto"/>
        </w:rPr>
      </w:pPr>
    </w:p>
    <w:p>
      <w:pPr>
        <w:jc w:val="both"/>
        <w:ind w:left="745" w:firstLine="756"/>
        <w:spacing w:after="0" w:line="243" w:lineRule="auto"/>
        <w:tabs>
          <w:tab w:leader="none" w:pos="2036" w:val="left"/>
        </w:tabs>
        <w:numPr>
          <w:ilvl w:val="2"/>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the NYSE, that recovery would result in such a violation and a copy of the opinion is provided to the NYSE; or</w:t>
      </w:r>
    </w:p>
    <w:p>
      <w:pPr>
        <w:spacing w:after="0" w:line="309" w:lineRule="exact"/>
        <w:rPr>
          <w:rFonts w:ascii="Times New Roman" w:cs="Times New Roman" w:eastAsia="Times New Roman" w:hAnsi="Times New Roman"/>
          <w:sz w:val="19"/>
          <w:szCs w:val="19"/>
          <w:color w:val="auto"/>
        </w:rPr>
      </w:pPr>
    </w:p>
    <w:p>
      <w:pPr>
        <w:ind w:left="745" w:firstLine="756"/>
        <w:spacing w:after="0" w:line="262" w:lineRule="auto"/>
        <w:tabs>
          <w:tab w:leader="none" w:pos="2036" w:val="left"/>
        </w:tabs>
        <w:numPr>
          <w:ilvl w:val="2"/>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61" w:lineRule="exact"/>
        <w:rPr>
          <w:rFonts w:ascii="Times New Roman" w:cs="Times New Roman" w:eastAsia="Times New Roman" w:hAnsi="Times New Roman"/>
          <w:sz w:val="19"/>
          <w:szCs w:val="19"/>
          <w:color w:val="auto"/>
        </w:rPr>
      </w:pPr>
    </w:p>
    <w:p>
      <w:pPr>
        <w:ind w:left="505" w:hanging="505"/>
        <w:spacing w:after="0"/>
        <w:tabs>
          <w:tab w:leader="none" w:pos="505"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REPORTING AND DISCLOSURE.</w:t>
      </w:r>
    </w:p>
    <w:p>
      <w:pPr>
        <w:spacing w:after="0" w:line="207" w:lineRule="exact"/>
        <w:rPr>
          <w:sz w:val="20"/>
          <w:szCs w:val="20"/>
          <w:color w:val="auto"/>
        </w:rPr>
      </w:pPr>
    </w:p>
    <w:p>
      <w:pPr>
        <w:ind w:left="5" w:right="20" w:firstLine="751"/>
        <w:spacing w:after="0" w:line="262" w:lineRule="auto"/>
        <w:rPr>
          <w:sz w:val="20"/>
          <w:szCs w:val="20"/>
          <w:color w:val="auto"/>
        </w:rPr>
      </w:pPr>
      <w:r>
        <w:rPr>
          <w:rFonts w:ascii="Times New Roman" w:cs="Times New Roman" w:eastAsia="Times New Roman" w:hAnsi="Times New Roman"/>
          <w:sz w:val="19"/>
          <w:szCs w:val="19"/>
          <w:color w:val="auto"/>
        </w:rPr>
        <w:t>The Company shall file all disclosures with respect to this Policy in accordance with the requirements of the federal securities laws, including the disclosure required by the applicable SEC filings.</w:t>
      </w:r>
    </w:p>
    <w:p>
      <w:pPr>
        <w:spacing w:after="0" w:line="162" w:lineRule="exact"/>
        <w:rPr>
          <w:sz w:val="20"/>
          <w:szCs w:val="20"/>
          <w:color w:val="auto"/>
        </w:rPr>
      </w:pPr>
    </w:p>
    <w:p>
      <w:pPr>
        <w:ind w:left="5"/>
        <w:spacing w:after="0"/>
        <w:tabs>
          <w:tab w:leader="none" w:pos="485" w:val="left"/>
        </w:tabs>
        <w:rPr>
          <w:sz w:val="20"/>
          <w:szCs w:val="20"/>
          <w:color w:val="auto"/>
        </w:rPr>
      </w:pPr>
      <w:r>
        <w:rPr>
          <w:rFonts w:ascii="Times New Roman" w:cs="Times New Roman" w:eastAsia="Times New Roman" w:hAnsi="Times New Roman"/>
          <w:sz w:val="19"/>
          <w:szCs w:val="19"/>
          <w:color w:val="auto"/>
        </w:rPr>
        <w:t>VI.</w:t>
        <w:tab/>
        <w:t>INDEMNIFICATION PROHIBITION.</w:t>
      </w:r>
    </w:p>
    <w:p>
      <w:pPr>
        <w:spacing w:after="0" w:line="207" w:lineRule="exact"/>
        <w:rPr>
          <w:sz w:val="20"/>
          <w:szCs w:val="20"/>
          <w:color w:val="auto"/>
        </w:rPr>
      </w:pPr>
    </w:p>
    <w:p>
      <w:pPr>
        <w:ind w:left="5" w:firstLine="751"/>
        <w:spacing w:after="0" w:line="262" w:lineRule="auto"/>
        <w:rPr>
          <w:sz w:val="20"/>
          <w:szCs w:val="20"/>
          <w:color w:val="auto"/>
        </w:rPr>
      </w:pPr>
      <w:r>
        <w:rPr>
          <w:rFonts w:ascii="Times New Roman" w:cs="Times New Roman" w:eastAsia="Times New Roman" w:hAnsi="Times New Roman"/>
          <w:sz w:val="19"/>
          <w:szCs w:val="19"/>
          <w:color w:val="auto"/>
        </w:rPr>
        <w:t>The Company Group shall not be permitted to indemnify any Covered Individual against (i) the loss of any Erroneously Awarded Compensation that is repaid, returned, or recovered pursuant to the terms of this Policy, or (ii) any claims relating to the Company Group’s</w:t>
      </w:r>
    </w:p>
    <w:p>
      <w:pPr>
        <w:spacing w:after="0" w:line="4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584200</wp:posOffset>
            </wp:positionV>
            <wp:extent cx="7174865" cy="406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4" w:right="31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9"/>
          <w:szCs w:val="19"/>
          <w:color w:val="auto"/>
        </w:rPr>
        <w:t>Exhibit 97</w:t>
      </w:r>
    </w:p>
    <w:p>
      <w:pPr>
        <w:spacing w:after="0" w:line="200" w:lineRule="exact"/>
        <w:rPr>
          <w:sz w:val="20"/>
          <w:szCs w:val="20"/>
          <w:color w:val="auto"/>
        </w:rPr>
      </w:pPr>
    </w:p>
    <w:p>
      <w:pPr>
        <w:spacing w:after="0" w:line="279" w:lineRule="exact"/>
        <w:rPr>
          <w:sz w:val="20"/>
          <w:szCs w:val="20"/>
          <w:color w:val="auto"/>
        </w:rPr>
      </w:pPr>
    </w:p>
    <w:p>
      <w:pPr>
        <w:jc w:val="both"/>
        <w:ind w:left="5"/>
        <w:spacing w:after="0" w:line="248" w:lineRule="auto"/>
        <w:rPr>
          <w:sz w:val="20"/>
          <w:szCs w:val="20"/>
          <w:color w:val="auto"/>
        </w:rPr>
      </w:pPr>
      <w:r>
        <w:rPr>
          <w:rFonts w:ascii="Times New Roman" w:cs="Times New Roman" w:eastAsia="Times New Roman" w:hAnsi="Times New Roman"/>
          <w:sz w:val="19"/>
          <w:szCs w:val="19"/>
          <w:color w:val="auto"/>
        </w:rPr>
        <w:t>enforcement of its rights under this Policy. Further, the Company Group shall not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date this Policy was adopted).</w:t>
      </w:r>
    </w:p>
    <w:p>
      <w:pPr>
        <w:spacing w:after="0" w:line="174" w:lineRule="exact"/>
        <w:rPr>
          <w:sz w:val="20"/>
          <w:szCs w:val="20"/>
          <w:color w:val="auto"/>
        </w:rPr>
      </w:pPr>
    </w:p>
    <w:p>
      <w:pPr>
        <w:ind w:left="5"/>
        <w:spacing w:after="0"/>
        <w:tabs>
          <w:tab w:leader="none" w:pos="485" w:val="left"/>
        </w:tabs>
        <w:rPr>
          <w:sz w:val="20"/>
          <w:szCs w:val="20"/>
          <w:color w:val="auto"/>
        </w:rPr>
      </w:pPr>
      <w:r>
        <w:rPr>
          <w:rFonts w:ascii="Times New Roman" w:cs="Times New Roman" w:eastAsia="Times New Roman" w:hAnsi="Times New Roman"/>
          <w:sz w:val="19"/>
          <w:szCs w:val="19"/>
          <w:color w:val="auto"/>
        </w:rPr>
        <w:t>VII.</w:t>
        <w:tab/>
        <w:t>INTERPRETATION.</w:t>
      </w:r>
    </w:p>
    <w:p>
      <w:pPr>
        <w:spacing w:after="0" w:line="207" w:lineRule="exact"/>
        <w:rPr>
          <w:sz w:val="20"/>
          <w:szCs w:val="20"/>
          <w:color w:val="auto"/>
        </w:rPr>
      </w:pPr>
    </w:p>
    <w:p>
      <w:pPr>
        <w:jc w:val="both"/>
        <w:ind w:left="5" w:right="20" w:firstLine="751"/>
        <w:spacing w:after="0" w:line="262" w:lineRule="auto"/>
        <w:rPr>
          <w:sz w:val="20"/>
          <w:szCs w:val="20"/>
          <w:color w:val="auto"/>
        </w:rPr>
      </w:pPr>
      <w:r>
        <w:rPr>
          <w:rFonts w:ascii="Times New Roman" w:cs="Times New Roman" w:eastAsia="Times New Roman" w:hAnsi="Times New Roman"/>
          <w:sz w:val="19"/>
          <w:szCs w:val="19"/>
          <w:color w:val="auto"/>
        </w:rPr>
        <w:t>The Committee is authorized to interpret and construe this Policy and to make all determinations necessary, appropriate, or advisable for the administration of this Policy.</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color w:val="auto"/>
        </w:rPr>
        <w:t>VIII.  AMENDMENT; TERMINATION.</w:t>
      </w:r>
    </w:p>
    <w:p>
      <w:pPr>
        <w:spacing w:after="0" w:line="207" w:lineRule="exact"/>
        <w:rPr>
          <w:sz w:val="20"/>
          <w:szCs w:val="20"/>
          <w:color w:val="auto"/>
        </w:rPr>
      </w:pPr>
    </w:p>
    <w:p>
      <w:pPr>
        <w:jc w:val="both"/>
        <w:ind w:left="5" w:firstLine="751"/>
        <w:spacing w:after="0" w:line="238" w:lineRule="auto"/>
        <w:rPr>
          <w:sz w:val="20"/>
          <w:szCs w:val="20"/>
          <w:color w:val="auto"/>
        </w:rPr>
      </w:pPr>
      <w:r>
        <w:rPr>
          <w:rFonts w:ascii="Times New Roman" w:cs="Times New Roman" w:eastAsia="Times New Roman" w:hAnsi="Times New Roman"/>
          <w:sz w:val="19"/>
          <w:szCs w:val="19"/>
          <w:color w:val="auto"/>
        </w:rPr>
        <w:t>The Committee may amend this Policy from time to time in its discretion and shall amend this Policy as it 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paragraph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spacing w:after="0" w:line="186" w:lineRule="exact"/>
        <w:rPr>
          <w:sz w:val="20"/>
          <w:szCs w:val="20"/>
          <w:color w:val="auto"/>
        </w:rPr>
      </w:pPr>
    </w:p>
    <w:p>
      <w:pPr>
        <w:ind w:left="5"/>
        <w:spacing w:after="0"/>
        <w:tabs>
          <w:tab w:leader="none" w:pos="485" w:val="left"/>
        </w:tabs>
        <w:rPr>
          <w:sz w:val="20"/>
          <w:szCs w:val="20"/>
          <w:color w:val="auto"/>
        </w:rPr>
      </w:pPr>
      <w:r>
        <w:rPr>
          <w:rFonts w:ascii="Times New Roman" w:cs="Times New Roman" w:eastAsia="Times New Roman" w:hAnsi="Times New Roman"/>
          <w:sz w:val="19"/>
          <w:szCs w:val="19"/>
          <w:color w:val="auto"/>
        </w:rPr>
        <w:t>IX.</w:t>
        <w:tab/>
        <w:t>OTHER RECOUPMENT RIGHTS; NO ADDITIONAL PAYMENTS.</w:t>
      </w:r>
    </w:p>
    <w:p>
      <w:pPr>
        <w:spacing w:after="0" w:line="207" w:lineRule="exact"/>
        <w:rPr>
          <w:sz w:val="20"/>
          <w:szCs w:val="20"/>
          <w:color w:val="auto"/>
        </w:rPr>
      </w:pPr>
    </w:p>
    <w:p>
      <w:pPr>
        <w:jc w:val="both"/>
        <w:ind w:left="5" w:firstLine="751"/>
        <w:spacing w:after="0" w:line="237" w:lineRule="auto"/>
        <w:rPr>
          <w:sz w:val="20"/>
          <w:szCs w:val="20"/>
          <w:color w:val="auto"/>
        </w:rPr>
      </w:pPr>
      <w:r>
        <w:rPr>
          <w:rFonts w:ascii="Times New Roman" w:cs="Times New Roman" w:eastAsia="Times New Roman" w:hAnsi="Times New Roman"/>
          <w:sz w:val="19"/>
          <w:szCs w:val="19"/>
          <w:color w:val="auto"/>
        </w:rPr>
        <w:t>The Committee intends that this Policy will be applied to the fullest extent of the law. The Committee may require that any incentive compensation agreement, equity award agreement, or any other agreement entered into on or after the date of adoption of this Policy shall, as a condition to the grant of any benefit thereunder, require a Covered Individual to agree to abide by the terms of this Policy.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Notwithstanding the preceding sentence, upon the Effective Date of this Policy, this Policy shall supersede and replace that certain Incentive Compensation Clawback Policy adopted by the Company on July 31, 2012. For the avoidance of doubt, any Covered Individual that is subject to this Policy shall not also be subject to the terms of the Company’s Broad-Based Compensation Recovery Policy and this Policy shall govern the terms of any recovery of Incentive-Based Compensation Received by such Covered Individual.</w:t>
      </w:r>
    </w:p>
    <w:p>
      <w:pPr>
        <w:spacing w:after="0" w:line="184" w:lineRule="exact"/>
        <w:rPr>
          <w:sz w:val="20"/>
          <w:szCs w:val="20"/>
          <w:color w:val="auto"/>
        </w:rPr>
      </w:pPr>
    </w:p>
    <w:p>
      <w:pPr>
        <w:ind w:left="505" w:hanging="505"/>
        <w:spacing w:after="0"/>
        <w:tabs>
          <w:tab w:leader="none" w:pos="505"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SUCCESSORS.</w:t>
      </w:r>
    </w:p>
    <w:p>
      <w:pPr>
        <w:spacing w:after="0" w:line="207" w:lineRule="exact"/>
        <w:rPr>
          <w:sz w:val="20"/>
          <w:szCs w:val="20"/>
          <w:color w:val="auto"/>
        </w:rPr>
      </w:pPr>
    </w:p>
    <w:p>
      <w:pPr>
        <w:ind w:left="5" w:right="20" w:firstLine="751"/>
        <w:spacing w:after="0" w:line="262" w:lineRule="auto"/>
        <w:rPr>
          <w:sz w:val="20"/>
          <w:szCs w:val="20"/>
          <w:color w:val="auto"/>
        </w:rPr>
      </w:pPr>
      <w:r>
        <w:rPr>
          <w:rFonts w:ascii="Times New Roman" w:cs="Times New Roman" w:eastAsia="Times New Roman" w:hAnsi="Times New Roman"/>
          <w:sz w:val="19"/>
          <w:szCs w:val="19"/>
          <w:color w:val="auto"/>
        </w:rPr>
        <w:t>This Policy shall be binding and enforceable against all Covered Individuals and their beneficiaries, heirs, executors, administrators, or other legal representatives.</w:t>
      </w:r>
    </w:p>
    <w:p>
      <w:pPr>
        <w:spacing w:after="0" w:line="23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584200</wp:posOffset>
            </wp:positionV>
            <wp:extent cx="7174865" cy="40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4" w:right="31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9"/>
          <w:szCs w:val="19"/>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 * * *</w:t>
      </w:r>
    </w:p>
    <w:p>
      <w:pPr>
        <w:spacing w:after="0" w:line="1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584200</wp:posOffset>
            </wp:positionV>
            <wp:extent cx="7174865" cy="406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40"/>
          </w:cols>
          <w:pgMar w:left="1440" w:top="684" w:right="319" w:bottom="1440" w:gutter="0" w:footer="0" w:header="0"/>
        </w:sectPr>
      </w:pPr>
    </w:p>
    <w:bookmarkStart w:id="128" w:name="page129"/>
    <w:bookmarkEnd w:id="1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1)"/>
      <w:numFmt w:val="lowerLetter"/>
      <w:start w:val="1"/>
    </w:lvl>
  </w:abstractNum>
  <w:abstractNum w:abstractNumId="20">
    <w:nsid w:val="39386575"/>
    <w:multiLevelType w:val="hybridMultilevel"/>
    <w:lvl w:ilvl="0">
      <w:lvlJc w:val="left"/>
      <w:lvlText w:val="(%1)"/>
      <w:numFmt w:val="lowerLetter"/>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1)"/>
      <w:numFmt w:val="lowerLetter"/>
      <w:start w:val="1"/>
    </w:lvl>
  </w:abstractNum>
  <w:abstractNum w:abstractNumId="27">
    <w:nsid w:val="741226BB"/>
    <w:multiLevelType w:val="hybridMultilevel"/>
    <w:lvl w:ilvl="0">
      <w:lvlJc w:val="left"/>
      <w:lvlText w:val="(%1)"/>
      <w:numFmt w:val="lowerLetter"/>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o"/>
      <w:numFmt w:val="bullet"/>
      <w:start w:val="1"/>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1)"/>
      <w:numFmt w:val="lowerLetter"/>
      <w:start w:val="1"/>
    </w:lvl>
  </w:abstractNum>
  <w:abstractNum w:abstractNumId="32">
    <w:nsid w:val="7E0C57B1"/>
    <w:multiLevelType w:val="hybridMultilevel"/>
    <w:lvl w:ilvl="0">
      <w:lvlJc w:val="left"/>
      <w:lvlText w:val="(%1)"/>
      <w:numFmt w:val="lowerLetter"/>
      <w:start w:val="1"/>
    </w:lvl>
  </w:abstractNum>
  <w:abstractNum w:abstractNumId="33">
    <w:nsid w:val="77AE35EB"/>
    <w:multiLevelType w:val="hybridMultilevel"/>
    <w:lvl w:ilvl="0">
      <w:lvlJc w:val="left"/>
      <w:lvlText w:val="(%1)"/>
      <w:numFmt w:val="lowerLetter"/>
      <w:start w:val="1"/>
    </w:lvl>
  </w:abstractNum>
  <w:abstractNum w:abstractNumId="34">
    <w:nsid w:val="579BE4F1"/>
    <w:multiLevelType w:val="hybridMultilevel"/>
    <w:lvl w:ilvl="0">
      <w:lvlJc w:val="left"/>
      <w:lvlText w:val="(%1)"/>
      <w:numFmt w:val="decimal"/>
      <w:start w:val="2"/>
    </w:lvl>
  </w:abstractNum>
  <w:abstractNum w:abstractNumId="35">
    <w:nsid w:val="310C50B3"/>
    <w:multiLevelType w:val="hybridMultilevel"/>
    <w:lvl w:ilvl="0">
      <w:lvlJc w:val="left"/>
      <w:lvlText w:val="(%1)"/>
      <w:numFmt w:val="lowerRoman"/>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1)"/>
      <w:numFmt w:val="lowerLetter"/>
      <w:start w:val="1"/>
    </w:lvl>
  </w:abstractNum>
  <w:abstractNum w:abstractNumId="38">
    <w:nsid w:val="25A70BF7"/>
    <w:multiLevelType w:val="hybridMultilevel"/>
    <w:lvl w:ilvl="0">
      <w:lvlJc w:val="left"/>
      <w:lvlText w:val="(%1)"/>
      <w:numFmt w:val="lowerLetter"/>
      <w:start w:val="1"/>
    </w:lvl>
  </w:abstractNum>
  <w:abstractNum w:abstractNumId="39">
    <w:nsid w:val="1DBABF00"/>
    <w:multiLevelType w:val="hybridMultilevel"/>
    <w:lvl w:ilvl="0">
      <w:lvlJc w:val="left"/>
      <w:lvlText w:val="(%1)"/>
      <w:numFmt w:val="decimal"/>
      <w:start w:val="3"/>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1)"/>
      <w:numFmt w:val="decimal"/>
      <w:start w:val="4"/>
    </w:lvl>
  </w:abstractNum>
  <w:abstractNum w:abstractNumId="42">
    <w:nsid w:val="1381823A"/>
    <w:multiLevelType w:val="hybridMultilevel"/>
    <w:lvl w:ilvl="0">
      <w:lvlJc w:val="left"/>
      <w:lvlText w:val="(%1)"/>
      <w:numFmt w:val="decimal"/>
      <w:start w:val="5"/>
    </w:lvl>
  </w:abstractNum>
  <w:abstractNum w:abstractNumId="43">
    <w:nsid w:val="5DB70AE5"/>
    <w:multiLevelType w:val="hybridMultilevel"/>
    <w:lvl w:ilvl="0">
      <w:lvlJc w:val="left"/>
      <w:lvlText w:val="(%1)"/>
      <w:numFmt w:val="lowerLetter"/>
      <w:start w:val="1"/>
    </w:lvl>
  </w:abstractNum>
  <w:abstractNum w:abstractNumId="44">
    <w:nsid w:val="100F8FCA"/>
    <w:multiLevelType w:val="hybridMultilevel"/>
    <w:lvl w:ilvl="0">
      <w:lvlJc w:val="left"/>
      <w:lvlText w:val="(%1)"/>
      <w:numFmt w:val="decimal"/>
      <w:start w:val="6"/>
    </w:lvl>
  </w:abstractNum>
  <w:abstractNum w:abstractNumId="45">
    <w:nsid w:val="6590700B"/>
    <w:multiLevelType w:val="hybridMultilevel"/>
    <w:lvl w:ilvl="0">
      <w:lvlJc w:val="left"/>
      <w:lvlText w:val="(%1)"/>
      <w:numFmt w:val="decimal"/>
      <w:start w:val="7"/>
    </w:lvl>
  </w:abstractNum>
  <w:abstractNum w:abstractNumId="46">
    <w:nsid w:val="15014ACB"/>
    <w:multiLevelType w:val="hybridMultilevel"/>
    <w:lvl w:ilvl="0">
      <w:lvlJc w:val="left"/>
      <w:lvlText w:val="(%1)"/>
      <w:numFmt w:val="lowerLetter"/>
      <w:start w:val="1"/>
    </w:lvl>
  </w:abstractNum>
  <w:abstractNum w:abstractNumId="47">
    <w:nsid w:val="5F5E7FD0"/>
    <w:multiLevelType w:val="hybridMultilevel"/>
    <w:lvl w:ilvl="0">
      <w:lvlJc w:val="left"/>
      <w:lvlText w:val="(%1)"/>
      <w:numFmt w:val="decimal"/>
      <w:start w:val="8"/>
    </w:lvl>
  </w:abstractNum>
  <w:abstractNum w:abstractNumId="48">
    <w:nsid w:val="98A3148"/>
    <w:multiLevelType w:val="hybridMultilevel"/>
    <w:lvl w:ilvl="0">
      <w:lvlJc w:val="left"/>
      <w:lvlText w:val="(%1)"/>
      <w:numFmt w:val="decimal"/>
      <w:start w:val="9"/>
    </w:lvl>
  </w:abstractNum>
  <w:abstractNum w:abstractNumId="49">
    <w:nsid w:val="799D0247"/>
    <w:multiLevelType w:val="hybridMultilevel"/>
    <w:lvl w:ilvl="0">
      <w:lvlJc w:val="left"/>
      <w:lvlText w:val="(%1)"/>
      <w:numFmt w:val="decimal"/>
      <w:start w:val="10"/>
    </w:lvl>
  </w:abstractNum>
  <w:abstractNum w:abstractNumId="50">
    <w:nsid w:val="6B94764"/>
    <w:multiLevelType w:val="hybridMultilevel"/>
    <w:lvl w:ilvl="0">
      <w:lvlJc w:val="left"/>
      <w:lvlText w:val="(%1)"/>
      <w:numFmt w:val="decimal"/>
      <w:start w:val="11"/>
    </w:lvl>
  </w:abstractNum>
  <w:abstractNum w:abstractNumId="51">
    <w:nsid w:val="42C296BD"/>
    <w:multiLevelType w:val="hybridMultilevel"/>
    <w:lvl w:ilvl="0">
      <w:lvlJc w:val="left"/>
      <w:lvlText w:val="(%1)"/>
      <w:numFmt w:val="decimal"/>
      <w:start w:val="12"/>
    </w:lvl>
  </w:abstractNum>
  <w:abstractNum w:abstractNumId="52">
    <w:nsid w:val="168E121F"/>
    <w:multiLevelType w:val="hybridMultilevel"/>
    <w:lvl w:ilvl="0">
      <w:lvlJc w:val="left"/>
      <w:lvlText w:val="(%1)"/>
      <w:numFmt w:val="decimal"/>
      <w:start w:val="13"/>
    </w:lvl>
  </w:abstractNum>
  <w:abstractNum w:abstractNumId="53">
    <w:nsid w:val="1EBA5D23"/>
    <w:multiLevelType w:val="hybridMultilevel"/>
    <w:lvl w:ilvl="0">
      <w:lvlJc w:val="left"/>
      <w:lvlText w:val="(%1)"/>
      <w:numFmt w:val="lowerLetter"/>
      <w:start w:val="1"/>
    </w:lvl>
  </w:abstractNum>
  <w:abstractNum w:abstractNumId="54">
    <w:nsid w:val="661E3F1E"/>
    <w:multiLevelType w:val="hybridMultilevel"/>
    <w:lvl w:ilvl="0">
      <w:lvlJc w:val="left"/>
      <w:lvlText w:val="(%1)"/>
      <w:numFmt w:val="lowerLetter"/>
      <w:start w:val="1"/>
    </w:lvl>
  </w:abstractNum>
  <w:abstractNum w:abstractNumId="55">
    <w:nsid w:val="5DC79EA8"/>
    <w:multiLevelType w:val="hybridMultilevel"/>
    <w:lvl w:ilvl="0">
      <w:lvlJc w:val="left"/>
      <w:lvlText w:val="(%1)"/>
      <w:numFmt w:val="decimal"/>
      <w:start w:val="14"/>
    </w:lvl>
  </w:abstractNum>
  <w:abstractNum w:abstractNumId="56">
    <w:nsid w:val="540A471C"/>
    <w:multiLevelType w:val="hybridMultilevel"/>
    <w:lvl w:ilvl="0">
      <w:lvlJc w:val="left"/>
      <w:lvlText w:val="(%1)"/>
      <w:numFmt w:val="lowerLetter"/>
      <w:start w:val="1"/>
    </w:lvl>
  </w:abstractNum>
  <w:abstractNum w:abstractNumId="57">
    <w:nsid w:val="7BD3EE7B"/>
    <w:multiLevelType w:val="hybridMultilevel"/>
    <w:lvl w:ilvl="0">
      <w:lvlJc w:val="left"/>
      <w:lvlText w:val="(%1)"/>
      <w:numFmt w:val="lowerLetter"/>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1)"/>
      <w:numFmt w:val="lowerLetter"/>
      <w:start w:val="1"/>
    </w:lvl>
  </w:abstractNum>
  <w:abstractNum w:abstractNumId="61">
    <w:nsid w:val="11447B73"/>
    <w:multiLevelType w:val="hybridMultilevel"/>
    <w:lvl w:ilvl="0">
      <w:lvlJc w:val="left"/>
      <w:lvlText w:val="(%1)"/>
      <w:numFmt w:val="lowerLetter"/>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1)"/>
      <w:numFmt w:val="lowerLetter"/>
      <w:start w:val="1"/>
    </w:lvl>
  </w:abstractNum>
  <w:abstractNum w:abstractNumId="65">
    <w:nsid w:val="1A32234B"/>
    <w:multiLevelType w:val="hybridMultilevel"/>
    <w:lvl w:ilvl="0">
      <w:lvlJc w:val="left"/>
      <w:lvlText w:val="(%1)"/>
      <w:numFmt w:val="lowerLetter"/>
      <w:start w:val="1"/>
    </w:lvl>
  </w:abstractNum>
  <w:abstractNum w:abstractNumId="66">
    <w:nsid w:val="3B0FD379"/>
    <w:multiLevelType w:val="hybridMultilevel"/>
    <w:lvl w:ilvl="0">
      <w:lvlJc w:val="left"/>
      <w:lvlText w:val="(%1)"/>
      <w:numFmt w:val="decimal"/>
      <w:start w:val="15"/>
    </w:lvl>
  </w:abstractNum>
  <w:abstractNum w:abstractNumId="67">
    <w:nsid w:val="68EB2F63"/>
    <w:multiLevelType w:val="hybridMultilevel"/>
    <w:lvl w:ilvl="0">
      <w:lvlJc w:val="left"/>
      <w:lvlText w:val="(%1)"/>
      <w:numFmt w:val="lowerLetter"/>
      <w:start w:val="1"/>
    </w:lvl>
  </w:abstractNum>
  <w:abstractNum w:abstractNumId="68">
    <w:nsid w:val="4962813B"/>
    <w:multiLevelType w:val="hybridMultilevel"/>
    <w:lvl w:ilvl="0">
      <w:lvlJc w:val="left"/>
      <w:lvlText w:val="(%1)"/>
      <w:numFmt w:val="lowerLetter"/>
      <w:start w:val="1"/>
    </w:lvl>
  </w:abstractNum>
  <w:abstractNum w:abstractNumId="69">
    <w:nsid w:val="60B6DF70"/>
    <w:multiLevelType w:val="hybridMultilevel"/>
    <w:lvl w:ilvl="0">
      <w:lvlJc w:val="left"/>
      <w:lvlText w:val="(%1)"/>
      <w:numFmt w:val="lowerLetter"/>
      <w:start w:val="3"/>
    </w:lvl>
  </w:abstractNum>
  <w:abstractNum w:abstractNumId="70">
    <w:nsid w:val="6A5EE64"/>
    <w:multiLevelType w:val="hybridMultilevel"/>
    <w:lvl w:ilvl="0">
      <w:lvlJc w:val="left"/>
      <w:lvlText w:val="%1"/>
      <w:numFmt w:val="decimal"/>
      <w:start w:val="97"/>
    </w:lvl>
  </w:abstractNum>
  <w:abstractNum w:abstractNumId="71">
    <w:nsid w:val="14330624"/>
    <w:multiLevelType w:val="hybridMultilevel"/>
    <w:lvl w:ilvl="0">
      <w:lvlJc w:val="left"/>
      <w:lvlText w:val="**"/>
      <w:numFmt w:val="bullet"/>
      <w:start w:val="1"/>
    </w:lvl>
    <w:lvl w:ilvl="1">
      <w:lvlJc w:val="left"/>
      <w:lvlText w:val="%2"/>
      <w:numFmt w:val="decimal"/>
      <w:start w:val="104"/>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1."/>
      <w:numFmt w:val="decimal"/>
      <w:start w:val="1"/>
    </w:lvl>
    <w:lvl w:ilvl="1">
      <w:lvlJc w:val="left"/>
      <w:lvlText w:val="(%2)"/>
      <w:numFmt w:val="lowerLetter"/>
      <w:start w:val="1"/>
    </w:lvl>
  </w:abstractNum>
  <w:abstractNum w:abstractNumId="74">
    <w:nsid w:val="71EA1109"/>
    <w:multiLevelType w:val="hybridMultilevel"/>
    <w:lvl w:ilvl="0">
      <w:lvlJc w:val="left"/>
      <w:lvlText w:val="(%1)"/>
      <w:numFmt w:val="lowerLetter"/>
      <w:start w:val="3"/>
    </w:lvl>
  </w:abstractNum>
  <w:abstractNum w:abstractNumId="75">
    <w:nsid w:val="100F59DC"/>
    <w:multiLevelType w:val="hybridMultilevel"/>
    <w:lvl w:ilvl="0">
      <w:lvlJc w:val="left"/>
      <w:lvlText w:val="%1."/>
      <w:numFmt w:val="decimal"/>
      <w:start w:val="3"/>
    </w:lvl>
  </w:abstractNum>
  <w:abstractNum w:abstractNumId="76">
    <w:nsid w:val="7FB7E0AA"/>
    <w:multiLevelType w:val="hybridMultilevel"/>
    <w:lvl w:ilvl="0">
      <w:lvlJc w:val="left"/>
      <w:lvlText w:val="%1."/>
      <w:numFmt w:val="decimal"/>
      <w:start w:val="4"/>
    </w:lvl>
  </w:abstractNum>
  <w:abstractNum w:abstractNumId="77">
    <w:nsid w:val="6EB5BD4"/>
    <w:multiLevelType w:val="hybridMultilevel"/>
    <w:lvl w:ilvl="0">
      <w:lvlJc w:val="left"/>
      <w:lvlText w:val="%1."/>
      <w:numFmt w:val="decimal"/>
      <w:start w:val="5"/>
    </w:lvl>
  </w:abstractNum>
  <w:abstractNum w:abstractNumId="78">
    <w:nsid w:val="6F6DD9AC"/>
    <w:multiLevelType w:val="hybridMultilevel"/>
    <w:lvl w:ilvl="0">
      <w:lvlJc w:val="left"/>
      <w:lvlText w:val="%1."/>
      <w:numFmt w:val="decimal"/>
      <w:start w:val="6"/>
    </w:lvl>
  </w:abstractNum>
  <w:abstractNum w:abstractNumId="79">
    <w:nsid w:val="94211F2"/>
    <w:multiLevelType w:val="hybridMultilevel"/>
    <w:lvl w:ilvl="0">
      <w:lvlJc w:val="left"/>
      <w:lvlText w:val="%1."/>
      <w:numFmt w:val="decimal"/>
      <w:start w:val="13"/>
    </w:lvl>
  </w:abstractNum>
  <w:abstractNum w:abstractNumId="80">
    <w:nsid w:val="885E1B"/>
    <w:multiLevelType w:val="hybridMultilevel"/>
    <w:lvl w:ilvl="0">
      <w:lvlJc w:val="left"/>
      <w:lvlText w:val="%1."/>
      <w:numFmt w:val="decimal"/>
      <w:start w:val="1"/>
    </w:lvl>
    <w:lvl w:ilvl="1">
      <w:lvlJc w:val="left"/>
      <w:lvlText w:val="(%2)"/>
      <w:numFmt w:val="lowerLetter"/>
      <w:start w:val="1"/>
    </w:lvl>
  </w:abstractNum>
  <w:abstractNum w:abstractNumId="81">
    <w:nsid w:val="76272110"/>
    <w:multiLevelType w:val="hybridMultilevel"/>
    <w:lvl w:ilvl="0">
      <w:lvlJc w:val="left"/>
      <w:lvlText w:val="%1."/>
      <w:numFmt w:val="decimal"/>
      <w:start w:val="1"/>
    </w:lvl>
    <w:lvl w:ilvl="1">
      <w:lvlJc w:val="left"/>
      <w:lvlText w:val="(%2)"/>
      <w:numFmt w:val="lowerLetter"/>
      <w:start w:val="1"/>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1."/>
      <w:numFmt w:val="upperLetter"/>
      <w:start w:val="9"/>
    </w:lvl>
  </w:abstractNum>
  <w:abstractNum w:abstractNumId="85">
    <w:nsid w:val="3222E7CD"/>
    <w:multiLevelType w:val="hybridMultilevel"/>
    <w:lvl w:ilvl="0">
      <w:lvlJc w:val="left"/>
      <w:lvlText w:val="%1."/>
      <w:numFmt w:val="upperLetter"/>
      <w:start w:val="35"/>
    </w:lvl>
  </w:abstractNum>
  <w:abstractNum w:abstractNumId="86">
    <w:nsid w:val="74DE0EE3"/>
    <w:multiLevelType w:val="hybridMultilevel"/>
    <w:lvl w:ilvl="0">
      <w:lvlJc w:val="left"/>
      <w:lvlText w:val="%1."/>
      <w:numFmt w:val="upperLetter"/>
      <w:start w:val="61"/>
    </w:lvl>
  </w:abstractNum>
  <w:abstractNum w:abstractNumId="87">
    <w:nsid w:val="68EBC550"/>
    <w:multiLevelType w:val="hybridMultilevel"/>
    <w:lvl w:ilvl="0">
      <w:lvlJc w:val="left"/>
      <w:lvlText w:val="%1"/>
      <w:numFmt w:val="decimal"/>
      <w:start w:val="1"/>
    </w:lvl>
    <w:lvl w:ilvl="1">
      <w:lvlJc w:val="left"/>
      <w:lvlText w:val="(%2)"/>
      <w:numFmt w:val="lowerLetter"/>
      <w:start w:val="1"/>
    </w:lvl>
  </w:abstractNum>
  <w:abstractNum w:abstractNumId="88">
    <w:nsid w:val="2DF6D648"/>
    <w:multiLevelType w:val="hybridMultilevel"/>
    <w:lvl w:ilvl="0">
      <w:lvlJc w:val="left"/>
      <w:lvlText w:val="(%1)"/>
      <w:numFmt w:val="decimal"/>
      <w:start w:val="30"/>
    </w:lvl>
    <w:lvl w:ilvl="1">
      <w:lvlJc w:val="left"/>
      <w:lvlText w:val="%2"/>
      <w:numFmt w:val="lowerLetter"/>
      <w:start w:val="1"/>
    </w:lvl>
  </w:abstractNum>
  <w:abstractNum w:abstractNumId="89">
    <w:nsid w:val="46B7D447"/>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90">
    <w:nsid w:val="4A2AC315"/>
    <w:multiLevelType w:val="hybridMultilevel"/>
    <w:lvl w:ilvl="0">
      <w:lvlJc w:val="left"/>
      <w:lvlText w:val="%1."/>
      <w:numFmt w:val="upperLetter"/>
      <w:start w:val="22"/>
    </w:lvl>
    <w:lvl w:ilvl="1">
      <w:lvlJc w:val="left"/>
      <w:lvlText w:val="%2"/>
      <w:numFmt w:val="lowerLetter"/>
      <w:start w:val="1"/>
    </w:lvl>
    <w:lvl w:ilvl="2">
      <w:lvlJc w:val="left"/>
      <w:lvlText w:val="%3"/>
      <w:numFmt w:val="lowerRoman"/>
      <w:start w:val="1"/>
    </w:lvl>
  </w:abstractNum>
  <w:abstractNum w:abstractNumId="91">
    <w:nsid w:val="39EE015C"/>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17" Type="http://schemas.openxmlformats.org/officeDocument/2006/relationships/image" Target="media/image288.png"/><Relationship Id="rId318" Type="http://schemas.openxmlformats.org/officeDocument/2006/relationships/image" Target="media/image289.png"/><Relationship Id="rId319" Type="http://schemas.openxmlformats.org/officeDocument/2006/relationships/image" Target="media/image290.png"/><Relationship Id="rId320" Type="http://schemas.openxmlformats.org/officeDocument/2006/relationships/image" Target="media/image291.png"/><Relationship Id="rId321" Type="http://schemas.openxmlformats.org/officeDocument/2006/relationships/image" Target="media/image292.png"/><Relationship Id="rId322" Type="http://schemas.openxmlformats.org/officeDocument/2006/relationships/image" Target="media/image293.png"/><Relationship Id="rId323" Type="http://schemas.openxmlformats.org/officeDocument/2006/relationships/image" Target="media/image294.png"/><Relationship Id="rId324" Type="http://schemas.openxmlformats.org/officeDocument/2006/relationships/image" Target="media/image295.png"/><Relationship Id="rId325" Type="http://schemas.openxmlformats.org/officeDocument/2006/relationships/image" Target="media/image296.png"/><Relationship Id="rId326" Type="http://schemas.openxmlformats.org/officeDocument/2006/relationships/image" Target="media/image297.png"/><Relationship Id="rId327" Type="http://schemas.openxmlformats.org/officeDocument/2006/relationships/image" Target="media/image298.png"/><Relationship Id="rId328" Type="http://schemas.openxmlformats.org/officeDocument/2006/relationships/image" Target="media/image299.png"/><Relationship Id="rId329" Type="http://schemas.openxmlformats.org/officeDocument/2006/relationships/image" Target="media/image300.png"/><Relationship Id="rId330" Type="http://schemas.openxmlformats.org/officeDocument/2006/relationships/image" Target="media/image301.png"/><Relationship Id="rId331" Type="http://schemas.openxmlformats.org/officeDocument/2006/relationships/image" Target="media/image302.png"/><Relationship Id="rId332" Type="http://schemas.openxmlformats.org/officeDocument/2006/relationships/image" Target="media/image303.png"/><Relationship Id="rId333" Type="http://schemas.openxmlformats.org/officeDocument/2006/relationships/image" Target="media/image304.png"/><Relationship Id="rId334" Type="http://schemas.openxmlformats.org/officeDocument/2006/relationships/image" Target="media/image305.png"/><Relationship Id="rId335" Type="http://schemas.openxmlformats.org/officeDocument/2006/relationships/image" Target="media/image306.png"/><Relationship Id="rId336" Type="http://schemas.openxmlformats.org/officeDocument/2006/relationships/image" Target="media/image307.png"/><Relationship Id="rId337" Type="http://schemas.openxmlformats.org/officeDocument/2006/relationships/image" Target="media/image308.png"/><Relationship Id="rId338" Type="http://schemas.openxmlformats.org/officeDocument/2006/relationships/image" Target="media/image309.jpeg"/><Relationship Id="rId339" Type="http://schemas.openxmlformats.org/officeDocument/2006/relationships/image" Target="media/image310.png"/><Relationship Id="rId340" Type="http://schemas.openxmlformats.org/officeDocument/2006/relationships/image" Target="media/image311.png"/><Relationship Id="rId341" Type="http://schemas.openxmlformats.org/officeDocument/2006/relationships/image" Target="media/image312.png"/><Relationship Id="rId342" Type="http://schemas.openxmlformats.org/officeDocument/2006/relationships/image" Target="media/image313.png"/><Relationship Id="rId343" Type="http://schemas.openxmlformats.org/officeDocument/2006/relationships/image" Target="media/image314.png"/><Relationship Id="rId344" Type="http://schemas.openxmlformats.org/officeDocument/2006/relationships/image" Target="media/image315.png"/><Relationship Id="rId345" Type="http://schemas.openxmlformats.org/officeDocument/2006/relationships/image" Target="media/image316.png"/><Relationship Id="rId346" Type="http://schemas.openxmlformats.org/officeDocument/2006/relationships/image" Target="media/image317.png"/><Relationship Id="rId347" Type="http://schemas.openxmlformats.org/officeDocument/2006/relationships/image" Target="media/image318.png"/><Relationship Id="rId348" Type="http://schemas.openxmlformats.org/officeDocument/2006/relationships/image" Target="media/image319.png"/><Relationship Id="rId349" Type="http://schemas.openxmlformats.org/officeDocument/2006/relationships/image" Target="media/image320.png"/><Relationship Id="rId350" Type="http://schemas.openxmlformats.org/officeDocument/2006/relationships/image" Target="media/image321.png"/><Relationship Id="rId351" Type="http://schemas.openxmlformats.org/officeDocument/2006/relationships/image" Target="media/image322.png"/><Relationship Id="rId352" Type="http://schemas.openxmlformats.org/officeDocument/2006/relationships/image" Target="media/image323.png"/><Relationship Id="rId353" Type="http://schemas.openxmlformats.org/officeDocument/2006/relationships/image" Target="media/image324.png"/><Relationship Id="rId354" Type="http://schemas.openxmlformats.org/officeDocument/2006/relationships/image" Target="media/image325.png"/><Relationship Id="rId355" Type="http://schemas.openxmlformats.org/officeDocument/2006/relationships/image" Target="media/image326.png"/><Relationship Id="rId356" Type="http://schemas.openxmlformats.org/officeDocument/2006/relationships/image" Target="media/image327.png"/><Relationship Id="rId357" Type="http://schemas.openxmlformats.org/officeDocument/2006/relationships/image" Target="media/image328.png"/><Relationship Id="rId358" Type="http://schemas.openxmlformats.org/officeDocument/2006/relationships/image" Target="media/image329.png"/><Relationship Id="rId359" Type="http://schemas.openxmlformats.org/officeDocument/2006/relationships/image" Target="media/image330.png"/><Relationship Id="rId360" Type="http://schemas.openxmlformats.org/officeDocument/2006/relationships/image" Target="media/image331.png"/><Relationship Id="rId361" Type="http://schemas.openxmlformats.org/officeDocument/2006/relationships/image" Target="media/image332.png"/><Relationship Id="rId362" Type="http://schemas.openxmlformats.org/officeDocument/2006/relationships/image" Target="media/image333.png"/><Relationship Id="rId363" Type="http://schemas.openxmlformats.org/officeDocument/2006/relationships/image" Target="media/image334.png"/><Relationship Id="rId364" Type="http://schemas.openxmlformats.org/officeDocument/2006/relationships/image" Target="media/image335.png"/><Relationship Id="rId365" Type="http://schemas.openxmlformats.org/officeDocument/2006/relationships/image" Target="media/image336.png"/><Relationship Id="rId366" Type="http://schemas.openxmlformats.org/officeDocument/2006/relationships/image" Target="media/image337.png"/><Relationship Id="rId367" Type="http://schemas.openxmlformats.org/officeDocument/2006/relationships/image" Target="media/image338.png"/><Relationship Id="rId368" Type="http://schemas.openxmlformats.org/officeDocument/2006/relationships/image" Target="media/image339.png"/><Relationship Id="rId369" Type="http://schemas.openxmlformats.org/officeDocument/2006/relationships/image" Target="media/image340.png"/><Relationship Id="rId370" Type="http://schemas.openxmlformats.org/officeDocument/2006/relationships/image" Target="media/image341.png"/><Relationship Id="rId371" Type="http://schemas.openxmlformats.org/officeDocument/2006/relationships/image" Target="media/image342.png"/><Relationship Id="rId372" Type="http://schemas.openxmlformats.org/officeDocument/2006/relationships/image" Target="media/image343.png"/><Relationship Id="rId373" Type="http://schemas.openxmlformats.org/officeDocument/2006/relationships/image" Target="media/image344.png"/><Relationship Id="rId374" Type="http://schemas.openxmlformats.org/officeDocument/2006/relationships/image" Target="media/image345.png"/><Relationship Id="rId375" Type="http://schemas.openxmlformats.org/officeDocument/2006/relationships/image" Target="media/image346.png"/><Relationship Id="rId376" Type="http://schemas.openxmlformats.org/officeDocument/2006/relationships/image" Target="media/image347.png"/><Relationship Id="rId377" Type="http://schemas.openxmlformats.org/officeDocument/2006/relationships/image" Target="media/image348.png"/><Relationship Id="rId378" Type="http://schemas.openxmlformats.org/officeDocument/2006/relationships/image" Target="media/image349.png"/><Relationship Id="rId379" Type="http://schemas.openxmlformats.org/officeDocument/2006/relationships/image" Target="media/image350.png"/><Relationship Id="rId380" Type="http://schemas.openxmlformats.org/officeDocument/2006/relationships/image" Target="media/image351.png"/><Relationship Id="rId381" Type="http://schemas.openxmlformats.org/officeDocument/2006/relationships/image" Target="media/image352.png"/><Relationship Id="rId382" Type="http://schemas.openxmlformats.org/officeDocument/2006/relationships/image" Target="media/image353.png"/><Relationship Id="rId74" Type="http://schemas.openxmlformats.org/officeDocument/2006/relationships/hyperlink" Target="https://www.sec.gov/ix?doc=/Archives/edgar/data/0000871763/000095017024016399/man-20231231.htm" TargetMode="External"/><Relationship Id="rId292" Type="http://schemas.openxmlformats.org/officeDocument/2006/relationships/hyperlink" Target="https://www.sec.gov/Archives/edgar/data/871763/000087176313000024/exhibit_3-1.htm" TargetMode="External"/><Relationship Id="rId295" Type="http://schemas.openxmlformats.org/officeDocument/2006/relationships/hyperlink" Target="https://www.sec.gov/Archives/edgar/data/871763/000095017022015153/man-ex3_1.htm" TargetMode="External"/><Relationship Id="rId296" Type="http://schemas.openxmlformats.org/officeDocument/2006/relationships/hyperlink" Target="https://www.sec.gov/Archives/edgar/data/871763/000089271218000301/exhibit41.htm" TargetMode="External"/><Relationship Id="rId297" Type="http://schemas.openxmlformats.org/officeDocument/2006/relationships/hyperlink" Target="https://www.sec.gov/Archives/edgar/data/871763/000089271222000154/exhibit41.htm" TargetMode="External"/><Relationship Id="rId298" Type="http://schemas.openxmlformats.org/officeDocument/2006/relationships/hyperlink" Target="https://www.sec.gov/Archives/edgar/data/871763/000156459021006974/man-ex43_6.htm" TargetMode="External"/><Relationship Id="rId299" Type="http://schemas.openxmlformats.org/officeDocument/2006/relationships/hyperlink" Target="https://www.sec.gov/Archives/edgar/data/871763/000119312522162367/d350264dex101.htm" TargetMode="External"/><Relationship Id="rId300" Type="http://schemas.openxmlformats.org/officeDocument/2006/relationships/hyperlink" Target="https://www.sec.gov/Archives/edgar/data/871763/000087176311000011/exhibit_10-4.htm" TargetMode="External"/><Relationship Id="rId301" Type="http://schemas.openxmlformats.org/officeDocument/2006/relationships/hyperlink" Target="https://www.sec.gov/Archives/edgar/data/871763/000119312505051218/ddef14a.htm" TargetMode="External"/><Relationship Id="rId302" Type="http://schemas.openxmlformats.org/officeDocument/2006/relationships/hyperlink" Target="https://www.sec.gov/Archives/edgar/data/871763/000095017023003214/man-ex10_6c.htm" TargetMode="External"/><Relationship Id="rId303" Type="http://schemas.openxmlformats.org/officeDocument/2006/relationships/hyperlink" Target="https://www.sec.gov/Archives/edgar/data/871763/000095017023003214/man-ex10_6d.htm" TargetMode="External"/><Relationship Id="rId304" Type="http://schemas.openxmlformats.org/officeDocument/2006/relationships/hyperlink" Target="https://www.sec.gov/Archives/edgar/data/871763/000089271220000224/exhibit41.htm" TargetMode="External"/><Relationship Id="rId305" Type="http://schemas.openxmlformats.org/officeDocument/2006/relationships/hyperlink" Target="https://www.sec.gov/Archives/edgar/data/871763/000119312506224722/dex991.htm" TargetMode="External"/><Relationship Id="rId306" Type="http://schemas.openxmlformats.org/officeDocument/2006/relationships/hyperlink" Target="https://www.sec.gov/Archives/edgar/data/871763/000087176319000059/q12019exhibit101.htm" TargetMode="External"/><Relationship Id="rId309" Type="http://schemas.openxmlformats.org/officeDocument/2006/relationships/hyperlink" Target="https://www.sec.gov/Archives/edgar/data/871763/000087176312000023/exhibit_10-4.htm" TargetMode="External"/><Relationship Id="rId310" Type="http://schemas.openxmlformats.org/officeDocument/2006/relationships/hyperlink" Target="https://www.sec.gov/Archives/edgar/data/871763/000087176314000019/exhibit_10-1.htm" TargetMode="External"/><Relationship Id="rId311" Type="http://schemas.openxmlformats.org/officeDocument/2006/relationships/hyperlink" Target="https://www.sec.gov/Archives/edgar/data/871763/000156459021025566/man-ex101_132.htm" TargetMode="External"/><Relationship Id="rId312" Type="http://schemas.openxmlformats.org/officeDocument/2006/relationships/hyperlink" Target="https://www.sec.gov/Archives/edgar/data/871763/000095017022008152/man-ex10_1.htm" TargetMode="External"/><Relationship Id="rId313" Type="http://schemas.openxmlformats.org/officeDocument/2006/relationships/hyperlink" Target="https://www.sec.gov/ix?doc=/Archives/edgar/data/0000871763/000095017024052961/man-20240331.htm" TargetMode="External"/><Relationship Id="rId314" Type="http://schemas.openxmlformats.org/officeDocument/2006/relationships/hyperlink" Target="https://www.sec.gov/Archives/edgar/data/871763/000095017023003214/man-ex10_8a.htm" TargetMode="External"/><Relationship Id="rId315" Type="http://schemas.openxmlformats.org/officeDocument/2006/relationships/hyperlink" Target="https://www.sec.gov/Archives/edgar/data/871763/000095017023003214/man-ex10_8b.htm" TargetMode="External"/><Relationship Id="rId316" Type="http://schemas.openxmlformats.org/officeDocument/2006/relationships/hyperlink" Target="https://www.sec.gov/Archives/edgar/data/871763/000087176318000054/a02152018ex101manpowergro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2025-02-19T15:41:29Z</dcterms:created>
  <dcterms:modified xsi:type="dcterms:W3CDTF">2025-02-19T15:41:29Z</dcterms:modified>
</cp:coreProperties>
</file>