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899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899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BUCHBAND RICHARD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MANPOWERGROUP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General Counsel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right"/>
              <w:ind w:right="15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02/13/2020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4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4,259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8,401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02/14/2020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1,999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93.13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6,402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13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02/14/2020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1,726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1,726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92.7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02/14/2020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8,444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02/14/2030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8,444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8,444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54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(5)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acquired in settlement of performance share units granted in 2017 (which were not derivative securities received under the Company's 2011 Equity Incentive Plan, exempt under Rule 16b-3).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withheld by the Issuer to satisfy the tax withholding obligations on shares acquired on February 13, 2020 in settlement of performance share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opening price on the New York Stock Exchange on February 14, 2020.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under the 2011 Equity Incentive Plan of the Company. The restricted stock units will vest 100% on February 14, 2023 and will be settled in shares of ManpowerGroup common stock on a 1 for 1 basis.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Option grant under the 2011 Equity Incentive Plan of the Company.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closing price on the New York Stock Exchange on February 14, 2020, the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25% of the options will become exercisable on each of 2/14/2021, 2/14/2022, 2/14/2023, and 2/14/2024.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Richard Buchband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02/18/2020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705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2020-02-18T15:31:56Z</dcterms:created>
  <dcterms:modified xsi:type="dcterms:W3CDTF">2020-02-18T15:31:56Z</dcterms:modified>
</cp:coreProperties>
</file>