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0"/>
          <w:szCs w:val="20"/>
          <w:color w:val="auto"/>
        </w:rPr>
        <w:t>United States</w:t>
      </w:r>
    </w:p>
    <w:p>
      <w:pPr>
        <w:jc w:val="center"/>
        <w:spacing w:after="0" w:line="227" w:lineRule="auto"/>
        <w:rPr>
          <w:sz w:val="20"/>
          <w:szCs w:val="20"/>
          <w:color w:val="auto"/>
        </w:rPr>
      </w:pPr>
      <w:r>
        <w:rPr>
          <w:rFonts w:ascii="Arial" w:cs="Arial" w:eastAsia="Arial" w:hAnsi="Arial"/>
          <w:sz w:val="20"/>
          <w:szCs w:val="20"/>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0"/>
          <w:szCs w:val="20"/>
          <w:color w:val="auto"/>
        </w:rPr>
        <w:t>Washington, D.C. 20549</w:t>
      </w:r>
    </w:p>
    <w:p>
      <w:pPr>
        <w:spacing w:after="0" w:line="63"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10-Q</w:t>
      </w:r>
    </w:p>
    <w:p>
      <w:pPr>
        <w:spacing w:after="0" w:line="107" w:lineRule="exact"/>
        <w:rPr>
          <w:sz w:val="24"/>
          <w:szCs w:val="24"/>
          <w:color w:val="auto"/>
        </w:rPr>
      </w:pPr>
    </w:p>
    <w:p>
      <w:pPr>
        <w:spacing w:after="0"/>
        <w:rPr>
          <w:sz w:val="20"/>
          <w:szCs w:val="20"/>
          <w:color w:val="auto"/>
        </w:rPr>
      </w:pPr>
      <w:r>
        <w:rPr>
          <w:rFonts w:ascii="Arial" w:cs="Arial" w:eastAsia="Arial" w:hAnsi="Arial"/>
          <w:sz w:val="16"/>
          <w:szCs w:val="16"/>
          <w:color w:val="auto"/>
        </w:rPr>
        <w:t>(Mark One)</w:t>
      </w:r>
    </w:p>
    <w:p>
      <w:pPr>
        <w:spacing w:after="0" w:line="100" w:lineRule="exact"/>
        <w:rPr>
          <w:sz w:val="24"/>
          <w:szCs w:val="24"/>
          <w:color w:val="auto"/>
        </w:rPr>
      </w:pPr>
    </w:p>
    <w:p>
      <w:pPr>
        <w:ind w:left="640" w:hanging="632"/>
        <w:spacing w:after="0"/>
        <w:tabs>
          <w:tab w:leader="none" w:pos="64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Quarterly Report pursuant to Section 13 or 15(d) of the Securities Exchange Act of 1934 for the quarterly period ended:</w:t>
      </w:r>
    </w:p>
    <w:p>
      <w:pPr>
        <w:spacing w:after="0" w:line="95" w:lineRule="exact"/>
        <w:rPr>
          <w:rFonts w:ascii="MS PGothic" w:cs="MS PGothic" w:eastAsia="MS PGothic" w:hAnsi="MS PGothic"/>
          <w:sz w:val="16"/>
          <w:szCs w:val="16"/>
          <w:color w:val="auto"/>
        </w:rPr>
      </w:pPr>
    </w:p>
    <w:p>
      <w:pPr>
        <w:ind w:left="5040"/>
        <w:spacing w:after="0"/>
        <w:rPr>
          <w:rFonts w:ascii="MS PGothic" w:cs="MS PGothic" w:eastAsia="MS PGothic" w:hAnsi="MS PGothic"/>
          <w:sz w:val="16"/>
          <w:szCs w:val="16"/>
          <w:color w:val="auto"/>
        </w:rPr>
      </w:pPr>
      <w:r>
        <w:rPr>
          <w:rFonts w:ascii="Arial" w:cs="Arial" w:eastAsia="Arial" w:hAnsi="Arial"/>
          <w:sz w:val="16"/>
          <w:szCs w:val="16"/>
          <w:b w:val="1"/>
          <w:bCs w:val="1"/>
          <w:color w:val="auto"/>
        </w:rPr>
        <w:t>March 31, 2022</w:t>
      </w:r>
    </w:p>
    <w:p>
      <w:pPr>
        <w:spacing w:after="0" w:line="104"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or</w:t>
      </w:r>
    </w:p>
    <w:p>
      <w:pPr>
        <w:spacing w:after="0" w:line="100" w:lineRule="exact"/>
        <w:rPr>
          <w:sz w:val="24"/>
          <w:szCs w:val="24"/>
          <w:color w:val="auto"/>
        </w:rPr>
      </w:pPr>
    </w:p>
    <w:p>
      <w:pPr>
        <w:ind w:left="640" w:hanging="632"/>
        <w:spacing w:after="0"/>
        <w:tabs>
          <w:tab w:leader="none" w:pos="640" w:val="left"/>
        </w:tabs>
        <w:numPr>
          <w:ilvl w:val="0"/>
          <w:numId w:val="2"/>
        </w:numPr>
        <w:rPr>
          <w:rFonts w:ascii="MS PGothic" w:cs="MS PGothic" w:eastAsia="MS PGothic" w:hAnsi="MS PGothic"/>
          <w:sz w:val="14"/>
          <w:szCs w:val="14"/>
          <w:color w:val="auto"/>
        </w:rPr>
      </w:pPr>
      <w:r>
        <w:rPr>
          <w:rFonts w:ascii="Arial" w:cs="Arial" w:eastAsia="Arial" w:hAnsi="Arial"/>
          <w:sz w:val="14"/>
          <w:szCs w:val="14"/>
          <w:color w:val="auto"/>
        </w:rPr>
        <w:t>Transition Report pursuant to Section 13 or 15(d) of the Securities Exchange Act of 1934 for the transition period from: ______to______</w:t>
      </w:r>
    </w:p>
    <w:p>
      <w:pPr>
        <w:spacing w:after="0" w:line="122" w:lineRule="exact"/>
        <w:rPr>
          <w:rFonts w:ascii="MS PGothic" w:cs="MS PGothic" w:eastAsia="MS PGothic" w:hAnsi="MS PGothic"/>
          <w:sz w:val="14"/>
          <w:szCs w:val="14"/>
          <w:color w:val="auto"/>
        </w:rPr>
      </w:pPr>
    </w:p>
    <w:p>
      <w:pPr>
        <w:ind w:left="4500"/>
        <w:spacing w:after="0"/>
        <w:rPr>
          <w:rFonts w:ascii="MS PGothic" w:cs="MS PGothic" w:eastAsia="MS PGothic" w:hAnsi="MS PGothic"/>
          <w:sz w:val="14"/>
          <w:szCs w:val="14"/>
          <w:color w:val="auto"/>
        </w:rPr>
      </w:pPr>
      <w:r>
        <w:rPr>
          <w:rFonts w:ascii="Arial" w:cs="Arial" w:eastAsia="Arial" w:hAnsi="Arial"/>
          <w:sz w:val="16"/>
          <w:szCs w:val="16"/>
          <w:color w:val="auto"/>
        </w:rPr>
        <w:t>Commission file number: 1-10686</w:t>
      </w:r>
    </w:p>
    <w:p>
      <w:pPr>
        <w:spacing w:after="0" w:line="91"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MANPOWERGROUP INC.</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(Exact name of registrant as specified in its charter)</w:t>
      </w:r>
    </w:p>
    <w:p>
      <w:pPr>
        <w:sectPr>
          <w:pgSz w:w="11900" w:h="16838" w:orient="portrait"/>
          <w:cols w:equalWidth="0" w:num="1">
            <w:col w:w="11240"/>
          </w:cols>
          <w:pgMar w:left="320" w:top="636" w:right="339" w:bottom="1440" w:gutter="0" w:footer="0" w:header="0"/>
        </w:sectPr>
      </w:pPr>
    </w:p>
    <w:p>
      <w:pPr>
        <w:spacing w:after="0" w:line="136" w:lineRule="exact"/>
        <w:rPr>
          <w:sz w:val="24"/>
          <w:szCs w:val="24"/>
          <w:color w:val="auto"/>
        </w:rPr>
      </w:pPr>
    </w:p>
    <w:p>
      <w:pPr>
        <w:ind w:left="1540"/>
        <w:spacing w:after="0"/>
        <w:rPr>
          <w:sz w:val="20"/>
          <w:szCs w:val="20"/>
          <w:color w:val="auto"/>
        </w:rPr>
      </w:pPr>
      <w:r>
        <w:rPr>
          <w:rFonts w:ascii="Arial" w:cs="Arial" w:eastAsia="Arial" w:hAnsi="Arial"/>
          <w:sz w:val="13"/>
          <w:szCs w:val="13"/>
          <w:b w:val="1"/>
          <w:bCs w:val="1"/>
          <w:color w:val="auto"/>
        </w:rPr>
        <w:t>Wisconsin</w:t>
      </w:r>
    </w:p>
    <w:p>
      <w:pPr>
        <w:spacing w:after="0" w:line="20" w:lineRule="exact"/>
        <w:rPr>
          <w:sz w:val="24"/>
          <w:szCs w:val="24"/>
          <w:color w:val="auto"/>
        </w:rPr>
      </w:pPr>
      <w:r>
        <w:rPr>
          <w:sz w:val="24"/>
          <w:szCs w:val="24"/>
          <w:color w:val="auto"/>
        </w:rPr>
        <w:br w:type="column"/>
      </w:r>
    </w:p>
    <w:p>
      <w:pPr>
        <w:spacing w:after="0" w:line="116"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39-1672779</w:t>
      </w:r>
    </w:p>
    <w:p>
      <w:pPr>
        <w:spacing w:after="0" w:line="100" w:lineRule="exact"/>
        <w:rPr>
          <w:sz w:val="24"/>
          <w:szCs w:val="24"/>
          <w:color w:val="auto"/>
        </w:rPr>
      </w:pPr>
    </w:p>
    <w:p>
      <w:pPr>
        <w:sectPr>
          <w:pgSz w:w="11900" w:h="16838" w:orient="portrait"/>
          <w:cols w:equalWidth="0" w:num="2">
            <w:col w:w="7420" w:space="720"/>
            <w:col w:w="3100"/>
          </w:cols>
          <w:pgMar w:left="320" w:top="636" w:right="339" w:bottom="1440" w:gutter="0" w:footer="0" w:header="0"/>
          <w:type w:val="continuous"/>
        </w:sectPr>
      </w:pPr>
    </w:p>
    <w:p>
      <w:pPr>
        <w:ind w:left="1540"/>
        <w:spacing w:after="0"/>
        <w:rPr>
          <w:sz w:val="20"/>
          <w:szCs w:val="20"/>
          <w:color w:val="auto"/>
        </w:rPr>
      </w:pPr>
      <w:r>
        <w:rPr>
          <w:rFonts w:ascii="Arial" w:cs="Arial" w:eastAsia="Arial" w:hAnsi="Arial"/>
          <w:sz w:val="15"/>
          <w:szCs w:val="15"/>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color w:val="auto"/>
        </w:rPr>
        <w:t>(IRS Employer Identification No.)</w:t>
      </w:r>
    </w:p>
    <w:p>
      <w:pPr>
        <w:spacing w:after="0" w:line="200" w:lineRule="exact"/>
        <w:rPr>
          <w:sz w:val="24"/>
          <w:szCs w:val="24"/>
          <w:color w:val="auto"/>
        </w:rPr>
      </w:pPr>
    </w:p>
    <w:p>
      <w:pPr>
        <w:sectPr>
          <w:pgSz w:w="11900" w:h="16838" w:orient="portrait"/>
          <w:cols w:equalWidth="0" w:num="2">
            <w:col w:w="7420" w:space="720"/>
            <w:col w:w="3100"/>
          </w:cols>
          <w:pgMar w:left="320" w:top="636" w:right="339" w:bottom="1440" w:gutter="0" w:footer="0" w:header="0"/>
          <w:type w:val="continuous"/>
        </w:sectPr>
      </w:pPr>
    </w:p>
    <w:p>
      <w:pPr>
        <w:spacing w:after="0" w:line="137" w:lineRule="exact"/>
        <w:rPr>
          <w:sz w:val="24"/>
          <w:szCs w:val="24"/>
          <w:color w:val="auto"/>
        </w:rPr>
      </w:pPr>
    </w:p>
    <w:p>
      <w:pPr>
        <w:ind w:left="1540"/>
        <w:spacing w:after="0"/>
        <w:rPr>
          <w:sz w:val="20"/>
          <w:szCs w:val="20"/>
          <w:color w:val="auto"/>
        </w:rPr>
      </w:pPr>
      <w:r>
        <w:rPr>
          <w:rFonts w:ascii="Arial" w:cs="Arial" w:eastAsia="Arial" w:hAnsi="Arial"/>
          <w:sz w:val="14"/>
          <w:szCs w:val="14"/>
          <w:b w:val="1"/>
          <w:bCs w:val="1"/>
          <w:color w:val="auto"/>
        </w:rPr>
        <w:t>100 Manpower Place</w:t>
      </w:r>
    </w:p>
    <w:p>
      <w:pPr>
        <w:sectPr>
          <w:pgSz w:w="11900" w:h="16838" w:orient="portrait"/>
          <w:cols w:equalWidth="0" w:num="1">
            <w:col w:w="11240"/>
          </w:cols>
          <w:pgMar w:left="320" w:top="636" w:right="339" w:bottom="1440" w:gutter="0" w:footer="0" w:header="0"/>
          <w:type w:val="continuous"/>
        </w:sectPr>
      </w:pPr>
    </w:p>
    <w:p>
      <w:pPr>
        <w:spacing w:after="0" w:line="96" w:lineRule="exact"/>
        <w:rPr>
          <w:sz w:val="24"/>
          <w:szCs w:val="24"/>
          <w:color w:val="auto"/>
        </w:rPr>
      </w:pPr>
    </w:p>
    <w:p>
      <w:pPr>
        <w:ind w:left="1540"/>
        <w:spacing w:after="0"/>
        <w:rPr>
          <w:sz w:val="20"/>
          <w:szCs w:val="20"/>
          <w:color w:val="auto"/>
        </w:rPr>
      </w:pPr>
      <w:r>
        <w:rPr>
          <w:rFonts w:ascii="Arial" w:cs="Arial" w:eastAsia="Arial" w:hAnsi="Arial"/>
          <w:sz w:val="14"/>
          <w:szCs w:val="14"/>
          <w:b w:val="1"/>
          <w:bCs w:val="1"/>
          <w:color w:val="auto"/>
        </w:rPr>
        <w:t>Milwaukee, Wisconsin</w:t>
      </w:r>
    </w:p>
    <w:p>
      <w:pPr>
        <w:spacing w:after="0" w:line="20" w:lineRule="exact"/>
        <w:rPr>
          <w:sz w:val="24"/>
          <w:szCs w:val="24"/>
          <w:color w:val="auto"/>
        </w:rPr>
      </w:pPr>
      <w:r>
        <w:rPr>
          <w:sz w:val="24"/>
          <w:szCs w:val="24"/>
          <w:color w:val="auto"/>
        </w:rPr>
        <w:br w:type="column"/>
      </w:r>
    </w:p>
    <w:p>
      <w:pPr>
        <w:spacing w:after="0" w:line="76"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53212</w:t>
      </w:r>
    </w:p>
    <w:p>
      <w:pPr>
        <w:spacing w:after="0" w:line="100" w:lineRule="exact"/>
        <w:rPr>
          <w:sz w:val="24"/>
          <w:szCs w:val="24"/>
          <w:color w:val="auto"/>
        </w:rPr>
      </w:pPr>
    </w:p>
    <w:p>
      <w:pPr>
        <w:sectPr>
          <w:pgSz w:w="11900" w:h="16838" w:orient="portrait"/>
          <w:cols w:equalWidth="0" w:num="2">
            <w:col w:w="7420" w:space="720"/>
            <w:col w:w="3100"/>
          </w:cols>
          <w:pgMar w:left="320" w:top="636" w:right="339" w:bottom="1440" w:gutter="0" w:footer="0" w:header="0"/>
          <w:type w:val="continuous"/>
        </w:sectPr>
      </w:pPr>
    </w:p>
    <w:p>
      <w:pPr>
        <w:ind w:left="1540"/>
        <w:spacing w:after="0"/>
        <w:rPr>
          <w:sz w:val="20"/>
          <w:szCs w:val="20"/>
          <w:color w:val="auto"/>
        </w:rPr>
      </w:pPr>
      <w:r>
        <w:rPr>
          <w:rFonts w:ascii="Arial" w:cs="Arial" w:eastAsia="Arial" w:hAnsi="Arial"/>
          <w:sz w:val="14"/>
          <w:szCs w:val="14"/>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color w:val="auto"/>
        </w:rPr>
        <w:t>(Zip Code)</w:t>
      </w:r>
    </w:p>
    <w:p>
      <w:pPr>
        <w:spacing w:after="0" w:line="161" w:lineRule="exact"/>
        <w:rPr>
          <w:sz w:val="24"/>
          <w:szCs w:val="24"/>
          <w:color w:val="auto"/>
        </w:rPr>
      </w:pPr>
    </w:p>
    <w:p>
      <w:pPr>
        <w:sectPr>
          <w:pgSz w:w="11900" w:h="16838" w:orient="portrait"/>
          <w:cols w:equalWidth="0" w:num="2">
            <w:col w:w="7420" w:space="720"/>
            <w:col w:w="3100"/>
          </w:cols>
          <w:pgMar w:left="320" w:top="636" w:right="339" w:bottom="1440" w:gutter="0" w:footer="0" w:header="0"/>
          <w:type w:val="continuous"/>
        </w:sectPr>
      </w:pPr>
    </w:p>
    <w:p>
      <w:pPr>
        <w:jc w:val="center"/>
        <w:spacing w:after="0"/>
        <w:rPr>
          <w:sz w:val="20"/>
          <w:szCs w:val="20"/>
          <w:color w:val="auto"/>
        </w:rPr>
      </w:pPr>
      <w:r>
        <w:rPr>
          <w:rFonts w:ascii="Arial" w:cs="Arial" w:eastAsia="Arial" w:hAnsi="Arial"/>
          <w:sz w:val="16"/>
          <w:szCs w:val="16"/>
          <w:color w:val="auto"/>
        </w:rPr>
        <w:t xml:space="preserve">Registrant’s telephone number, including area code: </w:t>
      </w:r>
      <w:r>
        <w:rPr>
          <w:rFonts w:ascii="Arial" w:cs="Arial" w:eastAsia="Arial" w:hAnsi="Arial"/>
          <w:sz w:val="16"/>
          <w:szCs w:val="16"/>
          <w:b w:val="1"/>
          <w:bCs w:val="1"/>
          <w:color w:val="auto"/>
        </w:rPr>
        <w:t>(414) 961-1000</w:t>
      </w:r>
    </w:p>
    <w:p>
      <w:pPr>
        <w:spacing w:after="0" w:line="104" w:lineRule="exact"/>
        <w:rPr>
          <w:sz w:val="24"/>
          <w:szCs w:val="24"/>
          <w:color w:val="auto"/>
        </w:rPr>
      </w:pPr>
    </w:p>
    <w:tbl>
      <w:tblPr>
        <w:tblLayout w:type="fixed"/>
        <w:tblInd w:w="0" w:type="dxa"/>
        <w:tblCellMar>
          <w:top w:w="0" w:type="dxa"/>
          <w:left w:w="0" w:type="dxa"/>
          <w:bottom w:w="0" w:type="dxa"/>
          <w:right w:w="0" w:type="dxa"/>
        </w:tblCellMar>
      </w:tblPr>
      <w:tr>
        <w:trPr>
          <w:trHeight w:val="206"/>
        </w:trPr>
        <w:tc>
          <w:tcPr>
            <w:tcW w:w="4200" w:type="dxa"/>
            <w:vAlign w:val="bottom"/>
            <w:gridSpan w:val="3"/>
          </w:tcPr>
          <w:p>
            <w:pPr>
              <w:spacing w:after="0"/>
              <w:rPr>
                <w:sz w:val="20"/>
                <w:szCs w:val="20"/>
                <w:color w:val="auto"/>
              </w:rPr>
            </w:pPr>
            <w:r>
              <w:rPr>
                <w:rFonts w:ascii="Arial" w:cs="Arial" w:eastAsia="Arial" w:hAnsi="Arial"/>
                <w:sz w:val="16"/>
                <w:szCs w:val="16"/>
                <w:color w:val="auto"/>
              </w:rPr>
              <w:t>Securities registered pursuant to Section 12(b) of the Act:</w:t>
            </w:r>
          </w:p>
        </w:tc>
        <w:tc>
          <w:tcPr>
            <w:tcW w:w="2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20" w:type="dxa"/>
            <w:vAlign w:val="bottom"/>
          </w:tcPr>
          <w:p>
            <w:pPr>
              <w:spacing w:after="0"/>
              <w:rPr>
                <w:sz w:val="17"/>
                <w:szCs w:val="17"/>
                <w:color w:val="auto"/>
              </w:rPr>
            </w:pPr>
          </w:p>
        </w:tc>
      </w:tr>
      <w:tr>
        <w:trPr>
          <w:trHeight w:val="303"/>
        </w:trPr>
        <w:tc>
          <w:tcPr>
            <w:tcW w:w="35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0"/>
              </w:rPr>
              <w:t>Title of each class</w:t>
            </w:r>
          </w:p>
        </w:tc>
        <w:tc>
          <w:tcPr>
            <w:tcW w:w="120" w:type="dxa"/>
            <w:vAlign w:val="bottom"/>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tcPr>
          <w:p>
            <w:pPr>
              <w:jc w:val="center"/>
              <w:ind w:right="479"/>
              <w:spacing w:after="0"/>
              <w:rPr>
                <w:sz w:val="20"/>
                <w:szCs w:val="20"/>
                <w:color w:val="auto"/>
              </w:rPr>
            </w:pPr>
            <w:r>
              <w:rPr>
                <w:rFonts w:ascii="Arial" w:cs="Arial" w:eastAsia="Arial" w:hAnsi="Arial"/>
                <w:sz w:val="16"/>
                <w:szCs w:val="16"/>
                <w:color w:val="auto"/>
                <w:w w:val="93"/>
              </w:rPr>
              <w:t>Trading Symbol(s)</w:t>
            </w:r>
          </w:p>
        </w:tc>
        <w:tc>
          <w:tcPr>
            <w:tcW w:w="80" w:type="dxa"/>
            <w:vAlign w:val="bottom"/>
          </w:tcPr>
          <w:p>
            <w:pPr>
              <w:spacing w:after="0"/>
              <w:rPr>
                <w:sz w:val="24"/>
                <w:szCs w:val="24"/>
                <w:color w:val="auto"/>
              </w:rPr>
            </w:pPr>
          </w:p>
        </w:tc>
        <w:tc>
          <w:tcPr>
            <w:tcW w:w="42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0"/>
              </w:rPr>
              <w:t>Name of each exchange on which registered</w:t>
            </w:r>
          </w:p>
        </w:tc>
      </w:tr>
      <w:tr>
        <w:trPr>
          <w:trHeight w:val="271"/>
        </w:trPr>
        <w:tc>
          <w:tcPr>
            <w:tcW w:w="4200" w:type="dxa"/>
            <w:vAlign w:val="bottom"/>
            <w:gridSpan w:val="3"/>
          </w:tcPr>
          <w:p>
            <w:pPr>
              <w:jc w:val="center"/>
              <w:ind w:right="660"/>
              <w:spacing w:after="0"/>
              <w:rPr>
                <w:sz w:val="20"/>
                <w:szCs w:val="20"/>
                <w:color w:val="auto"/>
              </w:rPr>
            </w:pPr>
            <w:r>
              <w:rPr>
                <w:rFonts w:ascii="Arial" w:cs="Arial" w:eastAsia="Arial" w:hAnsi="Arial"/>
                <w:sz w:val="16"/>
                <w:szCs w:val="16"/>
                <w:color w:val="auto"/>
                <w:w w:val="91"/>
              </w:rPr>
              <w:t>Common Stock, $.01 par value</w:t>
            </w:r>
          </w:p>
        </w:tc>
        <w:tc>
          <w:tcPr>
            <w:tcW w:w="2740" w:type="dxa"/>
            <w:vAlign w:val="bottom"/>
          </w:tcPr>
          <w:p>
            <w:pPr>
              <w:jc w:val="center"/>
              <w:ind w:right="479"/>
              <w:spacing w:after="0"/>
              <w:rPr>
                <w:sz w:val="20"/>
                <w:szCs w:val="20"/>
                <w:color w:val="auto"/>
              </w:rPr>
            </w:pPr>
            <w:r>
              <w:rPr>
                <w:rFonts w:ascii="Arial" w:cs="Arial" w:eastAsia="Arial" w:hAnsi="Arial"/>
                <w:sz w:val="16"/>
                <w:szCs w:val="16"/>
                <w:color w:val="auto"/>
              </w:rPr>
              <w:t>MAN</w:t>
            </w:r>
          </w:p>
        </w:tc>
        <w:tc>
          <w:tcPr>
            <w:tcW w:w="80" w:type="dxa"/>
            <w:vAlign w:val="bottom"/>
          </w:tcPr>
          <w:p>
            <w:pPr>
              <w:spacing w:after="0"/>
              <w:rPr>
                <w:sz w:val="23"/>
                <w:szCs w:val="23"/>
                <w:color w:val="auto"/>
              </w:rPr>
            </w:pPr>
          </w:p>
        </w:tc>
        <w:tc>
          <w:tcPr>
            <w:tcW w:w="4220" w:type="dxa"/>
            <w:vAlign w:val="bottom"/>
          </w:tcPr>
          <w:p>
            <w:pPr>
              <w:jc w:val="center"/>
              <w:spacing w:after="0"/>
              <w:rPr>
                <w:sz w:val="20"/>
                <w:szCs w:val="20"/>
                <w:color w:val="auto"/>
              </w:rPr>
            </w:pPr>
            <w:r>
              <w:rPr>
                <w:rFonts w:ascii="Arial" w:cs="Arial" w:eastAsia="Arial" w:hAnsi="Arial"/>
                <w:sz w:val="16"/>
                <w:szCs w:val="16"/>
                <w:color w:val="auto"/>
                <w:w w:val="91"/>
              </w:rPr>
              <w:t>New York Stock Exchange</w:t>
            </w:r>
          </w:p>
        </w:tc>
      </w:tr>
    </w:tbl>
    <w:p>
      <w:pPr>
        <w:spacing w:after="0" w:line="91" w:lineRule="exact"/>
        <w:rPr>
          <w:sz w:val="24"/>
          <w:szCs w:val="24"/>
          <w:color w:val="auto"/>
        </w:rPr>
      </w:pPr>
    </w:p>
    <w:p>
      <w:pPr>
        <w:ind w:right="320"/>
        <w:spacing w:after="0" w:line="192"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60" w:lineRule="exact"/>
        <w:rPr>
          <w:sz w:val="24"/>
          <w:szCs w:val="24"/>
          <w:color w:val="auto"/>
        </w:rPr>
      </w:pPr>
    </w:p>
    <w:p>
      <w:pPr>
        <w:ind w:right="360"/>
        <w:spacing w:after="0" w:line="200"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(Section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59" w:lineRule="exact"/>
        <w:rPr>
          <w:sz w:val="24"/>
          <w:szCs w:val="24"/>
          <w:color w:val="auto"/>
        </w:rPr>
      </w:pPr>
    </w:p>
    <w:p>
      <w:pPr>
        <w:jc w:val="both"/>
        <w:ind w:right="120"/>
        <w:spacing w:after="0" w:line="243"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59" w:lineRule="exact"/>
        <w:rPr>
          <w:sz w:val="24"/>
          <w:szCs w:val="24"/>
          <w:color w:val="auto"/>
        </w:rPr>
      </w:pPr>
    </w:p>
    <w:tbl>
      <w:tblPr>
        <w:tblLayout w:type="fixed"/>
        <w:tblInd w:w="20" w:type="dxa"/>
        <w:tblCellMar>
          <w:top w:w="0" w:type="dxa"/>
          <w:left w:w="0" w:type="dxa"/>
          <w:bottom w:w="0" w:type="dxa"/>
          <w:right w:w="0" w:type="dxa"/>
        </w:tblCellMar>
      </w:tblPr>
      <w:tr>
        <w:trPr>
          <w:trHeight w:val="188"/>
        </w:trPr>
        <w:tc>
          <w:tcPr>
            <w:tcW w:w="236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260" w:type="dxa"/>
            <w:vAlign w:val="bottom"/>
          </w:tcPr>
          <w:p>
            <w:pPr>
              <w:ind w:left="600"/>
              <w:spacing w:after="0" w:line="161" w:lineRule="exact"/>
              <w:rPr>
                <w:sz w:val="20"/>
                <w:szCs w:val="20"/>
                <w:color w:val="auto"/>
              </w:rPr>
            </w:pPr>
            <w:r>
              <w:rPr>
                <w:rFonts w:ascii="MS PGothic" w:cs="MS PGothic" w:eastAsia="MS PGothic" w:hAnsi="MS PGothic"/>
                <w:sz w:val="16"/>
                <w:szCs w:val="16"/>
                <w:color w:val="auto"/>
              </w:rPr>
              <w:t>☒</w:t>
            </w:r>
          </w:p>
        </w:tc>
        <w:tc>
          <w:tcPr>
            <w:tcW w:w="4780" w:type="dxa"/>
            <w:vAlign w:val="bottom"/>
          </w:tcPr>
          <w:p>
            <w:pPr>
              <w:ind w:left="2500"/>
              <w:spacing w:after="0"/>
              <w:rPr>
                <w:sz w:val="20"/>
                <w:szCs w:val="20"/>
                <w:color w:val="auto"/>
              </w:rPr>
            </w:pPr>
            <w:r>
              <w:rPr>
                <w:rFonts w:ascii="Arial" w:cs="Arial" w:eastAsia="Arial" w:hAnsi="Arial"/>
                <w:sz w:val="16"/>
                <w:szCs w:val="16"/>
                <w:color w:val="auto"/>
              </w:rPr>
              <w:t>Accelerated filer</w:t>
            </w:r>
          </w:p>
        </w:tc>
        <w:tc>
          <w:tcPr>
            <w:tcW w:w="640" w:type="dxa"/>
            <w:vAlign w:val="bottom"/>
          </w:tcPr>
          <w:p>
            <w:pPr>
              <w:ind w:left="48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175"/>
        </w:trPr>
        <w:tc>
          <w:tcPr>
            <w:tcW w:w="2360" w:type="dxa"/>
            <w:vAlign w:val="bottom"/>
          </w:tcPr>
          <w:p>
            <w:pPr>
              <w:spacing w:after="0" w:line="175" w:lineRule="exact"/>
              <w:rPr>
                <w:sz w:val="20"/>
                <w:szCs w:val="20"/>
                <w:color w:val="auto"/>
              </w:rPr>
            </w:pPr>
            <w:r>
              <w:rPr>
                <w:rFonts w:ascii="Arial" w:cs="Arial" w:eastAsia="Arial" w:hAnsi="Arial"/>
                <w:sz w:val="16"/>
                <w:szCs w:val="16"/>
                <w:color w:val="auto"/>
              </w:rPr>
              <w:t>Non-accelerated filer</w:t>
            </w:r>
          </w:p>
        </w:tc>
        <w:tc>
          <w:tcPr>
            <w:tcW w:w="3260" w:type="dxa"/>
            <w:vAlign w:val="bottom"/>
          </w:tcPr>
          <w:p>
            <w:pPr>
              <w:ind w:left="600"/>
              <w:spacing w:after="0" w:line="161" w:lineRule="exact"/>
              <w:rPr>
                <w:sz w:val="20"/>
                <w:szCs w:val="20"/>
                <w:color w:val="auto"/>
              </w:rPr>
            </w:pPr>
            <w:r>
              <w:rPr>
                <w:rFonts w:ascii="MS PGothic" w:cs="MS PGothic" w:eastAsia="MS PGothic" w:hAnsi="MS PGothic"/>
                <w:sz w:val="16"/>
                <w:szCs w:val="16"/>
                <w:color w:val="auto"/>
              </w:rPr>
              <w:t>☐</w:t>
            </w:r>
          </w:p>
        </w:tc>
        <w:tc>
          <w:tcPr>
            <w:tcW w:w="4780" w:type="dxa"/>
            <w:vAlign w:val="bottom"/>
          </w:tcPr>
          <w:p>
            <w:pPr>
              <w:ind w:left="2500"/>
              <w:spacing w:after="0" w:line="175" w:lineRule="exact"/>
              <w:rPr>
                <w:sz w:val="20"/>
                <w:szCs w:val="20"/>
                <w:color w:val="auto"/>
              </w:rPr>
            </w:pPr>
            <w:r>
              <w:rPr>
                <w:rFonts w:ascii="Arial" w:cs="Arial" w:eastAsia="Arial" w:hAnsi="Arial"/>
                <w:sz w:val="16"/>
                <w:szCs w:val="16"/>
                <w:color w:val="auto"/>
              </w:rPr>
              <w:t>Smaller reporting company</w:t>
            </w:r>
          </w:p>
        </w:tc>
        <w:tc>
          <w:tcPr>
            <w:tcW w:w="640" w:type="dxa"/>
            <w:vAlign w:val="bottom"/>
          </w:tcPr>
          <w:p>
            <w:pPr>
              <w:ind w:left="48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54"/>
        </w:trPr>
        <w:tc>
          <w:tcPr>
            <w:tcW w:w="2360" w:type="dxa"/>
            <w:vAlign w:val="bottom"/>
          </w:tcPr>
          <w:p>
            <w:pPr>
              <w:spacing w:after="0"/>
              <w:rPr>
                <w:sz w:val="20"/>
                <w:szCs w:val="20"/>
                <w:color w:val="auto"/>
              </w:rPr>
            </w:pPr>
            <w:r>
              <w:rPr>
                <w:rFonts w:ascii="Arial" w:cs="Arial" w:eastAsia="Arial" w:hAnsi="Arial"/>
                <w:sz w:val="16"/>
                <w:szCs w:val="16"/>
                <w:color w:val="auto"/>
              </w:rPr>
              <w:t>Emerging growth company</w:t>
            </w:r>
          </w:p>
        </w:tc>
        <w:tc>
          <w:tcPr>
            <w:tcW w:w="3260" w:type="dxa"/>
            <w:vAlign w:val="bottom"/>
          </w:tcPr>
          <w:p>
            <w:pPr>
              <w:ind w:left="600"/>
              <w:spacing w:after="0" w:line="161" w:lineRule="exact"/>
              <w:rPr>
                <w:sz w:val="20"/>
                <w:szCs w:val="20"/>
                <w:color w:val="auto"/>
              </w:rPr>
            </w:pPr>
            <w:r>
              <w:rPr>
                <w:rFonts w:ascii="MS PGothic" w:cs="MS PGothic" w:eastAsia="MS PGothic" w:hAnsi="MS PGothic"/>
                <w:sz w:val="16"/>
                <w:szCs w:val="16"/>
                <w:color w:val="auto"/>
              </w:rPr>
              <w:t>☐</w:t>
            </w:r>
          </w:p>
        </w:tc>
        <w:tc>
          <w:tcPr>
            <w:tcW w:w="4780" w:type="dxa"/>
            <w:vAlign w:val="bottom"/>
          </w:tcPr>
          <w:p>
            <w:pPr>
              <w:spacing w:after="0"/>
              <w:rPr>
                <w:sz w:val="22"/>
                <w:szCs w:val="22"/>
                <w:color w:val="auto"/>
              </w:rPr>
            </w:pPr>
          </w:p>
        </w:tc>
        <w:tc>
          <w:tcPr>
            <w:tcW w:w="640" w:type="dxa"/>
            <w:vAlign w:val="bottom"/>
          </w:tcPr>
          <w:p>
            <w:pPr>
              <w:spacing w:after="0"/>
              <w:rPr>
                <w:sz w:val="22"/>
                <w:szCs w:val="22"/>
                <w:color w:val="auto"/>
              </w:rPr>
            </w:pPr>
          </w:p>
        </w:tc>
      </w:tr>
    </w:tbl>
    <w:p>
      <w:pPr>
        <w:spacing w:after="0" w:line="60" w:lineRule="exact"/>
        <w:rPr>
          <w:sz w:val="24"/>
          <w:szCs w:val="24"/>
          <w:color w:val="auto"/>
        </w:rPr>
      </w:pPr>
    </w:p>
    <w:p>
      <w:pPr>
        <w:ind w:right="580"/>
        <w:spacing w:after="0" w:line="200"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30" w:lineRule="exact"/>
        <w:rPr>
          <w:sz w:val="24"/>
          <w:szCs w:val="24"/>
          <w:color w:val="auto"/>
        </w:rPr>
      </w:pPr>
    </w:p>
    <w:p>
      <w:pPr>
        <w:ind w:right="2880"/>
        <w:spacing w:after="0" w:line="206"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r>
        <w:rPr>
          <w:rFonts w:ascii="Arial" w:cs="Arial" w:eastAsia="Arial" w:hAnsi="Arial"/>
          <w:sz w:val="14"/>
          <w:szCs w:val="14"/>
          <w:color w:val="auto"/>
        </w:rPr>
        <w:t xml:space="preserve"> Indicate the number of shares outstanding of each of the issuer’s classes of common stock, as of the latest practicable date.</w:t>
      </w:r>
    </w:p>
    <w:p>
      <w:pPr>
        <w:spacing w:after="0" w:line="101" w:lineRule="exact"/>
        <w:rPr>
          <w:sz w:val="24"/>
          <w:szCs w:val="24"/>
          <w:color w:val="auto"/>
        </w:rPr>
      </w:pPr>
    </w:p>
    <w:tbl>
      <w:tblPr>
        <w:tblLayout w:type="fixed"/>
        <w:tblInd w:w="0" w:type="dxa"/>
        <w:tblCellMar>
          <w:top w:w="0" w:type="dxa"/>
          <w:left w:w="0" w:type="dxa"/>
          <w:bottom w:w="0" w:type="dxa"/>
          <w:right w:w="0" w:type="dxa"/>
        </w:tblCellMar>
      </w:tblPr>
      <w:tr>
        <w:trPr>
          <w:trHeight w:val="189"/>
        </w:trPr>
        <w:tc>
          <w:tcPr>
            <w:tcW w:w="5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460" w:type="dxa"/>
            <w:vAlign w:val="bottom"/>
          </w:tcPr>
          <w:p>
            <w:pPr>
              <w:jc w:val="center"/>
              <w:spacing w:after="0"/>
              <w:rPr>
                <w:sz w:val="20"/>
                <w:szCs w:val="20"/>
                <w:color w:val="auto"/>
              </w:rPr>
            </w:pPr>
            <w:r>
              <w:rPr>
                <w:rFonts w:ascii="Arial" w:cs="Arial" w:eastAsia="Arial" w:hAnsi="Arial"/>
                <w:sz w:val="16"/>
                <w:szCs w:val="16"/>
                <w:b w:val="1"/>
                <w:bCs w:val="1"/>
                <w:color w:val="auto"/>
                <w:w w:val="90"/>
              </w:rPr>
              <w:t>Shares Outstanding</w:t>
            </w:r>
          </w:p>
        </w:tc>
      </w:tr>
      <w:tr>
        <w:trPr>
          <w:trHeight w:val="203"/>
        </w:trPr>
        <w:tc>
          <w:tcPr>
            <w:tcW w:w="556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Class</w:t>
            </w:r>
          </w:p>
        </w:tc>
        <w:tc>
          <w:tcPr>
            <w:tcW w:w="220" w:type="dxa"/>
            <w:vAlign w:val="bottom"/>
          </w:tcPr>
          <w:p>
            <w:pPr>
              <w:spacing w:after="0"/>
              <w:rPr>
                <w:sz w:val="17"/>
                <w:szCs w:val="17"/>
                <w:color w:val="auto"/>
              </w:rPr>
            </w:pPr>
          </w:p>
        </w:tc>
        <w:tc>
          <w:tcPr>
            <w:tcW w:w="54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4"/>
              </w:rPr>
              <w:t>at May 4, 2022</w:t>
            </w:r>
          </w:p>
        </w:tc>
      </w:tr>
      <w:tr>
        <w:trPr>
          <w:trHeight w:val="200"/>
        </w:trPr>
        <w:tc>
          <w:tcPr>
            <w:tcW w:w="5560" w:type="dxa"/>
            <w:vAlign w:val="bottom"/>
          </w:tcPr>
          <w:p>
            <w:pPr>
              <w:ind w:left="20"/>
              <w:spacing w:after="0"/>
              <w:rPr>
                <w:sz w:val="20"/>
                <w:szCs w:val="20"/>
                <w:color w:val="auto"/>
              </w:rPr>
            </w:pPr>
            <w:r>
              <w:rPr>
                <w:rFonts w:ascii="Arial" w:cs="Arial" w:eastAsia="Arial" w:hAnsi="Arial"/>
                <w:sz w:val="16"/>
                <w:szCs w:val="16"/>
                <w:color w:val="auto"/>
              </w:rPr>
              <w:t>Common Stock, $.01 par value</w:t>
            </w:r>
          </w:p>
        </w:tc>
        <w:tc>
          <w:tcPr>
            <w:tcW w:w="220" w:type="dxa"/>
            <w:vAlign w:val="bottom"/>
          </w:tcPr>
          <w:p>
            <w:pPr>
              <w:spacing w:after="0"/>
              <w:rPr>
                <w:sz w:val="17"/>
                <w:szCs w:val="17"/>
                <w:color w:val="auto"/>
              </w:rPr>
            </w:pPr>
          </w:p>
        </w:tc>
        <w:tc>
          <w:tcPr>
            <w:tcW w:w="5460" w:type="dxa"/>
            <w:vAlign w:val="bottom"/>
          </w:tcPr>
          <w:p>
            <w:pPr>
              <w:jc w:val="center"/>
              <w:spacing w:after="0"/>
              <w:rPr>
                <w:sz w:val="20"/>
                <w:szCs w:val="20"/>
                <w:color w:val="auto"/>
              </w:rPr>
            </w:pPr>
            <w:r>
              <w:rPr>
                <w:rFonts w:ascii="Arial" w:cs="Arial" w:eastAsia="Arial" w:hAnsi="Arial"/>
                <w:sz w:val="16"/>
                <w:szCs w:val="16"/>
                <w:color w:val="auto"/>
                <w:w w:val="92"/>
              </w:rPr>
              <w:t>52,740,143</w:t>
            </w:r>
          </w:p>
        </w:tc>
      </w:tr>
      <w:tr>
        <w:trPr>
          <w:trHeight w:val="719"/>
        </w:trPr>
        <w:tc>
          <w:tcPr>
            <w:tcW w:w="55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546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36"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540" w:type="dxa"/>
            <w:vAlign w:val="bottom"/>
            <w:gridSpan w:val="12"/>
          </w:tcPr>
          <w:p>
            <w:pPr>
              <w:jc w:val="center"/>
              <w:ind w:right="3860"/>
              <w:spacing w:after="0"/>
              <w:rPr>
                <w:sz w:val="20"/>
                <w:szCs w:val="20"/>
                <w:color w:val="auto"/>
              </w:rPr>
            </w:pPr>
            <w:r>
              <w:rPr>
                <w:rFonts w:ascii="Arial" w:cs="Arial" w:eastAsia="Arial" w:hAnsi="Arial"/>
                <w:sz w:val="18"/>
                <w:szCs w:val="18"/>
                <w:b w:val="1"/>
                <w:bCs w:val="1"/>
                <w:color w:val="auto"/>
                <w:w w:val="93"/>
              </w:rPr>
              <w:t>ManpowerGroup Inc.</w:t>
            </w: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79"/>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gridSpan w:val="4"/>
          </w:tcPr>
          <w:p>
            <w:pPr>
              <w:jc w:val="center"/>
              <w:ind w:right="360"/>
              <w:spacing w:after="0"/>
              <w:rPr>
                <w:sz w:val="20"/>
                <w:szCs w:val="20"/>
                <w:color w:val="auto"/>
              </w:rPr>
            </w:pPr>
            <w:r>
              <w:rPr>
                <w:rFonts w:ascii="Arial" w:cs="Arial" w:eastAsia="Arial" w:hAnsi="Arial"/>
                <w:sz w:val="18"/>
                <w:szCs w:val="18"/>
                <w:b w:val="1"/>
                <w:bCs w:val="1"/>
                <w:color w:val="auto"/>
              </w:rPr>
              <w:t>INDEX</w:t>
            </w:r>
          </w:p>
        </w:tc>
        <w:tc>
          <w:tcPr>
            <w:tcW w:w="3860" w:type="dxa"/>
            <w:vAlign w:val="bottom"/>
            <w:gridSpan w:val="5"/>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6"/>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920" w:type="dxa"/>
            <w:vAlign w:val="bottom"/>
          </w:tcPr>
          <w:p>
            <w:pPr>
              <w:jc w:val="right"/>
              <w:ind w:right="232"/>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2260" w:type="dxa"/>
            <w:vAlign w:val="bottom"/>
            <w:gridSpan w:val="7"/>
            <w:vMerge w:val="restart"/>
          </w:tcPr>
          <w:p>
            <w:pPr>
              <w:spacing w:after="0"/>
              <w:rPr>
                <w:rFonts w:ascii="Arial" w:cs="Arial" w:eastAsia="Arial" w:hAnsi="Arial"/>
                <w:sz w:val="18"/>
                <w:szCs w:val="18"/>
                <w:b w:val="1"/>
                <w:bCs w:val="1"/>
                <w:color w:val="auto"/>
              </w:rPr>
            </w:pPr>
            <w:hyperlink w:anchor="page3">
              <w:r>
                <w:rPr>
                  <w:rFonts w:ascii="Arial" w:cs="Arial" w:eastAsia="Arial" w:hAnsi="Arial"/>
                  <w:sz w:val="18"/>
                  <w:szCs w:val="18"/>
                  <w:b w:val="1"/>
                  <w:bCs w:val="1"/>
                  <w:color w:val="auto"/>
                </w:rPr>
                <w:t>PART I</w:t>
              </w:r>
            </w:hyperlink>
          </w:p>
        </w:tc>
        <w:tc>
          <w:tcPr>
            <w:tcW w:w="8040" w:type="dxa"/>
            <w:vAlign w:val="bottom"/>
            <w:gridSpan w:val="22"/>
            <w:vMerge w:val="restart"/>
          </w:tcPr>
          <w:p>
            <w:pPr>
              <w:spacing w:after="0"/>
              <w:rPr>
                <w:rFonts w:ascii="Arial" w:cs="Arial" w:eastAsia="Arial" w:hAnsi="Arial"/>
                <w:sz w:val="18"/>
                <w:szCs w:val="18"/>
                <w:b w:val="1"/>
                <w:bCs w:val="1"/>
                <w:color w:val="auto"/>
              </w:rPr>
            </w:pPr>
            <w:hyperlink w:anchor="page3">
              <w:r>
                <w:rPr>
                  <w:rFonts w:ascii="Arial" w:cs="Arial" w:eastAsia="Arial" w:hAnsi="Arial"/>
                  <w:sz w:val="18"/>
                  <w:szCs w:val="18"/>
                  <w:b w:val="1"/>
                  <w:bCs w:val="1"/>
                  <w:color w:val="auto"/>
                </w:rPr>
                <w:t>FINANCIAL INFORMATION</w:t>
              </w:r>
            </w:hyperlink>
          </w:p>
        </w:tc>
        <w:tc>
          <w:tcPr>
            <w:tcW w:w="92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Number</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260" w:type="dxa"/>
            <w:vAlign w:val="bottom"/>
            <w:gridSpan w:val="7"/>
            <w:vMerge w:val="continue"/>
          </w:tcPr>
          <w:p>
            <w:pPr>
              <w:spacing w:after="0"/>
              <w:rPr>
                <w:sz w:val="14"/>
                <w:szCs w:val="14"/>
                <w:color w:val="auto"/>
              </w:rPr>
            </w:pPr>
          </w:p>
        </w:tc>
        <w:tc>
          <w:tcPr>
            <w:tcW w:w="8040" w:type="dxa"/>
            <w:vAlign w:val="bottom"/>
            <w:gridSpan w:val="22"/>
            <w:vMerge w:val="continue"/>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80" w:type="dxa"/>
            <w:vAlign w:val="bottom"/>
            <w:tcBorders>
              <w:top w:val="single" w:sz="8" w:color="0000EE"/>
            </w:tcBorders>
            <w:gridSpan w:val="3"/>
          </w:tcPr>
          <w:p>
            <w:pPr>
              <w:spacing w:after="0" w:line="182" w:lineRule="exact"/>
              <w:rPr>
                <w:rFonts w:ascii="Arial" w:cs="Arial" w:eastAsia="Arial" w:hAnsi="Arial"/>
                <w:sz w:val="18"/>
                <w:szCs w:val="18"/>
                <w:color w:val="auto"/>
              </w:rPr>
            </w:pPr>
            <w:hyperlink w:anchor="page3">
              <w:r>
                <w:rPr>
                  <w:rFonts w:ascii="Arial" w:cs="Arial" w:eastAsia="Arial" w:hAnsi="Arial"/>
                  <w:sz w:val="18"/>
                  <w:szCs w:val="18"/>
                  <w:color w:val="auto"/>
                </w:rPr>
                <w:t>Item 1</w:t>
              </w:r>
            </w:hyperlink>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400" w:type="dxa"/>
            <w:vAlign w:val="bottom"/>
            <w:tcBorders>
              <w:top w:val="single" w:sz="8" w:color="0000EE"/>
            </w:tcBorders>
            <w:gridSpan w:val="9"/>
          </w:tcPr>
          <w:p>
            <w:pPr>
              <w:spacing w:after="0" w:line="182" w:lineRule="exact"/>
              <w:rPr>
                <w:rFonts w:ascii="Arial" w:cs="Arial" w:eastAsia="Arial" w:hAnsi="Arial"/>
                <w:sz w:val="18"/>
                <w:szCs w:val="18"/>
                <w:color w:val="0000FF"/>
                <w:w w:val="90"/>
              </w:rPr>
            </w:pPr>
            <w:hyperlink w:anchor="page3">
              <w:r>
                <w:rPr>
                  <w:rFonts w:ascii="Arial" w:cs="Arial" w:eastAsia="Arial" w:hAnsi="Arial"/>
                  <w:sz w:val="18"/>
                  <w:szCs w:val="18"/>
                  <w:color w:val="0000FF"/>
                  <w:w w:val="90"/>
                </w:rPr>
                <w:t>Financial Statements (unaudited)</w:t>
              </w:r>
            </w:hyperlink>
          </w:p>
        </w:tc>
        <w:tc>
          <w:tcPr>
            <w:tcW w:w="400" w:type="dxa"/>
            <w:vAlign w:val="bottom"/>
            <w:gridSpan w:val="2"/>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20" w:type="dxa"/>
            <w:vAlign w:val="bottom"/>
            <w:gridSpan w:val="2"/>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60" w:type="dxa"/>
            <w:vAlign w:val="bottom"/>
            <w:tcBorders>
              <w:top w:val="single" w:sz="8" w:color="0000EE"/>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380" w:type="dxa"/>
            <w:vAlign w:val="bottom"/>
            <w:tcBorders>
              <w:top w:val="single" w:sz="8" w:color="0000FF"/>
            </w:tcBorders>
            <w:gridSpan w:val="8"/>
          </w:tcPr>
          <w:p>
            <w:pPr>
              <w:spacing w:after="0" w:line="182" w:lineRule="exact"/>
              <w:rPr>
                <w:rFonts w:ascii="Arial" w:cs="Arial" w:eastAsia="Arial" w:hAnsi="Arial"/>
                <w:sz w:val="18"/>
                <w:szCs w:val="18"/>
                <w:color w:val="0000FF"/>
                <w:w w:val="99"/>
              </w:rPr>
            </w:pPr>
            <w:hyperlink w:anchor="page3">
              <w:r>
                <w:rPr>
                  <w:rFonts w:ascii="Arial" w:cs="Arial" w:eastAsia="Arial" w:hAnsi="Arial"/>
                  <w:sz w:val="18"/>
                  <w:szCs w:val="18"/>
                  <w:color w:val="0000FF"/>
                  <w:w w:val="99"/>
                </w:rPr>
                <w:t>Consolidated Balance Sheets</w:t>
              </w:r>
            </w:hyperlink>
          </w:p>
        </w:tc>
        <w:tc>
          <w:tcPr>
            <w:tcW w:w="420" w:type="dxa"/>
            <w:vAlign w:val="bottom"/>
            <w:gridSpan w:val="3"/>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20" w:type="dxa"/>
            <w:vAlign w:val="bottom"/>
            <w:gridSpan w:val="2"/>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80" w:type="dxa"/>
            <w:vAlign w:val="bottom"/>
            <w:tcBorders>
              <w:top w:val="single" w:sz="8" w:color="0000FF"/>
            </w:tcBorders>
            <w:gridSpan w:val="6"/>
          </w:tcPr>
          <w:p>
            <w:pPr>
              <w:spacing w:after="0" w:line="182" w:lineRule="exact"/>
              <w:rPr>
                <w:rFonts w:ascii="Arial" w:cs="Arial" w:eastAsia="Arial" w:hAnsi="Arial"/>
                <w:sz w:val="18"/>
                <w:szCs w:val="18"/>
                <w:color w:val="0000FF"/>
                <w:w w:val="93"/>
              </w:rPr>
            </w:pPr>
            <w:hyperlink w:anchor="page5">
              <w:r>
                <w:rPr>
                  <w:rFonts w:ascii="Arial" w:cs="Arial" w:eastAsia="Arial" w:hAnsi="Arial"/>
                  <w:sz w:val="18"/>
                  <w:szCs w:val="18"/>
                  <w:color w:val="0000FF"/>
                  <w:w w:val="93"/>
                </w:rPr>
                <w:t>Consolidated Statements of</w:t>
              </w:r>
            </w:hyperlink>
          </w:p>
        </w:tc>
        <w:tc>
          <w:tcPr>
            <w:tcW w:w="20" w:type="dxa"/>
            <w:vAlign w:val="bottom"/>
            <w:tcBorders>
              <w:top w:val="single" w:sz="8" w:color="0000EE"/>
            </w:tcBorders>
          </w:tcPr>
          <w:p>
            <w:pPr>
              <w:spacing w:after="0"/>
              <w:rPr>
                <w:sz w:val="15"/>
                <w:szCs w:val="15"/>
                <w:color w:val="auto"/>
              </w:rPr>
            </w:pPr>
          </w:p>
        </w:tc>
        <w:tc>
          <w:tcPr>
            <w:tcW w:w="5940" w:type="dxa"/>
            <w:vAlign w:val="bottom"/>
            <w:gridSpan w:val="15"/>
          </w:tcPr>
          <w:p>
            <w:pPr>
              <w:spacing w:after="0" w:line="182" w:lineRule="exact"/>
              <w:rPr>
                <w:rFonts w:ascii="Arial" w:cs="Arial" w:eastAsia="Arial" w:hAnsi="Arial"/>
                <w:sz w:val="18"/>
                <w:szCs w:val="18"/>
                <w:color w:val="0000FF"/>
              </w:rPr>
            </w:pPr>
            <w:hyperlink w:anchor="page5">
              <w:r>
                <w:rPr>
                  <w:rFonts w:ascii="Arial" w:cs="Arial" w:eastAsia="Arial" w:hAnsi="Arial"/>
                  <w:sz w:val="18"/>
                  <w:szCs w:val="18"/>
                  <w:color w:val="0000FF"/>
                </w:rPr>
                <w:t>Operations</w:t>
              </w:r>
            </w:hyperlink>
          </w:p>
        </w:tc>
        <w:tc>
          <w:tcPr>
            <w:tcW w:w="920" w:type="dxa"/>
            <w:vAlign w:val="bottom"/>
          </w:tcPr>
          <w:p>
            <w:pPr>
              <w:jc w:val="right"/>
              <w:spacing w:after="0" w:line="182"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780" w:type="dxa"/>
            <w:vAlign w:val="bottom"/>
            <w:gridSpan w:val="6"/>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92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5</w:t>
            </w: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40" w:type="dxa"/>
            <w:vAlign w:val="bottom"/>
            <w:gridSpan w:val="22"/>
          </w:tcPr>
          <w:p>
            <w:pPr>
              <w:spacing w:after="0" w:line="182" w:lineRule="exact"/>
              <w:rPr>
                <w:rFonts w:ascii="Arial" w:cs="Arial" w:eastAsia="Arial" w:hAnsi="Arial"/>
                <w:sz w:val="18"/>
                <w:szCs w:val="18"/>
                <w:color w:val="0000FF"/>
              </w:rPr>
            </w:pPr>
            <w:hyperlink w:anchor="page5">
              <w:r>
                <w:rPr>
                  <w:rFonts w:ascii="Arial" w:cs="Arial" w:eastAsia="Arial" w:hAnsi="Arial"/>
                  <w:sz w:val="18"/>
                  <w:szCs w:val="18"/>
                  <w:color w:val="0000FF"/>
                </w:rPr>
                <w:t>Consolidated Statements of Comprehensive Income (Loss)</w:t>
              </w:r>
            </w:hyperlink>
          </w:p>
        </w:tc>
        <w:tc>
          <w:tcPr>
            <w:tcW w:w="9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240" w:type="dxa"/>
            <w:vAlign w:val="bottom"/>
            <w:tcBorders>
              <w:top w:val="single" w:sz="8" w:color="0000FF"/>
            </w:tcBorders>
            <w:gridSpan w:val="18"/>
          </w:tcPr>
          <w:p>
            <w:pPr>
              <w:spacing w:after="0" w:line="182" w:lineRule="exact"/>
              <w:rPr>
                <w:rFonts w:ascii="Arial" w:cs="Arial" w:eastAsia="Arial" w:hAnsi="Arial"/>
                <w:sz w:val="18"/>
                <w:szCs w:val="18"/>
                <w:color w:val="0000FF"/>
              </w:rPr>
            </w:pPr>
            <w:hyperlink w:anchor="page6">
              <w:r>
                <w:rPr>
                  <w:rFonts w:ascii="Arial" w:cs="Arial" w:eastAsia="Arial" w:hAnsi="Arial"/>
                  <w:sz w:val="18"/>
                  <w:szCs w:val="18"/>
                  <w:color w:val="0000FF"/>
                </w:rPr>
                <w:t>Consolidated Statements of Cash Flows</w:t>
              </w:r>
            </w:hyperlink>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920" w:type="dxa"/>
            <w:vAlign w:val="bottom"/>
          </w:tcPr>
          <w:p>
            <w:pPr>
              <w:jc w:val="right"/>
              <w:spacing w:after="0" w:line="182"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860" w:type="dxa"/>
            <w:vAlign w:val="bottom"/>
            <w:tcBorders>
              <w:top w:val="single" w:sz="8" w:color="0000FF"/>
            </w:tcBorders>
            <w:gridSpan w:val="12"/>
          </w:tcPr>
          <w:p>
            <w:pPr>
              <w:spacing w:after="0" w:line="182" w:lineRule="exact"/>
              <w:rPr>
                <w:rFonts w:ascii="Arial" w:cs="Arial" w:eastAsia="Arial" w:hAnsi="Arial"/>
                <w:sz w:val="18"/>
                <w:szCs w:val="18"/>
                <w:color w:val="0000FF"/>
                <w:w w:val="84"/>
              </w:rPr>
            </w:pPr>
            <w:hyperlink w:anchor="page7">
              <w:r>
                <w:rPr>
                  <w:rFonts w:ascii="Arial" w:cs="Arial" w:eastAsia="Arial" w:hAnsi="Arial"/>
                  <w:sz w:val="18"/>
                  <w:szCs w:val="18"/>
                  <w:color w:val="0000FF"/>
                  <w:w w:val="84"/>
                </w:rPr>
                <w:t>Consolidated Statements of Shareholders'</w:t>
              </w:r>
            </w:hyperlink>
          </w:p>
        </w:tc>
        <w:tc>
          <w:tcPr>
            <w:tcW w:w="20" w:type="dxa"/>
            <w:vAlign w:val="bottom"/>
            <w:tcBorders>
              <w:top w:val="single" w:sz="8" w:color="0000EE"/>
            </w:tcBorders>
          </w:tcPr>
          <w:p>
            <w:pPr>
              <w:spacing w:after="0"/>
              <w:rPr>
                <w:sz w:val="15"/>
                <w:szCs w:val="15"/>
                <w:color w:val="auto"/>
              </w:rPr>
            </w:pPr>
          </w:p>
        </w:tc>
        <w:tc>
          <w:tcPr>
            <w:tcW w:w="5160" w:type="dxa"/>
            <w:vAlign w:val="bottom"/>
            <w:gridSpan w:val="9"/>
          </w:tcPr>
          <w:p>
            <w:pPr>
              <w:ind w:left="160"/>
              <w:spacing w:after="0" w:line="182" w:lineRule="exact"/>
              <w:rPr>
                <w:rFonts w:ascii="Arial" w:cs="Arial" w:eastAsia="Arial" w:hAnsi="Arial"/>
                <w:sz w:val="18"/>
                <w:szCs w:val="18"/>
                <w:color w:val="0000FF"/>
              </w:rPr>
            </w:pPr>
            <w:hyperlink w:anchor="page7">
              <w:r>
                <w:rPr>
                  <w:rFonts w:ascii="Arial" w:cs="Arial" w:eastAsia="Arial" w:hAnsi="Arial"/>
                  <w:sz w:val="18"/>
                  <w:szCs w:val="18"/>
                  <w:color w:val="0000FF"/>
                </w:rPr>
                <w:t>Equity</w:t>
              </w:r>
            </w:hyperlink>
          </w:p>
        </w:tc>
        <w:tc>
          <w:tcPr>
            <w:tcW w:w="920" w:type="dxa"/>
            <w:vAlign w:val="bottom"/>
          </w:tcPr>
          <w:p>
            <w:pPr>
              <w:jc w:val="right"/>
              <w:spacing w:after="0" w:line="182"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520" w:type="dxa"/>
            <w:vAlign w:val="bottom"/>
            <w:tcBorders>
              <w:top w:val="single" w:sz="8" w:color="0000FF"/>
            </w:tcBorders>
            <w:gridSpan w:val="16"/>
          </w:tcPr>
          <w:p>
            <w:pPr>
              <w:spacing w:after="0" w:line="182" w:lineRule="exact"/>
              <w:rPr>
                <w:rFonts w:ascii="Arial" w:cs="Arial" w:eastAsia="Arial" w:hAnsi="Arial"/>
                <w:sz w:val="18"/>
                <w:szCs w:val="18"/>
                <w:color w:val="0000FF"/>
                <w:w w:val="99"/>
              </w:rPr>
            </w:pPr>
            <w:hyperlink w:anchor="page8">
              <w:r>
                <w:rPr>
                  <w:rFonts w:ascii="Arial" w:cs="Arial" w:eastAsia="Arial" w:hAnsi="Arial"/>
                  <w:sz w:val="18"/>
                  <w:szCs w:val="18"/>
                  <w:color w:val="0000FF"/>
                  <w:w w:val="99"/>
                </w:rPr>
                <w:t>Notes to Consolidated Financial Statements</w:t>
              </w:r>
            </w:hyperlink>
          </w:p>
        </w:tc>
        <w:tc>
          <w:tcPr>
            <w:tcW w:w="82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920" w:type="dxa"/>
            <w:vAlign w:val="bottom"/>
          </w:tcPr>
          <w:p>
            <w:pPr>
              <w:jc w:val="right"/>
              <w:spacing w:after="0" w:line="182" w:lineRule="exact"/>
              <w:rPr>
                <w:sz w:val="20"/>
                <w:szCs w:val="20"/>
                <w:color w:val="auto"/>
              </w:rPr>
            </w:pPr>
            <w:r>
              <w:rPr>
                <w:rFonts w:ascii="Arial" w:cs="Arial" w:eastAsia="Arial" w:hAnsi="Arial"/>
                <w:sz w:val="18"/>
                <w:szCs w:val="18"/>
                <w:color w:val="auto"/>
              </w:rPr>
              <w:t>8-22</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260" w:type="dxa"/>
            <w:vAlign w:val="bottom"/>
            <w:gridSpan w:val="7"/>
          </w:tcPr>
          <w:p>
            <w:pPr>
              <w:spacing w:after="0" w:line="182" w:lineRule="exact"/>
              <w:rPr>
                <w:rFonts w:ascii="Arial" w:cs="Arial" w:eastAsia="Arial" w:hAnsi="Arial"/>
                <w:sz w:val="18"/>
                <w:szCs w:val="18"/>
                <w:color w:val="auto"/>
              </w:rPr>
            </w:pPr>
            <w:hyperlink w:anchor="page23">
              <w:r>
                <w:rPr>
                  <w:rFonts w:ascii="Arial" w:cs="Arial" w:eastAsia="Arial" w:hAnsi="Arial"/>
                  <w:sz w:val="18"/>
                  <w:szCs w:val="18"/>
                  <w:color w:val="auto"/>
                </w:rPr>
                <w:t>Item 2</w:t>
              </w:r>
            </w:hyperlink>
          </w:p>
        </w:tc>
        <w:tc>
          <w:tcPr>
            <w:tcW w:w="3140" w:type="dxa"/>
            <w:vAlign w:val="bottom"/>
            <w:tcBorders>
              <w:top w:val="single" w:sz="8" w:color="0000FF"/>
            </w:tcBorders>
            <w:gridSpan w:val="14"/>
          </w:tcPr>
          <w:p>
            <w:pPr>
              <w:spacing w:after="0" w:line="182" w:lineRule="exact"/>
              <w:rPr>
                <w:rFonts w:ascii="Arial" w:cs="Arial" w:eastAsia="Arial" w:hAnsi="Arial"/>
                <w:sz w:val="18"/>
                <w:szCs w:val="18"/>
                <w:color w:val="0000FF"/>
                <w:w w:val="92"/>
              </w:rPr>
            </w:pPr>
            <w:hyperlink w:anchor="page23">
              <w:r>
                <w:rPr>
                  <w:rFonts w:ascii="Arial" w:cs="Arial" w:eastAsia="Arial" w:hAnsi="Arial"/>
                  <w:sz w:val="18"/>
                  <w:szCs w:val="18"/>
                  <w:color w:val="0000FF"/>
                  <w:w w:val="92"/>
                </w:rPr>
                <w:t>Management’s Discussion and Analysis of</w:t>
              </w:r>
            </w:hyperlink>
          </w:p>
        </w:tc>
        <w:tc>
          <w:tcPr>
            <w:tcW w:w="20" w:type="dxa"/>
            <w:vAlign w:val="bottom"/>
            <w:tcBorders>
              <w:top w:val="single" w:sz="8" w:color="0000EE"/>
            </w:tcBorders>
          </w:tcPr>
          <w:p>
            <w:pPr>
              <w:spacing w:after="0"/>
              <w:rPr>
                <w:sz w:val="15"/>
                <w:szCs w:val="15"/>
                <w:color w:val="auto"/>
              </w:rPr>
            </w:pPr>
          </w:p>
        </w:tc>
        <w:tc>
          <w:tcPr>
            <w:tcW w:w="4880" w:type="dxa"/>
            <w:vAlign w:val="bottom"/>
            <w:gridSpan w:val="7"/>
          </w:tcPr>
          <w:p>
            <w:pPr>
              <w:spacing w:after="0" w:line="182" w:lineRule="exact"/>
              <w:rPr>
                <w:rFonts w:ascii="Arial" w:cs="Arial" w:eastAsia="Arial" w:hAnsi="Arial"/>
                <w:sz w:val="18"/>
                <w:szCs w:val="18"/>
                <w:color w:val="0000FF"/>
              </w:rPr>
            </w:pPr>
            <w:hyperlink w:anchor="page23">
              <w:r>
                <w:rPr>
                  <w:rFonts w:ascii="Arial" w:cs="Arial" w:eastAsia="Arial" w:hAnsi="Arial"/>
                  <w:sz w:val="18"/>
                  <w:szCs w:val="18"/>
                  <w:color w:val="0000FF"/>
                </w:rPr>
                <w:t>Financial Condition and Results of Operations</w:t>
              </w:r>
            </w:hyperlink>
          </w:p>
        </w:tc>
        <w:tc>
          <w:tcPr>
            <w:tcW w:w="920" w:type="dxa"/>
            <w:vAlign w:val="bottom"/>
          </w:tcPr>
          <w:p>
            <w:pPr>
              <w:jc w:val="right"/>
              <w:spacing w:after="0" w:line="182" w:lineRule="exact"/>
              <w:rPr>
                <w:sz w:val="20"/>
                <w:szCs w:val="20"/>
                <w:color w:val="auto"/>
              </w:rPr>
            </w:pPr>
            <w:r>
              <w:rPr>
                <w:rFonts w:ascii="Arial" w:cs="Arial" w:eastAsia="Arial" w:hAnsi="Arial"/>
                <w:sz w:val="18"/>
                <w:szCs w:val="18"/>
                <w:color w:val="auto"/>
              </w:rPr>
              <w:t>23-35</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60" w:type="dxa"/>
            <w:vAlign w:val="bottom"/>
            <w:tcBorders>
              <w:top w:val="single" w:sz="8" w:color="0000EE"/>
            </w:tcBorders>
          </w:tcPr>
          <w:p>
            <w:pPr>
              <w:spacing w:after="0" w:line="182" w:lineRule="exact"/>
              <w:rPr>
                <w:rFonts w:ascii="Arial" w:cs="Arial" w:eastAsia="Arial" w:hAnsi="Arial"/>
                <w:sz w:val="18"/>
                <w:szCs w:val="18"/>
                <w:color w:val="auto"/>
                <w:w w:val="87"/>
              </w:rPr>
            </w:pPr>
            <w:hyperlink w:anchor="page35">
              <w:r>
                <w:rPr>
                  <w:rFonts w:ascii="Arial" w:cs="Arial" w:eastAsia="Arial" w:hAnsi="Arial"/>
                  <w:sz w:val="18"/>
                  <w:szCs w:val="18"/>
                  <w:color w:val="auto"/>
                  <w:w w:val="87"/>
                </w:rPr>
                <w:t>Item 3</w:t>
              </w:r>
            </w:hyperlink>
          </w:p>
        </w:tc>
        <w:tc>
          <w:tcPr>
            <w:tcW w:w="20" w:type="dxa"/>
            <w:vAlign w:val="bottom"/>
          </w:tcPr>
          <w:p>
            <w:pPr>
              <w:spacing w:after="0"/>
              <w:rPr>
                <w:sz w:val="15"/>
                <w:szCs w:val="15"/>
                <w:color w:val="auto"/>
              </w:rPr>
            </w:pPr>
          </w:p>
        </w:tc>
        <w:tc>
          <w:tcPr>
            <w:tcW w:w="120" w:type="dxa"/>
            <w:vAlign w:val="bottom"/>
            <w:gridSpan w:val="2"/>
          </w:tcPr>
          <w:p>
            <w:pPr>
              <w:spacing w:after="0"/>
              <w:rPr>
                <w:sz w:val="15"/>
                <w:szCs w:val="15"/>
                <w:color w:val="auto"/>
              </w:rPr>
            </w:pPr>
          </w:p>
        </w:tc>
        <w:tc>
          <w:tcPr>
            <w:tcW w:w="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460" w:type="dxa"/>
            <w:vAlign w:val="bottom"/>
            <w:tcBorders>
              <w:top w:val="single" w:sz="8" w:color="0000FF"/>
            </w:tcBorders>
            <w:gridSpan w:val="21"/>
          </w:tcPr>
          <w:p>
            <w:pPr>
              <w:spacing w:after="0" w:line="182" w:lineRule="exact"/>
              <w:rPr>
                <w:rFonts w:ascii="Arial" w:cs="Arial" w:eastAsia="Arial" w:hAnsi="Arial"/>
                <w:sz w:val="18"/>
                <w:szCs w:val="18"/>
                <w:color w:val="0000FF"/>
              </w:rPr>
            </w:pPr>
            <w:hyperlink w:anchor="page35">
              <w:r>
                <w:rPr>
                  <w:rFonts w:ascii="Arial" w:cs="Arial" w:eastAsia="Arial" w:hAnsi="Arial"/>
                  <w:sz w:val="18"/>
                  <w:szCs w:val="18"/>
                  <w:color w:val="0000FF"/>
                </w:rPr>
                <w:t>Quantitative and Qualitative Disclosures About Market Risk</w:t>
              </w:r>
            </w:hyperlink>
          </w:p>
        </w:tc>
        <w:tc>
          <w:tcPr>
            <w:tcW w:w="1580" w:type="dxa"/>
            <w:vAlign w:val="bottom"/>
          </w:tcPr>
          <w:p>
            <w:pPr>
              <w:spacing w:after="0"/>
              <w:rPr>
                <w:sz w:val="15"/>
                <w:szCs w:val="15"/>
                <w:color w:val="auto"/>
              </w:rPr>
            </w:pPr>
          </w:p>
        </w:tc>
        <w:tc>
          <w:tcPr>
            <w:tcW w:w="920" w:type="dxa"/>
            <w:vAlign w:val="bottom"/>
          </w:tcPr>
          <w:p>
            <w:pPr>
              <w:jc w:val="right"/>
              <w:spacing w:after="0" w:line="182" w:lineRule="exact"/>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183"/>
        </w:trPr>
        <w:tc>
          <w:tcPr>
            <w:tcW w:w="20" w:type="dxa"/>
            <w:vAlign w:val="bottom"/>
            <w:tcBorders>
              <w:top w:val="single" w:sz="8" w:color="0000EE"/>
            </w:tcBorders>
          </w:tcPr>
          <w:p>
            <w:pPr>
              <w:spacing w:after="0"/>
              <w:rPr>
                <w:sz w:val="15"/>
                <w:szCs w:val="15"/>
                <w:color w:val="auto"/>
              </w:rPr>
            </w:pPr>
          </w:p>
        </w:tc>
        <w:tc>
          <w:tcPr>
            <w:tcW w:w="480" w:type="dxa"/>
            <w:vAlign w:val="bottom"/>
            <w:tcBorders>
              <w:top w:val="single" w:sz="8" w:color="0000EE"/>
            </w:tcBorders>
            <w:gridSpan w:val="2"/>
          </w:tcPr>
          <w:p>
            <w:pPr>
              <w:spacing w:after="0" w:line="182" w:lineRule="exact"/>
              <w:rPr>
                <w:rFonts w:ascii="Arial" w:cs="Arial" w:eastAsia="Arial" w:hAnsi="Arial"/>
                <w:sz w:val="18"/>
                <w:szCs w:val="18"/>
                <w:color w:val="auto"/>
                <w:w w:val="91"/>
              </w:rPr>
            </w:pPr>
            <w:hyperlink w:anchor="page35">
              <w:r>
                <w:rPr>
                  <w:rFonts w:ascii="Arial" w:cs="Arial" w:eastAsia="Arial" w:hAnsi="Arial"/>
                  <w:sz w:val="18"/>
                  <w:szCs w:val="18"/>
                  <w:color w:val="auto"/>
                  <w:w w:val="91"/>
                </w:rPr>
                <w:t>Item 4</w:t>
              </w:r>
            </w:hyperlink>
          </w:p>
        </w:tc>
        <w:tc>
          <w:tcPr>
            <w:tcW w:w="120" w:type="dxa"/>
            <w:vAlign w:val="bottom"/>
            <w:gridSpan w:val="2"/>
          </w:tcPr>
          <w:p>
            <w:pPr>
              <w:spacing w:after="0"/>
              <w:rPr>
                <w:sz w:val="15"/>
                <w:szCs w:val="15"/>
                <w:color w:val="auto"/>
              </w:rPr>
            </w:pPr>
          </w:p>
        </w:tc>
        <w:tc>
          <w:tcPr>
            <w:tcW w:w="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360" w:type="dxa"/>
            <w:vAlign w:val="bottom"/>
            <w:tcBorders>
              <w:top w:val="single" w:sz="8" w:color="0000FF"/>
            </w:tcBorders>
            <w:gridSpan w:val="20"/>
          </w:tcPr>
          <w:p>
            <w:pPr>
              <w:spacing w:after="0" w:line="182" w:lineRule="exact"/>
              <w:rPr>
                <w:rFonts w:ascii="Arial" w:cs="Arial" w:eastAsia="Arial" w:hAnsi="Arial"/>
                <w:sz w:val="18"/>
                <w:szCs w:val="18"/>
                <w:color w:val="0000FF"/>
              </w:rPr>
            </w:pPr>
            <w:hyperlink w:anchor="page35">
              <w:r>
                <w:rPr>
                  <w:rFonts w:ascii="Arial" w:cs="Arial" w:eastAsia="Arial" w:hAnsi="Arial"/>
                  <w:sz w:val="18"/>
                  <w:szCs w:val="18"/>
                  <w:color w:val="0000FF"/>
                </w:rPr>
                <w:t>Controls and Procedures</w:t>
              </w:r>
            </w:hyperlink>
          </w:p>
        </w:tc>
        <w:tc>
          <w:tcPr>
            <w:tcW w:w="3680" w:type="dxa"/>
            <w:vAlign w:val="bottom"/>
            <w:gridSpan w:val="2"/>
          </w:tcPr>
          <w:p>
            <w:pPr>
              <w:spacing w:after="0"/>
              <w:rPr>
                <w:sz w:val="15"/>
                <w:szCs w:val="15"/>
                <w:color w:val="auto"/>
              </w:rPr>
            </w:pPr>
          </w:p>
        </w:tc>
        <w:tc>
          <w:tcPr>
            <w:tcW w:w="920" w:type="dxa"/>
            <w:vAlign w:val="bottom"/>
          </w:tcPr>
          <w:p>
            <w:pPr>
              <w:jc w:val="right"/>
              <w:spacing w:after="0" w:line="182" w:lineRule="exact"/>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0"/>
        </w:trPr>
        <w:tc>
          <w:tcPr>
            <w:tcW w:w="2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320" w:type="dxa"/>
            <w:vAlign w:val="bottom"/>
            <w:gridSpan w:val="14"/>
          </w:tcPr>
          <w:p>
            <w:pPr>
              <w:spacing w:after="0" w:line="20" w:lineRule="exact"/>
              <w:rPr>
                <w:sz w:val="1"/>
                <w:szCs w:val="1"/>
                <w:color w:val="auto"/>
              </w:rPr>
            </w:pPr>
          </w:p>
        </w:tc>
        <w:tc>
          <w:tcPr>
            <w:tcW w:w="3700" w:type="dxa"/>
            <w:vAlign w:val="bottom"/>
            <w:gridSpan w:val="3"/>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20" w:type="dxa"/>
            <w:vAlign w:val="bottom"/>
          </w:tcPr>
          <w:p>
            <w:pPr>
              <w:spacing w:after="0"/>
              <w:rPr>
                <w:sz w:val="24"/>
                <w:szCs w:val="24"/>
                <w:color w:val="auto"/>
              </w:rPr>
            </w:pPr>
          </w:p>
        </w:tc>
        <w:tc>
          <w:tcPr>
            <w:tcW w:w="2260" w:type="dxa"/>
            <w:vAlign w:val="bottom"/>
            <w:gridSpan w:val="7"/>
          </w:tcPr>
          <w:p>
            <w:pPr>
              <w:spacing w:after="0"/>
              <w:rPr>
                <w:rFonts w:ascii="Arial" w:cs="Arial" w:eastAsia="Arial" w:hAnsi="Arial"/>
                <w:sz w:val="18"/>
                <w:szCs w:val="18"/>
                <w:b w:val="1"/>
                <w:bCs w:val="1"/>
                <w:color w:val="auto"/>
              </w:rPr>
            </w:pPr>
            <w:hyperlink w:anchor="page36">
              <w:r>
                <w:rPr>
                  <w:rFonts w:ascii="Arial" w:cs="Arial" w:eastAsia="Arial" w:hAnsi="Arial"/>
                  <w:sz w:val="18"/>
                  <w:szCs w:val="18"/>
                  <w:b w:val="1"/>
                  <w:bCs w:val="1"/>
                  <w:color w:val="auto"/>
                </w:rPr>
                <w:t>PART II</w:t>
              </w:r>
            </w:hyperlink>
          </w:p>
        </w:tc>
        <w:tc>
          <w:tcPr>
            <w:tcW w:w="8040" w:type="dxa"/>
            <w:vAlign w:val="bottom"/>
            <w:gridSpan w:val="22"/>
          </w:tcPr>
          <w:p>
            <w:pPr>
              <w:spacing w:after="0"/>
              <w:rPr>
                <w:rFonts w:ascii="Arial" w:cs="Arial" w:eastAsia="Arial" w:hAnsi="Arial"/>
                <w:sz w:val="18"/>
                <w:szCs w:val="18"/>
                <w:b w:val="1"/>
                <w:bCs w:val="1"/>
                <w:color w:val="auto"/>
              </w:rPr>
            </w:pPr>
            <w:hyperlink w:anchor="page36">
              <w:r>
                <w:rPr>
                  <w:rFonts w:ascii="Arial" w:cs="Arial" w:eastAsia="Arial" w:hAnsi="Arial"/>
                  <w:sz w:val="18"/>
                  <w:szCs w:val="18"/>
                  <w:b w:val="1"/>
                  <w:bCs w:val="1"/>
                  <w:color w:val="auto"/>
                </w:rPr>
                <w:t>OTHER INFORMATION</w:t>
              </w:r>
            </w:hyperlink>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183"/>
        </w:trPr>
        <w:tc>
          <w:tcPr>
            <w:tcW w:w="20" w:type="dxa"/>
            <w:vAlign w:val="bottom"/>
            <w:tcBorders>
              <w:top w:val="single" w:sz="8" w:color="0000EE"/>
            </w:tcBorders>
          </w:tcPr>
          <w:p>
            <w:pPr>
              <w:spacing w:after="0"/>
              <w:rPr>
                <w:sz w:val="15"/>
                <w:szCs w:val="15"/>
                <w:color w:val="auto"/>
              </w:rPr>
            </w:pPr>
          </w:p>
        </w:tc>
        <w:tc>
          <w:tcPr>
            <w:tcW w:w="660" w:type="dxa"/>
            <w:vAlign w:val="bottom"/>
            <w:tcBorders>
              <w:top w:val="single" w:sz="8" w:color="0000EE"/>
            </w:tcBorders>
            <w:gridSpan w:val="5"/>
          </w:tcPr>
          <w:p>
            <w:pPr>
              <w:spacing w:after="0" w:line="182" w:lineRule="exact"/>
              <w:rPr>
                <w:rFonts w:ascii="Arial" w:cs="Arial" w:eastAsia="Arial" w:hAnsi="Arial"/>
                <w:sz w:val="18"/>
                <w:szCs w:val="18"/>
                <w:color w:val="auto"/>
              </w:rPr>
            </w:pPr>
            <w:hyperlink w:anchor="page36">
              <w:r>
                <w:rPr>
                  <w:rFonts w:ascii="Arial" w:cs="Arial" w:eastAsia="Arial" w:hAnsi="Arial"/>
                  <w:sz w:val="18"/>
                  <w:szCs w:val="18"/>
                  <w:color w:val="auto"/>
                </w:rPr>
                <w:t>Item 1A</w:t>
              </w:r>
            </w:hyperlink>
          </w:p>
        </w:tc>
        <w:tc>
          <w:tcPr>
            <w:tcW w:w="5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20" w:type="dxa"/>
            <w:vAlign w:val="bottom"/>
            <w:tcBorders>
              <w:top w:val="single" w:sz="8" w:color="0000EE"/>
            </w:tcBorders>
            <w:gridSpan w:val="5"/>
          </w:tcPr>
          <w:p>
            <w:pPr>
              <w:spacing w:after="0" w:line="182" w:lineRule="exact"/>
              <w:rPr>
                <w:rFonts w:ascii="Arial" w:cs="Arial" w:eastAsia="Arial" w:hAnsi="Arial"/>
                <w:sz w:val="18"/>
                <w:szCs w:val="18"/>
                <w:color w:val="0000FF"/>
              </w:rPr>
            </w:pPr>
            <w:hyperlink w:anchor="page36">
              <w:r>
                <w:rPr>
                  <w:rFonts w:ascii="Arial" w:cs="Arial" w:eastAsia="Arial" w:hAnsi="Arial"/>
                  <w:sz w:val="18"/>
                  <w:szCs w:val="18"/>
                  <w:color w:val="0000FF"/>
                </w:rPr>
                <w:t>Risk Factors</w:t>
              </w:r>
            </w:hyperlink>
          </w:p>
        </w:tc>
        <w:tc>
          <w:tcPr>
            <w:tcW w:w="2320" w:type="dxa"/>
            <w:vAlign w:val="bottom"/>
            <w:gridSpan w:val="14"/>
          </w:tcPr>
          <w:p>
            <w:pPr>
              <w:spacing w:after="0"/>
              <w:rPr>
                <w:sz w:val="15"/>
                <w:szCs w:val="15"/>
                <w:color w:val="auto"/>
              </w:rPr>
            </w:pPr>
          </w:p>
        </w:tc>
        <w:tc>
          <w:tcPr>
            <w:tcW w:w="3700" w:type="dxa"/>
            <w:vAlign w:val="bottom"/>
            <w:gridSpan w:val="3"/>
          </w:tcPr>
          <w:p>
            <w:pPr>
              <w:spacing w:after="0"/>
              <w:rPr>
                <w:sz w:val="15"/>
                <w:szCs w:val="15"/>
                <w:color w:val="auto"/>
              </w:rPr>
            </w:pPr>
          </w:p>
        </w:tc>
        <w:tc>
          <w:tcPr>
            <w:tcW w:w="9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Borders>
              <w:top w:val="single" w:sz="8" w:color="0000EE"/>
            </w:tcBorders>
          </w:tcPr>
          <w:p>
            <w:pPr>
              <w:spacing w:after="0"/>
              <w:rPr>
                <w:sz w:val="15"/>
                <w:szCs w:val="15"/>
                <w:color w:val="auto"/>
              </w:rPr>
            </w:pPr>
          </w:p>
        </w:tc>
        <w:tc>
          <w:tcPr>
            <w:tcW w:w="600" w:type="dxa"/>
            <w:vAlign w:val="bottom"/>
            <w:tcBorders>
              <w:top w:val="single" w:sz="8" w:color="0000EE"/>
            </w:tcBorders>
            <w:gridSpan w:val="4"/>
          </w:tcPr>
          <w:p>
            <w:pPr>
              <w:spacing w:after="0" w:line="182" w:lineRule="exact"/>
              <w:rPr>
                <w:rFonts w:ascii="Arial" w:cs="Arial" w:eastAsia="Arial" w:hAnsi="Arial"/>
                <w:sz w:val="18"/>
                <w:szCs w:val="18"/>
                <w:color w:val="auto"/>
              </w:rPr>
            </w:pPr>
            <w:hyperlink w:anchor="page36">
              <w:r>
                <w:rPr>
                  <w:rFonts w:ascii="Arial" w:cs="Arial" w:eastAsia="Arial" w:hAnsi="Arial"/>
                  <w:sz w:val="18"/>
                  <w:szCs w:val="18"/>
                  <w:color w:val="auto"/>
                </w:rPr>
                <w:t>Item 2</w:t>
              </w:r>
            </w:hyperlink>
          </w:p>
        </w:tc>
        <w:tc>
          <w:tcPr>
            <w:tcW w:w="560" w:type="dxa"/>
            <w:vAlign w:val="bottom"/>
            <w:gridSpan w:val="2"/>
          </w:tcPr>
          <w:p>
            <w:pPr>
              <w:spacing w:after="0"/>
              <w:rPr>
                <w:sz w:val="15"/>
                <w:szCs w:val="15"/>
                <w:color w:val="auto"/>
              </w:rPr>
            </w:pPr>
          </w:p>
        </w:tc>
        <w:tc>
          <w:tcPr>
            <w:tcW w:w="1100" w:type="dxa"/>
            <w:vAlign w:val="bottom"/>
          </w:tcPr>
          <w:p>
            <w:pPr>
              <w:spacing w:after="0"/>
              <w:rPr>
                <w:sz w:val="15"/>
                <w:szCs w:val="15"/>
                <w:color w:val="auto"/>
              </w:rPr>
            </w:pPr>
          </w:p>
        </w:tc>
        <w:tc>
          <w:tcPr>
            <w:tcW w:w="900" w:type="dxa"/>
            <w:vAlign w:val="bottom"/>
            <w:tcBorders>
              <w:top w:val="single" w:sz="8" w:color="0000FF"/>
            </w:tcBorders>
            <w:gridSpan w:val="2"/>
          </w:tcPr>
          <w:p>
            <w:pPr>
              <w:spacing w:after="0" w:line="182" w:lineRule="exact"/>
              <w:rPr>
                <w:rFonts w:ascii="Arial" w:cs="Arial" w:eastAsia="Arial" w:hAnsi="Arial"/>
                <w:sz w:val="18"/>
                <w:szCs w:val="18"/>
                <w:color w:val="0000FF"/>
                <w:w w:val="85"/>
              </w:rPr>
            </w:pPr>
            <w:hyperlink w:anchor="page36">
              <w:r>
                <w:rPr>
                  <w:rFonts w:ascii="Arial" w:cs="Arial" w:eastAsia="Arial" w:hAnsi="Arial"/>
                  <w:sz w:val="18"/>
                  <w:szCs w:val="18"/>
                  <w:color w:val="0000FF"/>
                  <w:w w:val="85"/>
                </w:rPr>
                <w:t>Unregistered</w:t>
              </w:r>
            </w:hyperlink>
          </w:p>
        </w:tc>
        <w:tc>
          <w:tcPr>
            <w:tcW w:w="7140" w:type="dxa"/>
            <w:vAlign w:val="bottom"/>
            <w:gridSpan w:val="20"/>
          </w:tcPr>
          <w:p>
            <w:pPr>
              <w:ind w:left="80"/>
              <w:spacing w:after="0" w:line="182" w:lineRule="exact"/>
              <w:rPr>
                <w:rFonts w:ascii="Arial" w:cs="Arial" w:eastAsia="Arial" w:hAnsi="Arial"/>
                <w:sz w:val="18"/>
                <w:szCs w:val="18"/>
                <w:color w:val="0000FF"/>
              </w:rPr>
            </w:pPr>
            <w:hyperlink w:anchor="page36">
              <w:r>
                <w:rPr>
                  <w:rFonts w:ascii="Arial" w:cs="Arial" w:eastAsia="Arial" w:hAnsi="Arial"/>
                  <w:sz w:val="18"/>
                  <w:szCs w:val="18"/>
                  <w:color w:val="0000FF"/>
                </w:rPr>
                <w:t>Sales of Equity Securities and Use of Proceeds</w:t>
              </w:r>
            </w:hyperlink>
          </w:p>
        </w:tc>
        <w:tc>
          <w:tcPr>
            <w:tcW w:w="920" w:type="dxa"/>
            <w:vAlign w:val="bottom"/>
          </w:tcPr>
          <w:p>
            <w:pPr>
              <w:jc w:val="right"/>
              <w:spacing w:after="0" w:line="182" w:lineRule="exact"/>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183"/>
        </w:trPr>
        <w:tc>
          <w:tcPr>
            <w:tcW w:w="20" w:type="dxa"/>
            <w:vAlign w:val="bottom"/>
            <w:tcBorders>
              <w:top w:val="single" w:sz="8" w:color="0000EE"/>
            </w:tcBorders>
          </w:tcPr>
          <w:p>
            <w:pPr>
              <w:spacing w:after="0"/>
              <w:rPr>
                <w:sz w:val="15"/>
                <w:szCs w:val="15"/>
                <w:color w:val="auto"/>
              </w:rPr>
            </w:pPr>
          </w:p>
        </w:tc>
        <w:tc>
          <w:tcPr>
            <w:tcW w:w="480" w:type="dxa"/>
            <w:vAlign w:val="bottom"/>
            <w:tcBorders>
              <w:top w:val="single" w:sz="8" w:color="0000EE"/>
            </w:tcBorders>
            <w:gridSpan w:val="2"/>
          </w:tcPr>
          <w:p>
            <w:pPr>
              <w:spacing w:after="0" w:line="182" w:lineRule="exact"/>
              <w:rPr>
                <w:rFonts w:ascii="Arial" w:cs="Arial" w:eastAsia="Arial" w:hAnsi="Arial"/>
                <w:sz w:val="18"/>
                <w:szCs w:val="18"/>
                <w:color w:val="auto"/>
                <w:w w:val="91"/>
              </w:rPr>
            </w:pPr>
            <w:hyperlink w:anchor="page37">
              <w:r>
                <w:rPr>
                  <w:rFonts w:ascii="Arial" w:cs="Arial" w:eastAsia="Arial" w:hAnsi="Arial"/>
                  <w:sz w:val="18"/>
                  <w:szCs w:val="18"/>
                  <w:color w:val="auto"/>
                  <w:w w:val="91"/>
                </w:rPr>
                <w:t>Item 5</w:t>
              </w:r>
            </w:hyperlink>
          </w:p>
        </w:tc>
        <w:tc>
          <w:tcPr>
            <w:tcW w:w="680" w:type="dxa"/>
            <w:vAlign w:val="bottom"/>
            <w:gridSpan w:val="4"/>
          </w:tcPr>
          <w:p>
            <w:pPr>
              <w:spacing w:after="0"/>
              <w:rPr>
                <w:sz w:val="15"/>
                <w:szCs w:val="15"/>
                <w:color w:val="auto"/>
              </w:rPr>
            </w:pPr>
          </w:p>
        </w:tc>
        <w:tc>
          <w:tcPr>
            <w:tcW w:w="1100" w:type="dxa"/>
            <w:vAlign w:val="bottom"/>
          </w:tcPr>
          <w:p>
            <w:pPr>
              <w:spacing w:after="0"/>
              <w:rPr>
                <w:sz w:val="15"/>
                <w:szCs w:val="15"/>
                <w:color w:val="auto"/>
              </w:rPr>
            </w:pPr>
          </w:p>
        </w:tc>
        <w:tc>
          <w:tcPr>
            <w:tcW w:w="4340" w:type="dxa"/>
            <w:vAlign w:val="bottom"/>
            <w:tcBorders>
              <w:top w:val="single" w:sz="8" w:color="0000FF"/>
            </w:tcBorders>
            <w:gridSpan w:val="19"/>
          </w:tcPr>
          <w:p>
            <w:pPr>
              <w:spacing w:after="0" w:line="182" w:lineRule="exact"/>
              <w:rPr>
                <w:rFonts w:ascii="Arial" w:cs="Arial" w:eastAsia="Arial" w:hAnsi="Arial"/>
                <w:sz w:val="18"/>
                <w:szCs w:val="18"/>
                <w:color w:val="0000FF"/>
              </w:rPr>
            </w:pPr>
            <w:hyperlink w:anchor="page37">
              <w:r>
                <w:rPr>
                  <w:rFonts w:ascii="Arial" w:cs="Arial" w:eastAsia="Arial" w:hAnsi="Arial"/>
                  <w:sz w:val="18"/>
                  <w:szCs w:val="18"/>
                  <w:color w:val="0000FF"/>
                </w:rPr>
                <w:t>Other Information</w:t>
              </w:r>
            </w:hyperlink>
          </w:p>
        </w:tc>
        <w:tc>
          <w:tcPr>
            <w:tcW w:w="3700" w:type="dxa"/>
            <w:vAlign w:val="bottom"/>
            <w:gridSpan w:val="3"/>
          </w:tcPr>
          <w:p>
            <w:pPr>
              <w:spacing w:after="0"/>
              <w:rPr>
                <w:sz w:val="15"/>
                <w:szCs w:val="15"/>
                <w:color w:val="auto"/>
              </w:rPr>
            </w:pPr>
          </w:p>
        </w:tc>
        <w:tc>
          <w:tcPr>
            <w:tcW w:w="920" w:type="dxa"/>
            <w:vAlign w:val="bottom"/>
          </w:tcPr>
          <w:p>
            <w:pPr>
              <w:jc w:val="right"/>
              <w:spacing w:after="0" w:line="182" w:lineRule="exact"/>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183"/>
        </w:trPr>
        <w:tc>
          <w:tcPr>
            <w:tcW w:w="20" w:type="dxa"/>
            <w:vAlign w:val="bottom"/>
            <w:tcBorders>
              <w:top w:val="single" w:sz="8" w:color="0000EE"/>
              <w:bottom w:val="single" w:sz="8" w:color="0000EE"/>
            </w:tcBorders>
          </w:tcPr>
          <w:p>
            <w:pPr>
              <w:spacing w:after="0"/>
              <w:rPr>
                <w:sz w:val="15"/>
                <w:szCs w:val="15"/>
                <w:color w:val="auto"/>
              </w:rPr>
            </w:pPr>
          </w:p>
        </w:tc>
        <w:tc>
          <w:tcPr>
            <w:tcW w:w="480" w:type="dxa"/>
            <w:vAlign w:val="bottom"/>
            <w:tcBorders>
              <w:top w:val="single" w:sz="8" w:color="0000EE"/>
              <w:bottom w:val="single" w:sz="8" w:color="0000EE"/>
            </w:tcBorders>
            <w:gridSpan w:val="2"/>
          </w:tcPr>
          <w:p>
            <w:pPr>
              <w:spacing w:after="0" w:line="182" w:lineRule="exact"/>
              <w:rPr>
                <w:rFonts w:ascii="Arial" w:cs="Arial" w:eastAsia="Arial" w:hAnsi="Arial"/>
                <w:sz w:val="18"/>
                <w:szCs w:val="18"/>
                <w:color w:val="auto"/>
                <w:w w:val="91"/>
              </w:rPr>
            </w:pPr>
            <w:hyperlink w:anchor="page38">
              <w:r>
                <w:rPr>
                  <w:rFonts w:ascii="Arial" w:cs="Arial" w:eastAsia="Arial" w:hAnsi="Arial"/>
                  <w:sz w:val="18"/>
                  <w:szCs w:val="18"/>
                  <w:color w:val="auto"/>
                  <w:w w:val="91"/>
                </w:rPr>
                <w:t>Item 6</w:t>
              </w:r>
            </w:hyperlink>
          </w:p>
        </w:tc>
        <w:tc>
          <w:tcPr>
            <w:tcW w:w="680" w:type="dxa"/>
            <w:vAlign w:val="bottom"/>
            <w:gridSpan w:val="4"/>
          </w:tcPr>
          <w:p>
            <w:pPr>
              <w:spacing w:after="0"/>
              <w:rPr>
                <w:sz w:val="15"/>
                <w:szCs w:val="15"/>
                <w:color w:val="auto"/>
              </w:rPr>
            </w:pPr>
          </w:p>
        </w:tc>
        <w:tc>
          <w:tcPr>
            <w:tcW w:w="1100" w:type="dxa"/>
            <w:vAlign w:val="bottom"/>
          </w:tcPr>
          <w:p>
            <w:pPr>
              <w:spacing w:after="0"/>
              <w:rPr>
                <w:sz w:val="15"/>
                <w:szCs w:val="15"/>
                <w:color w:val="auto"/>
              </w:rPr>
            </w:pPr>
          </w:p>
        </w:tc>
        <w:tc>
          <w:tcPr>
            <w:tcW w:w="600" w:type="dxa"/>
            <w:vAlign w:val="bottom"/>
            <w:tcBorders>
              <w:top w:val="single" w:sz="8" w:color="0000FF"/>
              <w:bottom w:val="single" w:sz="8" w:color="0000FF"/>
            </w:tcBorders>
          </w:tcPr>
          <w:p>
            <w:pPr>
              <w:spacing w:after="0" w:line="182" w:lineRule="exact"/>
              <w:rPr>
                <w:rFonts w:ascii="Arial" w:cs="Arial" w:eastAsia="Arial" w:hAnsi="Arial"/>
                <w:sz w:val="18"/>
                <w:szCs w:val="18"/>
                <w:color w:val="0000FF"/>
                <w:w w:val="91"/>
              </w:rPr>
            </w:pPr>
            <w:hyperlink w:anchor="page38">
              <w:r>
                <w:rPr>
                  <w:rFonts w:ascii="Arial" w:cs="Arial" w:eastAsia="Arial" w:hAnsi="Arial"/>
                  <w:sz w:val="18"/>
                  <w:szCs w:val="18"/>
                  <w:color w:val="0000FF"/>
                  <w:w w:val="91"/>
                </w:rPr>
                <w:t>Exhibits</w:t>
              </w:r>
            </w:hyperlink>
          </w:p>
        </w:tc>
        <w:tc>
          <w:tcPr>
            <w:tcW w:w="700" w:type="dxa"/>
            <w:vAlign w:val="bottom"/>
            <w:tcBorders>
              <w:top w:val="single" w:sz="8" w:color="0000FF"/>
            </w:tcBorders>
            <w:gridSpan w:val="2"/>
          </w:tcPr>
          <w:p>
            <w:pPr>
              <w:spacing w:after="0"/>
              <w:rPr>
                <w:sz w:val="15"/>
                <w:szCs w:val="15"/>
                <w:color w:val="auto"/>
              </w:rPr>
            </w:pPr>
          </w:p>
        </w:tc>
        <w:tc>
          <w:tcPr>
            <w:tcW w:w="6740" w:type="dxa"/>
            <w:vAlign w:val="bottom"/>
            <w:gridSpan w:val="19"/>
          </w:tcPr>
          <w:p>
            <w:pPr>
              <w:spacing w:after="0"/>
              <w:rPr>
                <w:sz w:val="15"/>
                <w:szCs w:val="15"/>
                <w:color w:val="auto"/>
              </w:rPr>
            </w:pPr>
          </w:p>
        </w:tc>
        <w:tc>
          <w:tcPr>
            <w:tcW w:w="920" w:type="dxa"/>
            <w:vAlign w:val="bottom"/>
          </w:tcPr>
          <w:p>
            <w:pPr>
              <w:jc w:val="right"/>
              <w:spacing w:after="0" w:line="182" w:lineRule="exact"/>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385"/>
        </w:trPr>
        <w:tc>
          <w:tcPr>
            <w:tcW w:w="20" w:type="dxa"/>
            <w:vAlign w:val="bottom"/>
          </w:tcPr>
          <w:p>
            <w:pPr>
              <w:spacing w:after="0"/>
              <w:rPr>
                <w:sz w:val="24"/>
                <w:szCs w:val="24"/>
                <w:color w:val="auto"/>
              </w:rPr>
            </w:pPr>
          </w:p>
        </w:tc>
        <w:tc>
          <w:tcPr>
            <w:tcW w:w="2260" w:type="dxa"/>
            <w:vAlign w:val="bottom"/>
            <w:gridSpan w:val="7"/>
          </w:tcPr>
          <w:p>
            <w:pPr>
              <w:spacing w:after="0"/>
              <w:rPr>
                <w:rFonts w:ascii="Arial" w:cs="Arial" w:eastAsia="Arial" w:hAnsi="Arial"/>
                <w:sz w:val="18"/>
                <w:szCs w:val="18"/>
                <w:b w:val="1"/>
                <w:bCs w:val="1"/>
                <w:color w:val="auto"/>
              </w:rPr>
            </w:pPr>
            <w:hyperlink w:anchor="page39">
              <w:r>
                <w:rPr>
                  <w:rFonts w:ascii="Arial" w:cs="Arial" w:eastAsia="Arial" w:hAnsi="Arial"/>
                  <w:sz w:val="18"/>
                  <w:szCs w:val="18"/>
                  <w:b w:val="1"/>
                  <w:bCs w:val="1"/>
                  <w:color w:val="auto"/>
                </w:rPr>
                <w:t>SIGNATURES</w:t>
              </w:r>
            </w:hyperlink>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682"/>
        </w:trPr>
        <w:tc>
          <w:tcPr>
            <w:tcW w:w="20" w:type="dxa"/>
            <w:vAlign w:val="bottom"/>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1100" w:type="dxa"/>
            <w:vAlign w:val="bottom"/>
          </w:tcPr>
          <w:p>
            <w:pPr>
              <w:spacing w:after="0"/>
              <w:rPr>
                <w:sz w:val="24"/>
                <w:szCs w:val="24"/>
                <w:color w:val="auto"/>
              </w:rPr>
            </w:pPr>
          </w:p>
        </w:tc>
        <w:tc>
          <w:tcPr>
            <w:tcW w:w="3520" w:type="dxa"/>
            <w:vAlign w:val="bottom"/>
            <w:gridSpan w:val="16"/>
          </w:tcPr>
          <w:p>
            <w:pPr>
              <w:jc w:val="center"/>
              <w:ind w:left="3070"/>
              <w:spacing w:after="0"/>
              <w:rPr>
                <w:sz w:val="20"/>
                <w:szCs w:val="20"/>
                <w:color w:val="auto"/>
              </w:rPr>
            </w:pPr>
            <w:r>
              <w:rPr>
                <w:rFonts w:ascii="Arial" w:cs="Arial" w:eastAsia="Arial" w:hAnsi="Arial"/>
                <w:sz w:val="18"/>
                <w:szCs w:val="18"/>
                <w:color w:val="auto"/>
                <w:w w:val="79"/>
              </w:rPr>
              <w:t>2</w:t>
            </w: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20" w:type="dxa"/>
            <w:vAlign w:val="bottom"/>
            <w:tcBorders>
              <w:bottom w:val="single" w:sz="8" w:color="9A9A9A"/>
            </w:tcBorders>
          </w:tcPr>
          <w:p>
            <w:pPr>
              <w:spacing w:after="0"/>
              <w:rPr>
                <w:sz w:val="8"/>
                <w:szCs w:val="8"/>
                <w:color w:val="auto"/>
              </w:rPr>
            </w:pPr>
          </w:p>
        </w:tc>
        <w:tc>
          <w:tcPr>
            <w:tcW w:w="46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500" w:type="dxa"/>
            <w:vAlign w:val="bottom"/>
            <w:tcBorders>
              <w:bottom w:val="single" w:sz="8" w:color="9A9A9A"/>
            </w:tcBorders>
          </w:tcPr>
          <w:p>
            <w:pPr>
              <w:spacing w:after="0"/>
              <w:rPr>
                <w:sz w:val="8"/>
                <w:szCs w:val="8"/>
                <w:color w:val="auto"/>
              </w:rPr>
            </w:pPr>
          </w:p>
        </w:tc>
        <w:tc>
          <w:tcPr>
            <w:tcW w:w="1100" w:type="dxa"/>
            <w:vAlign w:val="bottom"/>
            <w:tcBorders>
              <w:bottom w:val="single" w:sz="8" w:color="9A9A9A"/>
            </w:tcBorders>
          </w:tcPr>
          <w:p>
            <w:pPr>
              <w:spacing w:after="0"/>
              <w:rPr>
                <w:sz w:val="8"/>
                <w:szCs w:val="8"/>
                <w:color w:val="auto"/>
              </w:rPr>
            </w:pPr>
          </w:p>
        </w:tc>
        <w:tc>
          <w:tcPr>
            <w:tcW w:w="60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400" w:type="dxa"/>
            <w:vAlign w:val="bottom"/>
            <w:tcBorders>
              <w:bottom w:val="single" w:sz="8" w:color="9A9A9A"/>
            </w:tcBorders>
          </w:tcPr>
          <w:p>
            <w:pPr>
              <w:spacing w:after="0"/>
              <w:rPr>
                <w:sz w:val="8"/>
                <w:szCs w:val="8"/>
                <w:color w:val="auto"/>
              </w:rPr>
            </w:pPr>
          </w:p>
        </w:tc>
        <w:tc>
          <w:tcPr>
            <w:tcW w:w="46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360" w:type="dxa"/>
            <w:vAlign w:val="bottom"/>
            <w:tcBorders>
              <w:bottom w:val="single" w:sz="8" w:color="9A9A9A"/>
            </w:tcBorders>
          </w:tcPr>
          <w:p>
            <w:pPr>
              <w:spacing w:after="0"/>
              <w:rPr>
                <w:sz w:val="8"/>
                <w:szCs w:val="8"/>
                <w:color w:val="auto"/>
              </w:rPr>
            </w:pPr>
          </w:p>
        </w:tc>
        <w:tc>
          <w:tcPr>
            <w:tcW w:w="66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100" w:type="dxa"/>
            <w:vAlign w:val="bottom"/>
            <w:tcBorders>
              <w:bottom w:val="single" w:sz="8" w:color="9A9A9A"/>
            </w:tcBorders>
          </w:tcPr>
          <w:p>
            <w:pPr>
              <w:spacing w:after="0"/>
              <w:rPr>
                <w:sz w:val="8"/>
                <w:szCs w:val="8"/>
                <w:color w:val="auto"/>
              </w:rPr>
            </w:pPr>
          </w:p>
        </w:tc>
        <w:tc>
          <w:tcPr>
            <w:tcW w:w="1580" w:type="dxa"/>
            <w:vAlign w:val="bottom"/>
            <w:tcBorders>
              <w:bottom w:val="single" w:sz="8" w:color="9A9A9A"/>
            </w:tcBorders>
          </w:tcPr>
          <w:p>
            <w:pPr>
              <w:spacing w:after="0"/>
              <w:rPr>
                <w:sz w:val="8"/>
                <w:szCs w:val="8"/>
                <w:color w:val="auto"/>
              </w:rPr>
            </w:pPr>
          </w:p>
        </w:tc>
        <w:tc>
          <w:tcPr>
            <w:tcW w:w="9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89"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30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660" w:type="dxa"/>
            <w:vAlign w:val="bottom"/>
            <w:gridSpan w:val="2"/>
          </w:tcPr>
          <w:p>
            <w:pPr>
              <w:jc w:val="center"/>
              <w:ind w:right="540"/>
              <w:spacing w:after="0"/>
              <w:rPr>
                <w:sz w:val="20"/>
                <w:szCs w:val="20"/>
                <w:color w:val="auto"/>
              </w:rPr>
            </w:pPr>
            <w:r>
              <w:rPr>
                <w:rFonts w:ascii="Arial" w:cs="Arial" w:eastAsia="Arial" w:hAnsi="Arial"/>
                <w:sz w:val="18"/>
                <w:szCs w:val="18"/>
                <w:b w:val="1"/>
                <w:bCs w:val="1"/>
                <w:color w:val="auto"/>
              </w:rPr>
              <w:t>PART I - FINANCIAL INFORMATION</w:t>
            </w:r>
          </w:p>
        </w:tc>
        <w:tc>
          <w:tcPr>
            <w:tcW w:w="2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98"/>
        </w:trPr>
        <w:tc>
          <w:tcPr>
            <w:tcW w:w="4060" w:type="dxa"/>
            <w:vAlign w:val="bottom"/>
            <w:gridSpan w:val="2"/>
          </w:tcPr>
          <w:p>
            <w:pPr>
              <w:spacing w:after="0"/>
              <w:rPr>
                <w:sz w:val="20"/>
                <w:szCs w:val="20"/>
                <w:color w:val="auto"/>
              </w:rPr>
            </w:pPr>
            <w:r>
              <w:rPr>
                <w:rFonts w:ascii="Arial" w:cs="Arial" w:eastAsia="Arial" w:hAnsi="Arial"/>
                <w:sz w:val="18"/>
                <w:szCs w:val="18"/>
                <w:color w:val="auto"/>
              </w:rPr>
              <w:t>Item 1 – Financial Statements (unaudited)</w:t>
            </w:r>
          </w:p>
        </w:tc>
        <w:tc>
          <w:tcPr>
            <w:tcW w:w="3120" w:type="dxa"/>
            <w:vAlign w:val="bottom"/>
            <w:tcBorders>
              <w:top w:val="single" w:sz="8" w:color="auto"/>
            </w:tcBorders>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3040" w:type="dxa"/>
            <w:vAlign w:val="bottom"/>
            <w:tcBorders>
              <w:top w:val="single" w:sz="8" w:color="auto"/>
            </w:tcBorders>
          </w:tcPr>
          <w:p>
            <w:pPr>
              <w:spacing w:after="0"/>
              <w:rPr>
                <w:sz w:val="24"/>
                <w:szCs w:val="24"/>
                <w:color w:val="auto"/>
              </w:rPr>
            </w:pPr>
          </w:p>
        </w:tc>
        <w:tc>
          <w:tcPr>
            <w:tcW w:w="1020" w:type="dxa"/>
            <w:vAlign w:val="bottom"/>
          </w:tcPr>
          <w:p>
            <w:pPr>
              <w:spacing w:after="0"/>
              <w:rPr>
                <w:sz w:val="24"/>
                <w:szCs w:val="24"/>
                <w:color w:val="auto"/>
              </w:rPr>
            </w:pPr>
          </w:p>
        </w:tc>
        <w:tc>
          <w:tcPr>
            <w:tcW w:w="3660" w:type="dxa"/>
            <w:vAlign w:val="bottom"/>
            <w:gridSpan w:val="2"/>
          </w:tcPr>
          <w:p>
            <w:pPr>
              <w:jc w:val="center"/>
              <w:ind w:right="540"/>
              <w:spacing w:after="0"/>
              <w:rPr>
                <w:sz w:val="20"/>
                <w:szCs w:val="20"/>
                <w:color w:val="auto"/>
              </w:rPr>
            </w:pPr>
            <w:r>
              <w:rPr>
                <w:rFonts w:ascii="Arial" w:cs="Arial" w:eastAsia="Arial" w:hAnsi="Arial"/>
                <w:sz w:val="18"/>
                <w:szCs w:val="18"/>
                <w:b w:val="1"/>
                <w:bCs w:val="1"/>
                <w:color w:val="auto"/>
                <w:w w:val="93"/>
              </w:rPr>
              <w:t>ManpowerGroup Inc.</w:t>
            </w:r>
          </w:p>
        </w:tc>
        <w:tc>
          <w:tcPr>
            <w:tcW w:w="2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3040" w:type="dxa"/>
            <w:vAlign w:val="bottom"/>
          </w:tcPr>
          <w:p>
            <w:pPr>
              <w:spacing w:after="0"/>
              <w:rPr>
                <w:sz w:val="24"/>
                <w:szCs w:val="24"/>
                <w:color w:val="auto"/>
              </w:rPr>
            </w:pPr>
          </w:p>
        </w:tc>
        <w:tc>
          <w:tcPr>
            <w:tcW w:w="4680" w:type="dxa"/>
            <w:vAlign w:val="bottom"/>
            <w:gridSpan w:val="3"/>
          </w:tcPr>
          <w:p>
            <w:pPr>
              <w:jc w:val="center"/>
              <w:ind w:left="410"/>
              <w:spacing w:after="0"/>
              <w:rPr>
                <w:sz w:val="20"/>
                <w:szCs w:val="20"/>
                <w:color w:val="auto"/>
              </w:rPr>
            </w:pPr>
            <w:r>
              <w:rPr>
                <w:rFonts w:ascii="Arial" w:cs="Arial" w:eastAsia="Arial" w:hAnsi="Arial"/>
                <w:sz w:val="18"/>
                <w:szCs w:val="18"/>
                <w:b w:val="1"/>
                <w:bCs w:val="1"/>
                <w:color w:val="auto"/>
                <w:w w:val="89"/>
              </w:rPr>
              <w:t>Consolidated Balance Sheets (Unaudited)</w:t>
            </w:r>
          </w:p>
        </w:tc>
        <w:tc>
          <w:tcPr>
            <w:tcW w:w="2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0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3660" w:type="dxa"/>
            <w:vAlign w:val="bottom"/>
            <w:gridSpan w:val="2"/>
          </w:tcPr>
          <w:p>
            <w:pPr>
              <w:jc w:val="center"/>
              <w:ind w:right="540"/>
              <w:spacing w:after="0"/>
              <w:rPr>
                <w:sz w:val="20"/>
                <w:szCs w:val="20"/>
                <w:color w:val="auto"/>
              </w:rPr>
            </w:pPr>
            <w:r>
              <w:rPr>
                <w:rFonts w:ascii="Arial" w:cs="Arial" w:eastAsia="Arial" w:hAnsi="Arial"/>
                <w:sz w:val="18"/>
                <w:szCs w:val="18"/>
                <w:b w:val="1"/>
                <w:bCs w:val="1"/>
                <w:color w:val="auto"/>
                <w:w w:val="91"/>
              </w:rPr>
              <w:t>(in millions)</w:t>
            </w:r>
          </w:p>
        </w:tc>
        <w:tc>
          <w:tcPr>
            <w:tcW w:w="2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8"/>
        </w:trPr>
        <w:tc>
          <w:tcPr>
            <w:tcW w:w="30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660" w:type="dxa"/>
            <w:vAlign w:val="bottom"/>
            <w:gridSpan w:val="2"/>
          </w:tcPr>
          <w:p>
            <w:pPr>
              <w:jc w:val="center"/>
              <w:ind w:right="540"/>
              <w:spacing w:after="0"/>
              <w:rPr>
                <w:sz w:val="20"/>
                <w:szCs w:val="20"/>
                <w:color w:val="auto"/>
              </w:rPr>
            </w:pPr>
            <w:r>
              <w:rPr>
                <w:rFonts w:ascii="Arial" w:cs="Arial" w:eastAsia="Arial" w:hAnsi="Arial"/>
                <w:sz w:val="18"/>
                <w:szCs w:val="18"/>
                <w:b w:val="1"/>
                <w:bCs w:val="1"/>
                <w:color w:val="auto"/>
                <w:w w:val="94"/>
              </w:rPr>
              <w:t>ASSETS</w:t>
            </w:r>
          </w:p>
        </w:tc>
        <w:tc>
          <w:tcPr>
            <w:tcW w:w="2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30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40" w:type="dxa"/>
            <w:vAlign w:val="bottom"/>
          </w:tcPr>
          <w:p>
            <w:pPr>
              <w:jc w:val="right"/>
              <w:ind w:right="410"/>
              <w:spacing w:after="0"/>
              <w:rPr>
                <w:sz w:val="20"/>
                <w:szCs w:val="20"/>
                <w:color w:val="auto"/>
              </w:rPr>
            </w:pPr>
            <w:r>
              <w:rPr>
                <w:rFonts w:ascii="Arial" w:cs="Arial" w:eastAsia="Arial" w:hAnsi="Arial"/>
                <w:sz w:val="18"/>
                <w:szCs w:val="18"/>
                <w:b w:val="1"/>
                <w:bCs w:val="1"/>
                <w:color w:val="auto"/>
              </w:rPr>
              <w:t>March 31,</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tcPr>
          <w:p>
            <w:pPr>
              <w:jc w:val="right"/>
              <w:ind w:right="270"/>
              <w:spacing w:after="0"/>
              <w:rPr>
                <w:sz w:val="20"/>
                <w:szCs w:val="20"/>
                <w:color w:val="auto"/>
              </w:rPr>
            </w:pPr>
            <w:r>
              <w:rPr>
                <w:rFonts w:ascii="Arial" w:cs="Arial" w:eastAsia="Arial" w:hAnsi="Arial"/>
                <w:sz w:val="18"/>
                <w:szCs w:val="18"/>
                <w:b w:val="1"/>
                <w:bCs w:val="1"/>
                <w:color w:val="auto"/>
                <w:w w:val="95"/>
              </w:rPr>
              <w:t>December 31,</w:t>
            </w:r>
          </w:p>
        </w:tc>
        <w:tc>
          <w:tcPr>
            <w:tcW w:w="0" w:type="dxa"/>
            <w:vAlign w:val="bottom"/>
          </w:tcPr>
          <w:p>
            <w:pPr>
              <w:spacing w:after="0"/>
              <w:rPr>
                <w:sz w:val="1"/>
                <w:szCs w:val="1"/>
                <w:color w:val="auto"/>
              </w:rPr>
            </w:pPr>
          </w:p>
        </w:tc>
      </w:tr>
      <w:tr>
        <w:trPr>
          <w:trHeight w:val="216"/>
        </w:trPr>
        <w:tc>
          <w:tcPr>
            <w:tcW w:w="30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2021</w:t>
            </w:r>
          </w:p>
        </w:tc>
        <w:tc>
          <w:tcPr>
            <w:tcW w:w="0" w:type="dxa"/>
            <w:vAlign w:val="bottom"/>
          </w:tcPr>
          <w:p>
            <w:pPr>
              <w:spacing w:after="0"/>
              <w:rPr>
                <w:sz w:val="1"/>
                <w:szCs w:val="1"/>
                <w:color w:val="auto"/>
              </w:rPr>
            </w:pPr>
          </w:p>
        </w:tc>
      </w:tr>
      <w:tr>
        <w:trPr>
          <w:trHeight w:val="196"/>
        </w:trPr>
        <w:tc>
          <w:tcPr>
            <w:tcW w:w="7720" w:type="dxa"/>
            <w:vAlign w:val="bottom"/>
            <w:gridSpan w:val="4"/>
            <w:shd w:val="clear" w:color="auto" w:fill="CFF0FC"/>
          </w:tcPr>
          <w:p>
            <w:pPr>
              <w:ind w:left="20"/>
              <w:spacing w:after="0" w:line="196" w:lineRule="exact"/>
              <w:rPr>
                <w:sz w:val="20"/>
                <w:szCs w:val="20"/>
                <w:color w:val="auto"/>
              </w:rPr>
            </w:pPr>
            <w:r>
              <w:rPr>
                <w:rFonts w:ascii="Arial" w:cs="Arial" w:eastAsia="Arial" w:hAnsi="Arial"/>
                <w:sz w:val="18"/>
                <w:szCs w:val="18"/>
                <w:color w:val="auto"/>
              </w:rPr>
              <w:t>Cash and cash equivalents</w:t>
            </w:r>
          </w:p>
        </w:tc>
        <w:tc>
          <w:tcPr>
            <w:tcW w:w="280" w:type="dxa"/>
            <w:vAlign w:val="bottom"/>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99"/>
              </w:rPr>
              <w:t>$</w:t>
            </w:r>
          </w:p>
        </w:tc>
        <w:tc>
          <w:tcPr>
            <w:tcW w:w="14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777.3</w:t>
            </w: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5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847.8</w:t>
            </w:r>
          </w:p>
        </w:tc>
        <w:tc>
          <w:tcPr>
            <w:tcW w:w="0" w:type="dxa"/>
            <w:vAlign w:val="bottom"/>
          </w:tcPr>
          <w:p>
            <w:pPr>
              <w:spacing w:after="0"/>
              <w:rPr>
                <w:sz w:val="1"/>
                <w:szCs w:val="1"/>
                <w:color w:val="auto"/>
              </w:rPr>
            </w:pPr>
          </w:p>
        </w:tc>
      </w:tr>
      <w:tr>
        <w:trPr>
          <w:trHeight w:val="162"/>
        </w:trPr>
        <w:tc>
          <w:tcPr>
            <w:tcW w:w="7720" w:type="dxa"/>
            <w:vAlign w:val="bottom"/>
            <w:gridSpan w:val="4"/>
          </w:tcPr>
          <w:p>
            <w:pPr>
              <w:ind w:left="20"/>
              <w:spacing w:after="0" w:line="162" w:lineRule="exact"/>
              <w:rPr>
                <w:sz w:val="20"/>
                <w:szCs w:val="20"/>
                <w:color w:val="auto"/>
              </w:rPr>
            </w:pPr>
            <w:r>
              <w:rPr>
                <w:rFonts w:ascii="Arial" w:cs="Arial" w:eastAsia="Arial" w:hAnsi="Arial"/>
                <w:sz w:val="18"/>
                <w:szCs w:val="18"/>
                <w:color w:val="auto"/>
              </w:rPr>
              <w:t>Accounts receivable, less allowance for doubtful accounts of</w:t>
            </w:r>
          </w:p>
        </w:tc>
        <w:tc>
          <w:tcPr>
            <w:tcW w:w="280" w:type="dxa"/>
            <w:vAlign w:val="bottom"/>
          </w:tcPr>
          <w:p>
            <w:pPr>
              <w:spacing w:after="0"/>
              <w:rPr>
                <w:sz w:val="14"/>
                <w:szCs w:val="14"/>
                <w:color w:val="auto"/>
              </w:rPr>
            </w:pPr>
          </w:p>
        </w:tc>
        <w:tc>
          <w:tcPr>
            <w:tcW w:w="1440" w:type="dxa"/>
            <w:vAlign w:val="bottom"/>
            <w:vMerge w:val="restart"/>
          </w:tcPr>
          <w:p>
            <w:pPr>
              <w:jc w:val="right"/>
              <w:spacing w:after="0"/>
              <w:rPr>
                <w:sz w:val="20"/>
                <w:szCs w:val="20"/>
                <w:color w:val="auto"/>
              </w:rPr>
            </w:pPr>
            <w:r>
              <w:rPr>
                <w:rFonts w:ascii="Arial" w:cs="Arial" w:eastAsia="Arial" w:hAnsi="Arial"/>
                <w:sz w:val="18"/>
                <w:szCs w:val="18"/>
                <w:color w:val="auto"/>
              </w:rPr>
              <w:t>5,440.0</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00" w:type="dxa"/>
            <w:vAlign w:val="bottom"/>
            <w:vMerge w:val="restart"/>
          </w:tcPr>
          <w:p>
            <w:pPr>
              <w:jc w:val="right"/>
              <w:spacing w:after="0"/>
              <w:rPr>
                <w:sz w:val="20"/>
                <w:szCs w:val="20"/>
                <w:color w:val="auto"/>
              </w:rPr>
            </w:pPr>
            <w:r>
              <w:rPr>
                <w:rFonts w:ascii="Arial" w:cs="Arial" w:eastAsia="Arial" w:hAnsi="Arial"/>
                <w:sz w:val="18"/>
                <w:szCs w:val="18"/>
                <w:color w:val="auto"/>
              </w:rPr>
              <w:t>5,448.2</w:t>
            </w:r>
          </w:p>
        </w:tc>
        <w:tc>
          <w:tcPr>
            <w:tcW w:w="0" w:type="dxa"/>
            <w:vAlign w:val="bottom"/>
          </w:tcPr>
          <w:p>
            <w:pPr>
              <w:spacing w:after="0"/>
              <w:rPr>
                <w:sz w:val="1"/>
                <w:szCs w:val="1"/>
                <w:color w:val="auto"/>
              </w:rPr>
            </w:pPr>
          </w:p>
        </w:tc>
      </w:tr>
      <w:tr>
        <w:trPr>
          <w:trHeight w:val="216"/>
        </w:trPr>
        <w:tc>
          <w:tcPr>
            <w:tcW w:w="7720" w:type="dxa"/>
            <w:vAlign w:val="bottom"/>
            <w:gridSpan w:val="4"/>
          </w:tcPr>
          <w:p>
            <w:pPr>
              <w:ind w:left="20"/>
              <w:spacing w:after="0"/>
              <w:rPr>
                <w:sz w:val="20"/>
                <w:szCs w:val="20"/>
                <w:color w:val="auto"/>
              </w:rPr>
            </w:pPr>
            <w:r>
              <w:rPr>
                <w:rFonts w:ascii="Arial" w:cs="Arial" w:eastAsia="Arial" w:hAnsi="Arial"/>
                <w:sz w:val="18"/>
                <w:szCs w:val="18"/>
                <w:color w:val="auto"/>
              </w:rPr>
              <w:t>$120.8 and $121.6, respectively</w:t>
            </w:r>
          </w:p>
        </w:tc>
        <w:tc>
          <w:tcPr>
            <w:tcW w:w="280" w:type="dxa"/>
            <w:vAlign w:val="bottom"/>
          </w:tcPr>
          <w:p>
            <w:pPr>
              <w:spacing w:after="0"/>
              <w:rPr>
                <w:sz w:val="18"/>
                <w:szCs w:val="18"/>
                <w:color w:val="auto"/>
              </w:rPr>
            </w:pPr>
          </w:p>
        </w:tc>
        <w:tc>
          <w:tcPr>
            <w:tcW w:w="14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720" w:type="dxa"/>
            <w:vAlign w:val="bottom"/>
            <w:tcBorders>
              <w:bottom w:val="single" w:sz="8" w:color="CFF0FC"/>
            </w:tcBorders>
            <w:gridSpan w:val="4"/>
            <w:shd w:val="clear" w:color="auto" w:fill="CFF0FC"/>
          </w:tcPr>
          <w:p>
            <w:pPr>
              <w:ind w:left="20"/>
              <w:spacing w:after="0" w:line="202" w:lineRule="exact"/>
              <w:rPr>
                <w:sz w:val="20"/>
                <w:szCs w:val="20"/>
                <w:color w:val="auto"/>
              </w:rPr>
            </w:pPr>
            <w:r>
              <w:rPr>
                <w:rFonts w:ascii="Arial" w:cs="Arial" w:eastAsia="Arial" w:hAnsi="Arial"/>
                <w:sz w:val="18"/>
                <w:szCs w:val="18"/>
                <w:color w:val="auto"/>
              </w:rPr>
              <w:t>Prepaid expenses and other assets</w:t>
            </w:r>
          </w:p>
        </w:tc>
        <w:tc>
          <w:tcPr>
            <w:tcW w:w="280" w:type="dxa"/>
            <w:vAlign w:val="bottom"/>
            <w:tcBorders>
              <w:bottom w:val="single" w:sz="8" w:color="auto"/>
            </w:tcBorders>
            <w:shd w:val="clear" w:color="auto" w:fill="CFF0FC"/>
          </w:tcPr>
          <w:p>
            <w:pPr>
              <w:spacing w:after="0"/>
              <w:rPr>
                <w:sz w:val="17"/>
                <w:szCs w:val="17"/>
                <w:color w:val="auto"/>
              </w:rPr>
            </w:pPr>
          </w:p>
        </w:tc>
        <w:tc>
          <w:tcPr>
            <w:tcW w:w="14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152.2</w:t>
            </w:r>
          </w:p>
        </w:tc>
        <w:tc>
          <w:tcPr>
            <w:tcW w:w="10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15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126.7</w:t>
            </w:r>
          </w:p>
        </w:tc>
        <w:tc>
          <w:tcPr>
            <w:tcW w:w="0" w:type="dxa"/>
            <w:vAlign w:val="bottom"/>
          </w:tcPr>
          <w:p>
            <w:pPr>
              <w:spacing w:after="0"/>
              <w:rPr>
                <w:sz w:val="1"/>
                <w:szCs w:val="1"/>
                <w:color w:val="auto"/>
              </w:rPr>
            </w:pPr>
          </w:p>
        </w:tc>
      </w:tr>
      <w:tr>
        <w:trPr>
          <w:trHeight w:val="196"/>
        </w:trPr>
        <w:tc>
          <w:tcPr>
            <w:tcW w:w="7720" w:type="dxa"/>
            <w:vAlign w:val="bottom"/>
            <w:gridSpan w:val="4"/>
          </w:tcPr>
          <w:p>
            <w:pPr>
              <w:ind w:left="300"/>
              <w:spacing w:after="0" w:line="196" w:lineRule="exact"/>
              <w:rPr>
                <w:sz w:val="20"/>
                <w:szCs w:val="20"/>
                <w:color w:val="auto"/>
              </w:rPr>
            </w:pPr>
            <w:r>
              <w:rPr>
                <w:rFonts w:ascii="Arial" w:cs="Arial" w:eastAsia="Arial" w:hAnsi="Arial"/>
                <w:sz w:val="18"/>
                <w:szCs w:val="18"/>
                <w:color w:val="auto"/>
              </w:rPr>
              <w:t>Total current assets</w:t>
            </w:r>
          </w:p>
        </w:tc>
        <w:tc>
          <w:tcPr>
            <w:tcW w:w="280" w:type="dxa"/>
            <w:vAlign w:val="bottom"/>
          </w:tcPr>
          <w:p>
            <w:pPr>
              <w:spacing w:after="0"/>
              <w:rPr>
                <w:sz w:val="17"/>
                <w:szCs w:val="17"/>
                <w:color w:val="auto"/>
              </w:rPr>
            </w:pPr>
          </w:p>
        </w:tc>
        <w:tc>
          <w:tcPr>
            <w:tcW w:w="1440" w:type="dxa"/>
            <w:vAlign w:val="bottom"/>
          </w:tcPr>
          <w:p>
            <w:pPr>
              <w:jc w:val="right"/>
              <w:spacing w:after="0" w:line="196" w:lineRule="exact"/>
              <w:rPr>
                <w:sz w:val="20"/>
                <w:szCs w:val="20"/>
                <w:color w:val="auto"/>
              </w:rPr>
            </w:pPr>
            <w:r>
              <w:rPr>
                <w:rFonts w:ascii="Arial" w:cs="Arial" w:eastAsia="Arial" w:hAnsi="Arial"/>
                <w:sz w:val="18"/>
                <w:szCs w:val="18"/>
                <w:color w:val="auto"/>
              </w:rPr>
              <w:t>6,369.5</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00" w:type="dxa"/>
            <w:vAlign w:val="bottom"/>
          </w:tcPr>
          <w:p>
            <w:pPr>
              <w:jc w:val="right"/>
              <w:spacing w:after="0" w:line="196" w:lineRule="exact"/>
              <w:rPr>
                <w:sz w:val="20"/>
                <w:szCs w:val="20"/>
                <w:color w:val="auto"/>
              </w:rPr>
            </w:pPr>
            <w:r>
              <w:rPr>
                <w:rFonts w:ascii="Arial" w:cs="Arial" w:eastAsia="Arial" w:hAnsi="Arial"/>
                <w:sz w:val="18"/>
                <w:szCs w:val="18"/>
                <w:color w:val="auto"/>
              </w:rPr>
              <w:t>6,422.7</w:t>
            </w:r>
          </w:p>
        </w:tc>
        <w:tc>
          <w:tcPr>
            <w:tcW w:w="0" w:type="dxa"/>
            <w:vAlign w:val="bottom"/>
          </w:tcPr>
          <w:p>
            <w:pPr>
              <w:spacing w:after="0"/>
              <w:rPr>
                <w:sz w:val="1"/>
                <w:szCs w:val="1"/>
                <w:color w:val="auto"/>
              </w:rPr>
            </w:pPr>
          </w:p>
        </w:tc>
      </w:tr>
      <w:tr>
        <w:trPr>
          <w:trHeight w:val="203"/>
        </w:trPr>
        <w:tc>
          <w:tcPr>
            <w:tcW w:w="304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312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4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5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20" w:type="dxa"/>
            <w:vAlign w:val="bottom"/>
            <w:gridSpan w:val="4"/>
          </w:tcPr>
          <w:p>
            <w:pPr>
              <w:ind w:left="20"/>
              <w:spacing w:after="0" w:line="202" w:lineRule="exact"/>
              <w:rPr>
                <w:sz w:val="20"/>
                <w:szCs w:val="20"/>
                <w:color w:val="auto"/>
              </w:rPr>
            </w:pPr>
            <w:r>
              <w:rPr>
                <w:rFonts w:ascii="Arial" w:cs="Arial" w:eastAsia="Arial" w:hAnsi="Arial"/>
                <w:sz w:val="18"/>
                <w:szCs w:val="18"/>
                <w:b w:val="1"/>
                <w:bCs w:val="1"/>
                <w:color w:val="auto"/>
              </w:rPr>
              <w:t>Other Assets:</w:t>
            </w:r>
          </w:p>
        </w:tc>
        <w:tc>
          <w:tcPr>
            <w:tcW w:w="2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20" w:type="dxa"/>
            <w:vAlign w:val="bottom"/>
            <w:gridSpan w:val="4"/>
            <w:shd w:val="clear" w:color="auto" w:fill="CFF0FC"/>
          </w:tcPr>
          <w:p>
            <w:pPr>
              <w:ind w:left="20"/>
              <w:spacing w:after="0" w:line="202" w:lineRule="exact"/>
              <w:rPr>
                <w:sz w:val="20"/>
                <w:szCs w:val="20"/>
                <w:color w:val="auto"/>
              </w:rPr>
            </w:pPr>
            <w:r>
              <w:rPr>
                <w:rFonts w:ascii="Arial" w:cs="Arial" w:eastAsia="Arial" w:hAnsi="Arial"/>
                <w:sz w:val="18"/>
                <w:szCs w:val="18"/>
                <w:color w:val="auto"/>
              </w:rPr>
              <w:t>Goodwill</w:t>
            </w:r>
          </w:p>
        </w:tc>
        <w:tc>
          <w:tcPr>
            <w:tcW w:w="280" w:type="dxa"/>
            <w:vAlign w:val="bottom"/>
            <w:shd w:val="clear" w:color="auto" w:fill="CFF0FC"/>
          </w:tcPr>
          <w:p>
            <w:pPr>
              <w:spacing w:after="0"/>
              <w:rPr>
                <w:sz w:val="17"/>
                <w:szCs w:val="17"/>
                <w:color w:val="auto"/>
              </w:rPr>
            </w:pPr>
          </w:p>
        </w:tc>
        <w:tc>
          <w:tcPr>
            <w:tcW w:w="14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1,710.0</w:t>
            </w: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5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1,722.2</w:t>
            </w:r>
          </w:p>
        </w:tc>
        <w:tc>
          <w:tcPr>
            <w:tcW w:w="0" w:type="dxa"/>
            <w:vAlign w:val="bottom"/>
          </w:tcPr>
          <w:p>
            <w:pPr>
              <w:spacing w:after="0"/>
              <w:rPr>
                <w:sz w:val="1"/>
                <w:szCs w:val="1"/>
                <w:color w:val="auto"/>
              </w:rPr>
            </w:pPr>
          </w:p>
        </w:tc>
      </w:tr>
      <w:tr>
        <w:trPr>
          <w:trHeight w:val="162"/>
        </w:trPr>
        <w:tc>
          <w:tcPr>
            <w:tcW w:w="7720" w:type="dxa"/>
            <w:vAlign w:val="bottom"/>
            <w:gridSpan w:val="4"/>
          </w:tcPr>
          <w:p>
            <w:pPr>
              <w:ind w:left="20"/>
              <w:spacing w:after="0" w:line="162" w:lineRule="exact"/>
              <w:rPr>
                <w:sz w:val="20"/>
                <w:szCs w:val="20"/>
                <w:color w:val="auto"/>
              </w:rPr>
            </w:pPr>
            <w:r>
              <w:rPr>
                <w:rFonts w:ascii="Arial" w:cs="Arial" w:eastAsia="Arial" w:hAnsi="Arial"/>
                <w:sz w:val="18"/>
                <w:szCs w:val="18"/>
                <w:color w:val="auto"/>
              </w:rPr>
              <w:t>Intangible assets, less accumulated amortization of</w:t>
            </w:r>
          </w:p>
        </w:tc>
        <w:tc>
          <w:tcPr>
            <w:tcW w:w="280" w:type="dxa"/>
            <w:vAlign w:val="bottom"/>
          </w:tcPr>
          <w:p>
            <w:pPr>
              <w:spacing w:after="0"/>
              <w:rPr>
                <w:sz w:val="14"/>
                <w:szCs w:val="14"/>
                <w:color w:val="auto"/>
              </w:rPr>
            </w:pPr>
          </w:p>
        </w:tc>
        <w:tc>
          <w:tcPr>
            <w:tcW w:w="1440" w:type="dxa"/>
            <w:vAlign w:val="bottom"/>
            <w:vMerge w:val="restart"/>
          </w:tcPr>
          <w:p>
            <w:pPr>
              <w:jc w:val="right"/>
              <w:spacing w:after="0"/>
              <w:rPr>
                <w:sz w:val="20"/>
                <w:szCs w:val="20"/>
                <w:color w:val="auto"/>
              </w:rPr>
            </w:pPr>
            <w:r>
              <w:rPr>
                <w:rFonts w:ascii="Arial" w:cs="Arial" w:eastAsia="Arial" w:hAnsi="Arial"/>
                <w:sz w:val="18"/>
                <w:szCs w:val="18"/>
                <w:color w:val="auto"/>
              </w:rPr>
              <w:t>573.0</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00" w:type="dxa"/>
            <w:vAlign w:val="bottom"/>
            <w:vMerge w:val="restart"/>
          </w:tcPr>
          <w:p>
            <w:pPr>
              <w:jc w:val="right"/>
              <w:spacing w:after="0"/>
              <w:rPr>
                <w:sz w:val="20"/>
                <w:szCs w:val="20"/>
                <w:color w:val="auto"/>
              </w:rPr>
            </w:pPr>
            <w:r>
              <w:rPr>
                <w:rFonts w:ascii="Arial" w:cs="Arial" w:eastAsia="Arial" w:hAnsi="Arial"/>
                <w:sz w:val="18"/>
                <w:szCs w:val="18"/>
                <w:color w:val="auto"/>
              </w:rPr>
              <w:t>583.6</w:t>
            </w:r>
          </w:p>
        </w:tc>
        <w:tc>
          <w:tcPr>
            <w:tcW w:w="0" w:type="dxa"/>
            <w:vAlign w:val="bottom"/>
          </w:tcPr>
          <w:p>
            <w:pPr>
              <w:spacing w:after="0"/>
              <w:rPr>
                <w:sz w:val="1"/>
                <w:szCs w:val="1"/>
                <w:color w:val="auto"/>
              </w:rPr>
            </w:pPr>
          </w:p>
        </w:tc>
      </w:tr>
      <w:tr>
        <w:trPr>
          <w:trHeight w:val="216"/>
        </w:trPr>
        <w:tc>
          <w:tcPr>
            <w:tcW w:w="7720" w:type="dxa"/>
            <w:vAlign w:val="bottom"/>
            <w:gridSpan w:val="4"/>
          </w:tcPr>
          <w:p>
            <w:pPr>
              <w:ind w:left="60"/>
              <w:spacing w:after="0"/>
              <w:rPr>
                <w:sz w:val="20"/>
                <w:szCs w:val="20"/>
                <w:color w:val="auto"/>
              </w:rPr>
            </w:pPr>
            <w:r>
              <w:rPr>
                <w:rFonts w:ascii="Arial" w:cs="Arial" w:eastAsia="Arial" w:hAnsi="Arial"/>
                <w:sz w:val="18"/>
                <w:szCs w:val="18"/>
                <w:color w:val="auto"/>
              </w:rPr>
              <w:t>$448.0 and $441.3, respectively</w:t>
            </w:r>
          </w:p>
        </w:tc>
        <w:tc>
          <w:tcPr>
            <w:tcW w:w="280" w:type="dxa"/>
            <w:vAlign w:val="bottom"/>
          </w:tcPr>
          <w:p>
            <w:pPr>
              <w:spacing w:after="0"/>
              <w:rPr>
                <w:sz w:val="18"/>
                <w:szCs w:val="18"/>
                <w:color w:val="auto"/>
              </w:rPr>
            </w:pPr>
          </w:p>
        </w:tc>
        <w:tc>
          <w:tcPr>
            <w:tcW w:w="14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720" w:type="dxa"/>
            <w:vAlign w:val="bottom"/>
            <w:gridSpan w:val="4"/>
            <w:shd w:val="clear" w:color="auto" w:fill="CFF0FC"/>
          </w:tcPr>
          <w:p>
            <w:pPr>
              <w:ind w:left="20"/>
              <w:spacing w:after="0" w:line="202" w:lineRule="exact"/>
              <w:rPr>
                <w:sz w:val="20"/>
                <w:szCs w:val="20"/>
                <w:color w:val="auto"/>
              </w:rPr>
            </w:pPr>
            <w:r>
              <w:rPr>
                <w:rFonts w:ascii="Arial" w:cs="Arial" w:eastAsia="Arial" w:hAnsi="Arial"/>
                <w:sz w:val="18"/>
                <w:szCs w:val="18"/>
                <w:color w:val="auto"/>
              </w:rPr>
              <w:t>Operating lease right-of-use assets</w:t>
            </w:r>
          </w:p>
        </w:tc>
        <w:tc>
          <w:tcPr>
            <w:tcW w:w="280" w:type="dxa"/>
            <w:vAlign w:val="bottom"/>
            <w:shd w:val="clear" w:color="auto" w:fill="CFF0FC"/>
          </w:tcPr>
          <w:p>
            <w:pPr>
              <w:spacing w:after="0"/>
              <w:rPr>
                <w:sz w:val="17"/>
                <w:szCs w:val="17"/>
                <w:color w:val="auto"/>
              </w:rPr>
            </w:pPr>
          </w:p>
        </w:tc>
        <w:tc>
          <w:tcPr>
            <w:tcW w:w="14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351.5</w:t>
            </w: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5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373.4</w:t>
            </w:r>
          </w:p>
        </w:tc>
        <w:tc>
          <w:tcPr>
            <w:tcW w:w="0" w:type="dxa"/>
            <w:vAlign w:val="bottom"/>
          </w:tcPr>
          <w:p>
            <w:pPr>
              <w:spacing w:after="0"/>
              <w:rPr>
                <w:sz w:val="1"/>
                <w:szCs w:val="1"/>
                <w:color w:val="auto"/>
              </w:rPr>
            </w:pPr>
          </w:p>
        </w:tc>
      </w:tr>
      <w:tr>
        <w:trPr>
          <w:trHeight w:val="203"/>
        </w:trPr>
        <w:tc>
          <w:tcPr>
            <w:tcW w:w="7720" w:type="dxa"/>
            <w:vAlign w:val="bottom"/>
            <w:gridSpan w:val="4"/>
          </w:tcPr>
          <w:p>
            <w:pPr>
              <w:ind w:left="20"/>
              <w:spacing w:after="0" w:line="202" w:lineRule="exact"/>
              <w:rPr>
                <w:sz w:val="20"/>
                <w:szCs w:val="20"/>
                <w:color w:val="auto"/>
              </w:rPr>
            </w:pPr>
            <w:r>
              <w:rPr>
                <w:rFonts w:ascii="Arial" w:cs="Arial" w:eastAsia="Arial" w:hAnsi="Arial"/>
                <w:sz w:val="18"/>
                <w:szCs w:val="18"/>
                <w:color w:val="auto"/>
              </w:rPr>
              <w:t>Other assets</w:t>
            </w:r>
          </w:p>
        </w:tc>
        <w:tc>
          <w:tcPr>
            <w:tcW w:w="28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603.7</w:t>
            </w: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610.2</w:t>
            </w:r>
          </w:p>
        </w:tc>
        <w:tc>
          <w:tcPr>
            <w:tcW w:w="0" w:type="dxa"/>
            <w:vAlign w:val="bottom"/>
          </w:tcPr>
          <w:p>
            <w:pPr>
              <w:spacing w:after="0"/>
              <w:rPr>
                <w:sz w:val="1"/>
                <w:szCs w:val="1"/>
                <w:color w:val="auto"/>
              </w:rPr>
            </w:pPr>
          </w:p>
        </w:tc>
      </w:tr>
      <w:tr>
        <w:trPr>
          <w:trHeight w:val="196"/>
        </w:trPr>
        <w:tc>
          <w:tcPr>
            <w:tcW w:w="7720" w:type="dxa"/>
            <w:vAlign w:val="bottom"/>
            <w:gridSpan w:val="4"/>
            <w:shd w:val="clear" w:color="auto" w:fill="CFF0FC"/>
          </w:tcPr>
          <w:p>
            <w:pPr>
              <w:ind w:left="300"/>
              <w:spacing w:after="0" w:line="196" w:lineRule="exact"/>
              <w:rPr>
                <w:sz w:val="20"/>
                <w:szCs w:val="20"/>
                <w:color w:val="auto"/>
              </w:rPr>
            </w:pPr>
            <w:r>
              <w:rPr>
                <w:rFonts w:ascii="Arial" w:cs="Arial" w:eastAsia="Arial" w:hAnsi="Arial"/>
                <w:sz w:val="18"/>
                <w:szCs w:val="18"/>
                <w:color w:val="auto"/>
              </w:rPr>
              <w:t>Total other assets</w:t>
            </w:r>
          </w:p>
        </w:tc>
        <w:tc>
          <w:tcPr>
            <w:tcW w:w="280" w:type="dxa"/>
            <w:vAlign w:val="bottom"/>
            <w:shd w:val="clear" w:color="auto" w:fill="CFF0FC"/>
          </w:tcPr>
          <w:p>
            <w:pPr>
              <w:spacing w:after="0"/>
              <w:rPr>
                <w:sz w:val="17"/>
                <w:szCs w:val="17"/>
                <w:color w:val="auto"/>
              </w:rPr>
            </w:pPr>
          </w:p>
        </w:tc>
        <w:tc>
          <w:tcPr>
            <w:tcW w:w="14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3,238.2</w:t>
            </w: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5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3,289.4</w:t>
            </w:r>
          </w:p>
        </w:tc>
        <w:tc>
          <w:tcPr>
            <w:tcW w:w="0" w:type="dxa"/>
            <w:vAlign w:val="bottom"/>
          </w:tcPr>
          <w:p>
            <w:pPr>
              <w:spacing w:after="0"/>
              <w:rPr>
                <w:sz w:val="1"/>
                <w:szCs w:val="1"/>
                <w:color w:val="auto"/>
              </w:rPr>
            </w:pPr>
          </w:p>
        </w:tc>
      </w:tr>
      <w:tr>
        <w:trPr>
          <w:trHeight w:val="203"/>
        </w:trPr>
        <w:tc>
          <w:tcPr>
            <w:tcW w:w="30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20" w:type="dxa"/>
            <w:vAlign w:val="bottom"/>
            <w:gridSpan w:val="4"/>
            <w:shd w:val="clear" w:color="auto" w:fill="CFF0FC"/>
          </w:tcPr>
          <w:p>
            <w:pPr>
              <w:ind w:left="20"/>
              <w:spacing w:after="0" w:line="202" w:lineRule="exact"/>
              <w:rPr>
                <w:sz w:val="20"/>
                <w:szCs w:val="20"/>
                <w:color w:val="auto"/>
              </w:rPr>
            </w:pPr>
            <w:r>
              <w:rPr>
                <w:rFonts w:ascii="Arial" w:cs="Arial" w:eastAsia="Arial" w:hAnsi="Arial"/>
                <w:sz w:val="18"/>
                <w:szCs w:val="18"/>
                <w:b w:val="1"/>
                <w:bCs w:val="1"/>
                <w:color w:val="auto"/>
              </w:rPr>
              <w:t>Property and Equipment:</w:t>
            </w:r>
          </w:p>
        </w:tc>
        <w:tc>
          <w:tcPr>
            <w:tcW w:w="280" w:type="dxa"/>
            <w:vAlign w:val="bottom"/>
            <w:shd w:val="clear" w:color="auto" w:fill="CFF0FC"/>
          </w:tcPr>
          <w:p>
            <w:pPr>
              <w:spacing w:after="0"/>
              <w:rPr>
                <w:sz w:val="17"/>
                <w:szCs w:val="17"/>
                <w:color w:val="auto"/>
              </w:rPr>
            </w:pPr>
          </w:p>
        </w:tc>
        <w:tc>
          <w:tcPr>
            <w:tcW w:w="14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5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20" w:type="dxa"/>
            <w:vAlign w:val="bottom"/>
            <w:gridSpan w:val="4"/>
          </w:tcPr>
          <w:p>
            <w:pPr>
              <w:ind w:left="20"/>
              <w:spacing w:after="0" w:line="202" w:lineRule="exact"/>
              <w:rPr>
                <w:sz w:val="20"/>
                <w:szCs w:val="20"/>
                <w:color w:val="auto"/>
              </w:rPr>
            </w:pPr>
            <w:r>
              <w:rPr>
                <w:rFonts w:ascii="Arial" w:cs="Arial" w:eastAsia="Arial" w:hAnsi="Arial"/>
                <w:sz w:val="18"/>
                <w:szCs w:val="18"/>
                <w:color w:val="auto"/>
              </w:rPr>
              <w:t>Land, buildings, leasehold improvements and equipment</w:t>
            </w:r>
          </w:p>
        </w:tc>
        <w:tc>
          <w:tcPr>
            <w:tcW w:w="280" w:type="dxa"/>
            <w:vAlign w:val="bottom"/>
          </w:tcPr>
          <w:p>
            <w:pPr>
              <w:spacing w:after="0"/>
              <w:rPr>
                <w:sz w:val="17"/>
                <w:szCs w:val="17"/>
                <w:color w:val="auto"/>
              </w:rPr>
            </w:pPr>
          </w:p>
        </w:tc>
        <w:tc>
          <w:tcPr>
            <w:tcW w:w="1440" w:type="dxa"/>
            <w:vAlign w:val="bottom"/>
          </w:tcPr>
          <w:p>
            <w:pPr>
              <w:jc w:val="right"/>
              <w:spacing w:after="0" w:line="202" w:lineRule="exact"/>
              <w:rPr>
                <w:sz w:val="20"/>
                <w:szCs w:val="20"/>
                <w:color w:val="auto"/>
              </w:rPr>
            </w:pPr>
            <w:r>
              <w:rPr>
                <w:rFonts w:ascii="Arial" w:cs="Arial" w:eastAsia="Arial" w:hAnsi="Arial"/>
                <w:sz w:val="18"/>
                <w:szCs w:val="18"/>
                <w:color w:val="auto"/>
              </w:rPr>
              <w:t>591.1</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00" w:type="dxa"/>
            <w:vAlign w:val="bottom"/>
          </w:tcPr>
          <w:p>
            <w:pPr>
              <w:jc w:val="right"/>
              <w:spacing w:after="0" w:line="202" w:lineRule="exact"/>
              <w:rPr>
                <w:sz w:val="20"/>
                <w:szCs w:val="20"/>
                <w:color w:val="auto"/>
              </w:rPr>
            </w:pPr>
            <w:r>
              <w:rPr>
                <w:rFonts w:ascii="Arial" w:cs="Arial" w:eastAsia="Arial" w:hAnsi="Arial"/>
                <w:sz w:val="18"/>
                <w:szCs w:val="18"/>
                <w:color w:val="auto"/>
              </w:rPr>
              <w:t>594.9</w:t>
            </w:r>
          </w:p>
        </w:tc>
        <w:tc>
          <w:tcPr>
            <w:tcW w:w="0" w:type="dxa"/>
            <w:vAlign w:val="bottom"/>
          </w:tcPr>
          <w:p>
            <w:pPr>
              <w:spacing w:after="0"/>
              <w:rPr>
                <w:sz w:val="1"/>
                <w:szCs w:val="1"/>
                <w:color w:val="auto"/>
              </w:rPr>
            </w:pPr>
          </w:p>
        </w:tc>
      </w:tr>
      <w:tr>
        <w:trPr>
          <w:trHeight w:val="203"/>
        </w:trPr>
        <w:tc>
          <w:tcPr>
            <w:tcW w:w="7720" w:type="dxa"/>
            <w:vAlign w:val="bottom"/>
            <w:tcBorders>
              <w:bottom w:val="single" w:sz="8" w:color="CFF0FC"/>
            </w:tcBorders>
            <w:gridSpan w:val="4"/>
            <w:shd w:val="clear" w:color="auto" w:fill="CFF0FC"/>
          </w:tcPr>
          <w:p>
            <w:pPr>
              <w:ind w:left="20"/>
              <w:spacing w:after="0" w:line="202" w:lineRule="exact"/>
              <w:rPr>
                <w:sz w:val="20"/>
                <w:szCs w:val="20"/>
                <w:color w:val="auto"/>
              </w:rPr>
            </w:pPr>
            <w:r>
              <w:rPr>
                <w:rFonts w:ascii="Arial" w:cs="Arial" w:eastAsia="Arial" w:hAnsi="Arial"/>
                <w:sz w:val="18"/>
                <w:szCs w:val="18"/>
                <w:color w:val="auto"/>
              </w:rPr>
              <w:t>Less: accumulated depreciation and amortization</w:t>
            </w:r>
          </w:p>
        </w:tc>
        <w:tc>
          <w:tcPr>
            <w:tcW w:w="280" w:type="dxa"/>
            <w:vAlign w:val="bottom"/>
            <w:tcBorders>
              <w:bottom w:val="single" w:sz="8" w:color="auto"/>
            </w:tcBorders>
            <w:shd w:val="clear" w:color="auto" w:fill="CFF0FC"/>
          </w:tcPr>
          <w:p>
            <w:pPr>
              <w:spacing w:after="0"/>
              <w:rPr>
                <w:sz w:val="17"/>
                <w:szCs w:val="17"/>
                <w:color w:val="auto"/>
              </w:rPr>
            </w:pPr>
          </w:p>
        </w:tc>
        <w:tc>
          <w:tcPr>
            <w:tcW w:w="14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477.7</w:t>
            </w:r>
          </w:p>
        </w:tc>
        <w:tc>
          <w:tcPr>
            <w:tcW w:w="10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15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478.1</w:t>
            </w:r>
          </w:p>
        </w:tc>
        <w:tc>
          <w:tcPr>
            <w:tcW w:w="0" w:type="dxa"/>
            <w:vAlign w:val="bottom"/>
          </w:tcPr>
          <w:p>
            <w:pPr>
              <w:spacing w:after="0"/>
              <w:rPr>
                <w:sz w:val="1"/>
                <w:szCs w:val="1"/>
                <w:color w:val="auto"/>
              </w:rPr>
            </w:pPr>
          </w:p>
        </w:tc>
      </w:tr>
      <w:tr>
        <w:trPr>
          <w:trHeight w:val="196"/>
        </w:trPr>
        <w:tc>
          <w:tcPr>
            <w:tcW w:w="7720" w:type="dxa"/>
            <w:vAlign w:val="bottom"/>
            <w:gridSpan w:val="4"/>
          </w:tcPr>
          <w:p>
            <w:pPr>
              <w:ind w:left="300"/>
              <w:spacing w:after="0" w:line="196" w:lineRule="exact"/>
              <w:rPr>
                <w:sz w:val="20"/>
                <w:szCs w:val="20"/>
                <w:color w:val="auto"/>
              </w:rPr>
            </w:pPr>
            <w:r>
              <w:rPr>
                <w:rFonts w:ascii="Arial" w:cs="Arial" w:eastAsia="Arial" w:hAnsi="Arial"/>
                <w:sz w:val="18"/>
                <w:szCs w:val="18"/>
                <w:color w:val="auto"/>
              </w:rPr>
              <w:t>Net property and equipment</w:t>
            </w:r>
          </w:p>
        </w:tc>
        <w:tc>
          <w:tcPr>
            <w:tcW w:w="28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113.4</w:t>
            </w: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116.8</w:t>
            </w:r>
          </w:p>
        </w:tc>
        <w:tc>
          <w:tcPr>
            <w:tcW w:w="0" w:type="dxa"/>
            <w:vAlign w:val="bottom"/>
          </w:tcPr>
          <w:p>
            <w:pPr>
              <w:spacing w:after="0"/>
              <w:rPr>
                <w:sz w:val="1"/>
                <w:szCs w:val="1"/>
                <w:color w:val="auto"/>
              </w:rPr>
            </w:pPr>
          </w:p>
        </w:tc>
      </w:tr>
      <w:tr>
        <w:trPr>
          <w:trHeight w:val="236"/>
        </w:trPr>
        <w:tc>
          <w:tcPr>
            <w:tcW w:w="7720" w:type="dxa"/>
            <w:vAlign w:val="bottom"/>
            <w:tcBorders>
              <w:bottom w:val="single" w:sz="8" w:color="CFF0FC"/>
            </w:tcBorders>
            <w:gridSpan w:val="4"/>
            <w:shd w:val="clear" w:color="auto" w:fill="CFF0FC"/>
          </w:tcPr>
          <w:p>
            <w:pPr>
              <w:ind w:left="480"/>
              <w:spacing w:after="0" w:line="196" w:lineRule="exact"/>
              <w:rPr>
                <w:sz w:val="20"/>
                <w:szCs w:val="20"/>
                <w:color w:val="auto"/>
              </w:rPr>
            </w:pPr>
            <w:r>
              <w:rPr>
                <w:rFonts w:ascii="Arial" w:cs="Arial" w:eastAsia="Arial" w:hAnsi="Arial"/>
                <w:sz w:val="18"/>
                <w:szCs w:val="18"/>
                <w:color w:val="auto"/>
              </w:rPr>
              <w:t>Total assets</w:t>
            </w:r>
          </w:p>
        </w:tc>
        <w:tc>
          <w:tcPr>
            <w:tcW w:w="280" w:type="dxa"/>
            <w:vAlign w:val="bottom"/>
            <w:tcBorders>
              <w:bottom w:val="single" w:sz="8" w:color="auto"/>
            </w:tcBorders>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9,721.1</w:t>
            </w:r>
          </w:p>
        </w:tc>
        <w:tc>
          <w:tcPr>
            <w:tcW w:w="10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9,828.9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5988685</wp:posOffset>
            </wp:positionH>
            <wp:positionV relativeFrom="paragraph">
              <wp:posOffset>-1967865</wp:posOffset>
            </wp:positionV>
            <wp:extent cx="6858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-296545</wp:posOffset>
            </wp:positionV>
            <wp:extent cx="68580"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-25400</wp:posOffset>
            </wp:positionV>
            <wp:extent cx="6858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-8255</wp:posOffset>
            </wp:positionV>
            <wp:extent cx="6858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to Consolidated Financial Statements are an integral part of these statements.</w:t>
      </w:r>
    </w:p>
    <w:p>
      <w:pPr>
        <w:spacing w:after="0" w:line="239"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7680" w:type="dxa"/>
            <w:vAlign w:val="bottom"/>
          </w:tcPr>
          <w:p>
            <w:pPr>
              <w:jc w:val="center"/>
              <w:ind w:left="3470"/>
              <w:spacing w:after="0"/>
              <w:rPr>
                <w:sz w:val="20"/>
                <w:szCs w:val="20"/>
                <w:color w:val="auto"/>
              </w:rPr>
            </w:pPr>
            <w:r>
              <w:rPr>
                <w:rFonts w:ascii="Arial" w:cs="Arial" w:eastAsia="Arial" w:hAnsi="Arial"/>
                <w:sz w:val="18"/>
                <w:szCs w:val="18"/>
                <w:b w:val="1"/>
                <w:bCs w:val="1"/>
                <w:color w:val="auto"/>
                <w:w w:val="93"/>
              </w:rPr>
              <w:t>ManpowerGroup Inc.</w:t>
            </w:r>
          </w:p>
        </w:tc>
        <w:tc>
          <w:tcPr>
            <w:tcW w:w="2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6"/>
        </w:trPr>
        <w:tc>
          <w:tcPr>
            <w:tcW w:w="7680" w:type="dxa"/>
            <w:vAlign w:val="bottom"/>
          </w:tcPr>
          <w:p>
            <w:pPr>
              <w:jc w:val="center"/>
              <w:ind w:left="3490"/>
              <w:spacing w:after="0"/>
              <w:rPr>
                <w:sz w:val="20"/>
                <w:szCs w:val="20"/>
                <w:color w:val="auto"/>
              </w:rPr>
            </w:pPr>
            <w:r>
              <w:rPr>
                <w:rFonts w:ascii="Arial" w:cs="Arial" w:eastAsia="Arial" w:hAnsi="Arial"/>
                <w:sz w:val="18"/>
                <w:szCs w:val="18"/>
                <w:b w:val="1"/>
                <w:bCs w:val="1"/>
                <w:color w:val="auto"/>
                <w:w w:val="89"/>
              </w:rPr>
              <w:t>Consolidated Balance Sheets (Unaudited)</w:t>
            </w:r>
          </w:p>
        </w:tc>
        <w:tc>
          <w:tcPr>
            <w:tcW w:w="2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7680" w:type="dxa"/>
            <w:vAlign w:val="bottom"/>
          </w:tcPr>
          <w:p>
            <w:pPr>
              <w:jc w:val="center"/>
              <w:ind w:left="3490"/>
              <w:spacing w:after="0"/>
              <w:rPr>
                <w:sz w:val="20"/>
                <w:szCs w:val="20"/>
                <w:color w:val="auto"/>
              </w:rPr>
            </w:pPr>
            <w:r>
              <w:rPr>
                <w:rFonts w:ascii="Arial" w:cs="Arial" w:eastAsia="Arial" w:hAnsi="Arial"/>
                <w:sz w:val="18"/>
                <w:szCs w:val="18"/>
                <w:b w:val="1"/>
                <w:bCs w:val="1"/>
                <w:color w:val="auto"/>
                <w:w w:val="89"/>
              </w:rPr>
              <w:t>(in millions, except share and per share data)</w:t>
            </w:r>
          </w:p>
        </w:tc>
        <w:tc>
          <w:tcPr>
            <w:tcW w:w="28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8"/>
        </w:trPr>
        <w:tc>
          <w:tcPr>
            <w:tcW w:w="7680" w:type="dxa"/>
            <w:vAlign w:val="bottom"/>
          </w:tcPr>
          <w:p>
            <w:pPr>
              <w:jc w:val="center"/>
              <w:ind w:left="3490"/>
              <w:spacing w:after="0"/>
              <w:rPr>
                <w:sz w:val="20"/>
                <w:szCs w:val="20"/>
                <w:color w:val="auto"/>
              </w:rPr>
            </w:pPr>
            <w:r>
              <w:rPr>
                <w:rFonts w:ascii="Arial" w:cs="Arial" w:eastAsia="Arial" w:hAnsi="Arial"/>
                <w:sz w:val="18"/>
                <w:szCs w:val="18"/>
                <w:b w:val="1"/>
                <w:bCs w:val="1"/>
                <w:color w:val="auto"/>
              </w:rPr>
              <w:t>LIABILITIES AND SHAREHOLDERS’ EQUITY</w:t>
            </w:r>
          </w:p>
        </w:tc>
        <w:tc>
          <w:tcPr>
            <w:tcW w:w="2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7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80" w:type="dxa"/>
            <w:vAlign w:val="bottom"/>
          </w:tcPr>
          <w:p>
            <w:pPr>
              <w:jc w:val="right"/>
              <w:ind w:right="450"/>
              <w:spacing w:after="0"/>
              <w:rPr>
                <w:sz w:val="20"/>
                <w:szCs w:val="20"/>
                <w:color w:val="auto"/>
              </w:rPr>
            </w:pPr>
            <w:r>
              <w:rPr>
                <w:rFonts w:ascii="Arial" w:cs="Arial" w:eastAsia="Arial" w:hAnsi="Arial"/>
                <w:sz w:val="18"/>
                <w:szCs w:val="18"/>
                <w:b w:val="1"/>
                <w:bCs w:val="1"/>
                <w:color w:val="auto"/>
              </w:rPr>
              <w:t>March 31,</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tcPr>
          <w:p>
            <w:pPr>
              <w:jc w:val="right"/>
              <w:ind w:right="270"/>
              <w:spacing w:after="0"/>
              <w:rPr>
                <w:sz w:val="20"/>
                <w:szCs w:val="20"/>
                <w:color w:val="auto"/>
              </w:rPr>
            </w:pPr>
            <w:r>
              <w:rPr>
                <w:rFonts w:ascii="Arial" w:cs="Arial" w:eastAsia="Arial" w:hAnsi="Arial"/>
                <w:sz w:val="18"/>
                <w:szCs w:val="18"/>
                <w:b w:val="1"/>
                <w:bCs w:val="1"/>
                <w:color w:val="auto"/>
                <w:w w:val="95"/>
              </w:rPr>
              <w:t>December 31,</w:t>
            </w:r>
          </w:p>
        </w:tc>
        <w:tc>
          <w:tcPr>
            <w:tcW w:w="0" w:type="dxa"/>
            <w:vAlign w:val="bottom"/>
          </w:tcPr>
          <w:p>
            <w:pPr>
              <w:spacing w:after="0"/>
              <w:rPr>
                <w:sz w:val="1"/>
                <w:szCs w:val="1"/>
                <w:color w:val="auto"/>
              </w:rPr>
            </w:pPr>
          </w:p>
        </w:tc>
      </w:tr>
      <w:tr>
        <w:trPr>
          <w:trHeight w:val="216"/>
        </w:trPr>
        <w:tc>
          <w:tcPr>
            <w:tcW w:w="76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2021</w:t>
            </w:r>
          </w:p>
        </w:tc>
        <w:tc>
          <w:tcPr>
            <w:tcW w:w="0" w:type="dxa"/>
            <w:vAlign w:val="bottom"/>
          </w:tcPr>
          <w:p>
            <w:pPr>
              <w:spacing w:after="0"/>
              <w:rPr>
                <w:sz w:val="1"/>
                <w:szCs w:val="1"/>
                <w:color w:val="auto"/>
              </w:rPr>
            </w:pPr>
          </w:p>
        </w:tc>
      </w:tr>
      <w:tr>
        <w:trPr>
          <w:trHeight w:val="196"/>
        </w:trPr>
        <w:tc>
          <w:tcPr>
            <w:tcW w:w="76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Current Liabilities:</w:t>
            </w:r>
          </w:p>
        </w:tc>
        <w:tc>
          <w:tcPr>
            <w:tcW w:w="280" w:type="dxa"/>
            <w:vAlign w:val="bottom"/>
            <w:shd w:val="clear" w:color="auto" w:fill="CFF0FC"/>
          </w:tcPr>
          <w:p>
            <w:pPr>
              <w:spacing w:after="0"/>
              <w:rPr>
                <w:sz w:val="17"/>
                <w:szCs w:val="17"/>
                <w:color w:val="auto"/>
              </w:rPr>
            </w:pPr>
          </w:p>
        </w:tc>
        <w:tc>
          <w:tcPr>
            <w:tcW w:w="14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5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80" w:type="dxa"/>
            <w:vAlign w:val="bottom"/>
          </w:tcPr>
          <w:p>
            <w:pPr>
              <w:ind w:left="20"/>
              <w:spacing w:after="0" w:line="202" w:lineRule="exact"/>
              <w:rPr>
                <w:sz w:val="20"/>
                <w:szCs w:val="20"/>
                <w:color w:val="auto"/>
              </w:rPr>
            </w:pPr>
            <w:r>
              <w:rPr>
                <w:rFonts w:ascii="Arial" w:cs="Arial" w:eastAsia="Arial" w:hAnsi="Arial"/>
                <w:sz w:val="18"/>
                <w:szCs w:val="18"/>
                <w:color w:val="auto"/>
              </w:rPr>
              <w:t>Accounts payable</w:t>
            </w:r>
          </w:p>
        </w:tc>
        <w:tc>
          <w:tcPr>
            <w:tcW w:w="280" w:type="dxa"/>
            <w:vAlign w:val="bottom"/>
          </w:tcPr>
          <w:p>
            <w:pPr>
              <w:jc w:val="right"/>
              <w:ind w:right="70"/>
              <w:spacing w:after="0" w:line="202" w:lineRule="exact"/>
              <w:rPr>
                <w:sz w:val="20"/>
                <w:szCs w:val="20"/>
                <w:color w:val="auto"/>
              </w:rPr>
            </w:pPr>
            <w:r>
              <w:rPr>
                <w:rFonts w:ascii="Arial" w:cs="Arial" w:eastAsia="Arial" w:hAnsi="Arial"/>
                <w:sz w:val="18"/>
                <w:szCs w:val="18"/>
                <w:color w:val="auto"/>
                <w:w w:val="99"/>
              </w:rPr>
              <w:t>$</w:t>
            </w:r>
          </w:p>
        </w:tc>
        <w:tc>
          <w:tcPr>
            <w:tcW w:w="1480" w:type="dxa"/>
            <w:vAlign w:val="bottom"/>
          </w:tcPr>
          <w:p>
            <w:pPr>
              <w:jc w:val="right"/>
              <w:ind w:right="30"/>
              <w:spacing w:after="0" w:line="202" w:lineRule="exact"/>
              <w:rPr>
                <w:sz w:val="20"/>
                <w:szCs w:val="20"/>
                <w:color w:val="auto"/>
              </w:rPr>
            </w:pPr>
            <w:r>
              <w:rPr>
                <w:rFonts w:ascii="Arial" w:cs="Arial" w:eastAsia="Arial" w:hAnsi="Arial"/>
                <w:sz w:val="18"/>
                <w:szCs w:val="18"/>
                <w:color w:val="auto"/>
              </w:rPr>
              <w:t>3,153.2</w:t>
            </w:r>
          </w:p>
        </w:tc>
        <w:tc>
          <w:tcPr>
            <w:tcW w:w="300" w:type="dxa"/>
            <w:vAlign w:val="bottom"/>
            <w:gridSpan w:val="2"/>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5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3,039.2</w:t>
            </w:r>
          </w:p>
        </w:tc>
        <w:tc>
          <w:tcPr>
            <w:tcW w:w="0" w:type="dxa"/>
            <w:vAlign w:val="bottom"/>
          </w:tcPr>
          <w:p>
            <w:pPr>
              <w:spacing w:after="0"/>
              <w:rPr>
                <w:sz w:val="1"/>
                <w:szCs w:val="1"/>
                <w:color w:val="auto"/>
              </w:rPr>
            </w:pPr>
          </w:p>
        </w:tc>
      </w:tr>
      <w:tr>
        <w:trPr>
          <w:trHeight w:val="203"/>
        </w:trPr>
        <w:tc>
          <w:tcPr>
            <w:tcW w:w="76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Employee compensation payable</w:t>
            </w:r>
          </w:p>
        </w:tc>
        <w:tc>
          <w:tcPr>
            <w:tcW w:w="280" w:type="dxa"/>
            <w:vAlign w:val="bottom"/>
            <w:shd w:val="clear" w:color="auto" w:fill="CFF0FC"/>
          </w:tcPr>
          <w:p>
            <w:pPr>
              <w:spacing w:after="0"/>
              <w:rPr>
                <w:sz w:val="17"/>
                <w:szCs w:val="17"/>
                <w:color w:val="auto"/>
              </w:rPr>
            </w:pPr>
          </w:p>
        </w:tc>
        <w:tc>
          <w:tcPr>
            <w:tcW w:w="148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228.9</w:t>
            </w: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500" w:type="dxa"/>
            <w:vAlign w:val="bottom"/>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299.4</w:t>
            </w:r>
          </w:p>
        </w:tc>
        <w:tc>
          <w:tcPr>
            <w:tcW w:w="0" w:type="dxa"/>
            <w:vAlign w:val="bottom"/>
          </w:tcPr>
          <w:p>
            <w:pPr>
              <w:spacing w:after="0"/>
              <w:rPr>
                <w:sz w:val="1"/>
                <w:szCs w:val="1"/>
                <w:color w:val="auto"/>
              </w:rPr>
            </w:pPr>
          </w:p>
        </w:tc>
      </w:tr>
      <w:tr>
        <w:trPr>
          <w:trHeight w:val="203"/>
        </w:trPr>
        <w:tc>
          <w:tcPr>
            <w:tcW w:w="7680" w:type="dxa"/>
            <w:vAlign w:val="bottom"/>
          </w:tcPr>
          <w:p>
            <w:pPr>
              <w:ind w:left="20"/>
              <w:spacing w:after="0" w:line="202" w:lineRule="exact"/>
              <w:rPr>
                <w:sz w:val="20"/>
                <w:szCs w:val="20"/>
                <w:color w:val="auto"/>
              </w:rPr>
            </w:pPr>
            <w:r>
              <w:rPr>
                <w:rFonts w:ascii="Arial" w:cs="Arial" w:eastAsia="Arial" w:hAnsi="Arial"/>
                <w:sz w:val="18"/>
                <w:szCs w:val="18"/>
                <w:color w:val="auto"/>
              </w:rPr>
              <w:t>Accrued liabilities</w:t>
            </w:r>
          </w:p>
        </w:tc>
        <w:tc>
          <w:tcPr>
            <w:tcW w:w="280" w:type="dxa"/>
            <w:vAlign w:val="bottom"/>
          </w:tcPr>
          <w:p>
            <w:pPr>
              <w:spacing w:after="0"/>
              <w:rPr>
                <w:sz w:val="17"/>
                <w:szCs w:val="17"/>
                <w:color w:val="auto"/>
              </w:rPr>
            </w:pPr>
          </w:p>
        </w:tc>
        <w:tc>
          <w:tcPr>
            <w:tcW w:w="1480" w:type="dxa"/>
            <w:vAlign w:val="bottom"/>
          </w:tcPr>
          <w:p>
            <w:pPr>
              <w:jc w:val="right"/>
              <w:ind w:right="30"/>
              <w:spacing w:after="0" w:line="202" w:lineRule="exact"/>
              <w:rPr>
                <w:sz w:val="20"/>
                <w:szCs w:val="20"/>
                <w:color w:val="auto"/>
              </w:rPr>
            </w:pPr>
            <w:r>
              <w:rPr>
                <w:rFonts w:ascii="Arial" w:cs="Arial" w:eastAsia="Arial" w:hAnsi="Arial"/>
                <w:sz w:val="18"/>
                <w:szCs w:val="18"/>
                <w:color w:val="auto"/>
              </w:rPr>
              <w:t>589.6</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584.7</w:t>
            </w:r>
          </w:p>
        </w:tc>
        <w:tc>
          <w:tcPr>
            <w:tcW w:w="0" w:type="dxa"/>
            <w:vAlign w:val="bottom"/>
          </w:tcPr>
          <w:p>
            <w:pPr>
              <w:spacing w:after="0"/>
              <w:rPr>
                <w:sz w:val="1"/>
                <w:szCs w:val="1"/>
                <w:color w:val="auto"/>
              </w:rPr>
            </w:pPr>
          </w:p>
        </w:tc>
      </w:tr>
      <w:tr>
        <w:trPr>
          <w:trHeight w:val="203"/>
        </w:trPr>
        <w:tc>
          <w:tcPr>
            <w:tcW w:w="76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Accrued payroll taxes and insurance</w:t>
            </w:r>
          </w:p>
        </w:tc>
        <w:tc>
          <w:tcPr>
            <w:tcW w:w="280" w:type="dxa"/>
            <w:vAlign w:val="bottom"/>
            <w:shd w:val="clear" w:color="auto" w:fill="CFF0FC"/>
          </w:tcPr>
          <w:p>
            <w:pPr>
              <w:spacing w:after="0"/>
              <w:rPr>
                <w:sz w:val="17"/>
                <w:szCs w:val="17"/>
                <w:color w:val="auto"/>
              </w:rPr>
            </w:pPr>
          </w:p>
        </w:tc>
        <w:tc>
          <w:tcPr>
            <w:tcW w:w="148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733.2</w:t>
            </w: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500" w:type="dxa"/>
            <w:vAlign w:val="bottom"/>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789.1</w:t>
            </w:r>
          </w:p>
        </w:tc>
        <w:tc>
          <w:tcPr>
            <w:tcW w:w="0" w:type="dxa"/>
            <w:vAlign w:val="bottom"/>
          </w:tcPr>
          <w:p>
            <w:pPr>
              <w:spacing w:after="0"/>
              <w:rPr>
                <w:sz w:val="1"/>
                <w:szCs w:val="1"/>
                <w:color w:val="auto"/>
              </w:rPr>
            </w:pPr>
          </w:p>
        </w:tc>
      </w:tr>
      <w:tr>
        <w:trPr>
          <w:trHeight w:val="203"/>
        </w:trPr>
        <w:tc>
          <w:tcPr>
            <w:tcW w:w="7680" w:type="dxa"/>
            <w:vAlign w:val="bottom"/>
          </w:tcPr>
          <w:p>
            <w:pPr>
              <w:ind w:left="20"/>
              <w:spacing w:after="0" w:line="202" w:lineRule="exact"/>
              <w:rPr>
                <w:sz w:val="20"/>
                <w:szCs w:val="20"/>
                <w:color w:val="auto"/>
              </w:rPr>
            </w:pPr>
            <w:r>
              <w:rPr>
                <w:rFonts w:ascii="Arial" w:cs="Arial" w:eastAsia="Arial" w:hAnsi="Arial"/>
                <w:sz w:val="18"/>
                <w:szCs w:val="18"/>
                <w:color w:val="auto"/>
              </w:rPr>
              <w:t>Value added taxes payable</w:t>
            </w:r>
          </w:p>
        </w:tc>
        <w:tc>
          <w:tcPr>
            <w:tcW w:w="280" w:type="dxa"/>
            <w:vAlign w:val="bottom"/>
          </w:tcPr>
          <w:p>
            <w:pPr>
              <w:spacing w:after="0"/>
              <w:rPr>
                <w:sz w:val="17"/>
                <w:szCs w:val="17"/>
                <w:color w:val="auto"/>
              </w:rPr>
            </w:pPr>
          </w:p>
        </w:tc>
        <w:tc>
          <w:tcPr>
            <w:tcW w:w="1480" w:type="dxa"/>
            <w:vAlign w:val="bottom"/>
          </w:tcPr>
          <w:p>
            <w:pPr>
              <w:jc w:val="right"/>
              <w:ind w:right="30"/>
              <w:spacing w:after="0" w:line="202" w:lineRule="exact"/>
              <w:rPr>
                <w:sz w:val="20"/>
                <w:szCs w:val="20"/>
                <w:color w:val="auto"/>
              </w:rPr>
            </w:pPr>
            <w:r>
              <w:rPr>
                <w:rFonts w:ascii="Arial" w:cs="Arial" w:eastAsia="Arial" w:hAnsi="Arial"/>
                <w:sz w:val="18"/>
                <w:szCs w:val="18"/>
                <w:color w:val="auto"/>
              </w:rPr>
              <w:t>479.7</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515.5</w:t>
            </w:r>
          </w:p>
        </w:tc>
        <w:tc>
          <w:tcPr>
            <w:tcW w:w="0" w:type="dxa"/>
            <w:vAlign w:val="bottom"/>
          </w:tcPr>
          <w:p>
            <w:pPr>
              <w:spacing w:after="0"/>
              <w:rPr>
                <w:sz w:val="1"/>
                <w:szCs w:val="1"/>
                <w:color w:val="auto"/>
              </w:rPr>
            </w:pPr>
          </w:p>
        </w:tc>
      </w:tr>
      <w:tr>
        <w:trPr>
          <w:trHeight w:val="203"/>
        </w:trPr>
        <w:tc>
          <w:tcPr>
            <w:tcW w:w="768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Short-term borrowings and current maturities of long-term debt</w:t>
            </w:r>
          </w:p>
        </w:tc>
        <w:tc>
          <w:tcPr>
            <w:tcW w:w="280" w:type="dxa"/>
            <w:vAlign w:val="bottom"/>
            <w:tcBorders>
              <w:bottom w:val="single" w:sz="8" w:color="auto"/>
            </w:tcBorders>
            <w:shd w:val="clear" w:color="auto" w:fill="CFF0FC"/>
          </w:tcPr>
          <w:p>
            <w:pPr>
              <w:spacing w:after="0"/>
              <w:rPr>
                <w:sz w:val="17"/>
                <w:szCs w:val="17"/>
                <w:color w:val="auto"/>
              </w:rPr>
            </w:pPr>
          </w:p>
        </w:tc>
        <w:tc>
          <w:tcPr>
            <w:tcW w:w="1480" w:type="dxa"/>
            <w:vAlign w:val="bottom"/>
            <w:tcBorders>
              <w:bottom w:val="single" w:sz="8" w:color="auto"/>
            </w:tcBorders>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512.6</w:t>
            </w:r>
          </w:p>
        </w:tc>
        <w:tc>
          <w:tcPr>
            <w:tcW w:w="10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1500" w:type="dxa"/>
            <w:vAlign w:val="bottom"/>
            <w:tcBorders>
              <w:bottom w:val="single" w:sz="8" w:color="auto"/>
            </w:tcBorders>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552.6</w:t>
            </w:r>
          </w:p>
        </w:tc>
        <w:tc>
          <w:tcPr>
            <w:tcW w:w="0" w:type="dxa"/>
            <w:vAlign w:val="bottom"/>
          </w:tcPr>
          <w:p>
            <w:pPr>
              <w:spacing w:after="0"/>
              <w:rPr>
                <w:sz w:val="1"/>
                <w:szCs w:val="1"/>
                <w:color w:val="auto"/>
              </w:rPr>
            </w:pPr>
          </w:p>
        </w:tc>
      </w:tr>
      <w:tr>
        <w:trPr>
          <w:trHeight w:val="196"/>
        </w:trPr>
        <w:tc>
          <w:tcPr>
            <w:tcW w:w="7680" w:type="dxa"/>
            <w:vAlign w:val="bottom"/>
          </w:tcPr>
          <w:p>
            <w:pPr>
              <w:ind w:left="300"/>
              <w:spacing w:after="0" w:line="196" w:lineRule="exact"/>
              <w:rPr>
                <w:sz w:val="20"/>
                <w:szCs w:val="20"/>
                <w:color w:val="auto"/>
              </w:rPr>
            </w:pPr>
            <w:r>
              <w:rPr>
                <w:rFonts w:ascii="Arial" w:cs="Arial" w:eastAsia="Arial" w:hAnsi="Arial"/>
                <w:sz w:val="18"/>
                <w:szCs w:val="18"/>
                <w:color w:val="auto"/>
              </w:rPr>
              <w:t>Total current liabilities</w:t>
            </w:r>
          </w:p>
        </w:tc>
        <w:tc>
          <w:tcPr>
            <w:tcW w:w="280" w:type="dxa"/>
            <w:vAlign w:val="bottom"/>
          </w:tcPr>
          <w:p>
            <w:pPr>
              <w:spacing w:after="0"/>
              <w:rPr>
                <w:sz w:val="17"/>
                <w:szCs w:val="17"/>
                <w:color w:val="auto"/>
              </w:rPr>
            </w:pPr>
          </w:p>
        </w:tc>
        <w:tc>
          <w:tcPr>
            <w:tcW w:w="1480" w:type="dxa"/>
            <w:vAlign w:val="bottom"/>
          </w:tcPr>
          <w:p>
            <w:pPr>
              <w:jc w:val="right"/>
              <w:ind w:right="30"/>
              <w:spacing w:after="0" w:line="196" w:lineRule="exact"/>
              <w:rPr>
                <w:sz w:val="20"/>
                <w:szCs w:val="20"/>
                <w:color w:val="auto"/>
              </w:rPr>
            </w:pPr>
            <w:r>
              <w:rPr>
                <w:rFonts w:ascii="Arial" w:cs="Arial" w:eastAsia="Arial" w:hAnsi="Arial"/>
                <w:sz w:val="18"/>
                <w:szCs w:val="18"/>
                <w:color w:val="auto"/>
              </w:rPr>
              <w:t>5,697.2</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00" w:type="dxa"/>
            <w:vAlign w:val="bottom"/>
          </w:tcPr>
          <w:p>
            <w:pPr>
              <w:jc w:val="right"/>
              <w:ind w:right="10"/>
              <w:spacing w:after="0" w:line="196" w:lineRule="exact"/>
              <w:rPr>
                <w:sz w:val="20"/>
                <w:szCs w:val="20"/>
                <w:color w:val="auto"/>
              </w:rPr>
            </w:pPr>
            <w:r>
              <w:rPr>
                <w:rFonts w:ascii="Arial" w:cs="Arial" w:eastAsia="Arial" w:hAnsi="Arial"/>
                <w:sz w:val="18"/>
                <w:szCs w:val="18"/>
                <w:color w:val="auto"/>
              </w:rPr>
              <w:t>5,780.5</w:t>
            </w:r>
          </w:p>
        </w:tc>
        <w:tc>
          <w:tcPr>
            <w:tcW w:w="0" w:type="dxa"/>
            <w:vAlign w:val="bottom"/>
          </w:tcPr>
          <w:p>
            <w:pPr>
              <w:spacing w:after="0"/>
              <w:rPr>
                <w:sz w:val="1"/>
                <w:szCs w:val="1"/>
                <w:color w:val="auto"/>
              </w:rPr>
            </w:pPr>
          </w:p>
        </w:tc>
      </w:tr>
      <w:tr>
        <w:trPr>
          <w:trHeight w:val="203"/>
        </w:trPr>
        <w:tc>
          <w:tcPr>
            <w:tcW w:w="76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4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5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80" w:type="dxa"/>
            <w:vAlign w:val="bottom"/>
          </w:tcPr>
          <w:p>
            <w:pPr>
              <w:ind w:left="20"/>
              <w:spacing w:after="0" w:line="202" w:lineRule="exact"/>
              <w:rPr>
                <w:sz w:val="20"/>
                <w:szCs w:val="20"/>
                <w:color w:val="auto"/>
              </w:rPr>
            </w:pPr>
            <w:r>
              <w:rPr>
                <w:rFonts w:ascii="Arial" w:cs="Arial" w:eastAsia="Arial" w:hAnsi="Arial"/>
                <w:sz w:val="18"/>
                <w:szCs w:val="18"/>
                <w:b w:val="1"/>
                <w:bCs w:val="1"/>
                <w:color w:val="auto"/>
              </w:rPr>
              <w:t>Other Liabilities:</w:t>
            </w:r>
          </w:p>
        </w:tc>
        <w:tc>
          <w:tcPr>
            <w:tcW w:w="2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Long-term debt</w:t>
            </w:r>
          </w:p>
        </w:tc>
        <w:tc>
          <w:tcPr>
            <w:tcW w:w="280" w:type="dxa"/>
            <w:vAlign w:val="bottom"/>
            <w:shd w:val="clear" w:color="auto" w:fill="CFF0FC"/>
          </w:tcPr>
          <w:p>
            <w:pPr>
              <w:spacing w:after="0"/>
              <w:rPr>
                <w:sz w:val="17"/>
                <w:szCs w:val="17"/>
                <w:color w:val="auto"/>
              </w:rPr>
            </w:pPr>
          </w:p>
        </w:tc>
        <w:tc>
          <w:tcPr>
            <w:tcW w:w="148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551.3</w:t>
            </w: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500" w:type="dxa"/>
            <w:vAlign w:val="bottom"/>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565.7</w:t>
            </w:r>
          </w:p>
        </w:tc>
        <w:tc>
          <w:tcPr>
            <w:tcW w:w="0" w:type="dxa"/>
            <w:vAlign w:val="bottom"/>
          </w:tcPr>
          <w:p>
            <w:pPr>
              <w:spacing w:after="0"/>
              <w:rPr>
                <w:sz w:val="1"/>
                <w:szCs w:val="1"/>
                <w:color w:val="auto"/>
              </w:rPr>
            </w:pPr>
          </w:p>
        </w:tc>
      </w:tr>
      <w:tr>
        <w:trPr>
          <w:trHeight w:val="203"/>
        </w:trPr>
        <w:tc>
          <w:tcPr>
            <w:tcW w:w="7680" w:type="dxa"/>
            <w:vAlign w:val="bottom"/>
          </w:tcPr>
          <w:p>
            <w:pPr>
              <w:ind w:left="20"/>
              <w:spacing w:after="0" w:line="202" w:lineRule="exact"/>
              <w:rPr>
                <w:sz w:val="20"/>
                <w:szCs w:val="20"/>
                <w:color w:val="auto"/>
              </w:rPr>
            </w:pPr>
            <w:r>
              <w:rPr>
                <w:rFonts w:ascii="Arial" w:cs="Arial" w:eastAsia="Arial" w:hAnsi="Arial"/>
                <w:sz w:val="18"/>
                <w:szCs w:val="18"/>
                <w:color w:val="auto"/>
              </w:rPr>
              <w:t>Long-term operating lease liability</w:t>
            </w:r>
          </w:p>
        </w:tc>
        <w:tc>
          <w:tcPr>
            <w:tcW w:w="280" w:type="dxa"/>
            <w:vAlign w:val="bottom"/>
          </w:tcPr>
          <w:p>
            <w:pPr>
              <w:spacing w:after="0"/>
              <w:rPr>
                <w:sz w:val="17"/>
                <w:szCs w:val="17"/>
                <w:color w:val="auto"/>
              </w:rPr>
            </w:pPr>
          </w:p>
        </w:tc>
        <w:tc>
          <w:tcPr>
            <w:tcW w:w="1480" w:type="dxa"/>
            <w:vAlign w:val="bottom"/>
          </w:tcPr>
          <w:p>
            <w:pPr>
              <w:jc w:val="right"/>
              <w:ind w:right="30"/>
              <w:spacing w:after="0" w:line="202" w:lineRule="exact"/>
              <w:rPr>
                <w:sz w:val="20"/>
                <w:szCs w:val="20"/>
                <w:color w:val="auto"/>
              </w:rPr>
            </w:pPr>
            <w:r>
              <w:rPr>
                <w:rFonts w:ascii="Arial" w:cs="Arial" w:eastAsia="Arial" w:hAnsi="Arial"/>
                <w:sz w:val="18"/>
                <w:szCs w:val="18"/>
                <w:color w:val="auto"/>
              </w:rPr>
              <w:t>256.3</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275.8</w:t>
            </w:r>
          </w:p>
        </w:tc>
        <w:tc>
          <w:tcPr>
            <w:tcW w:w="0" w:type="dxa"/>
            <w:vAlign w:val="bottom"/>
          </w:tcPr>
          <w:p>
            <w:pPr>
              <w:spacing w:after="0"/>
              <w:rPr>
                <w:sz w:val="1"/>
                <w:szCs w:val="1"/>
                <w:color w:val="auto"/>
              </w:rPr>
            </w:pPr>
          </w:p>
        </w:tc>
      </w:tr>
      <w:tr>
        <w:trPr>
          <w:trHeight w:val="203"/>
        </w:trPr>
        <w:tc>
          <w:tcPr>
            <w:tcW w:w="768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Other long-term liabilities</w:t>
            </w:r>
          </w:p>
        </w:tc>
        <w:tc>
          <w:tcPr>
            <w:tcW w:w="280" w:type="dxa"/>
            <w:vAlign w:val="bottom"/>
            <w:tcBorders>
              <w:bottom w:val="single" w:sz="8" w:color="auto"/>
            </w:tcBorders>
            <w:shd w:val="clear" w:color="auto" w:fill="CFF0FC"/>
          </w:tcPr>
          <w:p>
            <w:pPr>
              <w:spacing w:after="0"/>
              <w:rPr>
                <w:sz w:val="17"/>
                <w:szCs w:val="17"/>
                <w:color w:val="auto"/>
              </w:rPr>
            </w:pPr>
          </w:p>
        </w:tc>
        <w:tc>
          <w:tcPr>
            <w:tcW w:w="1480" w:type="dxa"/>
            <w:vAlign w:val="bottom"/>
            <w:tcBorders>
              <w:bottom w:val="single" w:sz="8" w:color="auto"/>
            </w:tcBorders>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660.2</w:t>
            </w:r>
          </w:p>
        </w:tc>
        <w:tc>
          <w:tcPr>
            <w:tcW w:w="10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1500" w:type="dxa"/>
            <w:vAlign w:val="bottom"/>
            <w:tcBorders>
              <w:bottom w:val="single" w:sz="8" w:color="auto"/>
            </w:tcBorders>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675.2</w:t>
            </w:r>
          </w:p>
        </w:tc>
        <w:tc>
          <w:tcPr>
            <w:tcW w:w="0" w:type="dxa"/>
            <w:vAlign w:val="bottom"/>
          </w:tcPr>
          <w:p>
            <w:pPr>
              <w:spacing w:after="0"/>
              <w:rPr>
                <w:sz w:val="1"/>
                <w:szCs w:val="1"/>
                <w:color w:val="auto"/>
              </w:rPr>
            </w:pPr>
          </w:p>
        </w:tc>
      </w:tr>
      <w:tr>
        <w:trPr>
          <w:trHeight w:val="196"/>
        </w:trPr>
        <w:tc>
          <w:tcPr>
            <w:tcW w:w="7680" w:type="dxa"/>
            <w:vAlign w:val="bottom"/>
          </w:tcPr>
          <w:p>
            <w:pPr>
              <w:ind w:left="300"/>
              <w:spacing w:after="0" w:line="196" w:lineRule="exact"/>
              <w:rPr>
                <w:sz w:val="20"/>
                <w:szCs w:val="20"/>
                <w:color w:val="auto"/>
              </w:rPr>
            </w:pPr>
            <w:r>
              <w:rPr>
                <w:rFonts w:ascii="Arial" w:cs="Arial" w:eastAsia="Arial" w:hAnsi="Arial"/>
                <w:sz w:val="18"/>
                <w:szCs w:val="18"/>
                <w:color w:val="auto"/>
              </w:rPr>
              <w:t>Total other liabilities</w:t>
            </w:r>
          </w:p>
        </w:tc>
        <w:tc>
          <w:tcPr>
            <w:tcW w:w="280" w:type="dxa"/>
            <w:vAlign w:val="bottom"/>
          </w:tcPr>
          <w:p>
            <w:pPr>
              <w:spacing w:after="0"/>
              <w:rPr>
                <w:sz w:val="17"/>
                <w:szCs w:val="17"/>
                <w:color w:val="auto"/>
              </w:rPr>
            </w:pPr>
          </w:p>
        </w:tc>
        <w:tc>
          <w:tcPr>
            <w:tcW w:w="1480" w:type="dxa"/>
            <w:vAlign w:val="bottom"/>
          </w:tcPr>
          <w:p>
            <w:pPr>
              <w:jc w:val="right"/>
              <w:ind w:right="30"/>
              <w:spacing w:after="0" w:line="196" w:lineRule="exact"/>
              <w:rPr>
                <w:sz w:val="20"/>
                <w:szCs w:val="20"/>
                <w:color w:val="auto"/>
              </w:rPr>
            </w:pPr>
            <w:r>
              <w:rPr>
                <w:rFonts w:ascii="Arial" w:cs="Arial" w:eastAsia="Arial" w:hAnsi="Arial"/>
                <w:sz w:val="18"/>
                <w:szCs w:val="18"/>
                <w:color w:val="auto"/>
              </w:rPr>
              <w:t>1,467.8</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00" w:type="dxa"/>
            <w:vAlign w:val="bottom"/>
          </w:tcPr>
          <w:p>
            <w:pPr>
              <w:jc w:val="right"/>
              <w:ind w:right="10"/>
              <w:spacing w:after="0" w:line="196" w:lineRule="exact"/>
              <w:rPr>
                <w:sz w:val="20"/>
                <w:szCs w:val="20"/>
                <w:color w:val="auto"/>
              </w:rPr>
            </w:pPr>
            <w:r>
              <w:rPr>
                <w:rFonts w:ascii="Arial" w:cs="Arial" w:eastAsia="Arial" w:hAnsi="Arial"/>
                <w:sz w:val="18"/>
                <w:szCs w:val="18"/>
                <w:color w:val="auto"/>
              </w:rPr>
              <w:t>1,516.7</w:t>
            </w:r>
          </w:p>
        </w:tc>
        <w:tc>
          <w:tcPr>
            <w:tcW w:w="0" w:type="dxa"/>
            <w:vAlign w:val="bottom"/>
          </w:tcPr>
          <w:p>
            <w:pPr>
              <w:spacing w:after="0"/>
              <w:rPr>
                <w:sz w:val="1"/>
                <w:szCs w:val="1"/>
                <w:color w:val="auto"/>
              </w:rPr>
            </w:pPr>
          </w:p>
        </w:tc>
      </w:tr>
      <w:tr>
        <w:trPr>
          <w:trHeight w:val="203"/>
        </w:trPr>
        <w:tc>
          <w:tcPr>
            <w:tcW w:w="76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4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5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80" w:type="dxa"/>
            <w:vAlign w:val="bottom"/>
          </w:tcPr>
          <w:p>
            <w:pPr>
              <w:ind w:left="20"/>
              <w:spacing w:after="0" w:line="202" w:lineRule="exact"/>
              <w:rPr>
                <w:sz w:val="20"/>
                <w:szCs w:val="20"/>
                <w:color w:val="auto"/>
              </w:rPr>
            </w:pPr>
            <w:r>
              <w:rPr>
                <w:rFonts w:ascii="Arial" w:cs="Arial" w:eastAsia="Arial" w:hAnsi="Arial"/>
                <w:sz w:val="18"/>
                <w:szCs w:val="18"/>
                <w:b w:val="1"/>
                <w:bCs w:val="1"/>
                <w:color w:val="auto"/>
              </w:rPr>
              <w:t>Shareholders’ Equity:</w:t>
            </w:r>
          </w:p>
        </w:tc>
        <w:tc>
          <w:tcPr>
            <w:tcW w:w="2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ManpowerGroup shareholders' equity</w:t>
            </w:r>
          </w:p>
        </w:tc>
        <w:tc>
          <w:tcPr>
            <w:tcW w:w="280" w:type="dxa"/>
            <w:vAlign w:val="bottom"/>
            <w:shd w:val="clear" w:color="auto" w:fill="CFF0FC"/>
          </w:tcPr>
          <w:p>
            <w:pPr>
              <w:spacing w:after="0"/>
              <w:rPr>
                <w:sz w:val="17"/>
                <w:szCs w:val="17"/>
                <w:color w:val="auto"/>
              </w:rPr>
            </w:pPr>
          </w:p>
        </w:tc>
        <w:tc>
          <w:tcPr>
            <w:tcW w:w="14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5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80" w:type="dxa"/>
            <w:vAlign w:val="bottom"/>
          </w:tcPr>
          <w:p>
            <w:pPr>
              <w:ind w:left="160"/>
              <w:spacing w:after="0" w:line="202" w:lineRule="exact"/>
              <w:rPr>
                <w:sz w:val="20"/>
                <w:szCs w:val="20"/>
                <w:color w:val="auto"/>
              </w:rPr>
            </w:pPr>
            <w:r>
              <w:rPr>
                <w:rFonts w:ascii="Arial" w:cs="Arial" w:eastAsia="Arial" w:hAnsi="Arial"/>
                <w:sz w:val="18"/>
                <w:szCs w:val="18"/>
                <w:color w:val="auto"/>
              </w:rPr>
              <w:t>Preferred stock, $.01 par value, authorized 25,000,000 shares, none issued</w:t>
            </w:r>
          </w:p>
        </w:tc>
        <w:tc>
          <w:tcPr>
            <w:tcW w:w="280" w:type="dxa"/>
            <w:vAlign w:val="bottom"/>
          </w:tcPr>
          <w:p>
            <w:pPr>
              <w:spacing w:after="0"/>
              <w:rPr>
                <w:sz w:val="17"/>
                <w:szCs w:val="17"/>
                <w:color w:val="auto"/>
              </w:rPr>
            </w:pPr>
          </w:p>
        </w:tc>
        <w:tc>
          <w:tcPr>
            <w:tcW w:w="1480" w:type="dxa"/>
            <w:vAlign w:val="bottom"/>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62"/>
        </w:trPr>
        <w:tc>
          <w:tcPr>
            <w:tcW w:w="7680" w:type="dxa"/>
            <w:vAlign w:val="bottom"/>
            <w:shd w:val="clear" w:color="auto" w:fill="CFF0FC"/>
          </w:tcPr>
          <w:p>
            <w:pPr>
              <w:ind w:left="120"/>
              <w:spacing w:after="0" w:line="162" w:lineRule="exact"/>
              <w:rPr>
                <w:sz w:val="20"/>
                <w:szCs w:val="20"/>
                <w:color w:val="auto"/>
              </w:rPr>
            </w:pPr>
            <w:r>
              <w:rPr>
                <w:rFonts w:ascii="Arial" w:cs="Arial" w:eastAsia="Arial" w:hAnsi="Arial"/>
                <w:sz w:val="18"/>
                <w:szCs w:val="18"/>
                <w:color w:val="auto"/>
              </w:rPr>
              <w:t>Common stock, $.01 par value, authorized 125,000,000 shares, issued 118,008,869 and</w:t>
            </w:r>
          </w:p>
        </w:tc>
        <w:tc>
          <w:tcPr>
            <w:tcW w:w="280" w:type="dxa"/>
            <w:vAlign w:val="bottom"/>
            <w:shd w:val="clear" w:color="auto" w:fill="CFF0FC"/>
          </w:tcPr>
          <w:p>
            <w:pPr>
              <w:spacing w:after="0"/>
              <w:rPr>
                <w:sz w:val="14"/>
                <w:szCs w:val="14"/>
                <w:color w:val="auto"/>
              </w:rPr>
            </w:pPr>
          </w:p>
        </w:tc>
        <w:tc>
          <w:tcPr>
            <w:tcW w:w="1480" w:type="dxa"/>
            <w:vAlign w:val="bottom"/>
            <w:vMerge w:val="restart"/>
            <w:shd w:val="clear" w:color="auto" w:fill="CFF0FC"/>
          </w:tcPr>
          <w:p>
            <w:pPr>
              <w:jc w:val="right"/>
              <w:ind w:right="30"/>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500" w:type="dxa"/>
            <w:vAlign w:val="bottom"/>
            <w:vMerge w:val="restart"/>
            <w:shd w:val="clear" w:color="auto" w:fill="CFF0FC"/>
          </w:tcPr>
          <w:p>
            <w:pPr>
              <w:jc w:val="right"/>
              <w:ind w:right="1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7680" w:type="dxa"/>
            <w:vAlign w:val="bottom"/>
            <w:shd w:val="clear" w:color="auto" w:fill="CFF0FC"/>
          </w:tcPr>
          <w:p>
            <w:pPr>
              <w:ind w:left="120"/>
              <w:spacing w:after="0"/>
              <w:rPr>
                <w:sz w:val="20"/>
                <w:szCs w:val="20"/>
                <w:color w:val="auto"/>
              </w:rPr>
            </w:pPr>
            <w:r>
              <w:rPr>
                <w:rFonts w:ascii="Arial" w:cs="Arial" w:eastAsia="Arial" w:hAnsi="Arial"/>
                <w:sz w:val="18"/>
                <w:szCs w:val="18"/>
                <w:color w:val="auto"/>
              </w:rPr>
              <w:t>117,762,065 shares, respectively</w:t>
            </w:r>
          </w:p>
        </w:tc>
        <w:tc>
          <w:tcPr>
            <w:tcW w:w="280" w:type="dxa"/>
            <w:vAlign w:val="bottom"/>
            <w:shd w:val="clear" w:color="auto" w:fill="CFF0FC"/>
          </w:tcPr>
          <w:p>
            <w:pPr>
              <w:spacing w:after="0"/>
              <w:rPr>
                <w:sz w:val="18"/>
                <w:szCs w:val="18"/>
                <w:color w:val="auto"/>
              </w:rPr>
            </w:pPr>
          </w:p>
        </w:tc>
        <w:tc>
          <w:tcPr>
            <w:tcW w:w="1480" w:type="dxa"/>
            <w:vAlign w:val="bottom"/>
            <w:vMerge w:val="continue"/>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500" w:type="dxa"/>
            <w:vAlign w:val="bottom"/>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680" w:type="dxa"/>
            <w:vAlign w:val="bottom"/>
          </w:tcPr>
          <w:p>
            <w:pPr>
              <w:ind w:left="120"/>
              <w:spacing w:after="0" w:line="202" w:lineRule="exact"/>
              <w:rPr>
                <w:sz w:val="20"/>
                <w:szCs w:val="20"/>
                <w:color w:val="auto"/>
              </w:rPr>
            </w:pPr>
            <w:r>
              <w:rPr>
                <w:rFonts w:ascii="Arial" w:cs="Arial" w:eastAsia="Arial" w:hAnsi="Arial"/>
                <w:sz w:val="18"/>
                <w:szCs w:val="18"/>
                <w:color w:val="auto"/>
              </w:rPr>
              <w:t>Capital in excess of par value</w:t>
            </w:r>
          </w:p>
        </w:tc>
        <w:tc>
          <w:tcPr>
            <w:tcW w:w="280" w:type="dxa"/>
            <w:vAlign w:val="bottom"/>
          </w:tcPr>
          <w:p>
            <w:pPr>
              <w:spacing w:after="0"/>
              <w:rPr>
                <w:sz w:val="17"/>
                <w:szCs w:val="17"/>
                <w:color w:val="auto"/>
              </w:rPr>
            </w:pPr>
          </w:p>
        </w:tc>
        <w:tc>
          <w:tcPr>
            <w:tcW w:w="1480" w:type="dxa"/>
            <w:vAlign w:val="bottom"/>
          </w:tcPr>
          <w:p>
            <w:pPr>
              <w:jc w:val="right"/>
              <w:ind w:right="30"/>
              <w:spacing w:after="0" w:line="202" w:lineRule="exact"/>
              <w:rPr>
                <w:sz w:val="20"/>
                <w:szCs w:val="20"/>
                <w:color w:val="auto"/>
              </w:rPr>
            </w:pPr>
            <w:r>
              <w:rPr>
                <w:rFonts w:ascii="Arial" w:cs="Arial" w:eastAsia="Arial" w:hAnsi="Arial"/>
                <w:sz w:val="18"/>
                <w:szCs w:val="18"/>
                <w:color w:val="auto"/>
              </w:rPr>
              <w:t>3,455.2</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3,444.7</w:t>
            </w:r>
          </w:p>
        </w:tc>
        <w:tc>
          <w:tcPr>
            <w:tcW w:w="0" w:type="dxa"/>
            <w:vAlign w:val="bottom"/>
          </w:tcPr>
          <w:p>
            <w:pPr>
              <w:spacing w:after="0"/>
              <w:rPr>
                <w:sz w:val="1"/>
                <w:szCs w:val="1"/>
                <w:color w:val="auto"/>
              </w:rPr>
            </w:pPr>
          </w:p>
        </w:tc>
      </w:tr>
      <w:tr>
        <w:trPr>
          <w:trHeight w:val="202"/>
        </w:trPr>
        <w:tc>
          <w:tcPr>
            <w:tcW w:w="7680" w:type="dxa"/>
            <w:vAlign w:val="bottom"/>
            <w:shd w:val="clear" w:color="auto" w:fill="CFF0FC"/>
          </w:tcPr>
          <w:p>
            <w:pPr>
              <w:ind w:left="120"/>
              <w:spacing w:after="0" w:line="202" w:lineRule="exact"/>
              <w:rPr>
                <w:sz w:val="20"/>
                <w:szCs w:val="20"/>
                <w:color w:val="auto"/>
              </w:rPr>
            </w:pPr>
            <w:r>
              <w:rPr>
                <w:rFonts w:ascii="Arial" w:cs="Arial" w:eastAsia="Arial" w:hAnsi="Arial"/>
                <w:sz w:val="18"/>
                <w:szCs w:val="18"/>
                <w:color w:val="auto"/>
              </w:rPr>
              <w:t>Retained earnings</w:t>
            </w:r>
          </w:p>
        </w:tc>
        <w:tc>
          <w:tcPr>
            <w:tcW w:w="280" w:type="dxa"/>
            <w:vAlign w:val="bottom"/>
            <w:shd w:val="clear" w:color="auto" w:fill="CFF0FC"/>
          </w:tcPr>
          <w:p>
            <w:pPr>
              <w:spacing w:after="0"/>
              <w:rPr>
                <w:sz w:val="17"/>
                <w:szCs w:val="17"/>
                <w:color w:val="auto"/>
              </w:rPr>
            </w:pPr>
          </w:p>
        </w:tc>
        <w:tc>
          <w:tcPr>
            <w:tcW w:w="148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3,726.2</w:t>
            </w: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500" w:type="dxa"/>
            <w:vAlign w:val="bottom"/>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3,634.6</w:t>
            </w:r>
          </w:p>
        </w:tc>
        <w:tc>
          <w:tcPr>
            <w:tcW w:w="0" w:type="dxa"/>
            <w:vAlign w:val="bottom"/>
          </w:tcPr>
          <w:p>
            <w:pPr>
              <w:spacing w:after="0"/>
              <w:rPr>
                <w:sz w:val="1"/>
                <w:szCs w:val="1"/>
                <w:color w:val="auto"/>
              </w:rPr>
            </w:pPr>
          </w:p>
        </w:tc>
      </w:tr>
      <w:tr>
        <w:trPr>
          <w:trHeight w:val="203"/>
        </w:trPr>
        <w:tc>
          <w:tcPr>
            <w:tcW w:w="7680" w:type="dxa"/>
            <w:vAlign w:val="bottom"/>
          </w:tcPr>
          <w:p>
            <w:pPr>
              <w:ind w:left="120"/>
              <w:spacing w:after="0" w:line="202" w:lineRule="exact"/>
              <w:rPr>
                <w:sz w:val="20"/>
                <w:szCs w:val="20"/>
                <w:color w:val="auto"/>
              </w:rPr>
            </w:pPr>
            <w:r>
              <w:rPr>
                <w:rFonts w:ascii="Arial" w:cs="Arial" w:eastAsia="Arial" w:hAnsi="Arial"/>
                <w:sz w:val="18"/>
                <w:szCs w:val="18"/>
                <w:color w:val="auto"/>
              </w:rPr>
              <w:t>Accumulated other comprehensive loss</w:t>
            </w:r>
          </w:p>
        </w:tc>
        <w:tc>
          <w:tcPr>
            <w:tcW w:w="280" w:type="dxa"/>
            <w:vAlign w:val="bottom"/>
          </w:tcPr>
          <w:p>
            <w:pPr>
              <w:spacing w:after="0"/>
              <w:rPr>
                <w:sz w:val="17"/>
                <w:szCs w:val="17"/>
                <w:color w:val="auto"/>
              </w:rPr>
            </w:pPr>
          </w:p>
        </w:tc>
        <w:tc>
          <w:tcPr>
            <w:tcW w:w="1480" w:type="dxa"/>
            <w:vAlign w:val="bottom"/>
          </w:tcPr>
          <w:p>
            <w:pPr>
              <w:jc w:val="right"/>
              <w:spacing w:after="0" w:line="202" w:lineRule="exact"/>
              <w:rPr>
                <w:sz w:val="20"/>
                <w:szCs w:val="20"/>
                <w:color w:val="auto"/>
              </w:rPr>
            </w:pPr>
            <w:r>
              <w:rPr>
                <w:rFonts w:ascii="Arial" w:cs="Arial" w:eastAsia="Arial" w:hAnsi="Arial"/>
                <w:sz w:val="18"/>
                <w:szCs w:val="18"/>
                <w:color w:val="auto"/>
              </w:rPr>
              <w:t>(399.6 )</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00" w:type="dxa"/>
            <w:vAlign w:val="bottom"/>
          </w:tcPr>
          <w:p>
            <w:pPr>
              <w:jc w:val="right"/>
              <w:spacing w:after="0" w:line="202" w:lineRule="exact"/>
              <w:rPr>
                <w:sz w:val="20"/>
                <w:szCs w:val="20"/>
                <w:color w:val="auto"/>
              </w:rPr>
            </w:pPr>
            <w:r>
              <w:rPr>
                <w:rFonts w:ascii="Arial" w:cs="Arial" w:eastAsia="Arial" w:hAnsi="Arial"/>
                <w:sz w:val="18"/>
                <w:szCs w:val="18"/>
                <w:color w:val="auto"/>
              </w:rPr>
              <w:t>(389.4 )</w:t>
            </w:r>
          </w:p>
        </w:tc>
        <w:tc>
          <w:tcPr>
            <w:tcW w:w="0" w:type="dxa"/>
            <w:vAlign w:val="bottom"/>
          </w:tcPr>
          <w:p>
            <w:pPr>
              <w:spacing w:after="0"/>
              <w:rPr>
                <w:sz w:val="1"/>
                <w:szCs w:val="1"/>
                <w:color w:val="auto"/>
              </w:rPr>
            </w:pPr>
          </w:p>
        </w:tc>
      </w:tr>
      <w:tr>
        <w:trPr>
          <w:trHeight w:val="203"/>
        </w:trPr>
        <w:tc>
          <w:tcPr>
            <w:tcW w:w="7680" w:type="dxa"/>
            <w:vAlign w:val="bottom"/>
            <w:tcBorders>
              <w:bottom w:val="single" w:sz="8" w:color="CFF0FC"/>
            </w:tcBorders>
            <w:shd w:val="clear" w:color="auto" w:fill="CFF0FC"/>
          </w:tcPr>
          <w:p>
            <w:pPr>
              <w:ind w:left="120"/>
              <w:spacing w:after="0" w:line="202" w:lineRule="exact"/>
              <w:rPr>
                <w:sz w:val="20"/>
                <w:szCs w:val="20"/>
                <w:color w:val="auto"/>
              </w:rPr>
            </w:pPr>
            <w:r>
              <w:rPr>
                <w:rFonts w:ascii="Arial" w:cs="Arial" w:eastAsia="Arial" w:hAnsi="Arial"/>
                <w:sz w:val="18"/>
                <w:szCs w:val="18"/>
                <w:color w:val="auto"/>
              </w:rPr>
              <w:t>Treasury stock at cost, 64,804,085 and 64,165,136 shares, respectively</w:t>
            </w:r>
          </w:p>
        </w:tc>
        <w:tc>
          <w:tcPr>
            <w:tcW w:w="280" w:type="dxa"/>
            <w:vAlign w:val="bottom"/>
            <w:tcBorders>
              <w:bottom w:val="single" w:sz="8" w:color="auto"/>
            </w:tcBorders>
            <w:shd w:val="clear" w:color="auto" w:fill="CFF0FC"/>
          </w:tcPr>
          <w:p>
            <w:pPr>
              <w:spacing w:after="0"/>
              <w:rPr>
                <w:sz w:val="17"/>
                <w:szCs w:val="17"/>
                <w:color w:val="auto"/>
              </w:rPr>
            </w:pPr>
          </w:p>
        </w:tc>
        <w:tc>
          <w:tcPr>
            <w:tcW w:w="14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(4,237.5 )</w:t>
            </w:r>
          </w:p>
        </w:tc>
        <w:tc>
          <w:tcPr>
            <w:tcW w:w="10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15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(4,169.4 )</w:t>
            </w:r>
          </w:p>
        </w:tc>
        <w:tc>
          <w:tcPr>
            <w:tcW w:w="0" w:type="dxa"/>
            <w:vAlign w:val="bottom"/>
          </w:tcPr>
          <w:p>
            <w:pPr>
              <w:spacing w:after="0"/>
              <w:rPr>
                <w:sz w:val="1"/>
                <w:szCs w:val="1"/>
                <w:color w:val="auto"/>
              </w:rPr>
            </w:pPr>
          </w:p>
        </w:tc>
      </w:tr>
      <w:tr>
        <w:trPr>
          <w:trHeight w:val="196"/>
        </w:trPr>
        <w:tc>
          <w:tcPr>
            <w:tcW w:w="7680" w:type="dxa"/>
            <w:vAlign w:val="bottom"/>
          </w:tcPr>
          <w:p>
            <w:pPr>
              <w:ind w:left="300"/>
              <w:spacing w:after="0" w:line="196" w:lineRule="exact"/>
              <w:rPr>
                <w:sz w:val="20"/>
                <w:szCs w:val="20"/>
                <w:color w:val="auto"/>
              </w:rPr>
            </w:pPr>
            <w:r>
              <w:rPr>
                <w:rFonts w:ascii="Arial" w:cs="Arial" w:eastAsia="Arial" w:hAnsi="Arial"/>
                <w:sz w:val="18"/>
                <w:szCs w:val="18"/>
                <w:color w:val="auto"/>
              </w:rPr>
              <w:t>Total ManpowerGroup shareholders’ equity</w:t>
            </w:r>
          </w:p>
        </w:tc>
        <w:tc>
          <w:tcPr>
            <w:tcW w:w="28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2,545.5</w:t>
            </w: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2,521.7</w:t>
            </w:r>
          </w:p>
        </w:tc>
        <w:tc>
          <w:tcPr>
            <w:tcW w:w="0" w:type="dxa"/>
            <w:vAlign w:val="bottom"/>
          </w:tcPr>
          <w:p>
            <w:pPr>
              <w:spacing w:after="0"/>
              <w:rPr>
                <w:sz w:val="1"/>
                <w:szCs w:val="1"/>
                <w:color w:val="auto"/>
              </w:rPr>
            </w:pPr>
          </w:p>
        </w:tc>
      </w:tr>
      <w:tr>
        <w:trPr>
          <w:trHeight w:val="196"/>
        </w:trPr>
        <w:tc>
          <w:tcPr>
            <w:tcW w:w="7680" w:type="dxa"/>
            <w:vAlign w:val="bottom"/>
            <w:tcBorders>
              <w:bottom w:val="single" w:sz="8" w:color="CFF0FC"/>
            </w:tcBorders>
            <w:shd w:val="clear" w:color="auto" w:fill="CFF0FC"/>
          </w:tcPr>
          <w:p>
            <w:pPr>
              <w:ind w:left="120"/>
              <w:spacing w:after="0" w:line="196" w:lineRule="exact"/>
              <w:rPr>
                <w:sz w:val="20"/>
                <w:szCs w:val="20"/>
                <w:color w:val="auto"/>
              </w:rPr>
            </w:pPr>
            <w:r>
              <w:rPr>
                <w:rFonts w:ascii="Arial" w:cs="Arial" w:eastAsia="Arial" w:hAnsi="Arial"/>
                <w:sz w:val="18"/>
                <w:szCs w:val="18"/>
                <w:color w:val="auto"/>
              </w:rPr>
              <w:t>Noncontrolling interests</w:t>
            </w:r>
          </w:p>
        </w:tc>
        <w:tc>
          <w:tcPr>
            <w:tcW w:w="280" w:type="dxa"/>
            <w:vAlign w:val="bottom"/>
            <w:tcBorders>
              <w:bottom w:val="single" w:sz="8" w:color="auto"/>
            </w:tcBorders>
            <w:shd w:val="clear" w:color="auto" w:fill="CFF0FC"/>
          </w:tcPr>
          <w:p>
            <w:pPr>
              <w:spacing w:after="0"/>
              <w:rPr>
                <w:sz w:val="17"/>
                <w:szCs w:val="17"/>
                <w:color w:val="auto"/>
              </w:rPr>
            </w:pPr>
          </w:p>
        </w:tc>
        <w:tc>
          <w:tcPr>
            <w:tcW w:w="1480" w:type="dxa"/>
            <w:vAlign w:val="bottom"/>
            <w:tcBorders>
              <w:bottom w:val="single" w:sz="8" w:color="auto"/>
            </w:tcBorders>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rPr>
              <w:t>10.6</w:t>
            </w:r>
          </w:p>
        </w:tc>
        <w:tc>
          <w:tcPr>
            <w:tcW w:w="10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1500" w:type="dxa"/>
            <w:vAlign w:val="bottom"/>
            <w:tcBorders>
              <w:bottom w:val="single" w:sz="8" w:color="auto"/>
            </w:tcBorders>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196"/>
        </w:trPr>
        <w:tc>
          <w:tcPr>
            <w:tcW w:w="7680" w:type="dxa"/>
            <w:vAlign w:val="bottom"/>
          </w:tcPr>
          <w:p>
            <w:pPr>
              <w:ind w:left="300"/>
              <w:spacing w:after="0" w:line="196" w:lineRule="exact"/>
              <w:rPr>
                <w:sz w:val="20"/>
                <w:szCs w:val="20"/>
                <w:color w:val="auto"/>
              </w:rPr>
            </w:pPr>
            <w:r>
              <w:rPr>
                <w:rFonts w:ascii="Arial" w:cs="Arial" w:eastAsia="Arial" w:hAnsi="Arial"/>
                <w:sz w:val="18"/>
                <w:szCs w:val="18"/>
                <w:color w:val="auto"/>
              </w:rPr>
              <w:t>Total shareholders’ equity</w:t>
            </w:r>
          </w:p>
        </w:tc>
        <w:tc>
          <w:tcPr>
            <w:tcW w:w="28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2,556.1</w:t>
            </w: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2,531.7</w:t>
            </w:r>
          </w:p>
        </w:tc>
        <w:tc>
          <w:tcPr>
            <w:tcW w:w="0" w:type="dxa"/>
            <w:vAlign w:val="bottom"/>
          </w:tcPr>
          <w:p>
            <w:pPr>
              <w:spacing w:after="0"/>
              <w:rPr>
                <w:sz w:val="1"/>
                <w:szCs w:val="1"/>
                <w:color w:val="auto"/>
              </w:rPr>
            </w:pPr>
          </w:p>
        </w:tc>
      </w:tr>
      <w:tr>
        <w:trPr>
          <w:trHeight w:val="236"/>
        </w:trPr>
        <w:tc>
          <w:tcPr>
            <w:tcW w:w="7680" w:type="dxa"/>
            <w:vAlign w:val="bottom"/>
            <w:tcBorders>
              <w:bottom w:val="single" w:sz="8" w:color="CFF0FC"/>
            </w:tcBorders>
            <w:shd w:val="clear" w:color="auto" w:fill="CFF0FC"/>
          </w:tcPr>
          <w:p>
            <w:pPr>
              <w:ind w:left="480"/>
              <w:spacing w:after="0" w:line="196" w:lineRule="exact"/>
              <w:rPr>
                <w:sz w:val="20"/>
                <w:szCs w:val="20"/>
                <w:color w:val="auto"/>
              </w:rPr>
            </w:pPr>
            <w:r>
              <w:rPr>
                <w:rFonts w:ascii="Arial" w:cs="Arial" w:eastAsia="Arial" w:hAnsi="Arial"/>
                <w:sz w:val="18"/>
                <w:szCs w:val="18"/>
                <w:color w:val="auto"/>
              </w:rPr>
              <w:t>Total liabilities and shareholders’ equity</w:t>
            </w:r>
          </w:p>
        </w:tc>
        <w:tc>
          <w:tcPr>
            <w:tcW w:w="280" w:type="dxa"/>
            <w:vAlign w:val="bottom"/>
            <w:tcBorders>
              <w:bottom w:val="single" w:sz="8" w:color="auto"/>
            </w:tcBorders>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rPr>
              <w:t>9,721.1</w:t>
            </w:r>
          </w:p>
        </w:tc>
        <w:tc>
          <w:tcPr>
            <w:tcW w:w="10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rPr>
              <w:t>9,828.9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5988685</wp:posOffset>
            </wp:positionH>
            <wp:positionV relativeFrom="paragraph">
              <wp:posOffset>-2756535</wp:posOffset>
            </wp:positionV>
            <wp:extent cx="68580" cy="57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-1976755</wp:posOffset>
            </wp:positionV>
            <wp:extent cx="68580" cy="57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-570865</wp:posOffset>
            </wp:positionV>
            <wp:extent cx="68580" cy="57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-296545</wp:posOffset>
            </wp:positionV>
            <wp:extent cx="68580" cy="57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-24765</wp:posOffset>
            </wp:positionV>
            <wp:extent cx="6858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-8255</wp:posOffset>
            </wp:positionV>
            <wp:extent cx="6858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to Consolidated Financial Statements are an integral part of these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4"/>
        </w:trPr>
        <w:tc>
          <w:tcPr>
            <w:tcW w:w="3160" w:type="dxa"/>
            <w:vAlign w:val="bottom"/>
          </w:tcPr>
          <w:p>
            <w:pPr>
              <w:spacing w:after="0"/>
              <w:rPr>
                <w:sz w:val="20"/>
                <w:szCs w:val="20"/>
                <w:color w:val="auto"/>
              </w:rPr>
            </w:pPr>
          </w:p>
        </w:tc>
        <w:tc>
          <w:tcPr>
            <w:tcW w:w="5660" w:type="dxa"/>
            <w:vAlign w:val="bottom"/>
            <w:gridSpan w:val="2"/>
          </w:tcPr>
          <w:p>
            <w:pPr>
              <w:jc w:val="center"/>
              <w:ind w:right="650"/>
              <w:spacing w:after="0"/>
              <w:rPr>
                <w:sz w:val="20"/>
                <w:szCs w:val="20"/>
                <w:color w:val="auto"/>
              </w:rPr>
            </w:pPr>
            <w:r>
              <w:rPr>
                <w:rFonts w:ascii="Arial" w:cs="Arial" w:eastAsia="Arial" w:hAnsi="Arial"/>
                <w:sz w:val="18"/>
                <w:szCs w:val="18"/>
                <w:b w:val="1"/>
                <w:bCs w:val="1"/>
                <w:color w:val="auto"/>
                <w:w w:val="93"/>
              </w:rPr>
              <w:t>ManpowerGroup Inc.</w:t>
            </w: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60" w:type="dxa"/>
            <w:vAlign w:val="bottom"/>
          </w:tcPr>
          <w:p>
            <w:pPr>
              <w:spacing w:after="0"/>
              <w:rPr>
                <w:sz w:val="20"/>
                <w:szCs w:val="20"/>
                <w:color w:val="auto"/>
              </w:rPr>
            </w:pPr>
          </w:p>
        </w:tc>
      </w:tr>
      <w:tr>
        <w:trPr>
          <w:trHeight w:val="418"/>
        </w:trPr>
        <w:tc>
          <w:tcPr>
            <w:tcW w:w="3160" w:type="dxa"/>
            <w:vAlign w:val="bottom"/>
          </w:tcPr>
          <w:p>
            <w:pPr>
              <w:spacing w:after="0"/>
              <w:rPr>
                <w:sz w:val="24"/>
                <w:szCs w:val="24"/>
                <w:color w:val="auto"/>
              </w:rPr>
            </w:pPr>
          </w:p>
        </w:tc>
        <w:tc>
          <w:tcPr>
            <w:tcW w:w="5660" w:type="dxa"/>
            <w:vAlign w:val="bottom"/>
            <w:gridSpan w:val="2"/>
          </w:tcPr>
          <w:p>
            <w:pPr>
              <w:jc w:val="center"/>
              <w:ind w:right="630"/>
              <w:spacing w:after="0"/>
              <w:rPr>
                <w:sz w:val="20"/>
                <w:szCs w:val="20"/>
                <w:color w:val="auto"/>
              </w:rPr>
            </w:pPr>
            <w:r>
              <w:rPr>
                <w:rFonts w:ascii="Arial" w:cs="Arial" w:eastAsia="Arial" w:hAnsi="Arial"/>
                <w:sz w:val="18"/>
                <w:szCs w:val="18"/>
                <w:b w:val="1"/>
                <w:bCs w:val="1"/>
                <w:color w:val="auto"/>
                <w:w w:val="89"/>
              </w:rPr>
              <w:t>Consolidated Statements of Operations (Unaudited)</w:t>
            </w: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243"/>
        </w:trPr>
        <w:tc>
          <w:tcPr>
            <w:tcW w:w="3160" w:type="dxa"/>
            <w:vAlign w:val="bottom"/>
          </w:tcPr>
          <w:p>
            <w:pPr>
              <w:spacing w:after="0"/>
              <w:rPr>
                <w:sz w:val="21"/>
                <w:szCs w:val="21"/>
                <w:color w:val="auto"/>
              </w:rPr>
            </w:pPr>
          </w:p>
        </w:tc>
        <w:tc>
          <w:tcPr>
            <w:tcW w:w="5660" w:type="dxa"/>
            <w:vAlign w:val="bottom"/>
            <w:gridSpan w:val="2"/>
          </w:tcPr>
          <w:p>
            <w:pPr>
              <w:jc w:val="center"/>
              <w:ind w:right="630"/>
              <w:spacing w:after="0"/>
              <w:rPr>
                <w:sz w:val="20"/>
                <w:szCs w:val="20"/>
                <w:color w:val="auto"/>
              </w:rPr>
            </w:pPr>
            <w:r>
              <w:rPr>
                <w:rFonts w:ascii="Arial" w:cs="Arial" w:eastAsia="Arial" w:hAnsi="Arial"/>
                <w:sz w:val="18"/>
                <w:szCs w:val="18"/>
                <w:b w:val="1"/>
                <w:bCs w:val="1"/>
                <w:color w:val="auto"/>
                <w:w w:val="89"/>
              </w:rPr>
              <w:t>(in millions, except per share data)</w:t>
            </w:r>
          </w:p>
        </w:tc>
        <w:tc>
          <w:tcPr>
            <w:tcW w:w="6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60" w:type="dxa"/>
            <w:vAlign w:val="bottom"/>
          </w:tcPr>
          <w:p>
            <w:pPr>
              <w:spacing w:after="0"/>
              <w:rPr>
                <w:sz w:val="21"/>
                <w:szCs w:val="21"/>
                <w:color w:val="auto"/>
              </w:rPr>
            </w:pPr>
          </w:p>
        </w:tc>
      </w:tr>
      <w:tr>
        <w:trPr>
          <w:trHeight w:val="360"/>
        </w:trPr>
        <w:tc>
          <w:tcPr>
            <w:tcW w:w="3160" w:type="dxa"/>
            <w:vAlign w:val="bottom"/>
          </w:tcPr>
          <w:p>
            <w:pPr>
              <w:spacing w:after="0"/>
              <w:rPr>
                <w:sz w:val="24"/>
                <w:szCs w:val="24"/>
                <w:color w:val="auto"/>
              </w:rPr>
            </w:pPr>
          </w:p>
        </w:tc>
        <w:tc>
          <w:tcPr>
            <w:tcW w:w="4640" w:type="dxa"/>
            <w:vAlign w:val="bottom"/>
          </w:tcPr>
          <w:p>
            <w:pPr>
              <w:spacing w:after="0"/>
              <w:rPr>
                <w:sz w:val="24"/>
                <w:szCs w:val="24"/>
                <w:color w:val="auto"/>
              </w:rPr>
            </w:pPr>
          </w:p>
        </w:tc>
        <w:tc>
          <w:tcPr>
            <w:tcW w:w="2780" w:type="dxa"/>
            <w:vAlign w:val="bottom"/>
            <w:gridSpan w:val="4"/>
          </w:tcPr>
          <w:p>
            <w:pPr>
              <w:jc w:val="right"/>
              <w:ind w:right="190"/>
              <w:spacing w:after="0"/>
              <w:rPr>
                <w:sz w:val="20"/>
                <w:szCs w:val="20"/>
                <w:color w:val="auto"/>
              </w:rPr>
            </w:pPr>
            <w:r>
              <w:rPr>
                <w:rFonts w:ascii="Arial" w:cs="Arial" w:eastAsia="Arial" w:hAnsi="Arial"/>
                <w:sz w:val="18"/>
                <w:szCs w:val="18"/>
                <w:b w:val="1"/>
                <w:bCs w:val="1"/>
                <w:color w:val="auto"/>
              </w:rPr>
              <w:t>Three Months Ended</w:t>
            </w:r>
          </w:p>
        </w:tc>
        <w:tc>
          <w:tcPr>
            <w:tcW w:w="660" w:type="dxa"/>
            <w:vAlign w:val="bottom"/>
          </w:tcPr>
          <w:p>
            <w:pPr>
              <w:spacing w:after="0"/>
              <w:rPr>
                <w:sz w:val="24"/>
                <w:szCs w:val="24"/>
                <w:color w:val="auto"/>
              </w:rPr>
            </w:pPr>
          </w:p>
        </w:tc>
      </w:tr>
      <w:tr>
        <w:trPr>
          <w:trHeight w:val="221"/>
        </w:trPr>
        <w:tc>
          <w:tcPr>
            <w:tcW w:w="3160" w:type="dxa"/>
            <w:vAlign w:val="bottom"/>
          </w:tcPr>
          <w:p>
            <w:pPr>
              <w:spacing w:after="0"/>
              <w:rPr>
                <w:sz w:val="19"/>
                <w:szCs w:val="19"/>
                <w:color w:val="auto"/>
              </w:rPr>
            </w:pPr>
          </w:p>
        </w:tc>
        <w:tc>
          <w:tcPr>
            <w:tcW w:w="4640" w:type="dxa"/>
            <w:vAlign w:val="bottom"/>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gridSpan w:val="3"/>
          </w:tcPr>
          <w:p>
            <w:pPr>
              <w:jc w:val="right"/>
              <w:ind w:right="610"/>
              <w:spacing w:after="0"/>
              <w:rPr>
                <w:sz w:val="20"/>
                <w:szCs w:val="20"/>
                <w:color w:val="auto"/>
              </w:rPr>
            </w:pPr>
            <w:r>
              <w:rPr>
                <w:rFonts w:ascii="Arial" w:cs="Arial" w:eastAsia="Arial" w:hAnsi="Arial"/>
                <w:sz w:val="18"/>
                <w:szCs w:val="18"/>
                <w:b w:val="1"/>
                <w:bCs w:val="1"/>
                <w:color w:val="auto"/>
              </w:rPr>
              <w:t>March 31,</w:t>
            </w:r>
          </w:p>
        </w:tc>
        <w:tc>
          <w:tcPr>
            <w:tcW w:w="660" w:type="dxa"/>
            <w:vAlign w:val="bottom"/>
            <w:tcBorders>
              <w:bottom w:val="single" w:sz="8" w:color="auto"/>
            </w:tcBorders>
          </w:tcPr>
          <w:p>
            <w:pPr>
              <w:spacing w:after="0"/>
              <w:rPr>
                <w:sz w:val="19"/>
                <w:szCs w:val="19"/>
                <w:color w:val="auto"/>
              </w:rPr>
            </w:pPr>
          </w:p>
        </w:tc>
      </w:tr>
      <w:tr>
        <w:trPr>
          <w:trHeight w:val="196"/>
        </w:trPr>
        <w:tc>
          <w:tcPr>
            <w:tcW w:w="3160" w:type="dxa"/>
            <w:vAlign w:val="bottom"/>
          </w:tcPr>
          <w:p>
            <w:pPr>
              <w:spacing w:after="0"/>
              <w:rPr>
                <w:sz w:val="17"/>
                <w:szCs w:val="17"/>
                <w:color w:val="auto"/>
              </w:rPr>
            </w:pPr>
          </w:p>
        </w:tc>
        <w:tc>
          <w:tcPr>
            <w:tcW w:w="4640" w:type="dxa"/>
            <w:vAlign w:val="bottom"/>
          </w:tcPr>
          <w:p>
            <w:pPr>
              <w:spacing w:after="0"/>
              <w:rPr>
                <w:sz w:val="17"/>
                <w:szCs w:val="17"/>
                <w:color w:val="auto"/>
              </w:rPr>
            </w:pPr>
          </w:p>
        </w:tc>
        <w:tc>
          <w:tcPr>
            <w:tcW w:w="102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2022</w:t>
            </w:r>
          </w:p>
        </w:tc>
        <w:tc>
          <w:tcPr>
            <w:tcW w:w="660" w:type="dxa"/>
            <w:vAlign w:val="bottom"/>
          </w:tcPr>
          <w:p>
            <w:pPr>
              <w:spacing w:after="0"/>
              <w:rPr>
                <w:sz w:val="17"/>
                <w:szCs w:val="17"/>
                <w:color w:val="auto"/>
              </w:rPr>
            </w:pPr>
          </w:p>
        </w:tc>
        <w:tc>
          <w:tcPr>
            <w:tcW w:w="1100" w:type="dxa"/>
            <w:vAlign w:val="bottom"/>
            <w:gridSpan w:val="2"/>
          </w:tcPr>
          <w:p>
            <w:pPr>
              <w:jc w:val="right"/>
              <w:spacing w:after="0" w:line="196" w:lineRule="exact"/>
              <w:rPr>
                <w:sz w:val="20"/>
                <w:szCs w:val="20"/>
                <w:color w:val="auto"/>
              </w:rPr>
            </w:pPr>
            <w:r>
              <w:rPr>
                <w:rFonts w:ascii="Arial" w:cs="Arial" w:eastAsia="Arial" w:hAnsi="Arial"/>
                <w:sz w:val="18"/>
                <w:szCs w:val="18"/>
                <w:b w:val="1"/>
                <w:bCs w:val="1"/>
                <w:color w:val="auto"/>
              </w:rPr>
              <w:t>2021</w:t>
            </w:r>
          </w:p>
        </w:tc>
        <w:tc>
          <w:tcPr>
            <w:tcW w:w="660" w:type="dxa"/>
            <w:vAlign w:val="bottom"/>
          </w:tcPr>
          <w:p>
            <w:pPr>
              <w:spacing w:after="0"/>
              <w:rPr>
                <w:sz w:val="17"/>
                <w:szCs w:val="17"/>
                <w:color w:val="auto"/>
              </w:rPr>
            </w:pPr>
          </w:p>
        </w:tc>
      </w:tr>
      <w:tr>
        <w:trPr>
          <w:trHeight w:val="196"/>
        </w:trPr>
        <w:tc>
          <w:tcPr>
            <w:tcW w:w="316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Revenues from services</w:t>
            </w:r>
          </w:p>
        </w:tc>
        <w:tc>
          <w:tcPr>
            <w:tcW w:w="4640" w:type="dxa"/>
            <w:vAlign w:val="bottom"/>
            <w:shd w:val="clear" w:color="auto" w:fill="CFF0FC"/>
          </w:tcPr>
          <w:p>
            <w:pPr>
              <w:spacing w:after="0"/>
              <w:rPr>
                <w:sz w:val="17"/>
                <w:szCs w:val="17"/>
                <w:color w:val="auto"/>
              </w:rPr>
            </w:pPr>
          </w:p>
        </w:tc>
        <w:tc>
          <w:tcPr>
            <w:tcW w:w="1020" w:type="dxa"/>
            <w:vAlign w:val="bottom"/>
            <w:tcBorders>
              <w:top w:val="single" w:sz="8" w:color="auto"/>
            </w:tcBorders>
            <w:shd w:val="clear" w:color="auto" w:fill="CFF0FC"/>
          </w:tcPr>
          <w:p>
            <w:pPr>
              <w:jc w:val="right"/>
              <w:ind w:right="830"/>
              <w:spacing w:after="0" w:line="196" w:lineRule="exact"/>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3"/>
              </w:rPr>
              <w:t>5,143.3</w:t>
            </w:r>
          </w:p>
        </w:tc>
        <w:tc>
          <w:tcPr>
            <w:tcW w:w="80" w:type="dxa"/>
            <w:vAlign w:val="bottom"/>
            <w:shd w:val="clear" w:color="auto" w:fill="CFF0FC"/>
          </w:tcPr>
          <w:p>
            <w:pPr>
              <w:spacing w:after="0"/>
              <w:rPr>
                <w:sz w:val="17"/>
                <w:szCs w:val="17"/>
                <w:color w:val="auto"/>
              </w:rPr>
            </w:pPr>
          </w:p>
        </w:tc>
        <w:tc>
          <w:tcPr>
            <w:tcW w:w="1020" w:type="dxa"/>
            <w:vAlign w:val="bottom"/>
            <w:tcBorders>
              <w:top w:val="single" w:sz="8" w:color="auto"/>
            </w:tcBorders>
            <w:shd w:val="clear" w:color="auto" w:fill="CFF0FC"/>
          </w:tcPr>
          <w:p>
            <w:pPr>
              <w:jc w:val="right"/>
              <w:ind w:right="830"/>
              <w:spacing w:after="0" w:line="196" w:lineRule="exact"/>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3"/>
              </w:rPr>
              <w:t>4,924.4</w:t>
            </w:r>
          </w:p>
        </w:tc>
      </w:tr>
      <w:tr>
        <w:trPr>
          <w:trHeight w:val="203"/>
        </w:trPr>
        <w:tc>
          <w:tcPr>
            <w:tcW w:w="3160" w:type="dxa"/>
            <w:vAlign w:val="bottom"/>
          </w:tcPr>
          <w:p>
            <w:pPr>
              <w:ind w:left="20"/>
              <w:spacing w:after="0" w:line="202" w:lineRule="exact"/>
              <w:rPr>
                <w:sz w:val="20"/>
                <w:szCs w:val="20"/>
                <w:color w:val="auto"/>
              </w:rPr>
            </w:pPr>
            <w:r>
              <w:rPr>
                <w:rFonts w:ascii="Arial" w:cs="Arial" w:eastAsia="Arial" w:hAnsi="Arial"/>
                <w:sz w:val="18"/>
                <w:szCs w:val="18"/>
                <w:color w:val="auto"/>
              </w:rPr>
              <w:t>Cost of services</w:t>
            </w:r>
          </w:p>
        </w:tc>
        <w:tc>
          <w:tcPr>
            <w:tcW w:w="4640" w:type="dxa"/>
            <w:vAlign w:val="bottom"/>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w w:val="93"/>
              </w:rPr>
              <w:t>4,246.2</w:t>
            </w:r>
          </w:p>
        </w:tc>
        <w:tc>
          <w:tcPr>
            <w:tcW w:w="80" w:type="dxa"/>
            <w:vAlign w:val="bottom"/>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w w:val="93"/>
              </w:rPr>
              <w:t>4,156.3</w:t>
            </w:r>
          </w:p>
        </w:tc>
      </w:tr>
      <w:tr>
        <w:trPr>
          <w:trHeight w:val="196"/>
        </w:trPr>
        <w:tc>
          <w:tcPr>
            <w:tcW w:w="3160" w:type="dxa"/>
            <w:vAlign w:val="bottom"/>
            <w:shd w:val="clear" w:color="auto" w:fill="CFF0FC"/>
          </w:tcPr>
          <w:p>
            <w:pPr>
              <w:ind w:left="200"/>
              <w:spacing w:after="0" w:line="196" w:lineRule="exact"/>
              <w:rPr>
                <w:sz w:val="20"/>
                <w:szCs w:val="20"/>
                <w:color w:val="auto"/>
              </w:rPr>
            </w:pPr>
            <w:r>
              <w:rPr>
                <w:rFonts w:ascii="Arial" w:cs="Arial" w:eastAsia="Arial" w:hAnsi="Arial"/>
                <w:sz w:val="18"/>
                <w:szCs w:val="18"/>
                <w:color w:val="auto"/>
              </w:rPr>
              <w:t>Gross profit</w:t>
            </w:r>
          </w:p>
        </w:tc>
        <w:tc>
          <w:tcPr>
            <w:tcW w:w="464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6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897.1</w:t>
            </w:r>
          </w:p>
        </w:tc>
        <w:tc>
          <w:tcPr>
            <w:tcW w:w="8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6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768.1</w:t>
            </w:r>
          </w:p>
        </w:tc>
      </w:tr>
      <w:tr>
        <w:trPr>
          <w:trHeight w:val="203"/>
        </w:trPr>
        <w:tc>
          <w:tcPr>
            <w:tcW w:w="3160" w:type="dxa"/>
            <w:vAlign w:val="bottom"/>
          </w:tcPr>
          <w:p>
            <w:pPr>
              <w:ind w:left="120"/>
              <w:spacing w:after="0" w:line="202" w:lineRule="exact"/>
              <w:rPr>
                <w:sz w:val="20"/>
                <w:szCs w:val="20"/>
                <w:color w:val="auto"/>
              </w:rPr>
            </w:pPr>
            <w:r>
              <w:rPr>
                <w:rFonts w:ascii="Arial" w:cs="Arial" w:eastAsia="Arial" w:hAnsi="Arial"/>
                <w:sz w:val="18"/>
                <w:szCs w:val="18"/>
                <w:color w:val="auto"/>
              </w:rPr>
              <w:t>Selling and administrative expenses</w:t>
            </w:r>
          </w:p>
        </w:tc>
        <w:tc>
          <w:tcPr>
            <w:tcW w:w="4640" w:type="dxa"/>
            <w:vAlign w:val="bottom"/>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758.4</w:t>
            </w:r>
          </w:p>
        </w:tc>
        <w:tc>
          <w:tcPr>
            <w:tcW w:w="80" w:type="dxa"/>
            <w:vAlign w:val="bottom"/>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669.7</w:t>
            </w:r>
          </w:p>
        </w:tc>
      </w:tr>
      <w:tr>
        <w:trPr>
          <w:trHeight w:val="196"/>
        </w:trPr>
        <w:tc>
          <w:tcPr>
            <w:tcW w:w="3160" w:type="dxa"/>
            <w:vAlign w:val="bottom"/>
            <w:shd w:val="clear" w:color="auto" w:fill="CFF0FC"/>
          </w:tcPr>
          <w:p>
            <w:pPr>
              <w:ind w:left="200"/>
              <w:spacing w:after="0" w:line="196" w:lineRule="exact"/>
              <w:rPr>
                <w:sz w:val="20"/>
                <w:szCs w:val="20"/>
                <w:color w:val="auto"/>
              </w:rPr>
            </w:pPr>
            <w:r>
              <w:rPr>
                <w:rFonts w:ascii="Arial" w:cs="Arial" w:eastAsia="Arial" w:hAnsi="Arial"/>
                <w:sz w:val="18"/>
                <w:szCs w:val="18"/>
                <w:color w:val="auto"/>
              </w:rPr>
              <w:t>Operating profit</w:t>
            </w:r>
          </w:p>
        </w:tc>
        <w:tc>
          <w:tcPr>
            <w:tcW w:w="464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6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138.7</w:t>
            </w:r>
          </w:p>
        </w:tc>
        <w:tc>
          <w:tcPr>
            <w:tcW w:w="8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6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98.4</w:t>
            </w:r>
          </w:p>
        </w:tc>
      </w:tr>
      <w:tr>
        <w:trPr>
          <w:trHeight w:val="203"/>
        </w:trPr>
        <w:tc>
          <w:tcPr>
            <w:tcW w:w="3160" w:type="dxa"/>
            <w:vAlign w:val="bottom"/>
          </w:tcPr>
          <w:p>
            <w:pPr>
              <w:ind w:left="20"/>
              <w:spacing w:after="0" w:line="202" w:lineRule="exact"/>
              <w:rPr>
                <w:sz w:val="20"/>
                <w:szCs w:val="20"/>
                <w:color w:val="auto"/>
              </w:rPr>
            </w:pPr>
            <w:r>
              <w:rPr>
                <w:rFonts w:ascii="Arial" w:cs="Arial" w:eastAsia="Arial" w:hAnsi="Arial"/>
                <w:sz w:val="18"/>
                <w:szCs w:val="18"/>
                <w:color w:val="auto"/>
              </w:rPr>
              <w:t>Interest and other expenses, net</w:t>
            </w:r>
          </w:p>
        </w:tc>
        <w:tc>
          <w:tcPr>
            <w:tcW w:w="4640" w:type="dxa"/>
            <w:vAlign w:val="bottom"/>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2.7</w:t>
            </w:r>
          </w:p>
        </w:tc>
        <w:tc>
          <w:tcPr>
            <w:tcW w:w="80" w:type="dxa"/>
            <w:vAlign w:val="bottom"/>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5.4</w:t>
            </w:r>
          </w:p>
        </w:tc>
      </w:tr>
      <w:tr>
        <w:trPr>
          <w:trHeight w:val="196"/>
        </w:trPr>
        <w:tc>
          <w:tcPr>
            <w:tcW w:w="3160" w:type="dxa"/>
            <w:vAlign w:val="bottom"/>
            <w:shd w:val="clear" w:color="auto" w:fill="CFF0FC"/>
          </w:tcPr>
          <w:p>
            <w:pPr>
              <w:ind w:left="200"/>
              <w:spacing w:after="0" w:line="196" w:lineRule="exact"/>
              <w:rPr>
                <w:sz w:val="20"/>
                <w:szCs w:val="20"/>
                <w:color w:val="auto"/>
              </w:rPr>
            </w:pPr>
            <w:r>
              <w:rPr>
                <w:rFonts w:ascii="Arial" w:cs="Arial" w:eastAsia="Arial" w:hAnsi="Arial"/>
                <w:sz w:val="18"/>
                <w:szCs w:val="18"/>
                <w:color w:val="auto"/>
              </w:rPr>
              <w:t>Earnings before income taxes</w:t>
            </w:r>
          </w:p>
        </w:tc>
        <w:tc>
          <w:tcPr>
            <w:tcW w:w="464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6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136.0</w:t>
            </w:r>
          </w:p>
        </w:tc>
        <w:tc>
          <w:tcPr>
            <w:tcW w:w="8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6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93.0</w:t>
            </w:r>
          </w:p>
        </w:tc>
      </w:tr>
      <w:tr>
        <w:trPr>
          <w:trHeight w:val="203"/>
        </w:trPr>
        <w:tc>
          <w:tcPr>
            <w:tcW w:w="3160" w:type="dxa"/>
            <w:vAlign w:val="bottom"/>
          </w:tcPr>
          <w:p>
            <w:pPr>
              <w:ind w:left="20"/>
              <w:spacing w:after="0" w:line="202" w:lineRule="exact"/>
              <w:rPr>
                <w:sz w:val="20"/>
                <w:szCs w:val="20"/>
                <w:color w:val="auto"/>
              </w:rPr>
            </w:pPr>
            <w:r>
              <w:rPr>
                <w:rFonts w:ascii="Arial" w:cs="Arial" w:eastAsia="Arial" w:hAnsi="Arial"/>
                <w:sz w:val="18"/>
                <w:szCs w:val="18"/>
                <w:color w:val="auto"/>
              </w:rPr>
              <w:t>Provision for income taxes</w:t>
            </w:r>
          </w:p>
        </w:tc>
        <w:tc>
          <w:tcPr>
            <w:tcW w:w="4640" w:type="dxa"/>
            <w:vAlign w:val="bottom"/>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44.4</w:t>
            </w:r>
          </w:p>
        </w:tc>
        <w:tc>
          <w:tcPr>
            <w:tcW w:w="80" w:type="dxa"/>
            <w:vAlign w:val="bottom"/>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31.0</w:t>
            </w:r>
          </w:p>
        </w:tc>
      </w:tr>
      <w:tr>
        <w:trPr>
          <w:trHeight w:val="236"/>
        </w:trPr>
        <w:tc>
          <w:tcPr>
            <w:tcW w:w="3160" w:type="dxa"/>
            <w:vAlign w:val="bottom"/>
            <w:tcBorders>
              <w:bottom w:val="single" w:sz="8" w:color="CFF0FC"/>
            </w:tcBorders>
            <w:shd w:val="clear" w:color="auto" w:fill="CFF0FC"/>
          </w:tcPr>
          <w:p>
            <w:pPr>
              <w:ind w:left="200"/>
              <w:spacing w:after="0" w:line="196" w:lineRule="exact"/>
              <w:rPr>
                <w:sz w:val="20"/>
                <w:szCs w:val="20"/>
                <w:color w:val="auto"/>
              </w:rPr>
            </w:pPr>
            <w:r>
              <w:rPr>
                <w:rFonts w:ascii="Arial" w:cs="Arial" w:eastAsia="Arial" w:hAnsi="Arial"/>
                <w:sz w:val="18"/>
                <w:szCs w:val="18"/>
                <w:color w:val="auto"/>
              </w:rPr>
              <w:t>Net earnings</w:t>
            </w:r>
          </w:p>
        </w:tc>
        <w:tc>
          <w:tcPr>
            <w:tcW w:w="4640" w:type="dxa"/>
            <w:vAlign w:val="bottom"/>
            <w:tcBorders>
              <w:bottom w:val="single" w:sz="8" w:color="CFF0FC"/>
            </w:tcBorders>
            <w:shd w:val="clear" w:color="auto" w:fill="CFF0FC"/>
          </w:tcPr>
          <w:p>
            <w:pPr>
              <w:spacing w:after="0"/>
              <w:rPr>
                <w:sz w:val="20"/>
                <w:szCs w:val="20"/>
                <w:color w:val="auto"/>
              </w:rPr>
            </w:pPr>
          </w:p>
        </w:tc>
        <w:tc>
          <w:tcPr>
            <w:tcW w:w="1020" w:type="dxa"/>
            <w:vAlign w:val="bottom"/>
            <w:tcBorders>
              <w:bottom w:val="single" w:sz="8" w:color="auto"/>
            </w:tcBorders>
            <w:shd w:val="clear" w:color="auto" w:fill="CFF0FC"/>
          </w:tcPr>
          <w:p>
            <w:pPr>
              <w:spacing w:after="0"/>
              <w:rPr>
                <w:sz w:val="20"/>
                <w:szCs w:val="20"/>
                <w:color w:val="auto"/>
              </w:rPr>
            </w:pPr>
          </w:p>
        </w:tc>
        <w:tc>
          <w:tcPr>
            <w:tcW w:w="6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91.6</w:t>
            </w:r>
          </w:p>
        </w:tc>
        <w:tc>
          <w:tcPr>
            <w:tcW w:w="80" w:type="dxa"/>
            <w:vAlign w:val="bottom"/>
            <w:tcBorders>
              <w:bottom w:val="single" w:sz="8" w:color="CFF0FC"/>
            </w:tcBorders>
            <w:shd w:val="clear" w:color="auto" w:fill="CFF0FC"/>
          </w:tcPr>
          <w:p>
            <w:pPr>
              <w:spacing w:after="0"/>
              <w:rPr>
                <w:sz w:val="20"/>
                <w:szCs w:val="20"/>
                <w:color w:val="auto"/>
              </w:rPr>
            </w:pPr>
          </w:p>
        </w:tc>
        <w:tc>
          <w:tcPr>
            <w:tcW w:w="1020" w:type="dxa"/>
            <w:vAlign w:val="bottom"/>
            <w:tcBorders>
              <w:bottom w:val="single" w:sz="8" w:color="auto"/>
            </w:tcBorders>
            <w:shd w:val="clear" w:color="auto" w:fill="CFF0FC"/>
          </w:tcPr>
          <w:p>
            <w:pPr>
              <w:jc w:val="right"/>
              <w:ind w:right="830"/>
              <w:spacing w:after="0" w:line="196" w:lineRule="exact"/>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62.0</w:t>
            </w:r>
          </w:p>
        </w:tc>
      </w:tr>
      <w:tr>
        <w:trPr>
          <w:trHeight w:val="183"/>
        </w:trPr>
        <w:tc>
          <w:tcPr>
            <w:tcW w:w="3160" w:type="dxa"/>
            <w:vAlign w:val="bottom"/>
          </w:tcPr>
          <w:p>
            <w:pPr>
              <w:ind w:left="20"/>
              <w:spacing w:after="0" w:line="183" w:lineRule="exact"/>
              <w:rPr>
                <w:sz w:val="20"/>
                <w:szCs w:val="20"/>
                <w:color w:val="auto"/>
              </w:rPr>
            </w:pPr>
            <w:r>
              <w:rPr>
                <w:rFonts w:ascii="Arial" w:cs="Arial" w:eastAsia="Arial" w:hAnsi="Arial"/>
                <w:sz w:val="18"/>
                <w:szCs w:val="18"/>
                <w:color w:val="auto"/>
              </w:rPr>
              <w:t>Net earnings per share – basic</w:t>
            </w:r>
          </w:p>
        </w:tc>
        <w:tc>
          <w:tcPr>
            <w:tcW w:w="5660" w:type="dxa"/>
            <w:vAlign w:val="bottom"/>
            <w:gridSpan w:val="2"/>
          </w:tcPr>
          <w:p>
            <w:pPr>
              <w:jc w:val="right"/>
              <w:ind w:right="830"/>
              <w:spacing w:after="0" w:line="183" w:lineRule="exact"/>
              <w:rPr>
                <w:sz w:val="20"/>
                <w:szCs w:val="20"/>
                <w:color w:val="auto"/>
              </w:rPr>
            </w:pPr>
            <w:r>
              <w:rPr>
                <w:rFonts w:ascii="Arial" w:cs="Arial" w:eastAsia="Arial" w:hAnsi="Arial"/>
                <w:sz w:val="18"/>
                <w:szCs w:val="18"/>
                <w:color w:val="auto"/>
              </w:rPr>
              <w:t>$</w:t>
            </w:r>
          </w:p>
        </w:tc>
        <w:tc>
          <w:tcPr>
            <w:tcW w:w="660" w:type="dxa"/>
            <w:vAlign w:val="bottom"/>
          </w:tcPr>
          <w:p>
            <w:pPr>
              <w:jc w:val="right"/>
              <w:spacing w:after="0" w:line="183" w:lineRule="exact"/>
              <w:rPr>
                <w:sz w:val="20"/>
                <w:szCs w:val="20"/>
                <w:color w:val="auto"/>
              </w:rPr>
            </w:pPr>
            <w:r>
              <w:rPr>
                <w:rFonts w:ascii="Arial" w:cs="Arial" w:eastAsia="Arial" w:hAnsi="Arial"/>
                <w:sz w:val="18"/>
                <w:szCs w:val="18"/>
                <w:color w:val="auto"/>
              </w:rPr>
              <w:t>1.71</w:t>
            </w:r>
          </w:p>
        </w:tc>
        <w:tc>
          <w:tcPr>
            <w:tcW w:w="1100" w:type="dxa"/>
            <w:vAlign w:val="bottom"/>
            <w:gridSpan w:val="2"/>
          </w:tcPr>
          <w:p>
            <w:pPr>
              <w:jc w:val="right"/>
              <w:ind w:right="830"/>
              <w:spacing w:after="0" w:line="183" w:lineRule="exact"/>
              <w:rPr>
                <w:sz w:val="20"/>
                <w:szCs w:val="20"/>
                <w:color w:val="auto"/>
              </w:rPr>
            </w:pPr>
            <w:r>
              <w:rPr>
                <w:rFonts w:ascii="Arial" w:cs="Arial" w:eastAsia="Arial" w:hAnsi="Arial"/>
                <w:sz w:val="18"/>
                <w:szCs w:val="18"/>
                <w:color w:val="auto"/>
              </w:rPr>
              <w:t>$</w:t>
            </w:r>
          </w:p>
        </w:tc>
        <w:tc>
          <w:tcPr>
            <w:tcW w:w="660" w:type="dxa"/>
            <w:vAlign w:val="bottom"/>
          </w:tcPr>
          <w:p>
            <w:pPr>
              <w:jc w:val="right"/>
              <w:spacing w:after="0" w:line="183" w:lineRule="exact"/>
              <w:rPr>
                <w:sz w:val="20"/>
                <w:szCs w:val="20"/>
                <w:color w:val="auto"/>
              </w:rPr>
            </w:pPr>
            <w:r>
              <w:rPr>
                <w:rFonts w:ascii="Arial" w:cs="Arial" w:eastAsia="Arial" w:hAnsi="Arial"/>
                <w:sz w:val="18"/>
                <w:szCs w:val="18"/>
                <w:color w:val="auto"/>
              </w:rPr>
              <w:t>1.12</w:t>
            </w:r>
          </w:p>
        </w:tc>
      </w:tr>
      <w:tr>
        <w:trPr>
          <w:trHeight w:val="20"/>
        </w:trPr>
        <w:tc>
          <w:tcPr>
            <w:tcW w:w="316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r>
      <w:tr>
        <w:trPr>
          <w:trHeight w:val="223"/>
        </w:trPr>
        <w:tc>
          <w:tcPr>
            <w:tcW w:w="3160" w:type="dxa"/>
            <w:vAlign w:val="bottom"/>
            <w:tcBorders>
              <w:bottom w:val="single" w:sz="8" w:color="CFF0FC"/>
            </w:tcBorders>
            <w:shd w:val="clear" w:color="auto" w:fill="CFF0FC"/>
          </w:tcPr>
          <w:p>
            <w:pPr>
              <w:ind w:left="20"/>
              <w:spacing w:after="0" w:line="183" w:lineRule="exact"/>
              <w:rPr>
                <w:sz w:val="20"/>
                <w:szCs w:val="20"/>
                <w:color w:val="auto"/>
              </w:rPr>
            </w:pPr>
            <w:r>
              <w:rPr>
                <w:rFonts w:ascii="Arial" w:cs="Arial" w:eastAsia="Arial" w:hAnsi="Arial"/>
                <w:sz w:val="18"/>
                <w:szCs w:val="18"/>
                <w:color w:val="auto"/>
              </w:rPr>
              <w:t>Net earnings per share – diluted</w:t>
            </w:r>
          </w:p>
        </w:tc>
        <w:tc>
          <w:tcPr>
            <w:tcW w:w="4640" w:type="dxa"/>
            <w:vAlign w:val="bottom"/>
            <w:tcBorders>
              <w:bottom w:val="single" w:sz="8" w:color="CFF0FC"/>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ind w:right="830"/>
              <w:spacing w:after="0" w:line="183" w:lineRule="exact"/>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8"/>
                <w:szCs w:val="18"/>
                <w:color w:val="auto"/>
              </w:rPr>
              <w:t>1.68</w:t>
            </w:r>
          </w:p>
        </w:tc>
        <w:tc>
          <w:tcPr>
            <w:tcW w:w="80" w:type="dxa"/>
            <w:vAlign w:val="bottom"/>
            <w:tcBorders>
              <w:bottom w:val="single" w:sz="8" w:color="CFF0FC"/>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ind w:right="830"/>
              <w:spacing w:after="0" w:line="183" w:lineRule="exact"/>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8"/>
                <w:szCs w:val="18"/>
                <w:color w:val="auto"/>
              </w:rPr>
              <w:t>1.11</w:t>
            </w:r>
          </w:p>
        </w:tc>
      </w:tr>
      <w:tr>
        <w:trPr>
          <w:trHeight w:val="183"/>
        </w:trPr>
        <w:tc>
          <w:tcPr>
            <w:tcW w:w="3160" w:type="dxa"/>
            <w:vAlign w:val="bottom"/>
          </w:tcPr>
          <w:p>
            <w:pPr>
              <w:ind w:left="20"/>
              <w:spacing w:after="0" w:line="183" w:lineRule="exact"/>
              <w:rPr>
                <w:sz w:val="20"/>
                <w:szCs w:val="20"/>
                <w:color w:val="auto"/>
              </w:rPr>
            </w:pPr>
            <w:r>
              <w:rPr>
                <w:rFonts w:ascii="Arial" w:cs="Arial" w:eastAsia="Arial" w:hAnsi="Arial"/>
                <w:sz w:val="18"/>
                <w:szCs w:val="18"/>
                <w:color w:val="auto"/>
              </w:rPr>
              <w:t>Weighted average shares – basic</w:t>
            </w:r>
          </w:p>
        </w:tc>
        <w:tc>
          <w:tcPr>
            <w:tcW w:w="4640" w:type="dxa"/>
            <w:vAlign w:val="bottom"/>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8"/>
                <w:szCs w:val="18"/>
                <w:color w:val="auto"/>
              </w:rPr>
              <w:t>53.6</w:t>
            </w:r>
          </w:p>
        </w:tc>
        <w:tc>
          <w:tcPr>
            <w:tcW w:w="80" w:type="dxa"/>
            <w:vAlign w:val="bottom"/>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8"/>
                <w:szCs w:val="18"/>
                <w:color w:val="auto"/>
              </w:rPr>
              <w:t>55.1</w:t>
            </w:r>
          </w:p>
        </w:tc>
      </w:tr>
      <w:tr>
        <w:trPr>
          <w:trHeight w:val="20"/>
        </w:trPr>
        <w:tc>
          <w:tcPr>
            <w:tcW w:w="316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r>
        <w:trPr>
          <w:trHeight w:val="223"/>
        </w:trPr>
        <w:tc>
          <w:tcPr>
            <w:tcW w:w="3160" w:type="dxa"/>
            <w:vAlign w:val="bottom"/>
            <w:tcBorders>
              <w:bottom w:val="single" w:sz="8" w:color="CFF0FC"/>
            </w:tcBorders>
            <w:shd w:val="clear" w:color="auto" w:fill="CFF0FC"/>
          </w:tcPr>
          <w:p>
            <w:pPr>
              <w:ind w:left="20"/>
              <w:spacing w:after="0" w:line="183" w:lineRule="exact"/>
              <w:rPr>
                <w:sz w:val="20"/>
                <w:szCs w:val="20"/>
                <w:color w:val="auto"/>
              </w:rPr>
            </w:pPr>
            <w:r>
              <w:rPr>
                <w:rFonts w:ascii="Arial" w:cs="Arial" w:eastAsia="Arial" w:hAnsi="Arial"/>
                <w:sz w:val="18"/>
                <w:szCs w:val="18"/>
                <w:color w:val="auto"/>
              </w:rPr>
              <w:t>Weighted average shares – diluted</w:t>
            </w:r>
          </w:p>
        </w:tc>
        <w:tc>
          <w:tcPr>
            <w:tcW w:w="4640" w:type="dxa"/>
            <w:vAlign w:val="bottom"/>
            <w:tcBorders>
              <w:bottom w:val="single" w:sz="8" w:color="CFF0FC"/>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8"/>
                <w:szCs w:val="18"/>
                <w:color w:val="auto"/>
              </w:rPr>
              <w:t>54.4</w:t>
            </w:r>
          </w:p>
        </w:tc>
        <w:tc>
          <w:tcPr>
            <w:tcW w:w="80" w:type="dxa"/>
            <w:vAlign w:val="bottom"/>
            <w:tcBorders>
              <w:bottom w:val="single" w:sz="8" w:color="CFF0FC"/>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8"/>
                <w:szCs w:val="18"/>
                <w:color w:val="auto"/>
              </w:rPr>
              <w:t>55.7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6014085</wp:posOffset>
            </wp:positionH>
            <wp:positionV relativeFrom="paragraph">
              <wp:posOffset>-642620</wp:posOffset>
            </wp:positionV>
            <wp:extent cx="6032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-625475</wp:posOffset>
            </wp:positionV>
            <wp:extent cx="6032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-334010</wp:posOffset>
            </wp:positionV>
            <wp:extent cx="6032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-316230</wp:posOffset>
            </wp:positionV>
            <wp:extent cx="6032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-25400</wp:posOffset>
            </wp:positionV>
            <wp:extent cx="6032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-7620</wp:posOffset>
            </wp:positionV>
            <wp:extent cx="6032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to Consolidated Financial Statements are an integral part of these statements.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560" w:type="dxa"/>
            <w:vAlign w:val="bottom"/>
          </w:tcPr>
          <w:p>
            <w:pPr>
              <w:jc w:val="center"/>
              <w:ind w:left="3590"/>
              <w:spacing w:after="0"/>
              <w:rPr>
                <w:sz w:val="20"/>
                <w:szCs w:val="20"/>
                <w:color w:val="auto"/>
              </w:rPr>
            </w:pPr>
            <w:r>
              <w:rPr>
                <w:rFonts w:ascii="Arial" w:cs="Arial" w:eastAsia="Arial" w:hAnsi="Arial"/>
                <w:sz w:val="18"/>
                <w:szCs w:val="18"/>
                <w:b w:val="1"/>
                <w:bCs w:val="1"/>
                <w:color w:val="auto"/>
                <w:w w:val="93"/>
              </w:rPr>
              <w:t>ManpowerGroup Inc.</w:t>
            </w:r>
          </w:p>
        </w:tc>
        <w:tc>
          <w:tcPr>
            <w:tcW w:w="1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740" w:type="dxa"/>
            <w:vAlign w:val="bottom"/>
            <w:gridSpan w:val="2"/>
          </w:tcPr>
          <w:p>
            <w:pPr>
              <w:jc w:val="center"/>
              <w:ind w:left="2410"/>
              <w:spacing w:after="0"/>
              <w:rPr>
                <w:sz w:val="20"/>
                <w:szCs w:val="20"/>
                <w:color w:val="auto"/>
              </w:rPr>
            </w:pPr>
            <w:r>
              <w:rPr>
                <w:rFonts w:ascii="Arial" w:cs="Arial" w:eastAsia="Arial" w:hAnsi="Arial"/>
                <w:sz w:val="18"/>
                <w:szCs w:val="18"/>
                <w:b w:val="1"/>
                <w:bCs w:val="1"/>
                <w:color w:val="auto"/>
                <w:w w:val="89"/>
              </w:rPr>
              <w:t>Consolidated Statements of Comprehensive Income (Loss) (Unaudited)</w:t>
            </w: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7560" w:type="dxa"/>
            <w:vAlign w:val="bottom"/>
          </w:tcPr>
          <w:p>
            <w:pPr>
              <w:jc w:val="center"/>
              <w:ind w:left="3590"/>
              <w:spacing w:after="0"/>
              <w:rPr>
                <w:sz w:val="20"/>
                <w:szCs w:val="20"/>
                <w:color w:val="auto"/>
              </w:rPr>
            </w:pPr>
            <w:r>
              <w:rPr>
                <w:rFonts w:ascii="Arial" w:cs="Arial" w:eastAsia="Arial" w:hAnsi="Arial"/>
                <w:sz w:val="18"/>
                <w:szCs w:val="18"/>
                <w:b w:val="1"/>
                <w:bCs w:val="1"/>
                <w:color w:val="auto"/>
                <w:w w:val="91"/>
              </w:rPr>
              <w:t>(in millions)</w:t>
            </w:r>
          </w:p>
        </w:tc>
        <w:tc>
          <w:tcPr>
            <w:tcW w:w="11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60"/>
        </w:trPr>
        <w:tc>
          <w:tcPr>
            <w:tcW w:w="7560" w:type="dxa"/>
            <w:vAlign w:val="bottom"/>
          </w:tcPr>
          <w:p>
            <w:pPr>
              <w:spacing w:after="0"/>
              <w:rPr>
                <w:sz w:val="24"/>
                <w:szCs w:val="24"/>
                <w:color w:val="auto"/>
              </w:rPr>
            </w:pPr>
          </w:p>
        </w:tc>
        <w:tc>
          <w:tcPr>
            <w:tcW w:w="3060" w:type="dxa"/>
            <w:vAlign w:val="bottom"/>
            <w:gridSpan w:val="4"/>
          </w:tcPr>
          <w:p>
            <w:pPr>
              <w:jc w:val="right"/>
              <w:ind w:right="350"/>
              <w:spacing w:after="0"/>
              <w:rPr>
                <w:sz w:val="20"/>
                <w:szCs w:val="20"/>
                <w:color w:val="auto"/>
              </w:rPr>
            </w:pPr>
            <w:r>
              <w:rPr>
                <w:rFonts w:ascii="Arial" w:cs="Arial" w:eastAsia="Arial" w:hAnsi="Arial"/>
                <w:sz w:val="18"/>
                <w:szCs w:val="18"/>
                <w:b w:val="1"/>
                <w:bCs w:val="1"/>
                <w:color w:val="auto"/>
              </w:rPr>
              <w:t>Three Months Ended</w:t>
            </w: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7560" w:type="dxa"/>
            <w:vAlign w:val="bottom"/>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gridSpan w:val="3"/>
          </w:tcPr>
          <w:p>
            <w:pPr>
              <w:jc w:val="right"/>
              <w:ind w:right="790"/>
              <w:spacing w:after="0"/>
              <w:rPr>
                <w:sz w:val="20"/>
                <w:szCs w:val="20"/>
                <w:color w:val="auto"/>
              </w:rPr>
            </w:pPr>
            <w:r>
              <w:rPr>
                <w:rFonts w:ascii="Arial" w:cs="Arial" w:eastAsia="Arial" w:hAnsi="Arial"/>
                <w:sz w:val="18"/>
                <w:szCs w:val="18"/>
                <w:b w:val="1"/>
                <w:bCs w:val="1"/>
                <w:color w:val="auto"/>
              </w:rPr>
              <w:t>March 31,</w:t>
            </w:r>
          </w:p>
        </w:tc>
        <w:tc>
          <w:tcPr>
            <w:tcW w:w="6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7560" w:type="dxa"/>
            <w:vAlign w:val="bottom"/>
          </w:tcPr>
          <w:p>
            <w:pPr>
              <w:spacing w:after="0"/>
              <w:rPr>
                <w:sz w:val="17"/>
                <w:szCs w:val="17"/>
                <w:color w:val="auto"/>
              </w:rPr>
            </w:pPr>
          </w:p>
        </w:tc>
        <w:tc>
          <w:tcPr>
            <w:tcW w:w="1180" w:type="dxa"/>
            <w:vAlign w:val="bottom"/>
          </w:tcPr>
          <w:p>
            <w:pPr>
              <w:jc w:val="right"/>
              <w:ind w:right="50"/>
              <w:spacing w:after="0" w:line="196" w:lineRule="exact"/>
              <w:rPr>
                <w:sz w:val="20"/>
                <w:szCs w:val="20"/>
                <w:color w:val="auto"/>
              </w:rPr>
            </w:pPr>
            <w:r>
              <w:rPr>
                <w:rFonts w:ascii="Arial" w:cs="Arial" w:eastAsia="Arial" w:hAnsi="Arial"/>
                <w:sz w:val="18"/>
                <w:szCs w:val="18"/>
                <w:b w:val="1"/>
                <w:bCs w:val="1"/>
                <w:color w:val="auto"/>
              </w:rPr>
              <w:t>2022</w:t>
            </w:r>
          </w:p>
        </w:tc>
        <w:tc>
          <w:tcPr>
            <w:tcW w:w="600" w:type="dxa"/>
            <w:vAlign w:val="bottom"/>
          </w:tcPr>
          <w:p>
            <w:pPr>
              <w:spacing w:after="0"/>
              <w:rPr>
                <w:sz w:val="17"/>
                <w:szCs w:val="17"/>
                <w:color w:val="auto"/>
              </w:rPr>
            </w:pPr>
          </w:p>
        </w:tc>
        <w:tc>
          <w:tcPr>
            <w:tcW w:w="1280" w:type="dxa"/>
            <w:vAlign w:val="bottom"/>
            <w:gridSpan w:val="2"/>
          </w:tcPr>
          <w:p>
            <w:pPr>
              <w:jc w:val="right"/>
              <w:ind w:right="50"/>
              <w:spacing w:after="0" w:line="196" w:lineRule="exact"/>
              <w:rPr>
                <w:sz w:val="20"/>
                <w:szCs w:val="20"/>
                <w:color w:val="auto"/>
              </w:rPr>
            </w:pPr>
            <w:r>
              <w:rPr>
                <w:rFonts w:ascii="Arial" w:cs="Arial" w:eastAsia="Arial" w:hAnsi="Arial"/>
                <w:sz w:val="18"/>
                <w:szCs w:val="18"/>
                <w:b w:val="1"/>
                <w:bCs w:val="1"/>
                <w:color w:val="auto"/>
              </w:rPr>
              <w:t>2021</w:t>
            </w: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56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Net earnings</w:t>
            </w:r>
          </w:p>
        </w:tc>
        <w:tc>
          <w:tcPr>
            <w:tcW w:w="1180" w:type="dxa"/>
            <w:vAlign w:val="bottom"/>
            <w:tcBorders>
              <w:top w:val="single" w:sz="8" w:color="auto"/>
            </w:tcBorders>
            <w:shd w:val="clear" w:color="auto" w:fill="CFF0FC"/>
          </w:tcPr>
          <w:p>
            <w:pPr>
              <w:jc w:val="right"/>
              <w:ind w:right="990"/>
              <w:spacing w:after="0" w:line="196" w:lineRule="exact"/>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91.6</w:t>
            </w:r>
          </w:p>
        </w:tc>
        <w:tc>
          <w:tcPr>
            <w:tcW w:w="120" w:type="dxa"/>
            <w:vAlign w:val="bottom"/>
            <w:shd w:val="clear" w:color="auto" w:fill="CFF0FC"/>
          </w:tcPr>
          <w:p>
            <w:pPr>
              <w:spacing w:after="0"/>
              <w:rPr>
                <w:sz w:val="17"/>
                <w:szCs w:val="17"/>
                <w:color w:val="auto"/>
              </w:rPr>
            </w:pPr>
          </w:p>
        </w:tc>
        <w:tc>
          <w:tcPr>
            <w:tcW w:w="1160" w:type="dxa"/>
            <w:vAlign w:val="bottom"/>
            <w:tcBorders>
              <w:top w:val="single" w:sz="8" w:color="auto"/>
            </w:tcBorders>
            <w:shd w:val="clear" w:color="auto" w:fill="CFF0FC"/>
          </w:tcPr>
          <w:p>
            <w:pPr>
              <w:jc w:val="right"/>
              <w:ind w:right="970"/>
              <w:spacing w:after="0" w:line="196" w:lineRule="exact"/>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rPr>
              <w:t>62.0</w:t>
            </w:r>
          </w:p>
        </w:tc>
        <w:tc>
          <w:tcPr>
            <w:tcW w:w="0" w:type="dxa"/>
            <w:vAlign w:val="bottom"/>
          </w:tcPr>
          <w:p>
            <w:pPr>
              <w:spacing w:after="0"/>
              <w:rPr>
                <w:sz w:val="1"/>
                <w:szCs w:val="1"/>
                <w:color w:val="auto"/>
              </w:rPr>
            </w:pPr>
          </w:p>
        </w:tc>
      </w:tr>
      <w:tr>
        <w:trPr>
          <w:trHeight w:val="203"/>
        </w:trPr>
        <w:tc>
          <w:tcPr>
            <w:tcW w:w="7560" w:type="dxa"/>
            <w:vAlign w:val="bottom"/>
          </w:tcPr>
          <w:p>
            <w:pPr>
              <w:ind w:left="20"/>
              <w:spacing w:after="0" w:line="202" w:lineRule="exact"/>
              <w:rPr>
                <w:sz w:val="20"/>
                <w:szCs w:val="20"/>
                <w:color w:val="auto"/>
              </w:rPr>
            </w:pPr>
            <w:r>
              <w:rPr>
                <w:rFonts w:ascii="Arial" w:cs="Arial" w:eastAsia="Arial" w:hAnsi="Arial"/>
                <w:sz w:val="18"/>
                <w:szCs w:val="18"/>
                <w:color w:val="auto"/>
              </w:rPr>
              <w:t>Other comprehensive loss:</w:t>
            </w:r>
          </w:p>
        </w:tc>
        <w:tc>
          <w:tcPr>
            <w:tcW w:w="1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56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Foreign currency translation adjustments</w:t>
            </w:r>
          </w:p>
        </w:tc>
        <w:tc>
          <w:tcPr>
            <w:tcW w:w="118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(35.9 )</w:t>
            </w:r>
          </w:p>
        </w:tc>
        <w:tc>
          <w:tcPr>
            <w:tcW w:w="12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(96.5 )</w:t>
            </w:r>
          </w:p>
        </w:tc>
        <w:tc>
          <w:tcPr>
            <w:tcW w:w="0" w:type="dxa"/>
            <w:vAlign w:val="bottom"/>
          </w:tcPr>
          <w:p>
            <w:pPr>
              <w:spacing w:after="0"/>
              <w:rPr>
                <w:sz w:val="1"/>
                <w:szCs w:val="1"/>
                <w:color w:val="auto"/>
              </w:rPr>
            </w:pPr>
          </w:p>
        </w:tc>
      </w:tr>
      <w:tr>
        <w:trPr>
          <w:trHeight w:val="162"/>
        </w:trPr>
        <w:tc>
          <w:tcPr>
            <w:tcW w:w="7560" w:type="dxa"/>
            <w:vAlign w:val="bottom"/>
          </w:tcPr>
          <w:p>
            <w:pPr>
              <w:ind w:left="200"/>
              <w:spacing w:after="0" w:line="162" w:lineRule="exact"/>
              <w:rPr>
                <w:sz w:val="20"/>
                <w:szCs w:val="20"/>
                <w:color w:val="auto"/>
              </w:rPr>
            </w:pPr>
            <w:r>
              <w:rPr>
                <w:rFonts w:ascii="Arial" w:cs="Arial" w:eastAsia="Arial" w:hAnsi="Arial"/>
                <w:sz w:val="18"/>
                <w:szCs w:val="18"/>
                <w:color w:val="auto"/>
              </w:rPr>
              <w:t>Translation adjustments on derivative instruments, net of income taxes of $6.6 and $14.4,</w:t>
            </w:r>
          </w:p>
        </w:tc>
        <w:tc>
          <w:tcPr>
            <w:tcW w:w="1180" w:type="dxa"/>
            <w:vAlign w:val="bottom"/>
          </w:tcPr>
          <w:p>
            <w:pPr>
              <w:spacing w:after="0"/>
              <w:rPr>
                <w:sz w:val="14"/>
                <w:szCs w:val="14"/>
                <w:color w:val="auto"/>
              </w:rPr>
            </w:pPr>
          </w:p>
        </w:tc>
        <w:tc>
          <w:tcPr>
            <w:tcW w:w="600" w:type="dxa"/>
            <w:vAlign w:val="bottom"/>
            <w:vMerge w:val="restart"/>
          </w:tcPr>
          <w:p>
            <w:pPr>
              <w:jc w:val="right"/>
              <w:spacing w:after="0"/>
              <w:rPr>
                <w:sz w:val="20"/>
                <w:szCs w:val="20"/>
                <w:color w:val="auto"/>
              </w:rPr>
            </w:pPr>
            <w:r>
              <w:rPr>
                <w:rFonts w:ascii="Arial" w:cs="Arial" w:eastAsia="Arial" w:hAnsi="Arial"/>
                <w:sz w:val="18"/>
                <w:szCs w:val="18"/>
                <w:color w:val="auto"/>
              </w:rPr>
              <w:t>22.9</w:t>
            </w: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20" w:type="dxa"/>
            <w:vAlign w:val="bottom"/>
            <w:vMerge w:val="restart"/>
          </w:tcPr>
          <w:p>
            <w:pPr>
              <w:jc w:val="right"/>
              <w:ind w:right="10"/>
              <w:spacing w:after="0"/>
              <w:rPr>
                <w:sz w:val="20"/>
                <w:szCs w:val="20"/>
                <w:color w:val="auto"/>
              </w:rPr>
            </w:pPr>
            <w:r>
              <w:rPr>
                <w:rFonts w:ascii="Arial" w:cs="Arial" w:eastAsia="Arial" w:hAnsi="Arial"/>
                <w:sz w:val="18"/>
                <w:szCs w:val="18"/>
                <w:color w:val="auto"/>
              </w:rPr>
              <w:t>49.6</w:t>
            </w:r>
          </w:p>
        </w:tc>
        <w:tc>
          <w:tcPr>
            <w:tcW w:w="0" w:type="dxa"/>
            <w:vAlign w:val="bottom"/>
          </w:tcPr>
          <w:p>
            <w:pPr>
              <w:spacing w:after="0"/>
              <w:rPr>
                <w:sz w:val="1"/>
                <w:szCs w:val="1"/>
                <w:color w:val="auto"/>
              </w:rPr>
            </w:pPr>
          </w:p>
        </w:tc>
      </w:tr>
      <w:tr>
        <w:trPr>
          <w:trHeight w:val="216"/>
        </w:trPr>
        <w:tc>
          <w:tcPr>
            <w:tcW w:w="7560" w:type="dxa"/>
            <w:vAlign w:val="bottom"/>
          </w:tcPr>
          <w:p>
            <w:pPr>
              <w:ind w:left="200"/>
              <w:spacing w:after="0"/>
              <w:rPr>
                <w:sz w:val="20"/>
                <w:szCs w:val="20"/>
                <w:color w:val="auto"/>
              </w:rPr>
            </w:pPr>
            <w:r>
              <w:rPr>
                <w:rFonts w:ascii="Arial" w:cs="Arial" w:eastAsia="Arial" w:hAnsi="Arial"/>
                <w:sz w:val="18"/>
                <w:szCs w:val="18"/>
                <w:color w:val="auto"/>
              </w:rPr>
              <w:t>respectively</w:t>
            </w:r>
          </w:p>
        </w:tc>
        <w:tc>
          <w:tcPr>
            <w:tcW w:w="1180" w:type="dxa"/>
            <w:vAlign w:val="bottom"/>
          </w:tcPr>
          <w:p>
            <w:pPr>
              <w:spacing w:after="0"/>
              <w:rPr>
                <w:sz w:val="18"/>
                <w:szCs w:val="18"/>
                <w:color w:val="auto"/>
              </w:rPr>
            </w:pPr>
          </w:p>
        </w:tc>
        <w:tc>
          <w:tcPr>
            <w:tcW w:w="6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56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Translation adjustments of long-term intercompany loans</w:t>
            </w:r>
          </w:p>
        </w:tc>
        <w:tc>
          <w:tcPr>
            <w:tcW w:w="118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2.5</w:t>
            </w:r>
          </w:p>
        </w:tc>
        <w:tc>
          <w:tcPr>
            <w:tcW w:w="12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620" w:type="dxa"/>
            <w:vAlign w:val="bottom"/>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162"/>
        </w:trPr>
        <w:tc>
          <w:tcPr>
            <w:tcW w:w="7560" w:type="dxa"/>
            <w:vAlign w:val="bottom"/>
          </w:tcPr>
          <w:p>
            <w:pPr>
              <w:ind w:left="200"/>
              <w:spacing w:after="0" w:line="162" w:lineRule="exact"/>
              <w:rPr>
                <w:sz w:val="20"/>
                <w:szCs w:val="20"/>
                <w:color w:val="auto"/>
              </w:rPr>
            </w:pPr>
            <w:r>
              <w:rPr>
                <w:rFonts w:ascii="Arial" w:cs="Arial" w:eastAsia="Arial" w:hAnsi="Arial"/>
                <w:sz w:val="18"/>
                <w:szCs w:val="18"/>
                <w:color w:val="auto"/>
                <w:w w:val="95"/>
              </w:rPr>
              <w:t>Defined benefit pension plans and retiree health care plan, net of income taxes of $0.1 and $0.3,</w:t>
            </w:r>
          </w:p>
        </w:tc>
        <w:tc>
          <w:tcPr>
            <w:tcW w:w="1180" w:type="dxa"/>
            <w:vAlign w:val="bottom"/>
          </w:tcPr>
          <w:p>
            <w:pPr>
              <w:spacing w:after="0"/>
              <w:rPr>
                <w:sz w:val="14"/>
                <w:szCs w:val="14"/>
                <w:color w:val="auto"/>
              </w:rPr>
            </w:pPr>
          </w:p>
        </w:tc>
        <w:tc>
          <w:tcPr>
            <w:tcW w:w="600" w:type="dxa"/>
            <w:vAlign w:val="bottom"/>
            <w:vMerge w:val="restart"/>
          </w:tcPr>
          <w:p>
            <w:pPr>
              <w:jc w:val="right"/>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20" w:type="dxa"/>
            <w:vAlign w:val="bottom"/>
            <w:vMerge w:val="restart"/>
          </w:tcPr>
          <w:p>
            <w:pPr>
              <w:jc w:val="right"/>
              <w:ind w:right="1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03"/>
        </w:trPr>
        <w:tc>
          <w:tcPr>
            <w:tcW w:w="7560" w:type="dxa"/>
            <w:vAlign w:val="bottom"/>
          </w:tcPr>
          <w:p>
            <w:pPr>
              <w:ind w:left="200"/>
              <w:spacing w:after="0" w:line="202" w:lineRule="exact"/>
              <w:rPr>
                <w:sz w:val="20"/>
                <w:szCs w:val="20"/>
                <w:color w:val="auto"/>
              </w:rPr>
            </w:pPr>
            <w:r>
              <w:rPr>
                <w:rFonts w:ascii="Arial" w:cs="Arial" w:eastAsia="Arial" w:hAnsi="Arial"/>
                <w:sz w:val="18"/>
                <w:szCs w:val="18"/>
                <w:color w:val="auto"/>
              </w:rPr>
              <w:t>respectively</w:t>
            </w:r>
          </w:p>
        </w:tc>
        <w:tc>
          <w:tcPr>
            <w:tcW w:w="11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56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Total other comprehensive loss</w:t>
            </w:r>
          </w:p>
        </w:tc>
        <w:tc>
          <w:tcPr>
            <w:tcW w:w="1180" w:type="dxa"/>
            <w:vAlign w:val="bottom"/>
            <w:tcBorders>
              <w:bottom w:val="single" w:sz="8" w:color="auto"/>
            </w:tcBorders>
            <w:shd w:val="clear" w:color="auto" w:fill="CFF0FC"/>
          </w:tcPr>
          <w:p>
            <w:pPr>
              <w:spacing w:after="0"/>
              <w:rPr>
                <w:sz w:val="17"/>
                <w:szCs w:val="17"/>
                <w:color w:val="auto"/>
              </w:rPr>
            </w:pPr>
          </w:p>
        </w:tc>
        <w:tc>
          <w:tcPr>
            <w:tcW w:w="6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(10.2 )</w:t>
            </w:r>
          </w:p>
        </w:tc>
        <w:tc>
          <w:tcPr>
            <w:tcW w:w="120" w:type="dxa"/>
            <w:vAlign w:val="bottom"/>
            <w:tcBorders>
              <w:bottom w:val="single" w:sz="8" w:color="CFF0FC"/>
            </w:tcBorders>
            <w:shd w:val="clear" w:color="auto" w:fill="CFF0FC"/>
          </w:tcPr>
          <w:p>
            <w:pPr>
              <w:spacing w:after="0"/>
              <w:rPr>
                <w:sz w:val="17"/>
                <w:szCs w:val="17"/>
                <w:color w:val="auto"/>
              </w:rPr>
            </w:pPr>
          </w:p>
        </w:tc>
        <w:tc>
          <w:tcPr>
            <w:tcW w:w="1160" w:type="dxa"/>
            <w:vAlign w:val="bottom"/>
            <w:tcBorders>
              <w:bottom w:val="single" w:sz="8" w:color="auto"/>
            </w:tcBorders>
            <w:shd w:val="clear" w:color="auto" w:fill="CFF0FC"/>
          </w:tcPr>
          <w:p>
            <w:pPr>
              <w:spacing w:after="0"/>
              <w:rPr>
                <w:sz w:val="17"/>
                <w:szCs w:val="17"/>
                <w:color w:val="auto"/>
              </w:rPr>
            </w:pPr>
          </w:p>
        </w:tc>
        <w:tc>
          <w:tcPr>
            <w:tcW w:w="6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(40.5 )</w:t>
            </w:r>
          </w:p>
        </w:tc>
        <w:tc>
          <w:tcPr>
            <w:tcW w:w="0" w:type="dxa"/>
            <w:vAlign w:val="bottom"/>
          </w:tcPr>
          <w:p>
            <w:pPr>
              <w:spacing w:after="0"/>
              <w:rPr>
                <w:sz w:val="1"/>
                <w:szCs w:val="1"/>
                <w:color w:val="auto"/>
              </w:rPr>
            </w:pPr>
          </w:p>
        </w:tc>
      </w:tr>
      <w:tr>
        <w:trPr>
          <w:trHeight w:val="196"/>
        </w:trPr>
        <w:tc>
          <w:tcPr>
            <w:tcW w:w="7560" w:type="dxa"/>
            <w:vAlign w:val="bottom"/>
          </w:tcPr>
          <w:p>
            <w:pPr>
              <w:ind w:left="20"/>
              <w:spacing w:after="0" w:line="196" w:lineRule="exact"/>
              <w:rPr>
                <w:sz w:val="20"/>
                <w:szCs w:val="20"/>
                <w:color w:val="auto"/>
              </w:rPr>
            </w:pPr>
            <w:r>
              <w:rPr>
                <w:rFonts w:ascii="Arial" w:cs="Arial" w:eastAsia="Arial" w:hAnsi="Arial"/>
                <w:sz w:val="18"/>
                <w:szCs w:val="18"/>
                <w:color w:val="auto"/>
              </w:rPr>
              <w:t>Comprehensive income</w:t>
            </w:r>
          </w:p>
        </w:tc>
        <w:tc>
          <w:tcPr>
            <w:tcW w:w="1180" w:type="dxa"/>
            <w:vAlign w:val="bottom"/>
          </w:tcPr>
          <w:p>
            <w:pPr>
              <w:jc w:val="right"/>
              <w:ind w:right="990"/>
              <w:spacing w:after="0" w:line="196" w:lineRule="exact"/>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line="196" w:lineRule="exact"/>
              <w:rPr>
                <w:sz w:val="20"/>
                <w:szCs w:val="20"/>
                <w:color w:val="auto"/>
              </w:rPr>
            </w:pPr>
            <w:r>
              <w:rPr>
                <w:rFonts w:ascii="Arial" w:cs="Arial" w:eastAsia="Arial" w:hAnsi="Arial"/>
                <w:sz w:val="18"/>
                <w:szCs w:val="18"/>
                <w:color w:val="auto"/>
              </w:rPr>
              <w:t>81.4</w:t>
            </w:r>
          </w:p>
        </w:tc>
        <w:tc>
          <w:tcPr>
            <w:tcW w:w="1280" w:type="dxa"/>
            <w:vAlign w:val="bottom"/>
            <w:gridSpan w:val="2"/>
          </w:tcPr>
          <w:p>
            <w:pPr>
              <w:jc w:val="right"/>
              <w:ind w:right="970"/>
              <w:spacing w:after="0" w:line="196" w:lineRule="exact"/>
              <w:rPr>
                <w:sz w:val="20"/>
                <w:szCs w:val="20"/>
                <w:color w:val="auto"/>
              </w:rPr>
            </w:pPr>
            <w:r>
              <w:rPr>
                <w:rFonts w:ascii="Arial" w:cs="Arial" w:eastAsia="Arial" w:hAnsi="Arial"/>
                <w:sz w:val="18"/>
                <w:szCs w:val="18"/>
                <w:color w:val="auto"/>
              </w:rPr>
              <w:t>$</w:t>
            </w:r>
          </w:p>
        </w:tc>
        <w:tc>
          <w:tcPr>
            <w:tcW w:w="620" w:type="dxa"/>
            <w:vAlign w:val="bottom"/>
          </w:tcPr>
          <w:p>
            <w:pPr>
              <w:jc w:val="right"/>
              <w:ind w:right="10"/>
              <w:spacing w:after="0" w:line="196" w:lineRule="exact"/>
              <w:rPr>
                <w:sz w:val="20"/>
                <w:szCs w:val="20"/>
                <w:color w:val="auto"/>
              </w:rPr>
            </w:pPr>
            <w:r>
              <w:rPr>
                <w:rFonts w:ascii="Arial" w:cs="Arial" w:eastAsia="Arial" w:hAnsi="Arial"/>
                <w:sz w:val="18"/>
                <w:szCs w:val="18"/>
                <w:color w:val="auto"/>
              </w:rPr>
              <w:t>21.5</w:t>
            </w:r>
          </w:p>
        </w:tc>
        <w:tc>
          <w:tcPr>
            <w:tcW w:w="0" w:type="dxa"/>
            <w:vAlign w:val="bottom"/>
          </w:tcPr>
          <w:p>
            <w:pPr>
              <w:spacing w:after="0"/>
              <w:rPr>
                <w:sz w:val="1"/>
                <w:szCs w:val="1"/>
                <w:color w:val="auto"/>
              </w:rPr>
            </w:pPr>
          </w:p>
        </w:tc>
      </w:tr>
      <w:tr>
        <w:trPr>
          <w:trHeight w:val="20"/>
        </w:trPr>
        <w:tc>
          <w:tcPr>
            <w:tcW w:w="756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5937250</wp:posOffset>
            </wp:positionH>
            <wp:positionV relativeFrom="paragraph">
              <wp:posOffset>-159385</wp:posOffset>
            </wp:positionV>
            <wp:extent cx="68580" cy="57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to Consolidated Financial Statements are an integral part of these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4"/>
        </w:trPr>
        <w:tc>
          <w:tcPr>
            <w:tcW w:w="8160" w:type="dxa"/>
            <w:vAlign w:val="bottom"/>
          </w:tcPr>
          <w:p>
            <w:pPr>
              <w:jc w:val="center"/>
              <w:ind w:left="2990"/>
              <w:spacing w:after="0"/>
              <w:rPr>
                <w:sz w:val="20"/>
                <w:szCs w:val="20"/>
                <w:color w:val="auto"/>
              </w:rPr>
            </w:pPr>
            <w:r>
              <w:rPr>
                <w:rFonts w:ascii="Arial" w:cs="Arial" w:eastAsia="Arial" w:hAnsi="Arial"/>
                <w:sz w:val="18"/>
                <w:szCs w:val="18"/>
                <w:b w:val="1"/>
                <w:bCs w:val="1"/>
                <w:color w:val="auto"/>
                <w:w w:val="93"/>
              </w:rPr>
              <w:t>ManpowerGroup Inc.</w:t>
            </w:r>
          </w:p>
        </w:tc>
        <w:tc>
          <w:tcPr>
            <w:tcW w:w="9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8160" w:type="dxa"/>
            <w:vAlign w:val="bottom"/>
          </w:tcPr>
          <w:p>
            <w:pPr>
              <w:jc w:val="center"/>
              <w:ind w:left="2990"/>
              <w:spacing w:after="0"/>
              <w:rPr>
                <w:sz w:val="20"/>
                <w:szCs w:val="20"/>
                <w:color w:val="auto"/>
              </w:rPr>
            </w:pPr>
            <w:r>
              <w:rPr>
                <w:rFonts w:ascii="Arial" w:cs="Arial" w:eastAsia="Arial" w:hAnsi="Arial"/>
                <w:sz w:val="18"/>
                <w:szCs w:val="18"/>
                <w:b w:val="1"/>
                <w:bCs w:val="1"/>
                <w:color w:val="auto"/>
                <w:w w:val="89"/>
              </w:rPr>
              <w:t>Consolidated Statements of Cash Flows (Unaudited)</w:t>
            </w:r>
          </w:p>
        </w:tc>
        <w:tc>
          <w:tcPr>
            <w:tcW w:w="9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8160" w:type="dxa"/>
            <w:vAlign w:val="bottom"/>
          </w:tcPr>
          <w:p>
            <w:pPr>
              <w:jc w:val="center"/>
              <w:ind w:left="2990"/>
              <w:spacing w:after="0"/>
              <w:rPr>
                <w:sz w:val="20"/>
                <w:szCs w:val="20"/>
                <w:color w:val="auto"/>
              </w:rPr>
            </w:pPr>
            <w:r>
              <w:rPr>
                <w:rFonts w:ascii="Arial" w:cs="Arial" w:eastAsia="Arial" w:hAnsi="Arial"/>
                <w:sz w:val="18"/>
                <w:szCs w:val="18"/>
                <w:b w:val="1"/>
                <w:bCs w:val="1"/>
                <w:color w:val="auto"/>
                <w:w w:val="91"/>
              </w:rPr>
              <w:t>(in millions)</w:t>
            </w:r>
          </w:p>
        </w:tc>
        <w:tc>
          <w:tcPr>
            <w:tcW w:w="3080" w:type="dxa"/>
            <w:vAlign w:val="bottom"/>
            <w:gridSpan w:val="5"/>
            <w:vMerge w:val="restart"/>
          </w:tcPr>
          <w:p>
            <w:pPr>
              <w:jc w:val="right"/>
              <w:ind w:right="670"/>
              <w:spacing w:after="0"/>
              <w:rPr>
                <w:sz w:val="20"/>
                <w:szCs w:val="20"/>
                <w:color w:val="auto"/>
              </w:rPr>
            </w:pPr>
            <w:r>
              <w:rPr>
                <w:rFonts w:ascii="Arial" w:cs="Arial" w:eastAsia="Arial" w:hAnsi="Arial"/>
                <w:sz w:val="18"/>
                <w:szCs w:val="18"/>
                <w:b w:val="1"/>
                <w:bCs w:val="1"/>
                <w:color w:val="auto"/>
              </w:rPr>
              <w:t>Three Months Ended</w:t>
            </w:r>
          </w:p>
        </w:tc>
        <w:tc>
          <w:tcPr>
            <w:tcW w:w="0" w:type="dxa"/>
            <w:vAlign w:val="bottom"/>
          </w:tcPr>
          <w:p>
            <w:pPr>
              <w:spacing w:after="0"/>
              <w:rPr>
                <w:sz w:val="1"/>
                <w:szCs w:val="1"/>
                <w:color w:val="auto"/>
              </w:rPr>
            </w:pPr>
          </w:p>
        </w:tc>
      </w:tr>
      <w:tr>
        <w:trPr>
          <w:trHeight w:val="198"/>
        </w:trPr>
        <w:tc>
          <w:tcPr>
            <w:tcW w:w="8160" w:type="dxa"/>
            <w:vAlign w:val="bottom"/>
          </w:tcPr>
          <w:p>
            <w:pPr>
              <w:spacing w:after="0"/>
              <w:rPr>
                <w:sz w:val="17"/>
                <w:szCs w:val="17"/>
                <w:color w:val="auto"/>
              </w:rPr>
            </w:pPr>
          </w:p>
        </w:tc>
        <w:tc>
          <w:tcPr>
            <w:tcW w:w="3080" w:type="dxa"/>
            <w:vAlign w:val="bottom"/>
            <w:gridSpan w:val="5"/>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8160" w:type="dxa"/>
            <w:vAlign w:val="bottom"/>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8"/>
                <w:szCs w:val="18"/>
                <w:b w:val="1"/>
                <w:bCs w:val="1"/>
                <w:color w:val="auto"/>
              </w:rPr>
              <w:t>March 31,</w:t>
            </w:r>
          </w:p>
        </w:tc>
        <w:tc>
          <w:tcPr>
            <w:tcW w:w="10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8160" w:type="dxa"/>
            <w:vAlign w:val="bottom"/>
          </w:tcPr>
          <w:p>
            <w:pPr>
              <w:spacing w:after="0"/>
              <w:rPr>
                <w:sz w:val="17"/>
                <w:szCs w:val="17"/>
                <w:color w:val="auto"/>
              </w:rPr>
            </w:pPr>
          </w:p>
        </w:tc>
        <w:tc>
          <w:tcPr>
            <w:tcW w:w="9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2022</w:t>
            </w:r>
          </w:p>
        </w:tc>
        <w:tc>
          <w:tcPr>
            <w:tcW w:w="58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510"/>
              <w:spacing w:after="0" w:line="196" w:lineRule="exact"/>
              <w:rPr>
                <w:sz w:val="20"/>
                <w:szCs w:val="20"/>
                <w:color w:val="auto"/>
              </w:rPr>
            </w:pPr>
            <w:r>
              <w:rPr>
                <w:rFonts w:ascii="Arial" w:cs="Arial" w:eastAsia="Arial" w:hAnsi="Arial"/>
                <w:sz w:val="18"/>
                <w:szCs w:val="18"/>
                <w:b w:val="1"/>
                <w:bCs w:val="1"/>
                <w:color w:val="auto"/>
              </w:rPr>
              <w:t>2021</w:t>
            </w:r>
          </w:p>
        </w:tc>
        <w:tc>
          <w:tcPr>
            <w:tcW w:w="0" w:type="dxa"/>
            <w:vAlign w:val="bottom"/>
          </w:tcPr>
          <w:p>
            <w:pPr>
              <w:spacing w:after="0"/>
              <w:rPr>
                <w:sz w:val="1"/>
                <w:szCs w:val="1"/>
                <w:color w:val="auto"/>
              </w:rPr>
            </w:pPr>
          </w:p>
        </w:tc>
      </w:tr>
      <w:tr>
        <w:trPr>
          <w:trHeight w:val="196"/>
        </w:trPr>
        <w:tc>
          <w:tcPr>
            <w:tcW w:w="816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94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160" w:type="dxa"/>
            <w:vAlign w:val="bottom"/>
          </w:tcPr>
          <w:p>
            <w:pPr>
              <w:ind w:left="120"/>
              <w:spacing w:after="0" w:line="202" w:lineRule="exact"/>
              <w:rPr>
                <w:sz w:val="20"/>
                <w:szCs w:val="20"/>
                <w:color w:val="auto"/>
              </w:rPr>
            </w:pPr>
            <w:r>
              <w:rPr>
                <w:rFonts w:ascii="Arial" w:cs="Arial" w:eastAsia="Arial" w:hAnsi="Arial"/>
                <w:sz w:val="18"/>
                <w:szCs w:val="18"/>
                <w:color w:val="auto"/>
              </w:rPr>
              <w:t>Net earnings</w:t>
            </w:r>
          </w:p>
        </w:tc>
        <w:tc>
          <w:tcPr>
            <w:tcW w:w="940" w:type="dxa"/>
            <w:vAlign w:val="bottom"/>
          </w:tcPr>
          <w:p>
            <w:pPr>
              <w:jc w:val="right"/>
              <w:ind w:right="750"/>
              <w:spacing w:after="0" w:line="202" w:lineRule="exact"/>
              <w:rPr>
                <w:sz w:val="20"/>
                <w:szCs w:val="20"/>
                <w:color w:val="auto"/>
              </w:rPr>
            </w:pPr>
            <w:r>
              <w:rPr>
                <w:rFonts w:ascii="Arial" w:cs="Arial" w:eastAsia="Arial" w:hAnsi="Arial"/>
                <w:sz w:val="18"/>
                <w:szCs w:val="18"/>
                <w:color w:val="auto"/>
                <w:w w:val="79"/>
              </w:rPr>
              <w:t>$</w:t>
            </w:r>
          </w:p>
        </w:tc>
        <w:tc>
          <w:tcPr>
            <w:tcW w:w="580" w:type="dxa"/>
            <w:vAlign w:val="bottom"/>
          </w:tcPr>
          <w:p>
            <w:pPr>
              <w:jc w:val="right"/>
              <w:ind w:right="30"/>
              <w:spacing w:after="0" w:line="202" w:lineRule="exact"/>
              <w:rPr>
                <w:sz w:val="20"/>
                <w:szCs w:val="20"/>
                <w:color w:val="auto"/>
              </w:rPr>
            </w:pPr>
            <w:r>
              <w:rPr>
                <w:rFonts w:ascii="Arial" w:cs="Arial" w:eastAsia="Arial" w:hAnsi="Arial"/>
                <w:sz w:val="18"/>
                <w:szCs w:val="18"/>
                <w:color w:val="auto"/>
              </w:rPr>
              <w:t>91.6</w:t>
            </w:r>
          </w:p>
        </w:tc>
        <w:tc>
          <w:tcPr>
            <w:tcW w:w="480" w:type="dxa"/>
            <w:vAlign w:val="bottom"/>
            <w:gridSpan w:val="2"/>
          </w:tcPr>
          <w:p>
            <w:pPr>
              <w:jc w:val="right"/>
              <w:ind w:right="210"/>
              <w:spacing w:after="0" w:line="202" w:lineRule="exact"/>
              <w:rPr>
                <w:sz w:val="20"/>
                <w:szCs w:val="20"/>
                <w:color w:val="auto"/>
              </w:rPr>
            </w:pPr>
            <w:r>
              <w:rPr>
                <w:rFonts w:ascii="Arial" w:cs="Arial" w:eastAsia="Arial" w:hAnsi="Arial"/>
                <w:sz w:val="18"/>
                <w:szCs w:val="18"/>
                <w:color w:val="auto"/>
              </w:rPr>
              <w:t>$</w:t>
            </w:r>
          </w:p>
        </w:tc>
        <w:tc>
          <w:tcPr>
            <w:tcW w:w="10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62.0</w:t>
            </w:r>
          </w:p>
        </w:tc>
        <w:tc>
          <w:tcPr>
            <w:tcW w:w="0" w:type="dxa"/>
            <w:vAlign w:val="bottom"/>
          </w:tcPr>
          <w:p>
            <w:pPr>
              <w:spacing w:after="0"/>
              <w:rPr>
                <w:sz w:val="1"/>
                <w:szCs w:val="1"/>
                <w:color w:val="auto"/>
              </w:rPr>
            </w:pPr>
          </w:p>
        </w:tc>
      </w:tr>
      <w:tr>
        <w:trPr>
          <w:trHeight w:val="203"/>
        </w:trPr>
        <w:tc>
          <w:tcPr>
            <w:tcW w:w="8160" w:type="dxa"/>
            <w:vAlign w:val="bottom"/>
            <w:shd w:val="clear" w:color="auto" w:fill="CFF0FC"/>
          </w:tcPr>
          <w:p>
            <w:pPr>
              <w:ind w:left="100"/>
              <w:spacing w:after="0" w:line="202" w:lineRule="exact"/>
              <w:rPr>
                <w:sz w:val="20"/>
                <w:szCs w:val="20"/>
                <w:color w:val="auto"/>
              </w:rPr>
            </w:pPr>
            <w:r>
              <w:rPr>
                <w:rFonts w:ascii="Arial" w:cs="Arial" w:eastAsia="Arial" w:hAnsi="Arial"/>
                <w:sz w:val="18"/>
                <w:szCs w:val="18"/>
                <w:color w:val="auto"/>
              </w:rPr>
              <w:t>Adjustments to reconcile net earnings to net cash provided by operating activities:</w:t>
            </w:r>
          </w:p>
        </w:tc>
        <w:tc>
          <w:tcPr>
            <w:tcW w:w="94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160" w:type="dxa"/>
            <w:vAlign w:val="bottom"/>
          </w:tcPr>
          <w:p>
            <w:pPr>
              <w:ind w:left="300"/>
              <w:spacing w:after="0" w:line="202" w:lineRule="exact"/>
              <w:rPr>
                <w:sz w:val="20"/>
                <w:szCs w:val="20"/>
                <w:color w:val="auto"/>
              </w:rPr>
            </w:pPr>
            <w:r>
              <w:rPr>
                <w:rFonts w:ascii="Arial" w:cs="Arial" w:eastAsia="Arial" w:hAnsi="Arial"/>
                <w:sz w:val="18"/>
                <w:szCs w:val="18"/>
                <w:color w:val="auto"/>
              </w:rPr>
              <w:t>Depreciation and amortization</w:t>
            </w:r>
          </w:p>
        </w:tc>
        <w:tc>
          <w:tcPr>
            <w:tcW w:w="940" w:type="dxa"/>
            <w:vAlign w:val="bottom"/>
          </w:tcPr>
          <w:p>
            <w:pPr>
              <w:spacing w:after="0"/>
              <w:rPr>
                <w:sz w:val="17"/>
                <w:szCs w:val="17"/>
                <w:color w:val="auto"/>
              </w:rPr>
            </w:pPr>
          </w:p>
        </w:tc>
        <w:tc>
          <w:tcPr>
            <w:tcW w:w="580" w:type="dxa"/>
            <w:vAlign w:val="bottom"/>
          </w:tcPr>
          <w:p>
            <w:pPr>
              <w:jc w:val="right"/>
              <w:ind w:right="30"/>
              <w:spacing w:after="0" w:line="202" w:lineRule="exact"/>
              <w:rPr>
                <w:sz w:val="20"/>
                <w:szCs w:val="20"/>
                <w:color w:val="auto"/>
              </w:rPr>
            </w:pPr>
            <w:r>
              <w:rPr>
                <w:rFonts w:ascii="Arial" w:cs="Arial" w:eastAsia="Arial" w:hAnsi="Arial"/>
                <w:sz w:val="18"/>
                <w:szCs w:val="18"/>
                <w:color w:val="auto"/>
              </w:rPr>
              <w:t>21.3</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17.9</w:t>
            </w:r>
          </w:p>
        </w:tc>
        <w:tc>
          <w:tcPr>
            <w:tcW w:w="0" w:type="dxa"/>
            <w:vAlign w:val="bottom"/>
          </w:tcPr>
          <w:p>
            <w:pPr>
              <w:spacing w:after="0"/>
              <w:rPr>
                <w:sz w:val="1"/>
                <w:szCs w:val="1"/>
                <w:color w:val="auto"/>
              </w:rPr>
            </w:pPr>
          </w:p>
        </w:tc>
      </w:tr>
      <w:tr>
        <w:trPr>
          <w:trHeight w:val="203"/>
        </w:trPr>
        <w:tc>
          <w:tcPr>
            <w:tcW w:w="8160" w:type="dxa"/>
            <w:vAlign w:val="bottom"/>
            <w:shd w:val="clear" w:color="auto" w:fill="CFF0FC"/>
          </w:tcPr>
          <w:p>
            <w:pPr>
              <w:ind w:left="300"/>
              <w:spacing w:after="0" w:line="202" w:lineRule="exact"/>
              <w:rPr>
                <w:sz w:val="20"/>
                <w:szCs w:val="20"/>
                <w:color w:val="auto"/>
              </w:rPr>
            </w:pPr>
            <w:r>
              <w:rPr>
                <w:rFonts w:ascii="Arial" w:cs="Arial" w:eastAsia="Arial" w:hAnsi="Arial"/>
                <w:sz w:val="18"/>
                <w:szCs w:val="18"/>
                <w:color w:val="auto"/>
              </w:rPr>
              <w:t>Loss on sale of a subsidiary</w:t>
            </w:r>
          </w:p>
        </w:tc>
        <w:tc>
          <w:tcPr>
            <w:tcW w:w="940" w:type="dxa"/>
            <w:vAlign w:val="bottom"/>
            <w:shd w:val="clear" w:color="auto" w:fill="CFF0FC"/>
          </w:tcPr>
          <w:p>
            <w:pPr>
              <w:spacing w:after="0"/>
              <w:rPr>
                <w:sz w:val="17"/>
                <w:szCs w:val="17"/>
                <w:color w:val="auto"/>
              </w:rPr>
            </w:pPr>
          </w:p>
        </w:tc>
        <w:tc>
          <w:tcPr>
            <w:tcW w:w="58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8.0</w:t>
            </w:r>
          </w:p>
        </w:tc>
        <w:tc>
          <w:tcPr>
            <w:tcW w:w="8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080" w:type="dxa"/>
            <w:vAlign w:val="bottom"/>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8160" w:type="dxa"/>
            <w:vAlign w:val="bottom"/>
          </w:tcPr>
          <w:p>
            <w:pPr>
              <w:ind w:left="300"/>
              <w:spacing w:after="0" w:line="202" w:lineRule="exact"/>
              <w:rPr>
                <w:sz w:val="20"/>
                <w:szCs w:val="20"/>
                <w:color w:val="auto"/>
              </w:rPr>
            </w:pPr>
            <w:r>
              <w:rPr>
                <w:rFonts w:ascii="Arial" w:cs="Arial" w:eastAsia="Arial" w:hAnsi="Arial"/>
                <w:sz w:val="18"/>
                <w:szCs w:val="18"/>
                <w:color w:val="auto"/>
              </w:rPr>
              <w:t>Deferred income taxes</w:t>
            </w:r>
          </w:p>
        </w:tc>
        <w:tc>
          <w:tcPr>
            <w:tcW w:w="940" w:type="dxa"/>
            <w:vAlign w:val="bottom"/>
          </w:tcPr>
          <w:p>
            <w:pPr>
              <w:spacing w:after="0"/>
              <w:rPr>
                <w:sz w:val="17"/>
                <w:szCs w:val="17"/>
                <w:color w:val="auto"/>
              </w:rPr>
            </w:pPr>
          </w:p>
        </w:tc>
        <w:tc>
          <w:tcPr>
            <w:tcW w:w="580" w:type="dxa"/>
            <w:vAlign w:val="bottom"/>
          </w:tcPr>
          <w:p>
            <w:pPr>
              <w:jc w:val="right"/>
              <w:ind w:right="30"/>
              <w:spacing w:after="0" w:line="202" w:lineRule="exact"/>
              <w:rPr>
                <w:sz w:val="20"/>
                <w:szCs w:val="20"/>
                <w:color w:val="auto"/>
              </w:rPr>
            </w:pPr>
            <w:r>
              <w:rPr>
                <w:rFonts w:ascii="Arial" w:cs="Arial" w:eastAsia="Arial" w:hAnsi="Arial"/>
                <w:sz w:val="18"/>
                <w:szCs w:val="18"/>
                <w:color w:val="auto"/>
              </w:rPr>
              <w:t>2.4</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(10.6 )</w:t>
            </w:r>
          </w:p>
        </w:tc>
        <w:tc>
          <w:tcPr>
            <w:tcW w:w="0" w:type="dxa"/>
            <w:vAlign w:val="bottom"/>
          </w:tcPr>
          <w:p>
            <w:pPr>
              <w:spacing w:after="0"/>
              <w:rPr>
                <w:sz w:val="1"/>
                <w:szCs w:val="1"/>
                <w:color w:val="auto"/>
              </w:rPr>
            </w:pPr>
          </w:p>
        </w:tc>
      </w:tr>
      <w:tr>
        <w:trPr>
          <w:trHeight w:val="203"/>
        </w:trPr>
        <w:tc>
          <w:tcPr>
            <w:tcW w:w="8160" w:type="dxa"/>
            <w:vAlign w:val="bottom"/>
            <w:shd w:val="clear" w:color="auto" w:fill="CFF0FC"/>
          </w:tcPr>
          <w:p>
            <w:pPr>
              <w:ind w:left="300"/>
              <w:spacing w:after="0" w:line="202" w:lineRule="exact"/>
              <w:rPr>
                <w:sz w:val="20"/>
                <w:szCs w:val="20"/>
                <w:color w:val="auto"/>
              </w:rPr>
            </w:pPr>
            <w:r>
              <w:rPr>
                <w:rFonts w:ascii="Arial" w:cs="Arial" w:eastAsia="Arial" w:hAnsi="Arial"/>
                <w:sz w:val="18"/>
                <w:szCs w:val="18"/>
                <w:color w:val="auto"/>
              </w:rPr>
              <w:t>Provision for doubtful accounts</w:t>
            </w:r>
          </w:p>
        </w:tc>
        <w:tc>
          <w:tcPr>
            <w:tcW w:w="940" w:type="dxa"/>
            <w:vAlign w:val="bottom"/>
            <w:shd w:val="clear" w:color="auto" w:fill="CFF0FC"/>
          </w:tcPr>
          <w:p>
            <w:pPr>
              <w:spacing w:after="0"/>
              <w:rPr>
                <w:sz w:val="17"/>
                <w:szCs w:val="17"/>
                <w:color w:val="auto"/>
              </w:rPr>
            </w:pPr>
          </w:p>
        </w:tc>
        <w:tc>
          <w:tcPr>
            <w:tcW w:w="58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2.8</w:t>
            </w:r>
          </w:p>
        </w:tc>
        <w:tc>
          <w:tcPr>
            <w:tcW w:w="8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080" w:type="dxa"/>
            <w:vAlign w:val="bottom"/>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03"/>
        </w:trPr>
        <w:tc>
          <w:tcPr>
            <w:tcW w:w="8160" w:type="dxa"/>
            <w:vAlign w:val="bottom"/>
          </w:tcPr>
          <w:p>
            <w:pPr>
              <w:ind w:left="300"/>
              <w:spacing w:after="0" w:line="202" w:lineRule="exact"/>
              <w:rPr>
                <w:sz w:val="20"/>
                <w:szCs w:val="20"/>
                <w:color w:val="auto"/>
              </w:rPr>
            </w:pPr>
            <w:r>
              <w:rPr>
                <w:rFonts w:ascii="Arial" w:cs="Arial" w:eastAsia="Arial" w:hAnsi="Arial"/>
                <w:sz w:val="18"/>
                <w:szCs w:val="18"/>
                <w:color w:val="auto"/>
              </w:rPr>
              <w:t>Share-based compensation</w:t>
            </w:r>
          </w:p>
        </w:tc>
        <w:tc>
          <w:tcPr>
            <w:tcW w:w="940" w:type="dxa"/>
            <w:vAlign w:val="bottom"/>
          </w:tcPr>
          <w:p>
            <w:pPr>
              <w:spacing w:after="0"/>
              <w:rPr>
                <w:sz w:val="17"/>
                <w:szCs w:val="17"/>
                <w:color w:val="auto"/>
              </w:rPr>
            </w:pPr>
          </w:p>
        </w:tc>
        <w:tc>
          <w:tcPr>
            <w:tcW w:w="580" w:type="dxa"/>
            <w:vAlign w:val="bottom"/>
          </w:tcPr>
          <w:p>
            <w:pPr>
              <w:jc w:val="right"/>
              <w:ind w:right="30"/>
              <w:spacing w:after="0" w:line="202" w:lineRule="exact"/>
              <w:rPr>
                <w:sz w:val="20"/>
                <w:szCs w:val="20"/>
                <w:color w:val="auto"/>
              </w:rPr>
            </w:pPr>
            <w:r>
              <w:rPr>
                <w:rFonts w:ascii="Arial" w:cs="Arial" w:eastAsia="Arial" w:hAnsi="Arial"/>
                <w:sz w:val="18"/>
                <w:szCs w:val="18"/>
                <w:color w:val="auto"/>
              </w:rPr>
              <w:t>10.6</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03"/>
        </w:trPr>
        <w:tc>
          <w:tcPr>
            <w:tcW w:w="8160" w:type="dxa"/>
            <w:vAlign w:val="bottom"/>
            <w:shd w:val="clear" w:color="auto" w:fill="CFF0FC"/>
          </w:tcPr>
          <w:p>
            <w:pPr>
              <w:ind w:left="300"/>
              <w:spacing w:after="0" w:line="202" w:lineRule="exact"/>
              <w:rPr>
                <w:sz w:val="20"/>
                <w:szCs w:val="20"/>
                <w:color w:val="auto"/>
              </w:rPr>
            </w:pPr>
            <w:r>
              <w:rPr>
                <w:rFonts w:ascii="Arial" w:cs="Arial" w:eastAsia="Arial" w:hAnsi="Arial"/>
                <w:sz w:val="18"/>
                <w:szCs w:val="18"/>
                <w:color w:val="auto"/>
              </w:rPr>
              <w:t>Changes in operating assets and liabilities, excluding the impact of dispositions:</w:t>
            </w:r>
          </w:p>
        </w:tc>
        <w:tc>
          <w:tcPr>
            <w:tcW w:w="94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160" w:type="dxa"/>
            <w:vAlign w:val="bottom"/>
          </w:tcPr>
          <w:p>
            <w:pPr>
              <w:ind w:left="500"/>
              <w:spacing w:after="0" w:line="202" w:lineRule="exact"/>
              <w:rPr>
                <w:sz w:val="20"/>
                <w:szCs w:val="20"/>
                <w:color w:val="auto"/>
              </w:rPr>
            </w:pPr>
            <w:r>
              <w:rPr>
                <w:rFonts w:ascii="Arial" w:cs="Arial" w:eastAsia="Arial" w:hAnsi="Arial"/>
                <w:sz w:val="18"/>
                <w:szCs w:val="18"/>
                <w:color w:val="auto"/>
              </w:rPr>
              <w:t>Accounts receivable</w:t>
            </w:r>
          </w:p>
        </w:tc>
        <w:tc>
          <w:tcPr>
            <w:tcW w:w="94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(96.9 )</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(94.5 )</w:t>
            </w:r>
          </w:p>
        </w:tc>
        <w:tc>
          <w:tcPr>
            <w:tcW w:w="0" w:type="dxa"/>
            <w:vAlign w:val="bottom"/>
          </w:tcPr>
          <w:p>
            <w:pPr>
              <w:spacing w:after="0"/>
              <w:rPr>
                <w:sz w:val="1"/>
                <w:szCs w:val="1"/>
                <w:color w:val="auto"/>
              </w:rPr>
            </w:pPr>
          </w:p>
        </w:tc>
      </w:tr>
      <w:tr>
        <w:trPr>
          <w:trHeight w:val="203"/>
        </w:trPr>
        <w:tc>
          <w:tcPr>
            <w:tcW w:w="8160" w:type="dxa"/>
            <w:vAlign w:val="bottom"/>
            <w:shd w:val="clear" w:color="auto" w:fill="CFF0FC"/>
          </w:tcPr>
          <w:p>
            <w:pPr>
              <w:ind w:left="520"/>
              <w:spacing w:after="0" w:line="202" w:lineRule="exact"/>
              <w:rPr>
                <w:sz w:val="20"/>
                <w:szCs w:val="20"/>
                <w:color w:val="auto"/>
              </w:rPr>
            </w:pPr>
            <w:r>
              <w:rPr>
                <w:rFonts w:ascii="Arial" w:cs="Arial" w:eastAsia="Arial" w:hAnsi="Arial"/>
                <w:sz w:val="18"/>
                <w:szCs w:val="18"/>
                <w:color w:val="auto"/>
              </w:rPr>
              <w:t>Other assets</w:t>
            </w:r>
          </w:p>
        </w:tc>
        <w:tc>
          <w:tcPr>
            <w:tcW w:w="940" w:type="dxa"/>
            <w:vAlign w:val="bottom"/>
            <w:shd w:val="clear" w:color="auto" w:fill="CFF0FC"/>
          </w:tcPr>
          <w:p>
            <w:pPr>
              <w:spacing w:after="0"/>
              <w:rPr>
                <w:sz w:val="17"/>
                <w:szCs w:val="17"/>
                <w:color w:val="auto"/>
              </w:rPr>
            </w:pPr>
          </w:p>
        </w:tc>
        <w:tc>
          <w:tcPr>
            <w:tcW w:w="5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(17.1 )</w:t>
            </w:r>
          </w:p>
        </w:tc>
        <w:tc>
          <w:tcPr>
            <w:tcW w:w="8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(39.5 )</w:t>
            </w:r>
          </w:p>
        </w:tc>
        <w:tc>
          <w:tcPr>
            <w:tcW w:w="0" w:type="dxa"/>
            <w:vAlign w:val="bottom"/>
          </w:tcPr>
          <w:p>
            <w:pPr>
              <w:spacing w:after="0"/>
              <w:rPr>
                <w:sz w:val="1"/>
                <w:szCs w:val="1"/>
                <w:color w:val="auto"/>
              </w:rPr>
            </w:pPr>
          </w:p>
        </w:tc>
      </w:tr>
      <w:tr>
        <w:trPr>
          <w:trHeight w:val="203"/>
        </w:trPr>
        <w:tc>
          <w:tcPr>
            <w:tcW w:w="8160" w:type="dxa"/>
            <w:vAlign w:val="bottom"/>
          </w:tcPr>
          <w:p>
            <w:pPr>
              <w:ind w:left="520"/>
              <w:spacing w:after="0" w:line="202" w:lineRule="exact"/>
              <w:rPr>
                <w:sz w:val="20"/>
                <w:szCs w:val="20"/>
                <w:color w:val="auto"/>
              </w:rPr>
            </w:pPr>
            <w:r>
              <w:rPr>
                <w:rFonts w:ascii="Arial" w:cs="Arial" w:eastAsia="Arial" w:hAnsi="Arial"/>
                <w:sz w:val="18"/>
                <w:szCs w:val="18"/>
                <w:color w:val="auto"/>
              </w:rPr>
              <w:t>Other liabilities</w:t>
            </w:r>
          </w:p>
        </w:tc>
        <w:tc>
          <w:tcPr>
            <w:tcW w:w="94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ind w:right="30"/>
              <w:spacing w:after="0" w:line="202" w:lineRule="exact"/>
              <w:rPr>
                <w:sz w:val="20"/>
                <w:szCs w:val="20"/>
                <w:color w:val="auto"/>
              </w:rPr>
            </w:pPr>
            <w:r>
              <w:rPr>
                <w:rFonts w:ascii="Arial" w:cs="Arial" w:eastAsia="Arial" w:hAnsi="Arial"/>
                <w:sz w:val="18"/>
                <w:szCs w:val="18"/>
                <w:color w:val="auto"/>
              </w:rPr>
              <w:t>47.9</w:t>
            </w:r>
          </w:p>
        </w:tc>
        <w:tc>
          <w:tcPr>
            <w:tcW w:w="8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192.9</w:t>
            </w:r>
          </w:p>
        </w:tc>
        <w:tc>
          <w:tcPr>
            <w:tcW w:w="0" w:type="dxa"/>
            <w:vAlign w:val="bottom"/>
          </w:tcPr>
          <w:p>
            <w:pPr>
              <w:spacing w:after="0"/>
              <w:rPr>
                <w:sz w:val="1"/>
                <w:szCs w:val="1"/>
                <w:color w:val="auto"/>
              </w:rPr>
            </w:pPr>
          </w:p>
        </w:tc>
      </w:tr>
      <w:tr>
        <w:trPr>
          <w:trHeight w:val="196"/>
        </w:trPr>
        <w:tc>
          <w:tcPr>
            <w:tcW w:w="8160" w:type="dxa"/>
            <w:vAlign w:val="bottom"/>
            <w:tcBorders>
              <w:bottom w:val="single" w:sz="8" w:color="CFF0FC"/>
            </w:tcBorders>
            <w:shd w:val="clear" w:color="auto" w:fill="CFF0FC"/>
          </w:tcPr>
          <w:p>
            <w:pPr>
              <w:ind w:left="780"/>
              <w:spacing w:after="0" w:line="196" w:lineRule="exact"/>
              <w:rPr>
                <w:sz w:val="20"/>
                <w:szCs w:val="20"/>
                <w:color w:val="auto"/>
              </w:rPr>
            </w:pPr>
            <w:r>
              <w:rPr>
                <w:rFonts w:ascii="Arial" w:cs="Arial" w:eastAsia="Arial" w:hAnsi="Arial"/>
                <w:sz w:val="18"/>
                <w:szCs w:val="18"/>
                <w:color w:val="auto"/>
              </w:rPr>
              <w:t>Cash provided by operating activities</w:t>
            </w:r>
          </w:p>
        </w:tc>
        <w:tc>
          <w:tcPr>
            <w:tcW w:w="940" w:type="dxa"/>
            <w:vAlign w:val="bottom"/>
            <w:tcBorders>
              <w:bottom w:val="single" w:sz="8" w:color="auto"/>
            </w:tcBorders>
            <w:shd w:val="clear" w:color="auto" w:fill="CFF0FC"/>
          </w:tcPr>
          <w:p>
            <w:pPr>
              <w:spacing w:after="0"/>
              <w:rPr>
                <w:sz w:val="17"/>
                <w:szCs w:val="17"/>
                <w:color w:val="auto"/>
              </w:rPr>
            </w:pPr>
          </w:p>
        </w:tc>
        <w:tc>
          <w:tcPr>
            <w:tcW w:w="580" w:type="dxa"/>
            <w:vAlign w:val="bottom"/>
            <w:tcBorders>
              <w:bottom w:val="single" w:sz="8" w:color="auto"/>
            </w:tcBorders>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rPr>
              <w:t>70.6</w:t>
            </w:r>
          </w:p>
        </w:tc>
        <w:tc>
          <w:tcPr>
            <w:tcW w:w="80" w:type="dxa"/>
            <w:vAlign w:val="bottom"/>
            <w:tcBorders>
              <w:bottom w:val="single" w:sz="8" w:color="CFF0FC"/>
            </w:tcBorders>
            <w:shd w:val="clear" w:color="auto" w:fill="CFF0FC"/>
          </w:tcPr>
          <w:p>
            <w:pPr>
              <w:spacing w:after="0"/>
              <w:rPr>
                <w:sz w:val="17"/>
                <w:szCs w:val="17"/>
                <w:color w:val="auto"/>
              </w:rPr>
            </w:pPr>
          </w:p>
        </w:tc>
        <w:tc>
          <w:tcPr>
            <w:tcW w:w="400" w:type="dxa"/>
            <w:vAlign w:val="bottom"/>
            <w:tcBorders>
              <w:bottom w:val="single" w:sz="8" w:color="auto"/>
            </w:tcBorders>
            <w:shd w:val="clear" w:color="auto" w:fill="CFF0FC"/>
          </w:tcPr>
          <w:p>
            <w:pPr>
              <w:spacing w:after="0"/>
              <w:rPr>
                <w:sz w:val="17"/>
                <w:szCs w:val="17"/>
                <w:color w:val="auto"/>
              </w:rPr>
            </w:pPr>
          </w:p>
        </w:tc>
        <w:tc>
          <w:tcPr>
            <w:tcW w:w="1080" w:type="dxa"/>
            <w:vAlign w:val="bottom"/>
            <w:tcBorders>
              <w:bottom w:val="single" w:sz="8" w:color="auto"/>
            </w:tcBorders>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rPr>
              <w:t>140.9</w:t>
            </w:r>
          </w:p>
        </w:tc>
        <w:tc>
          <w:tcPr>
            <w:tcW w:w="0" w:type="dxa"/>
            <w:vAlign w:val="bottom"/>
          </w:tcPr>
          <w:p>
            <w:pPr>
              <w:spacing w:after="0"/>
              <w:rPr>
                <w:sz w:val="1"/>
                <w:szCs w:val="1"/>
                <w:color w:val="auto"/>
              </w:rPr>
            </w:pPr>
          </w:p>
        </w:tc>
      </w:tr>
      <w:tr>
        <w:trPr>
          <w:trHeight w:val="196"/>
        </w:trPr>
        <w:tc>
          <w:tcPr>
            <w:tcW w:w="8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1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b w:val="1"/>
                <w:bCs w:val="1"/>
                <w:color w:val="auto"/>
              </w:rPr>
              <w:t>Cash Flows from Investing Activities:</w:t>
            </w:r>
          </w:p>
        </w:tc>
        <w:tc>
          <w:tcPr>
            <w:tcW w:w="94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160" w:type="dxa"/>
            <w:vAlign w:val="bottom"/>
          </w:tcPr>
          <w:p>
            <w:pPr>
              <w:ind w:left="120"/>
              <w:spacing w:after="0" w:line="202" w:lineRule="exact"/>
              <w:rPr>
                <w:sz w:val="20"/>
                <w:szCs w:val="20"/>
                <w:color w:val="auto"/>
              </w:rPr>
            </w:pPr>
            <w:r>
              <w:rPr>
                <w:rFonts w:ascii="Arial" w:cs="Arial" w:eastAsia="Arial" w:hAnsi="Arial"/>
                <w:sz w:val="18"/>
                <w:szCs w:val="18"/>
                <w:color w:val="auto"/>
              </w:rPr>
              <w:t>Capital expenditures</w:t>
            </w:r>
          </w:p>
        </w:tc>
        <w:tc>
          <w:tcPr>
            <w:tcW w:w="94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(19.4 )</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(12.7 )</w:t>
            </w:r>
          </w:p>
        </w:tc>
        <w:tc>
          <w:tcPr>
            <w:tcW w:w="0" w:type="dxa"/>
            <w:vAlign w:val="bottom"/>
          </w:tcPr>
          <w:p>
            <w:pPr>
              <w:spacing w:after="0"/>
              <w:rPr>
                <w:sz w:val="1"/>
                <w:szCs w:val="1"/>
                <w:color w:val="auto"/>
              </w:rPr>
            </w:pPr>
          </w:p>
        </w:tc>
      </w:tr>
      <w:tr>
        <w:trPr>
          <w:trHeight w:val="203"/>
        </w:trPr>
        <w:tc>
          <w:tcPr>
            <w:tcW w:w="8160" w:type="dxa"/>
            <w:vAlign w:val="bottom"/>
            <w:shd w:val="clear" w:color="auto" w:fill="CFF0FC"/>
          </w:tcPr>
          <w:p>
            <w:pPr>
              <w:ind w:left="100"/>
              <w:spacing w:after="0" w:line="202" w:lineRule="exact"/>
              <w:rPr>
                <w:sz w:val="20"/>
                <w:szCs w:val="20"/>
                <w:color w:val="auto"/>
              </w:rPr>
            </w:pPr>
            <w:r>
              <w:rPr>
                <w:rFonts w:ascii="Arial" w:cs="Arial" w:eastAsia="Arial" w:hAnsi="Arial"/>
                <w:sz w:val="18"/>
                <w:szCs w:val="18"/>
                <w:color w:val="auto"/>
              </w:rPr>
              <w:t>Acquisition of businesses, net of cash acquired</w:t>
            </w:r>
          </w:p>
        </w:tc>
        <w:tc>
          <w:tcPr>
            <w:tcW w:w="940" w:type="dxa"/>
            <w:vAlign w:val="bottom"/>
            <w:shd w:val="clear" w:color="auto" w:fill="CFF0FC"/>
          </w:tcPr>
          <w:p>
            <w:pPr>
              <w:spacing w:after="0"/>
              <w:rPr>
                <w:sz w:val="17"/>
                <w:szCs w:val="17"/>
                <w:color w:val="auto"/>
              </w:rPr>
            </w:pPr>
          </w:p>
        </w:tc>
        <w:tc>
          <w:tcPr>
            <w:tcW w:w="58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(7.1 )</w:t>
            </w:r>
          </w:p>
        </w:tc>
        <w:tc>
          <w:tcPr>
            <w:tcW w:w="0" w:type="dxa"/>
            <w:vAlign w:val="bottom"/>
          </w:tcPr>
          <w:p>
            <w:pPr>
              <w:spacing w:after="0"/>
              <w:rPr>
                <w:sz w:val="1"/>
                <w:szCs w:val="1"/>
                <w:color w:val="auto"/>
              </w:rPr>
            </w:pPr>
          </w:p>
        </w:tc>
      </w:tr>
      <w:tr>
        <w:trPr>
          <w:trHeight w:val="203"/>
        </w:trPr>
        <w:tc>
          <w:tcPr>
            <w:tcW w:w="8160" w:type="dxa"/>
            <w:vAlign w:val="bottom"/>
          </w:tcPr>
          <w:p>
            <w:pPr>
              <w:ind w:left="120"/>
              <w:spacing w:after="0" w:line="202" w:lineRule="exact"/>
              <w:rPr>
                <w:sz w:val="20"/>
                <w:szCs w:val="20"/>
                <w:color w:val="auto"/>
              </w:rPr>
            </w:pPr>
            <w:r>
              <w:rPr>
                <w:rFonts w:ascii="Arial" w:cs="Arial" w:eastAsia="Arial" w:hAnsi="Arial"/>
                <w:sz w:val="18"/>
                <w:szCs w:val="18"/>
                <w:color w:val="auto"/>
              </w:rPr>
              <w:t>Proceeds from the sale of subsidiaries and property and equipment</w:t>
            </w:r>
          </w:p>
        </w:tc>
        <w:tc>
          <w:tcPr>
            <w:tcW w:w="94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ind w:right="30"/>
              <w:spacing w:after="0" w:line="202" w:lineRule="exact"/>
              <w:rPr>
                <w:sz w:val="20"/>
                <w:szCs w:val="20"/>
                <w:color w:val="auto"/>
              </w:rPr>
            </w:pPr>
            <w:r>
              <w:rPr>
                <w:rFonts w:ascii="Arial" w:cs="Arial" w:eastAsia="Arial" w:hAnsi="Arial"/>
                <w:sz w:val="18"/>
                <w:szCs w:val="18"/>
                <w:color w:val="auto"/>
              </w:rPr>
              <w:t>0.8</w:t>
            </w:r>
          </w:p>
        </w:tc>
        <w:tc>
          <w:tcPr>
            <w:tcW w:w="8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196"/>
        </w:trPr>
        <w:tc>
          <w:tcPr>
            <w:tcW w:w="8160" w:type="dxa"/>
            <w:vAlign w:val="bottom"/>
            <w:tcBorders>
              <w:bottom w:val="single" w:sz="8" w:color="CFF0FC"/>
            </w:tcBorders>
            <w:shd w:val="clear" w:color="auto" w:fill="CFF0FC"/>
          </w:tcPr>
          <w:p>
            <w:pPr>
              <w:ind w:left="780"/>
              <w:spacing w:after="0" w:line="196" w:lineRule="exact"/>
              <w:rPr>
                <w:sz w:val="20"/>
                <w:szCs w:val="20"/>
                <w:color w:val="auto"/>
              </w:rPr>
            </w:pPr>
            <w:r>
              <w:rPr>
                <w:rFonts w:ascii="Arial" w:cs="Arial" w:eastAsia="Arial" w:hAnsi="Arial"/>
                <w:sz w:val="18"/>
                <w:szCs w:val="18"/>
                <w:color w:val="auto"/>
              </w:rPr>
              <w:t>Cash used in investing activities</w:t>
            </w:r>
          </w:p>
        </w:tc>
        <w:tc>
          <w:tcPr>
            <w:tcW w:w="940" w:type="dxa"/>
            <w:vAlign w:val="bottom"/>
            <w:tcBorders>
              <w:bottom w:val="single" w:sz="8" w:color="auto"/>
            </w:tcBorders>
            <w:shd w:val="clear" w:color="auto" w:fill="CFF0FC"/>
          </w:tcPr>
          <w:p>
            <w:pPr>
              <w:spacing w:after="0"/>
              <w:rPr>
                <w:sz w:val="17"/>
                <w:szCs w:val="17"/>
                <w:color w:val="auto"/>
              </w:rPr>
            </w:pPr>
          </w:p>
        </w:tc>
        <w:tc>
          <w:tcPr>
            <w:tcW w:w="5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(18.6 )</w:t>
            </w:r>
          </w:p>
        </w:tc>
        <w:tc>
          <w:tcPr>
            <w:tcW w:w="80" w:type="dxa"/>
            <w:vAlign w:val="bottom"/>
            <w:tcBorders>
              <w:bottom w:val="single" w:sz="8" w:color="CFF0FC"/>
            </w:tcBorders>
            <w:shd w:val="clear" w:color="auto" w:fill="CFF0FC"/>
          </w:tcPr>
          <w:p>
            <w:pPr>
              <w:spacing w:after="0"/>
              <w:rPr>
                <w:sz w:val="17"/>
                <w:szCs w:val="17"/>
                <w:color w:val="auto"/>
              </w:rPr>
            </w:pPr>
          </w:p>
        </w:tc>
        <w:tc>
          <w:tcPr>
            <w:tcW w:w="400" w:type="dxa"/>
            <w:vAlign w:val="bottom"/>
            <w:tcBorders>
              <w:bottom w:val="single" w:sz="8" w:color="auto"/>
            </w:tcBorders>
            <w:shd w:val="clear" w:color="auto" w:fill="CFF0FC"/>
          </w:tcPr>
          <w:p>
            <w:pPr>
              <w:spacing w:after="0"/>
              <w:rPr>
                <w:sz w:val="17"/>
                <w:szCs w:val="17"/>
                <w:color w:val="auto"/>
              </w:rPr>
            </w:pPr>
          </w:p>
        </w:tc>
        <w:tc>
          <w:tcPr>
            <w:tcW w:w="10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(19.1 )</w:t>
            </w:r>
          </w:p>
        </w:tc>
        <w:tc>
          <w:tcPr>
            <w:tcW w:w="0" w:type="dxa"/>
            <w:vAlign w:val="bottom"/>
          </w:tcPr>
          <w:p>
            <w:pPr>
              <w:spacing w:after="0"/>
              <w:rPr>
                <w:sz w:val="1"/>
                <w:szCs w:val="1"/>
                <w:color w:val="auto"/>
              </w:rPr>
            </w:pPr>
          </w:p>
        </w:tc>
      </w:tr>
      <w:tr>
        <w:trPr>
          <w:trHeight w:val="196"/>
        </w:trPr>
        <w:tc>
          <w:tcPr>
            <w:tcW w:w="8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81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b w:val="1"/>
                <w:bCs w:val="1"/>
                <w:color w:val="auto"/>
              </w:rPr>
              <w:t>Cash Flows from Financing Activities:</w:t>
            </w:r>
          </w:p>
        </w:tc>
        <w:tc>
          <w:tcPr>
            <w:tcW w:w="94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160" w:type="dxa"/>
            <w:vAlign w:val="bottom"/>
          </w:tcPr>
          <w:p>
            <w:pPr>
              <w:ind w:left="120"/>
              <w:spacing w:after="0" w:line="202" w:lineRule="exact"/>
              <w:rPr>
                <w:sz w:val="20"/>
                <w:szCs w:val="20"/>
                <w:color w:val="auto"/>
              </w:rPr>
            </w:pPr>
            <w:r>
              <w:rPr>
                <w:rFonts w:ascii="Arial" w:cs="Arial" w:eastAsia="Arial" w:hAnsi="Arial"/>
                <w:sz w:val="18"/>
                <w:szCs w:val="18"/>
                <w:color w:val="auto"/>
              </w:rPr>
              <w:t>Net change in short-term borrowings</w:t>
            </w:r>
          </w:p>
        </w:tc>
        <w:tc>
          <w:tcPr>
            <w:tcW w:w="94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(3.7 )</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03"/>
        </w:trPr>
        <w:tc>
          <w:tcPr>
            <w:tcW w:w="8160" w:type="dxa"/>
            <w:vAlign w:val="bottom"/>
            <w:shd w:val="clear" w:color="auto" w:fill="CFF0FC"/>
          </w:tcPr>
          <w:p>
            <w:pPr>
              <w:ind w:left="120"/>
              <w:spacing w:after="0" w:line="202" w:lineRule="exact"/>
              <w:rPr>
                <w:sz w:val="20"/>
                <w:szCs w:val="20"/>
                <w:color w:val="auto"/>
              </w:rPr>
            </w:pPr>
            <w:r>
              <w:rPr>
                <w:rFonts w:ascii="Arial" w:cs="Arial" w:eastAsia="Arial" w:hAnsi="Arial"/>
                <w:sz w:val="18"/>
                <w:szCs w:val="18"/>
                <w:color w:val="auto"/>
              </w:rPr>
              <w:t>Repayments of revolving debt facility</w:t>
            </w:r>
          </w:p>
        </w:tc>
        <w:tc>
          <w:tcPr>
            <w:tcW w:w="940" w:type="dxa"/>
            <w:vAlign w:val="bottom"/>
            <w:shd w:val="clear" w:color="auto" w:fill="CFF0FC"/>
          </w:tcPr>
          <w:p>
            <w:pPr>
              <w:spacing w:after="0"/>
              <w:rPr>
                <w:sz w:val="17"/>
                <w:szCs w:val="17"/>
                <w:color w:val="auto"/>
              </w:rPr>
            </w:pPr>
          </w:p>
        </w:tc>
        <w:tc>
          <w:tcPr>
            <w:tcW w:w="5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(25.0 )</w:t>
            </w:r>
          </w:p>
        </w:tc>
        <w:tc>
          <w:tcPr>
            <w:tcW w:w="8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080" w:type="dxa"/>
            <w:vAlign w:val="bottom"/>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8160" w:type="dxa"/>
            <w:vAlign w:val="bottom"/>
          </w:tcPr>
          <w:p>
            <w:pPr>
              <w:ind w:left="120"/>
              <w:spacing w:after="0" w:line="202" w:lineRule="exact"/>
              <w:rPr>
                <w:sz w:val="20"/>
                <w:szCs w:val="20"/>
                <w:color w:val="auto"/>
              </w:rPr>
            </w:pPr>
            <w:r>
              <w:rPr>
                <w:rFonts w:ascii="Arial" w:cs="Arial" w:eastAsia="Arial" w:hAnsi="Arial"/>
                <w:sz w:val="18"/>
                <w:szCs w:val="18"/>
                <w:color w:val="auto"/>
              </w:rPr>
              <w:t>Proceeds from long-term debt</w:t>
            </w:r>
          </w:p>
        </w:tc>
        <w:tc>
          <w:tcPr>
            <w:tcW w:w="940" w:type="dxa"/>
            <w:vAlign w:val="bottom"/>
          </w:tcPr>
          <w:p>
            <w:pPr>
              <w:spacing w:after="0"/>
              <w:rPr>
                <w:sz w:val="17"/>
                <w:szCs w:val="17"/>
                <w:color w:val="auto"/>
              </w:rPr>
            </w:pPr>
          </w:p>
        </w:tc>
        <w:tc>
          <w:tcPr>
            <w:tcW w:w="580" w:type="dxa"/>
            <w:vAlign w:val="bottom"/>
          </w:tcPr>
          <w:p>
            <w:pPr>
              <w:jc w:val="right"/>
              <w:ind w:right="30"/>
              <w:spacing w:after="0" w:line="202" w:lineRule="exact"/>
              <w:rPr>
                <w:sz w:val="20"/>
                <w:szCs w:val="20"/>
                <w:color w:val="auto"/>
              </w:rPr>
            </w:pPr>
            <w:r>
              <w:rPr>
                <w:rFonts w:ascii="Arial" w:cs="Arial" w:eastAsia="Arial" w:hAnsi="Arial"/>
                <w:sz w:val="18"/>
                <w:szCs w:val="18"/>
                <w:color w:val="auto"/>
              </w:rPr>
              <w:t>0.7</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03"/>
        </w:trPr>
        <w:tc>
          <w:tcPr>
            <w:tcW w:w="8160" w:type="dxa"/>
            <w:vAlign w:val="bottom"/>
            <w:shd w:val="clear" w:color="auto" w:fill="CFF0FC"/>
          </w:tcPr>
          <w:p>
            <w:pPr>
              <w:ind w:left="120"/>
              <w:spacing w:after="0" w:line="202" w:lineRule="exact"/>
              <w:rPr>
                <w:sz w:val="20"/>
                <w:szCs w:val="20"/>
                <w:color w:val="auto"/>
              </w:rPr>
            </w:pPr>
            <w:r>
              <w:rPr>
                <w:rFonts w:ascii="Arial" w:cs="Arial" w:eastAsia="Arial" w:hAnsi="Arial"/>
                <w:sz w:val="18"/>
                <w:szCs w:val="18"/>
                <w:color w:val="auto"/>
              </w:rPr>
              <w:t>Repayments of long-term debt</w:t>
            </w:r>
          </w:p>
        </w:tc>
        <w:tc>
          <w:tcPr>
            <w:tcW w:w="940" w:type="dxa"/>
            <w:vAlign w:val="bottom"/>
            <w:shd w:val="clear" w:color="auto" w:fill="CFF0FC"/>
          </w:tcPr>
          <w:p>
            <w:pPr>
              <w:spacing w:after="0"/>
              <w:rPr>
                <w:sz w:val="17"/>
                <w:szCs w:val="17"/>
                <w:color w:val="auto"/>
              </w:rPr>
            </w:pPr>
          </w:p>
        </w:tc>
        <w:tc>
          <w:tcPr>
            <w:tcW w:w="58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(2.2 )</w:t>
            </w:r>
          </w:p>
        </w:tc>
        <w:tc>
          <w:tcPr>
            <w:tcW w:w="0" w:type="dxa"/>
            <w:vAlign w:val="bottom"/>
          </w:tcPr>
          <w:p>
            <w:pPr>
              <w:spacing w:after="0"/>
              <w:rPr>
                <w:sz w:val="1"/>
                <w:szCs w:val="1"/>
                <w:color w:val="auto"/>
              </w:rPr>
            </w:pPr>
          </w:p>
        </w:tc>
      </w:tr>
      <w:tr>
        <w:trPr>
          <w:trHeight w:val="203"/>
        </w:trPr>
        <w:tc>
          <w:tcPr>
            <w:tcW w:w="8160" w:type="dxa"/>
            <w:vAlign w:val="bottom"/>
          </w:tcPr>
          <w:p>
            <w:pPr>
              <w:ind w:left="120"/>
              <w:spacing w:after="0" w:line="202" w:lineRule="exact"/>
              <w:rPr>
                <w:sz w:val="20"/>
                <w:szCs w:val="20"/>
                <w:color w:val="auto"/>
              </w:rPr>
            </w:pPr>
            <w:r>
              <w:rPr>
                <w:rFonts w:ascii="Arial" w:cs="Arial" w:eastAsia="Arial" w:hAnsi="Arial"/>
                <w:sz w:val="18"/>
                <w:szCs w:val="18"/>
                <w:color w:val="auto"/>
              </w:rPr>
              <w:t>Payments of contingent consideration for acquisitions</w:t>
            </w:r>
          </w:p>
        </w:tc>
        <w:tc>
          <w:tcPr>
            <w:tcW w:w="940" w:type="dxa"/>
            <w:vAlign w:val="bottom"/>
          </w:tcPr>
          <w:p>
            <w:pPr>
              <w:spacing w:after="0"/>
              <w:rPr>
                <w:sz w:val="17"/>
                <w:szCs w:val="17"/>
                <w:color w:val="auto"/>
              </w:rPr>
            </w:pPr>
          </w:p>
        </w:tc>
        <w:tc>
          <w:tcPr>
            <w:tcW w:w="580" w:type="dxa"/>
            <w:vAlign w:val="bottom"/>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(5.8 )</w:t>
            </w:r>
          </w:p>
        </w:tc>
        <w:tc>
          <w:tcPr>
            <w:tcW w:w="0" w:type="dxa"/>
            <w:vAlign w:val="bottom"/>
          </w:tcPr>
          <w:p>
            <w:pPr>
              <w:spacing w:after="0"/>
              <w:rPr>
                <w:sz w:val="1"/>
                <w:szCs w:val="1"/>
                <w:color w:val="auto"/>
              </w:rPr>
            </w:pPr>
          </w:p>
        </w:tc>
      </w:tr>
      <w:tr>
        <w:trPr>
          <w:trHeight w:val="203"/>
        </w:trPr>
        <w:tc>
          <w:tcPr>
            <w:tcW w:w="8160" w:type="dxa"/>
            <w:vAlign w:val="bottom"/>
            <w:shd w:val="clear" w:color="auto" w:fill="CFF0FC"/>
          </w:tcPr>
          <w:p>
            <w:pPr>
              <w:ind w:left="120"/>
              <w:spacing w:after="0" w:line="202" w:lineRule="exact"/>
              <w:rPr>
                <w:sz w:val="20"/>
                <w:szCs w:val="20"/>
                <w:color w:val="auto"/>
              </w:rPr>
            </w:pPr>
            <w:r>
              <w:rPr>
                <w:rFonts w:ascii="Arial" w:cs="Arial" w:eastAsia="Arial" w:hAnsi="Arial"/>
                <w:sz w:val="18"/>
                <w:szCs w:val="18"/>
                <w:color w:val="auto"/>
              </w:rPr>
              <w:t>Proceeds from share-based awards</w:t>
            </w:r>
          </w:p>
        </w:tc>
        <w:tc>
          <w:tcPr>
            <w:tcW w:w="940" w:type="dxa"/>
            <w:vAlign w:val="bottom"/>
            <w:shd w:val="clear" w:color="auto" w:fill="CFF0FC"/>
          </w:tcPr>
          <w:p>
            <w:pPr>
              <w:spacing w:after="0"/>
              <w:rPr>
                <w:sz w:val="17"/>
                <w:szCs w:val="17"/>
                <w:color w:val="auto"/>
              </w:rPr>
            </w:pPr>
          </w:p>
        </w:tc>
        <w:tc>
          <w:tcPr>
            <w:tcW w:w="58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0.3</w:t>
            </w:r>
          </w:p>
        </w:tc>
        <w:tc>
          <w:tcPr>
            <w:tcW w:w="8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080" w:type="dxa"/>
            <w:vAlign w:val="bottom"/>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03"/>
        </w:trPr>
        <w:tc>
          <w:tcPr>
            <w:tcW w:w="8160" w:type="dxa"/>
            <w:vAlign w:val="bottom"/>
          </w:tcPr>
          <w:p>
            <w:pPr>
              <w:ind w:left="120"/>
              <w:spacing w:after="0" w:line="202" w:lineRule="exact"/>
              <w:rPr>
                <w:sz w:val="20"/>
                <w:szCs w:val="20"/>
                <w:color w:val="auto"/>
              </w:rPr>
            </w:pPr>
            <w:r>
              <w:rPr>
                <w:rFonts w:ascii="Arial" w:cs="Arial" w:eastAsia="Arial" w:hAnsi="Arial"/>
                <w:sz w:val="18"/>
                <w:szCs w:val="18"/>
                <w:color w:val="auto"/>
              </w:rPr>
              <w:t>Other share-based award transactions</w:t>
            </w:r>
          </w:p>
        </w:tc>
        <w:tc>
          <w:tcPr>
            <w:tcW w:w="94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(8.2 )</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(4.6 )</w:t>
            </w:r>
          </w:p>
        </w:tc>
        <w:tc>
          <w:tcPr>
            <w:tcW w:w="0" w:type="dxa"/>
            <w:vAlign w:val="bottom"/>
          </w:tcPr>
          <w:p>
            <w:pPr>
              <w:spacing w:after="0"/>
              <w:rPr>
                <w:sz w:val="1"/>
                <w:szCs w:val="1"/>
                <w:color w:val="auto"/>
              </w:rPr>
            </w:pPr>
          </w:p>
        </w:tc>
      </w:tr>
      <w:tr>
        <w:trPr>
          <w:trHeight w:val="203"/>
        </w:trPr>
        <w:tc>
          <w:tcPr>
            <w:tcW w:w="8160" w:type="dxa"/>
            <w:vAlign w:val="bottom"/>
            <w:shd w:val="clear" w:color="auto" w:fill="CFF0FC"/>
          </w:tcPr>
          <w:p>
            <w:pPr>
              <w:ind w:left="120"/>
              <w:spacing w:after="0" w:line="202" w:lineRule="exact"/>
              <w:rPr>
                <w:sz w:val="20"/>
                <w:szCs w:val="20"/>
                <w:color w:val="auto"/>
              </w:rPr>
            </w:pPr>
            <w:r>
              <w:rPr>
                <w:rFonts w:ascii="Arial" w:cs="Arial" w:eastAsia="Arial" w:hAnsi="Arial"/>
                <w:sz w:val="18"/>
                <w:szCs w:val="18"/>
                <w:color w:val="auto"/>
              </w:rPr>
              <w:t>Repurchases of common stock</w:t>
            </w:r>
          </w:p>
        </w:tc>
        <w:tc>
          <w:tcPr>
            <w:tcW w:w="940" w:type="dxa"/>
            <w:vAlign w:val="bottom"/>
            <w:tcBorders>
              <w:bottom w:val="single" w:sz="8" w:color="auto"/>
            </w:tcBorders>
            <w:shd w:val="clear" w:color="auto" w:fill="CFF0FC"/>
          </w:tcPr>
          <w:p>
            <w:pPr>
              <w:spacing w:after="0"/>
              <w:rPr>
                <w:sz w:val="17"/>
                <w:szCs w:val="17"/>
                <w:color w:val="auto"/>
              </w:rPr>
            </w:pPr>
          </w:p>
        </w:tc>
        <w:tc>
          <w:tcPr>
            <w:tcW w:w="5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(59.9 )</w:t>
            </w:r>
          </w:p>
        </w:tc>
        <w:tc>
          <w:tcPr>
            <w:tcW w:w="80" w:type="dxa"/>
            <w:vAlign w:val="bottom"/>
            <w:shd w:val="clear" w:color="auto" w:fill="CFF0FC"/>
          </w:tcPr>
          <w:p>
            <w:pPr>
              <w:spacing w:after="0"/>
              <w:rPr>
                <w:sz w:val="17"/>
                <w:szCs w:val="17"/>
                <w:color w:val="auto"/>
              </w:rPr>
            </w:pPr>
          </w:p>
        </w:tc>
        <w:tc>
          <w:tcPr>
            <w:tcW w:w="400" w:type="dxa"/>
            <w:vAlign w:val="bottom"/>
            <w:tcBorders>
              <w:bottom w:val="single" w:sz="8" w:color="auto"/>
            </w:tcBorders>
            <w:shd w:val="clear" w:color="auto" w:fill="CFF0FC"/>
          </w:tcPr>
          <w:p>
            <w:pPr>
              <w:spacing w:after="0"/>
              <w:rPr>
                <w:sz w:val="17"/>
                <w:szCs w:val="17"/>
                <w:color w:val="auto"/>
              </w:rPr>
            </w:pPr>
          </w:p>
        </w:tc>
        <w:tc>
          <w:tcPr>
            <w:tcW w:w="10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(100.1 )</w:t>
            </w:r>
          </w:p>
        </w:tc>
        <w:tc>
          <w:tcPr>
            <w:tcW w:w="0" w:type="dxa"/>
            <w:vAlign w:val="bottom"/>
          </w:tcPr>
          <w:p>
            <w:pPr>
              <w:spacing w:after="0"/>
              <w:rPr>
                <w:sz w:val="1"/>
                <w:szCs w:val="1"/>
                <w:color w:val="auto"/>
              </w:rPr>
            </w:pPr>
          </w:p>
        </w:tc>
      </w:tr>
      <w:tr>
        <w:trPr>
          <w:trHeight w:val="183"/>
        </w:trPr>
        <w:tc>
          <w:tcPr>
            <w:tcW w:w="8160" w:type="dxa"/>
            <w:vAlign w:val="bottom"/>
          </w:tcPr>
          <w:p>
            <w:pPr>
              <w:ind w:left="780"/>
              <w:spacing w:after="0" w:line="182" w:lineRule="exact"/>
              <w:rPr>
                <w:sz w:val="20"/>
                <w:szCs w:val="20"/>
                <w:color w:val="auto"/>
              </w:rPr>
            </w:pPr>
            <w:r>
              <w:rPr>
                <w:rFonts w:ascii="Arial" w:cs="Arial" w:eastAsia="Arial" w:hAnsi="Arial"/>
                <w:sz w:val="18"/>
                <w:szCs w:val="18"/>
                <w:color w:val="auto"/>
              </w:rPr>
              <w:t>Cash used in financing activities</w:t>
            </w:r>
          </w:p>
        </w:tc>
        <w:tc>
          <w:tcPr>
            <w:tcW w:w="9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(95.8 )</w:t>
            </w:r>
          </w:p>
        </w:tc>
        <w:tc>
          <w:tcPr>
            <w:tcW w:w="8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(106.0 )</w:t>
            </w:r>
          </w:p>
        </w:tc>
        <w:tc>
          <w:tcPr>
            <w:tcW w:w="0" w:type="dxa"/>
            <w:vAlign w:val="bottom"/>
          </w:tcPr>
          <w:p>
            <w:pPr>
              <w:spacing w:after="0"/>
              <w:rPr>
                <w:sz w:val="1"/>
                <w:szCs w:val="1"/>
                <w:color w:val="auto"/>
              </w:rPr>
            </w:pPr>
          </w:p>
        </w:tc>
      </w:tr>
      <w:tr>
        <w:trPr>
          <w:trHeight w:val="196"/>
        </w:trPr>
        <w:tc>
          <w:tcPr>
            <w:tcW w:w="816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160" w:type="dxa"/>
            <w:vAlign w:val="bottom"/>
          </w:tcPr>
          <w:p>
            <w:pPr>
              <w:ind w:left="20"/>
              <w:spacing w:after="0" w:line="202" w:lineRule="exact"/>
              <w:rPr>
                <w:sz w:val="20"/>
                <w:szCs w:val="20"/>
                <w:color w:val="auto"/>
              </w:rPr>
            </w:pPr>
            <w:r>
              <w:rPr>
                <w:rFonts w:ascii="Arial" w:cs="Arial" w:eastAsia="Arial" w:hAnsi="Arial"/>
                <w:sz w:val="18"/>
                <w:szCs w:val="18"/>
                <w:color w:val="auto"/>
              </w:rPr>
              <w:t>Effect of exchange rate changes on cash</w:t>
            </w:r>
          </w:p>
        </w:tc>
        <w:tc>
          <w:tcPr>
            <w:tcW w:w="94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(26.7 )</w:t>
            </w:r>
          </w:p>
        </w:tc>
        <w:tc>
          <w:tcPr>
            <w:tcW w:w="8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(60.2 )</w:t>
            </w:r>
          </w:p>
        </w:tc>
        <w:tc>
          <w:tcPr>
            <w:tcW w:w="0" w:type="dxa"/>
            <w:vAlign w:val="bottom"/>
          </w:tcPr>
          <w:p>
            <w:pPr>
              <w:spacing w:after="0"/>
              <w:rPr>
                <w:sz w:val="1"/>
                <w:szCs w:val="1"/>
                <w:color w:val="auto"/>
              </w:rPr>
            </w:pPr>
          </w:p>
        </w:tc>
      </w:tr>
      <w:tr>
        <w:trPr>
          <w:trHeight w:val="196"/>
        </w:trPr>
        <w:tc>
          <w:tcPr>
            <w:tcW w:w="816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Change in cash and cash equivalents</w:t>
            </w:r>
          </w:p>
        </w:tc>
        <w:tc>
          <w:tcPr>
            <w:tcW w:w="940" w:type="dxa"/>
            <w:vAlign w:val="bottom"/>
            <w:shd w:val="clear" w:color="auto" w:fill="CFF0FC"/>
          </w:tcPr>
          <w:p>
            <w:pPr>
              <w:spacing w:after="0"/>
              <w:rPr>
                <w:sz w:val="17"/>
                <w:szCs w:val="17"/>
                <w:color w:val="auto"/>
              </w:rPr>
            </w:pPr>
          </w:p>
        </w:tc>
        <w:tc>
          <w:tcPr>
            <w:tcW w:w="5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(70.5 )</w:t>
            </w:r>
          </w:p>
        </w:tc>
        <w:tc>
          <w:tcPr>
            <w:tcW w:w="8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(44.4 )</w:t>
            </w:r>
          </w:p>
        </w:tc>
        <w:tc>
          <w:tcPr>
            <w:tcW w:w="0" w:type="dxa"/>
            <w:vAlign w:val="bottom"/>
          </w:tcPr>
          <w:p>
            <w:pPr>
              <w:spacing w:after="0"/>
              <w:rPr>
                <w:sz w:val="1"/>
                <w:szCs w:val="1"/>
                <w:color w:val="auto"/>
              </w:rPr>
            </w:pPr>
          </w:p>
        </w:tc>
      </w:tr>
      <w:tr>
        <w:trPr>
          <w:trHeight w:val="203"/>
        </w:trPr>
        <w:tc>
          <w:tcPr>
            <w:tcW w:w="8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16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Cash and cash equivalents, beginning of period</w:t>
            </w:r>
          </w:p>
        </w:tc>
        <w:tc>
          <w:tcPr>
            <w:tcW w:w="940" w:type="dxa"/>
            <w:vAlign w:val="bottom"/>
            <w:tcBorders>
              <w:bottom w:val="single" w:sz="8" w:color="auto"/>
            </w:tcBorders>
            <w:shd w:val="clear" w:color="auto" w:fill="CFF0FC"/>
          </w:tcPr>
          <w:p>
            <w:pPr>
              <w:spacing w:after="0"/>
              <w:rPr>
                <w:sz w:val="17"/>
                <w:szCs w:val="17"/>
                <w:color w:val="auto"/>
              </w:rPr>
            </w:pPr>
          </w:p>
        </w:tc>
        <w:tc>
          <w:tcPr>
            <w:tcW w:w="580" w:type="dxa"/>
            <w:vAlign w:val="bottom"/>
            <w:tcBorders>
              <w:bottom w:val="single" w:sz="8" w:color="auto"/>
            </w:tcBorders>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w w:val="97"/>
              </w:rPr>
              <w:t>847.8</w:t>
            </w:r>
          </w:p>
        </w:tc>
        <w:tc>
          <w:tcPr>
            <w:tcW w:w="80" w:type="dxa"/>
            <w:vAlign w:val="bottom"/>
            <w:tcBorders>
              <w:bottom w:val="single" w:sz="8" w:color="CFF0FC"/>
            </w:tcBorders>
            <w:shd w:val="clear" w:color="auto" w:fill="CFF0FC"/>
          </w:tcPr>
          <w:p>
            <w:pPr>
              <w:spacing w:after="0"/>
              <w:rPr>
                <w:sz w:val="17"/>
                <w:szCs w:val="17"/>
                <w:color w:val="auto"/>
              </w:rPr>
            </w:pPr>
          </w:p>
        </w:tc>
        <w:tc>
          <w:tcPr>
            <w:tcW w:w="400" w:type="dxa"/>
            <w:vAlign w:val="bottom"/>
            <w:tcBorders>
              <w:bottom w:val="single" w:sz="8" w:color="auto"/>
            </w:tcBorders>
            <w:shd w:val="clear" w:color="auto" w:fill="CFF0FC"/>
          </w:tcPr>
          <w:p>
            <w:pPr>
              <w:spacing w:after="0"/>
              <w:rPr>
                <w:sz w:val="17"/>
                <w:szCs w:val="17"/>
                <w:color w:val="auto"/>
              </w:rPr>
            </w:pPr>
          </w:p>
        </w:tc>
        <w:tc>
          <w:tcPr>
            <w:tcW w:w="1080" w:type="dxa"/>
            <w:vAlign w:val="bottom"/>
            <w:tcBorders>
              <w:bottom w:val="single" w:sz="8" w:color="auto"/>
            </w:tcBorders>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1,567.1</w:t>
            </w:r>
          </w:p>
        </w:tc>
        <w:tc>
          <w:tcPr>
            <w:tcW w:w="0" w:type="dxa"/>
            <w:vAlign w:val="bottom"/>
          </w:tcPr>
          <w:p>
            <w:pPr>
              <w:spacing w:after="0"/>
              <w:rPr>
                <w:sz w:val="1"/>
                <w:szCs w:val="1"/>
                <w:color w:val="auto"/>
              </w:rPr>
            </w:pPr>
          </w:p>
        </w:tc>
      </w:tr>
      <w:tr>
        <w:trPr>
          <w:trHeight w:val="196"/>
        </w:trPr>
        <w:tc>
          <w:tcPr>
            <w:tcW w:w="8160" w:type="dxa"/>
            <w:vAlign w:val="bottom"/>
          </w:tcPr>
          <w:p>
            <w:pPr>
              <w:ind w:left="20"/>
              <w:spacing w:after="0" w:line="196" w:lineRule="exact"/>
              <w:rPr>
                <w:sz w:val="20"/>
                <w:szCs w:val="20"/>
                <w:color w:val="auto"/>
              </w:rPr>
            </w:pPr>
            <w:r>
              <w:rPr>
                <w:rFonts w:ascii="Arial" w:cs="Arial" w:eastAsia="Arial" w:hAnsi="Arial"/>
                <w:sz w:val="18"/>
                <w:szCs w:val="18"/>
                <w:color w:val="auto"/>
              </w:rPr>
              <w:t>Cash and cash equivalents, end of period</w:t>
            </w:r>
          </w:p>
        </w:tc>
        <w:tc>
          <w:tcPr>
            <w:tcW w:w="940" w:type="dxa"/>
            <w:vAlign w:val="bottom"/>
          </w:tcPr>
          <w:p>
            <w:pPr>
              <w:jc w:val="right"/>
              <w:ind w:right="750"/>
              <w:spacing w:after="0" w:line="196" w:lineRule="exact"/>
              <w:rPr>
                <w:sz w:val="20"/>
                <w:szCs w:val="20"/>
                <w:color w:val="auto"/>
              </w:rPr>
            </w:pPr>
            <w:r>
              <w:rPr>
                <w:rFonts w:ascii="Arial" w:cs="Arial" w:eastAsia="Arial" w:hAnsi="Arial"/>
                <w:sz w:val="18"/>
                <w:szCs w:val="18"/>
                <w:color w:val="auto"/>
                <w:w w:val="79"/>
              </w:rPr>
              <w:t>$</w:t>
            </w:r>
          </w:p>
        </w:tc>
        <w:tc>
          <w:tcPr>
            <w:tcW w:w="580" w:type="dxa"/>
            <w:vAlign w:val="bottom"/>
          </w:tcPr>
          <w:p>
            <w:pPr>
              <w:jc w:val="right"/>
              <w:ind w:right="30"/>
              <w:spacing w:after="0" w:line="196" w:lineRule="exact"/>
              <w:rPr>
                <w:sz w:val="20"/>
                <w:szCs w:val="20"/>
                <w:color w:val="auto"/>
              </w:rPr>
            </w:pPr>
            <w:r>
              <w:rPr>
                <w:rFonts w:ascii="Arial" w:cs="Arial" w:eastAsia="Arial" w:hAnsi="Arial"/>
                <w:sz w:val="18"/>
                <w:szCs w:val="18"/>
                <w:color w:val="auto"/>
                <w:w w:val="97"/>
              </w:rPr>
              <w:t>777.3</w:t>
            </w:r>
          </w:p>
        </w:tc>
        <w:tc>
          <w:tcPr>
            <w:tcW w:w="480" w:type="dxa"/>
            <w:vAlign w:val="bottom"/>
            <w:gridSpan w:val="2"/>
          </w:tcPr>
          <w:p>
            <w:pPr>
              <w:jc w:val="right"/>
              <w:ind w:right="210"/>
              <w:spacing w:after="0" w:line="196" w:lineRule="exact"/>
              <w:rPr>
                <w:sz w:val="20"/>
                <w:szCs w:val="20"/>
                <w:color w:val="auto"/>
              </w:rPr>
            </w:pPr>
            <w:r>
              <w:rPr>
                <w:rFonts w:ascii="Arial" w:cs="Arial" w:eastAsia="Arial" w:hAnsi="Arial"/>
                <w:sz w:val="18"/>
                <w:szCs w:val="18"/>
                <w:color w:val="auto"/>
              </w:rPr>
              <w:t>$</w:t>
            </w:r>
          </w:p>
        </w:tc>
        <w:tc>
          <w:tcPr>
            <w:tcW w:w="1080" w:type="dxa"/>
            <w:vAlign w:val="bottom"/>
          </w:tcPr>
          <w:p>
            <w:pPr>
              <w:jc w:val="right"/>
              <w:ind w:right="10"/>
              <w:spacing w:after="0" w:line="196" w:lineRule="exact"/>
              <w:rPr>
                <w:sz w:val="20"/>
                <w:szCs w:val="20"/>
                <w:color w:val="auto"/>
              </w:rPr>
            </w:pPr>
            <w:r>
              <w:rPr>
                <w:rFonts w:ascii="Arial" w:cs="Arial" w:eastAsia="Arial" w:hAnsi="Arial"/>
                <w:sz w:val="18"/>
                <w:szCs w:val="18"/>
                <w:color w:val="auto"/>
              </w:rPr>
              <w:t>1,522.7</w:t>
            </w:r>
          </w:p>
        </w:tc>
        <w:tc>
          <w:tcPr>
            <w:tcW w:w="0" w:type="dxa"/>
            <w:vAlign w:val="bottom"/>
          </w:tcPr>
          <w:p>
            <w:pPr>
              <w:spacing w:after="0"/>
              <w:rPr>
                <w:sz w:val="1"/>
                <w:szCs w:val="1"/>
                <w:color w:val="auto"/>
              </w:rPr>
            </w:pPr>
          </w:p>
        </w:tc>
      </w:tr>
      <w:tr>
        <w:trPr>
          <w:trHeight w:val="20"/>
        </w:trPr>
        <w:tc>
          <w:tcPr>
            <w:tcW w:w="816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16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8160" w:type="dxa"/>
            <w:vAlign w:val="bottom"/>
          </w:tcPr>
          <w:p>
            <w:pPr>
              <w:ind w:left="20"/>
              <w:spacing w:after="0" w:line="202" w:lineRule="exact"/>
              <w:rPr>
                <w:sz w:val="20"/>
                <w:szCs w:val="20"/>
                <w:color w:val="auto"/>
              </w:rPr>
            </w:pPr>
            <w:r>
              <w:rPr>
                <w:rFonts w:ascii="Arial" w:cs="Arial" w:eastAsia="Arial" w:hAnsi="Arial"/>
                <w:sz w:val="18"/>
                <w:szCs w:val="18"/>
                <w:b w:val="1"/>
                <w:bCs w:val="1"/>
                <w:color w:val="auto"/>
              </w:rPr>
              <w:t>Supplemental Cash Flow Information:</w:t>
            </w:r>
          </w:p>
        </w:tc>
        <w:tc>
          <w:tcPr>
            <w:tcW w:w="9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816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Interest Paid</w:t>
            </w:r>
          </w:p>
        </w:tc>
        <w:tc>
          <w:tcPr>
            <w:tcW w:w="940" w:type="dxa"/>
            <w:vAlign w:val="bottom"/>
            <w:tcBorders>
              <w:bottom w:val="single" w:sz="8" w:color="auto"/>
            </w:tcBorders>
            <w:shd w:val="clear" w:color="auto" w:fill="CFF0FC"/>
          </w:tcPr>
          <w:p>
            <w:pPr>
              <w:jc w:val="right"/>
              <w:ind w:right="750"/>
              <w:spacing w:after="0" w:line="202" w:lineRule="exact"/>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5.9</w:t>
            </w:r>
          </w:p>
        </w:tc>
        <w:tc>
          <w:tcPr>
            <w:tcW w:w="80" w:type="dxa"/>
            <w:vAlign w:val="bottom"/>
            <w:tcBorders>
              <w:bottom w:val="single" w:sz="8" w:color="CFF0FC"/>
            </w:tcBorders>
            <w:shd w:val="clear" w:color="auto" w:fill="CFF0FC"/>
          </w:tcPr>
          <w:p>
            <w:pPr>
              <w:spacing w:after="0"/>
              <w:rPr>
                <w:sz w:val="21"/>
                <w:szCs w:val="21"/>
                <w:color w:val="auto"/>
              </w:rPr>
            </w:pPr>
          </w:p>
        </w:tc>
        <w:tc>
          <w:tcPr>
            <w:tcW w:w="400" w:type="dxa"/>
            <w:vAlign w:val="bottom"/>
            <w:tcBorders>
              <w:bottom w:val="single" w:sz="8" w:color="auto"/>
            </w:tcBorders>
            <w:shd w:val="clear" w:color="auto" w:fill="CFF0FC"/>
          </w:tcPr>
          <w:p>
            <w:pPr>
              <w:jc w:val="right"/>
              <w:ind w:right="210"/>
              <w:spacing w:after="0" w:line="202" w:lineRule="exact"/>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183"/>
        </w:trPr>
        <w:tc>
          <w:tcPr>
            <w:tcW w:w="8160" w:type="dxa"/>
            <w:vAlign w:val="bottom"/>
          </w:tcPr>
          <w:p>
            <w:pPr>
              <w:ind w:left="20"/>
              <w:spacing w:after="0" w:line="183" w:lineRule="exact"/>
              <w:rPr>
                <w:sz w:val="20"/>
                <w:szCs w:val="20"/>
                <w:color w:val="auto"/>
              </w:rPr>
            </w:pPr>
            <w:r>
              <w:rPr>
                <w:rFonts w:ascii="Arial" w:cs="Arial" w:eastAsia="Arial" w:hAnsi="Arial"/>
                <w:sz w:val="18"/>
                <w:szCs w:val="18"/>
                <w:color w:val="auto"/>
              </w:rPr>
              <w:t>Income taxes paid, net</w:t>
            </w:r>
          </w:p>
        </w:tc>
        <w:tc>
          <w:tcPr>
            <w:tcW w:w="940" w:type="dxa"/>
            <w:vAlign w:val="bottom"/>
          </w:tcPr>
          <w:p>
            <w:pPr>
              <w:jc w:val="right"/>
              <w:ind w:right="750"/>
              <w:spacing w:after="0" w:line="183" w:lineRule="exact"/>
              <w:rPr>
                <w:sz w:val="20"/>
                <w:szCs w:val="20"/>
                <w:color w:val="auto"/>
              </w:rPr>
            </w:pPr>
            <w:r>
              <w:rPr>
                <w:rFonts w:ascii="Arial" w:cs="Arial" w:eastAsia="Arial" w:hAnsi="Arial"/>
                <w:sz w:val="18"/>
                <w:szCs w:val="18"/>
                <w:color w:val="auto"/>
                <w:w w:val="79"/>
              </w:rPr>
              <w:t>$</w:t>
            </w:r>
          </w:p>
        </w:tc>
        <w:tc>
          <w:tcPr>
            <w:tcW w:w="580" w:type="dxa"/>
            <w:vAlign w:val="bottom"/>
          </w:tcPr>
          <w:p>
            <w:pPr>
              <w:jc w:val="right"/>
              <w:ind w:right="30"/>
              <w:spacing w:after="0" w:line="183" w:lineRule="exact"/>
              <w:rPr>
                <w:sz w:val="20"/>
                <w:szCs w:val="20"/>
                <w:color w:val="auto"/>
              </w:rPr>
            </w:pPr>
            <w:r>
              <w:rPr>
                <w:rFonts w:ascii="Arial" w:cs="Arial" w:eastAsia="Arial" w:hAnsi="Arial"/>
                <w:sz w:val="18"/>
                <w:szCs w:val="18"/>
                <w:color w:val="auto"/>
              </w:rPr>
              <w:t>14.0</w:t>
            </w:r>
          </w:p>
        </w:tc>
        <w:tc>
          <w:tcPr>
            <w:tcW w:w="480" w:type="dxa"/>
            <w:vAlign w:val="bottom"/>
            <w:gridSpan w:val="2"/>
          </w:tcPr>
          <w:p>
            <w:pPr>
              <w:jc w:val="right"/>
              <w:ind w:right="210"/>
              <w:spacing w:after="0" w:line="183" w:lineRule="exact"/>
              <w:rPr>
                <w:sz w:val="20"/>
                <w:szCs w:val="20"/>
                <w:color w:val="auto"/>
              </w:rPr>
            </w:pPr>
            <w:r>
              <w:rPr>
                <w:rFonts w:ascii="Arial" w:cs="Arial" w:eastAsia="Arial" w:hAnsi="Arial"/>
                <w:sz w:val="18"/>
                <w:szCs w:val="18"/>
                <w:color w:val="auto"/>
              </w:rPr>
              <w:t>$</w:t>
            </w:r>
          </w:p>
        </w:tc>
        <w:tc>
          <w:tcPr>
            <w:tcW w:w="1080" w:type="dxa"/>
            <w:vAlign w:val="bottom"/>
          </w:tcPr>
          <w:p>
            <w:pPr>
              <w:jc w:val="right"/>
              <w:ind w:right="10"/>
              <w:spacing w:after="0" w:line="183" w:lineRule="exact"/>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r>
        <w:trPr>
          <w:trHeight w:val="20"/>
        </w:trPr>
        <w:tc>
          <w:tcPr>
            <w:tcW w:w="816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8160" w:type="dxa"/>
            <w:vAlign w:val="bottom"/>
            <w:shd w:val="clear" w:color="auto" w:fill="CFF0FC"/>
          </w:tcPr>
          <w:p>
            <w:pPr>
              <w:ind w:left="20"/>
              <w:spacing w:after="0" w:line="142" w:lineRule="exact"/>
              <w:rPr>
                <w:sz w:val="20"/>
                <w:szCs w:val="20"/>
                <w:color w:val="auto"/>
              </w:rPr>
            </w:pPr>
            <w:r>
              <w:rPr>
                <w:rFonts w:ascii="Arial" w:cs="Arial" w:eastAsia="Arial" w:hAnsi="Arial"/>
                <w:sz w:val="16"/>
                <w:szCs w:val="16"/>
                <w:color w:val="auto"/>
              </w:rPr>
              <w:t>Non-cash operating activity:</w:t>
            </w:r>
          </w:p>
        </w:tc>
        <w:tc>
          <w:tcPr>
            <w:tcW w:w="940" w:type="dxa"/>
            <w:vAlign w:val="bottom"/>
            <w:vMerge w:val="restart"/>
            <w:shd w:val="clear" w:color="auto" w:fill="CFF0FC"/>
          </w:tcPr>
          <w:p>
            <w:pPr>
              <w:jc w:val="right"/>
              <w:ind w:right="750"/>
              <w:spacing w:after="0"/>
              <w:rPr>
                <w:sz w:val="20"/>
                <w:szCs w:val="20"/>
                <w:color w:val="auto"/>
              </w:rPr>
            </w:pPr>
            <w:r>
              <w:rPr>
                <w:rFonts w:ascii="Arial" w:cs="Arial" w:eastAsia="Arial" w:hAnsi="Arial"/>
                <w:sz w:val="18"/>
                <w:szCs w:val="18"/>
                <w:color w:val="auto"/>
                <w:w w:val="79"/>
              </w:rPr>
              <w:t>$</w:t>
            </w:r>
          </w:p>
        </w:tc>
        <w:tc>
          <w:tcPr>
            <w:tcW w:w="580" w:type="dxa"/>
            <w:vAlign w:val="bottom"/>
            <w:vMerge w:val="restart"/>
            <w:shd w:val="clear" w:color="auto" w:fill="CFF0FC"/>
          </w:tcPr>
          <w:p>
            <w:pPr>
              <w:jc w:val="right"/>
              <w:ind w:right="30"/>
              <w:spacing w:after="0"/>
              <w:rPr>
                <w:sz w:val="20"/>
                <w:szCs w:val="20"/>
                <w:color w:val="auto"/>
              </w:rPr>
            </w:pPr>
            <w:r>
              <w:rPr>
                <w:rFonts w:ascii="Arial" w:cs="Arial" w:eastAsia="Arial" w:hAnsi="Arial"/>
                <w:sz w:val="18"/>
                <w:szCs w:val="18"/>
                <w:color w:val="auto"/>
              </w:rPr>
              <w:t>9.5</w:t>
            </w:r>
          </w:p>
        </w:tc>
        <w:tc>
          <w:tcPr>
            <w:tcW w:w="80" w:type="dxa"/>
            <w:vAlign w:val="bottom"/>
            <w:vMerge w:val="restart"/>
            <w:shd w:val="clear" w:color="auto" w:fill="CFF0FC"/>
          </w:tcPr>
          <w:p>
            <w:pPr>
              <w:spacing w:after="0"/>
              <w:rPr>
                <w:sz w:val="12"/>
                <w:szCs w:val="12"/>
                <w:color w:val="auto"/>
              </w:rPr>
            </w:pPr>
          </w:p>
        </w:tc>
        <w:tc>
          <w:tcPr>
            <w:tcW w:w="400" w:type="dxa"/>
            <w:vAlign w:val="bottom"/>
            <w:vMerge w:val="restart"/>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1080" w:type="dxa"/>
            <w:vAlign w:val="bottom"/>
            <w:vMerge w:val="restart"/>
            <w:shd w:val="clear" w:color="auto" w:fill="CFF0FC"/>
          </w:tcPr>
          <w:p>
            <w:pPr>
              <w:jc w:val="right"/>
              <w:ind w:right="10"/>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15"/>
        </w:trPr>
        <w:tc>
          <w:tcPr>
            <w:tcW w:w="8160" w:type="dxa"/>
            <w:vAlign w:val="bottom"/>
            <w:tcBorders>
              <w:bottom w:val="single" w:sz="8" w:color="CFF0FC"/>
            </w:tcBorders>
            <w:shd w:val="clear" w:color="auto" w:fill="CFF0FC"/>
          </w:tcPr>
          <w:p>
            <w:pPr>
              <w:ind w:left="200"/>
              <w:spacing w:after="0" w:line="156" w:lineRule="exact"/>
              <w:rPr>
                <w:sz w:val="20"/>
                <w:szCs w:val="20"/>
                <w:color w:val="auto"/>
              </w:rPr>
            </w:pPr>
            <w:r>
              <w:rPr>
                <w:rFonts w:ascii="Arial" w:cs="Arial" w:eastAsia="Arial" w:hAnsi="Arial"/>
                <w:sz w:val="18"/>
                <w:szCs w:val="18"/>
                <w:color w:val="auto"/>
              </w:rPr>
              <w:t>Right-of-use assets obtained in exchange for new operating lease liabilities</w:t>
            </w:r>
          </w:p>
        </w:tc>
        <w:tc>
          <w:tcPr>
            <w:tcW w:w="940" w:type="dxa"/>
            <w:vAlign w:val="bottom"/>
            <w:tcBorders>
              <w:bottom w:val="single" w:sz="8" w:color="auto"/>
            </w:tcBorders>
            <w:vMerge w:val="continue"/>
            <w:shd w:val="clear" w:color="auto" w:fill="CFF0FC"/>
          </w:tcPr>
          <w:p>
            <w:pPr>
              <w:spacing w:after="0"/>
              <w:rPr>
                <w:sz w:val="18"/>
                <w:szCs w:val="18"/>
                <w:color w:val="auto"/>
              </w:rPr>
            </w:pPr>
          </w:p>
        </w:tc>
        <w:tc>
          <w:tcPr>
            <w:tcW w:w="580" w:type="dxa"/>
            <w:vAlign w:val="bottom"/>
            <w:tcBorders>
              <w:bottom w:val="single" w:sz="8" w:color="auto"/>
            </w:tcBorders>
            <w:vMerge w:val="continue"/>
            <w:shd w:val="clear" w:color="auto" w:fill="CFF0FC"/>
          </w:tcPr>
          <w:p>
            <w:pPr>
              <w:spacing w:after="0"/>
              <w:rPr>
                <w:sz w:val="18"/>
                <w:szCs w:val="18"/>
                <w:color w:val="auto"/>
              </w:rPr>
            </w:pPr>
          </w:p>
        </w:tc>
        <w:tc>
          <w:tcPr>
            <w:tcW w:w="80" w:type="dxa"/>
            <w:vAlign w:val="bottom"/>
            <w:tcBorders>
              <w:bottom w:val="single" w:sz="8" w:color="CFF0FC"/>
            </w:tcBorders>
            <w:vMerge w:val="continue"/>
            <w:shd w:val="clear" w:color="auto" w:fill="CFF0FC"/>
          </w:tcPr>
          <w:p>
            <w:pPr>
              <w:spacing w:after="0"/>
              <w:rPr>
                <w:sz w:val="18"/>
                <w:szCs w:val="18"/>
                <w:color w:val="auto"/>
              </w:rPr>
            </w:pPr>
          </w:p>
        </w:tc>
        <w:tc>
          <w:tcPr>
            <w:tcW w:w="400" w:type="dxa"/>
            <w:vAlign w:val="bottom"/>
            <w:tcBorders>
              <w:bottom w:val="single" w:sz="8" w:color="auto"/>
            </w:tcBorders>
            <w:vMerge w:val="continue"/>
            <w:shd w:val="clear" w:color="auto" w:fill="CFF0FC"/>
          </w:tcPr>
          <w:p>
            <w:pPr>
              <w:spacing w:after="0"/>
              <w:rPr>
                <w:sz w:val="18"/>
                <w:szCs w:val="18"/>
                <w:color w:val="auto"/>
              </w:rPr>
            </w:pPr>
          </w:p>
        </w:tc>
        <w:tc>
          <w:tcPr>
            <w:tcW w:w="1080" w:type="dxa"/>
            <w:vAlign w:val="bottom"/>
            <w:tcBorders>
              <w:bottom w:val="single" w:sz="8" w:color="auto"/>
            </w:tcBorders>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6142990</wp:posOffset>
            </wp:positionH>
            <wp:positionV relativeFrom="paragraph">
              <wp:posOffset>-3836670</wp:posOffset>
            </wp:positionV>
            <wp:extent cx="51435" cy="57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-3048000</wp:posOffset>
            </wp:positionV>
            <wp:extent cx="51435" cy="57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6130290</wp:posOffset>
            </wp:positionH>
            <wp:positionV relativeFrom="paragraph">
              <wp:posOffset>-1769110</wp:posOffset>
            </wp:positionV>
            <wp:extent cx="76835" cy="1625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6835" cy="162560"/>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-965200</wp:posOffset>
            </wp:positionV>
            <wp:extent cx="51435" cy="57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-419100</wp:posOffset>
            </wp:positionV>
            <wp:extent cx="5143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-401955</wp:posOffset>
            </wp:positionV>
            <wp:extent cx="5143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-24765</wp:posOffset>
            </wp:positionV>
            <wp:extent cx="5143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-7620</wp:posOffset>
            </wp:positionV>
            <wp:extent cx="5143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to Consolidated Financial Statements are an integral part of these statements.</w:t>
      </w:r>
    </w:p>
    <w:p>
      <w:pPr>
        <w:spacing w:after="0" w:line="239"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ManpowerGroup Inc.</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Shareholders' Equity (Unaudited)</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share and per share data)</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280" w:type="dxa"/>
            <w:vAlign w:val="bottom"/>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220" w:type="dxa"/>
            <w:vAlign w:val="bottom"/>
            <w:tcBorders>
              <w:bottom w:val="single" w:sz="8" w:color="auto"/>
            </w:tcBorders>
            <w:gridSpan w:val="4"/>
          </w:tcPr>
          <w:p>
            <w:pPr>
              <w:ind w:left="40"/>
              <w:spacing w:after="0"/>
              <w:rPr>
                <w:sz w:val="20"/>
                <w:szCs w:val="20"/>
                <w:color w:val="auto"/>
              </w:rPr>
            </w:pPr>
            <w:r>
              <w:rPr>
                <w:rFonts w:ascii="Arial" w:cs="Arial" w:eastAsia="Arial" w:hAnsi="Arial"/>
                <w:sz w:val="16"/>
                <w:szCs w:val="16"/>
                <w:b w:val="1"/>
                <w:bCs w:val="1"/>
                <w:color w:val="auto"/>
                <w:w w:val="92"/>
              </w:rPr>
              <w:t>ManpowerGroup Shareholders</w:t>
            </w:r>
          </w:p>
        </w:tc>
        <w:tc>
          <w:tcPr>
            <w:tcW w:w="13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2280" w:type="dxa"/>
            <w:vAlign w:val="bottom"/>
          </w:tcPr>
          <w:p>
            <w:pPr>
              <w:spacing w:after="0"/>
              <w:rPr>
                <w:sz w:val="15"/>
                <w:szCs w:val="15"/>
                <w:color w:val="auto"/>
              </w:rPr>
            </w:pPr>
          </w:p>
        </w:tc>
        <w:tc>
          <w:tcPr>
            <w:tcW w:w="1800" w:type="dxa"/>
            <w:vAlign w:val="bottom"/>
            <w:tcBorders>
              <w:bottom w:val="single" w:sz="8" w:color="auto"/>
            </w:tcBorders>
            <w:gridSpan w:val="2"/>
          </w:tcPr>
          <w:p>
            <w:pPr>
              <w:ind w:left="480"/>
              <w:spacing w:after="0" w:line="183" w:lineRule="exact"/>
              <w:rPr>
                <w:sz w:val="20"/>
                <w:szCs w:val="20"/>
                <w:color w:val="auto"/>
              </w:rPr>
            </w:pPr>
            <w:r>
              <w:rPr>
                <w:rFonts w:ascii="Arial" w:cs="Arial" w:eastAsia="Arial" w:hAnsi="Arial"/>
                <w:sz w:val="16"/>
                <w:szCs w:val="16"/>
                <w:b w:val="1"/>
                <w:bCs w:val="1"/>
                <w:color w:val="auto"/>
              </w:rPr>
              <w:t>Common Stock</w:t>
            </w:r>
          </w:p>
        </w:tc>
        <w:tc>
          <w:tcPr>
            <w:tcW w:w="30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20" w:type="dxa"/>
            <w:vAlign w:val="bottom"/>
            <w:vMerge w:val="restart"/>
          </w:tcPr>
          <w:p>
            <w:pPr>
              <w:jc w:val="center"/>
              <w:ind w:right="159"/>
              <w:spacing w:after="0"/>
              <w:rPr>
                <w:sz w:val="20"/>
                <w:szCs w:val="20"/>
                <w:color w:val="auto"/>
              </w:rPr>
            </w:pPr>
            <w:r>
              <w:rPr>
                <w:rFonts w:ascii="Arial" w:cs="Arial" w:eastAsia="Arial" w:hAnsi="Arial"/>
                <w:sz w:val="16"/>
                <w:szCs w:val="16"/>
                <w:b w:val="1"/>
                <w:bCs w:val="1"/>
                <w:color w:val="auto"/>
                <w:w w:val="91"/>
              </w:rPr>
              <w:t>Accumulated</w:t>
            </w: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2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Capital in</w:t>
            </w: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vMerge w:val="restart"/>
          </w:tcPr>
          <w:p>
            <w:pPr>
              <w:jc w:val="center"/>
              <w:ind w:right="159"/>
              <w:spacing w:after="0"/>
              <w:rPr>
                <w:sz w:val="20"/>
                <w:szCs w:val="20"/>
                <w:color w:val="auto"/>
              </w:rPr>
            </w:pPr>
            <w:r>
              <w:rPr>
                <w:rFonts w:ascii="Arial" w:cs="Arial" w:eastAsia="Arial" w:hAnsi="Arial"/>
                <w:sz w:val="16"/>
                <w:szCs w:val="16"/>
                <w:b w:val="1"/>
                <w:bCs w:val="1"/>
                <w:color w:val="auto"/>
                <w:w w:val="93"/>
              </w:rPr>
              <w:t>Non-</w:t>
            </w: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280" w:type="dxa"/>
            <w:vAlign w:val="bottom"/>
          </w:tcPr>
          <w:p>
            <w:pPr>
              <w:spacing w:after="0"/>
              <w:rPr>
                <w:sz w:val="14"/>
                <w:szCs w:val="14"/>
                <w:color w:val="auto"/>
              </w:rPr>
            </w:pPr>
          </w:p>
        </w:tc>
        <w:tc>
          <w:tcPr>
            <w:tcW w:w="1020" w:type="dxa"/>
            <w:vAlign w:val="bottom"/>
            <w:vMerge w:val="restart"/>
          </w:tcPr>
          <w:p>
            <w:pPr>
              <w:ind w:left="240"/>
              <w:spacing w:after="0"/>
              <w:rPr>
                <w:sz w:val="20"/>
                <w:szCs w:val="20"/>
                <w:color w:val="auto"/>
              </w:rPr>
            </w:pPr>
            <w:r>
              <w:rPr>
                <w:rFonts w:ascii="Arial" w:cs="Arial" w:eastAsia="Arial" w:hAnsi="Arial"/>
                <w:sz w:val="16"/>
                <w:szCs w:val="16"/>
                <w:b w:val="1"/>
                <w:bCs w:val="1"/>
                <w:color w:val="auto"/>
              </w:rPr>
              <w:t>Shares</w:t>
            </w:r>
          </w:p>
        </w:tc>
        <w:tc>
          <w:tcPr>
            <w:tcW w:w="780" w:type="dxa"/>
            <w:vAlign w:val="bottom"/>
            <w:vMerge w:val="restart"/>
          </w:tcPr>
          <w:p>
            <w:pPr>
              <w:jc w:val="center"/>
              <w:ind w:left="239"/>
              <w:spacing w:after="0"/>
              <w:rPr>
                <w:sz w:val="20"/>
                <w:szCs w:val="20"/>
                <w:color w:val="auto"/>
              </w:rPr>
            </w:pPr>
            <w:r>
              <w:rPr>
                <w:rFonts w:ascii="Arial" w:cs="Arial" w:eastAsia="Arial" w:hAnsi="Arial"/>
                <w:sz w:val="16"/>
                <w:szCs w:val="16"/>
                <w:b w:val="1"/>
                <w:bCs w:val="1"/>
                <w:color w:val="auto"/>
              </w:rPr>
              <w:t>Par</w:t>
            </w: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vMerge w:val="restart"/>
          </w:tcPr>
          <w:p>
            <w:pPr>
              <w:ind w:left="60"/>
              <w:spacing w:after="0"/>
              <w:rPr>
                <w:sz w:val="20"/>
                <w:szCs w:val="20"/>
                <w:color w:val="auto"/>
              </w:rPr>
            </w:pPr>
            <w:r>
              <w:rPr>
                <w:rFonts w:ascii="Arial" w:cs="Arial" w:eastAsia="Arial" w:hAnsi="Arial"/>
                <w:sz w:val="16"/>
                <w:szCs w:val="16"/>
                <w:b w:val="1"/>
                <w:bCs w:val="1"/>
                <w:color w:val="auto"/>
              </w:rPr>
              <w:t>Retained</w:t>
            </w:r>
          </w:p>
        </w:tc>
        <w:tc>
          <w:tcPr>
            <w:tcW w:w="200" w:type="dxa"/>
            <w:vAlign w:val="bottom"/>
          </w:tcPr>
          <w:p>
            <w:pPr>
              <w:spacing w:after="0"/>
              <w:rPr>
                <w:sz w:val="14"/>
                <w:szCs w:val="14"/>
                <w:color w:val="auto"/>
              </w:rPr>
            </w:pPr>
          </w:p>
        </w:tc>
        <w:tc>
          <w:tcPr>
            <w:tcW w:w="1320" w:type="dxa"/>
            <w:vAlign w:val="bottom"/>
          </w:tcPr>
          <w:p>
            <w:pPr>
              <w:jc w:val="center"/>
              <w:ind w:right="139"/>
              <w:spacing w:after="0" w:line="162" w:lineRule="exact"/>
              <w:rPr>
                <w:sz w:val="20"/>
                <w:szCs w:val="20"/>
                <w:color w:val="auto"/>
              </w:rPr>
            </w:pPr>
            <w:r>
              <w:rPr>
                <w:rFonts w:ascii="Arial" w:cs="Arial" w:eastAsia="Arial" w:hAnsi="Arial"/>
                <w:sz w:val="16"/>
                <w:szCs w:val="16"/>
                <w:b w:val="1"/>
                <w:bCs w:val="1"/>
                <w:color w:val="auto"/>
                <w:w w:val="98"/>
              </w:rPr>
              <w:t>Other</w:t>
            </w:r>
          </w:p>
        </w:tc>
        <w:tc>
          <w:tcPr>
            <w:tcW w:w="160" w:type="dxa"/>
            <w:vAlign w:val="bottom"/>
          </w:tcPr>
          <w:p>
            <w:pPr>
              <w:spacing w:after="0"/>
              <w:rPr>
                <w:sz w:val="14"/>
                <w:szCs w:val="14"/>
                <w:color w:val="auto"/>
              </w:rPr>
            </w:pPr>
          </w:p>
        </w:tc>
        <w:tc>
          <w:tcPr>
            <w:tcW w:w="960" w:type="dxa"/>
            <w:vAlign w:val="bottom"/>
            <w:gridSpan w:val="3"/>
            <w:vMerge w:val="restart"/>
          </w:tcPr>
          <w:p>
            <w:pPr>
              <w:jc w:val="center"/>
              <w:ind w:right="240"/>
              <w:spacing w:after="0"/>
              <w:rPr>
                <w:sz w:val="20"/>
                <w:szCs w:val="20"/>
                <w:color w:val="auto"/>
              </w:rPr>
            </w:pPr>
            <w:r>
              <w:rPr>
                <w:rFonts w:ascii="Arial" w:cs="Arial" w:eastAsia="Arial" w:hAnsi="Arial"/>
                <w:sz w:val="16"/>
                <w:szCs w:val="16"/>
                <w:b w:val="1"/>
                <w:bCs w:val="1"/>
                <w:color w:val="auto"/>
                <w:w w:val="94"/>
              </w:rPr>
              <w:t>Treasury</w:t>
            </w:r>
          </w:p>
        </w:tc>
        <w:tc>
          <w:tcPr>
            <w:tcW w:w="12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2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ind w:left="60"/>
              <w:spacing w:after="0" w:line="162" w:lineRule="exact"/>
              <w:rPr>
                <w:sz w:val="20"/>
                <w:szCs w:val="20"/>
                <w:color w:val="auto"/>
              </w:rPr>
            </w:pPr>
            <w:r>
              <w:rPr>
                <w:rFonts w:ascii="Arial" w:cs="Arial" w:eastAsia="Arial" w:hAnsi="Arial"/>
                <w:sz w:val="16"/>
                <w:szCs w:val="16"/>
                <w:b w:val="1"/>
                <w:bCs w:val="1"/>
                <w:color w:val="auto"/>
              </w:rPr>
              <w:t>Excess of</w:t>
            </w:r>
          </w:p>
        </w:tc>
        <w:tc>
          <w:tcPr>
            <w:tcW w:w="16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320" w:type="dxa"/>
            <w:vAlign w:val="bottom"/>
          </w:tcPr>
          <w:p>
            <w:pPr>
              <w:jc w:val="center"/>
              <w:ind w:right="159"/>
              <w:spacing w:after="0" w:line="162" w:lineRule="exact"/>
              <w:rPr>
                <w:sz w:val="20"/>
                <w:szCs w:val="20"/>
                <w:color w:val="auto"/>
              </w:rPr>
            </w:pPr>
            <w:r>
              <w:rPr>
                <w:rFonts w:ascii="Arial" w:cs="Arial" w:eastAsia="Arial" w:hAnsi="Arial"/>
                <w:sz w:val="16"/>
                <w:szCs w:val="16"/>
                <w:b w:val="1"/>
                <w:bCs w:val="1"/>
                <w:color w:val="auto"/>
                <w:w w:val="89"/>
              </w:rPr>
              <w:t>Comprehensive</w:t>
            </w:r>
          </w:p>
        </w:tc>
        <w:tc>
          <w:tcPr>
            <w:tcW w:w="160" w:type="dxa"/>
            <w:vAlign w:val="bottom"/>
          </w:tcPr>
          <w:p>
            <w:pPr>
              <w:spacing w:after="0"/>
              <w:rPr>
                <w:sz w:val="14"/>
                <w:szCs w:val="14"/>
                <w:color w:val="auto"/>
              </w:rPr>
            </w:pPr>
          </w:p>
        </w:tc>
        <w:tc>
          <w:tcPr>
            <w:tcW w:w="960" w:type="dxa"/>
            <w:vAlign w:val="bottom"/>
            <w:gridSpan w:val="3"/>
            <w:vMerge w:val="continue"/>
          </w:tcPr>
          <w:p>
            <w:pPr>
              <w:spacing w:after="0"/>
              <w:rPr>
                <w:sz w:val="14"/>
                <w:szCs w:val="14"/>
                <w:color w:val="auto"/>
              </w:rPr>
            </w:pPr>
          </w:p>
        </w:tc>
        <w:tc>
          <w:tcPr>
            <w:tcW w:w="1020" w:type="dxa"/>
            <w:vAlign w:val="bottom"/>
            <w:gridSpan w:val="2"/>
          </w:tcPr>
          <w:p>
            <w:pPr>
              <w:jc w:val="center"/>
              <w:ind w:right="19"/>
              <w:spacing w:after="0" w:line="162" w:lineRule="exact"/>
              <w:rPr>
                <w:sz w:val="20"/>
                <w:szCs w:val="20"/>
                <w:color w:val="auto"/>
              </w:rPr>
            </w:pPr>
            <w:r>
              <w:rPr>
                <w:rFonts w:ascii="Arial" w:cs="Arial" w:eastAsia="Arial" w:hAnsi="Arial"/>
                <w:sz w:val="16"/>
                <w:szCs w:val="16"/>
                <w:b w:val="1"/>
                <w:bCs w:val="1"/>
                <w:color w:val="auto"/>
                <w:w w:val="93"/>
              </w:rPr>
              <w:t>Controlling</w:t>
            </w:r>
          </w:p>
        </w:tc>
        <w:tc>
          <w:tcPr>
            <w:tcW w:w="200" w:type="dxa"/>
            <w:vAlign w:val="bottom"/>
          </w:tcPr>
          <w:p>
            <w:pPr>
              <w:spacing w:after="0"/>
              <w:rPr>
                <w:sz w:val="14"/>
                <w:szCs w:val="14"/>
                <w:color w:val="auto"/>
              </w:rPr>
            </w:pPr>
          </w:p>
        </w:tc>
        <w:tc>
          <w:tcPr>
            <w:tcW w:w="800" w:type="dxa"/>
            <w:vAlign w:val="bottom"/>
            <w:vMerge w:val="restart"/>
          </w:tcPr>
          <w:p>
            <w:pPr>
              <w:jc w:val="right"/>
              <w:ind w:right="25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03"/>
        </w:trPr>
        <w:tc>
          <w:tcPr>
            <w:tcW w:w="22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ind w:left="260"/>
              <w:spacing w:after="0"/>
              <w:rPr>
                <w:sz w:val="20"/>
                <w:szCs w:val="20"/>
                <w:color w:val="auto"/>
              </w:rPr>
            </w:pPr>
            <w:r>
              <w:rPr>
                <w:rFonts w:ascii="Arial" w:cs="Arial" w:eastAsia="Arial" w:hAnsi="Arial"/>
                <w:sz w:val="16"/>
                <w:szCs w:val="16"/>
                <w:b w:val="1"/>
                <w:bCs w:val="1"/>
                <w:color w:val="auto"/>
              </w:rPr>
              <w:t>Issued</w:t>
            </w:r>
          </w:p>
        </w:tc>
        <w:tc>
          <w:tcPr>
            <w:tcW w:w="780" w:type="dxa"/>
            <w:vAlign w:val="bottom"/>
            <w:tcBorders>
              <w:bottom w:val="single" w:sz="8" w:color="auto"/>
            </w:tcBorders>
          </w:tcPr>
          <w:p>
            <w:pPr>
              <w:jc w:val="center"/>
              <w:ind w:left="239"/>
              <w:spacing w:after="0"/>
              <w:rPr>
                <w:sz w:val="20"/>
                <w:szCs w:val="20"/>
                <w:color w:val="auto"/>
              </w:rPr>
            </w:pPr>
            <w:r>
              <w:rPr>
                <w:rFonts w:ascii="Arial" w:cs="Arial" w:eastAsia="Arial" w:hAnsi="Arial"/>
                <w:sz w:val="16"/>
                <w:szCs w:val="16"/>
                <w:b w:val="1"/>
                <w:bCs w:val="1"/>
                <w:color w:val="auto"/>
                <w:w w:val="88"/>
              </w:rPr>
              <w:t>Value</w:t>
            </w:r>
          </w:p>
        </w:tc>
        <w:tc>
          <w:tcPr>
            <w:tcW w:w="3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Par Value</w:t>
            </w:r>
          </w:p>
        </w:tc>
        <w:tc>
          <w:tcPr>
            <w:tcW w:w="1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Earnings</w:t>
            </w:r>
          </w:p>
        </w:tc>
        <w:tc>
          <w:tcPr>
            <w:tcW w:w="20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center"/>
              <w:ind w:right="159"/>
              <w:spacing w:after="0"/>
              <w:rPr>
                <w:sz w:val="20"/>
                <w:szCs w:val="20"/>
                <w:color w:val="auto"/>
              </w:rPr>
            </w:pPr>
            <w:r>
              <w:rPr>
                <w:rFonts w:ascii="Arial" w:cs="Arial" w:eastAsia="Arial" w:hAnsi="Arial"/>
                <w:sz w:val="16"/>
                <w:szCs w:val="16"/>
                <w:b w:val="1"/>
                <w:bCs w:val="1"/>
                <w:color w:val="auto"/>
                <w:w w:val="85"/>
              </w:rPr>
              <w:t>Loss</w:t>
            </w:r>
          </w:p>
        </w:tc>
        <w:tc>
          <w:tcPr>
            <w:tcW w:w="1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gridSpan w:val="3"/>
          </w:tcPr>
          <w:p>
            <w:pPr>
              <w:jc w:val="center"/>
              <w:ind w:right="240"/>
              <w:spacing w:after="0"/>
              <w:rPr>
                <w:sz w:val="20"/>
                <w:szCs w:val="20"/>
                <w:color w:val="auto"/>
              </w:rPr>
            </w:pPr>
            <w:r>
              <w:rPr>
                <w:rFonts w:ascii="Arial" w:cs="Arial" w:eastAsia="Arial" w:hAnsi="Arial"/>
                <w:sz w:val="16"/>
                <w:szCs w:val="16"/>
                <w:b w:val="1"/>
                <w:bCs w:val="1"/>
                <w:color w:val="auto"/>
                <w:w w:val="91"/>
              </w:rPr>
              <w:t>Stock</w:t>
            </w:r>
          </w:p>
        </w:tc>
        <w:tc>
          <w:tcPr>
            <w:tcW w:w="1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center"/>
              <w:ind w:right="139"/>
              <w:spacing w:after="0"/>
              <w:rPr>
                <w:sz w:val="20"/>
                <w:szCs w:val="20"/>
                <w:color w:val="auto"/>
              </w:rPr>
            </w:pPr>
            <w:r>
              <w:rPr>
                <w:rFonts w:ascii="Arial" w:cs="Arial" w:eastAsia="Arial" w:hAnsi="Arial"/>
                <w:sz w:val="16"/>
                <w:szCs w:val="16"/>
                <w:b w:val="1"/>
                <w:bCs w:val="1"/>
                <w:color w:val="auto"/>
                <w:w w:val="89"/>
              </w:rPr>
              <w:t>Interests</w:t>
            </w: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2280" w:type="dxa"/>
            <w:vAlign w:val="bottom"/>
            <w:shd w:val="clear" w:color="auto" w:fill="CFF0FC"/>
          </w:tcPr>
          <w:p>
            <w:pPr>
              <w:ind w:left="20"/>
              <w:spacing w:after="0" w:line="183" w:lineRule="exact"/>
              <w:rPr>
                <w:sz w:val="20"/>
                <w:szCs w:val="20"/>
                <w:color w:val="auto"/>
              </w:rPr>
            </w:pPr>
            <w:r>
              <w:rPr>
                <w:rFonts w:ascii="Arial" w:cs="Arial" w:eastAsia="Arial" w:hAnsi="Arial"/>
                <w:sz w:val="16"/>
                <w:szCs w:val="16"/>
                <w:color w:val="auto"/>
              </w:rPr>
              <w:t>Balance, December 31, 2021</w:t>
            </w:r>
          </w:p>
        </w:tc>
        <w:tc>
          <w:tcPr>
            <w:tcW w:w="102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117,762,065</w:t>
            </w:r>
          </w:p>
        </w:tc>
        <w:tc>
          <w:tcPr>
            <w:tcW w:w="780" w:type="dxa"/>
            <w:vAlign w:val="bottom"/>
            <w:shd w:val="clear" w:color="auto" w:fill="CFF0FC"/>
          </w:tcPr>
          <w:p>
            <w:pPr>
              <w:jc w:val="right"/>
              <w:ind w:right="539"/>
              <w:spacing w:after="0" w:line="183" w:lineRule="exact"/>
              <w:rPr>
                <w:sz w:val="20"/>
                <w:szCs w:val="20"/>
                <w:color w:val="auto"/>
              </w:rPr>
            </w:pPr>
            <w:r>
              <w:rPr>
                <w:rFonts w:ascii="Arial" w:cs="Arial" w:eastAsia="Arial" w:hAnsi="Arial"/>
                <w:sz w:val="16"/>
                <w:szCs w:val="16"/>
                <w:color w:val="auto"/>
              </w:rPr>
              <w:t>$</w:t>
            </w:r>
          </w:p>
        </w:tc>
        <w:tc>
          <w:tcPr>
            <w:tcW w:w="30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w w:val="98"/>
              </w:rPr>
              <w:t>1.2</w:t>
            </w:r>
          </w:p>
        </w:tc>
        <w:tc>
          <w:tcPr>
            <w:tcW w:w="18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w:t>
            </w:r>
          </w:p>
        </w:tc>
        <w:tc>
          <w:tcPr>
            <w:tcW w:w="960" w:type="dxa"/>
            <w:vAlign w:val="bottom"/>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3,444.7</w:t>
            </w:r>
          </w:p>
        </w:tc>
        <w:tc>
          <w:tcPr>
            <w:tcW w:w="16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w:t>
            </w:r>
          </w:p>
        </w:tc>
        <w:tc>
          <w:tcPr>
            <w:tcW w:w="90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3,634.6</w:t>
            </w:r>
          </w:p>
        </w:tc>
        <w:tc>
          <w:tcPr>
            <w:tcW w:w="20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w:t>
            </w:r>
          </w:p>
        </w:tc>
        <w:tc>
          <w:tcPr>
            <w:tcW w:w="132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(389.4 )</w:t>
            </w:r>
          </w:p>
        </w:tc>
        <w:tc>
          <w:tcPr>
            <w:tcW w:w="16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w:t>
            </w:r>
          </w:p>
        </w:tc>
        <w:tc>
          <w:tcPr>
            <w:tcW w:w="1080" w:type="dxa"/>
            <w:vAlign w:val="bottom"/>
            <w:gridSpan w:val="4"/>
            <w:shd w:val="clear" w:color="auto" w:fill="CFF0FC"/>
          </w:tcPr>
          <w:p>
            <w:pPr>
              <w:jc w:val="right"/>
              <w:spacing w:after="0" w:line="183" w:lineRule="exact"/>
              <w:rPr>
                <w:sz w:val="20"/>
                <w:szCs w:val="20"/>
                <w:color w:val="auto"/>
              </w:rPr>
            </w:pPr>
            <w:r>
              <w:rPr>
                <w:rFonts w:ascii="Arial" w:cs="Arial" w:eastAsia="Arial" w:hAnsi="Arial"/>
                <w:sz w:val="16"/>
                <w:szCs w:val="16"/>
                <w:color w:val="auto"/>
              </w:rPr>
              <w:t>(4,169.4 ) $</w:t>
            </w:r>
          </w:p>
        </w:tc>
        <w:tc>
          <w:tcPr>
            <w:tcW w:w="900" w:type="dxa"/>
            <w:vAlign w:val="bottom"/>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10.0</w:t>
            </w:r>
          </w:p>
        </w:tc>
        <w:tc>
          <w:tcPr>
            <w:tcW w:w="200" w:type="dxa"/>
            <w:vAlign w:val="bottom"/>
            <w:shd w:val="clear" w:color="auto" w:fill="CFF0FC"/>
          </w:tcPr>
          <w:p>
            <w:pPr>
              <w:jc w:val="right"/>
              <w:ind w:right="19"/>
              <w:spacing w:after="0" w:line="183" w:lineRule="exact"/>
              <w:rPr>
                <w:sz w:val="20"/>
                <w:szCs w:val="20"/>
                <w:color w:val="auto"/>
              </w:rPr>
            </w:pPr>
            <w:r>
              <w:rPr>
                <w:rFonts w:ascii="Arial" w:cs="Arial" w:eastAsia="Arial" w:hAnsi="Arial"/>
                <w:sz w:val="16"/>
                <w:szCs w:val="16"/>
                <w:color w:val="auto"/>
                <w:w w:val="89"/>
              </w:rPr>
              <w:t>$</w:t>
            </w:r>
          </w:p>
        </w:tc>
        <w:tc>
          <w:tcPr>
            <w:tcW w:w="80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2,531.7</w:t>
            </w:r>
          </w:p>
        </w:tc>
        <w:tc>
          <w:tcPr>
            <w:tcW w:w="0" w:type="dxa"/>
            <w:vAlign w:val="bottom"/>
          </w:tcPr>
          <w:p>
            <w:pPr>
              <w:spacing w:after="0"/>
              <w:rPr>
                <w:sz w:val="1"/>
                <w:szCs w:val="1"/>
                <w:color w:val="auto"/>
              </w:rPr>
            </w:pPr>
          </w:p>
        </w:tc>
      </w:tr>
      <w:tr>
        <w:trPr>
          <w:trHeight w:val="189"/>
        </w:trPr>
        <w:tc>
          <w:tcPr>
            <w:tcW w:w="2280" w:type="dxa"/>
            <w:vAlign w:val="bottom"/>
          </w:tcPr>
          <w:p>
            <w:pPr>
              <w:ind w:left="200"/>
              <w:spacing w:after="0"/>
              <w:rPr>
                <w:sz w:val="20"/>
                <w:szCs w:val="20"/>
                <w:color w:val="auto"/>
              </w:rPr>
            </w:pPr>
            <w:r>
              <w:rPr>
                <w:rFonts w:ascii="Arial" w:cs="Arial" w:eastAsia="Arial" w:hAnsi="Arial"/>
                <w:sz w:val="16"/>
                <w:szCs w:val="16"/>
                <w:color w:val="auto"/>
              </w:rPr>
              <w:t>Net earnings</w:t>
            </w:r>
          </w:p>
        </w:tc>
        <w:tc>
          <w:tcPr>
            <w:tcW w:w="10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91.6</w:t>
            </w:r>
          </w:p>
        </w:tc>
        <w:tc>
          <w:tcPr>
            <w:tcW w:w="2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91.6</w:t>
            </w:r>
          </w:p>
        </w:tc>
        <w:tc>
          <w:tcPr>
            <w:tcW w:w="0" w:type="dxa"/>
            <w:vAlign w:val="bottom"/>
          </w:tcPr>
          <w:p>
            <w:pPr>
              <w:spacing w:after="0"/>
              <w:rPr>
                <w:sz w:val="1"/>
                <w:szCs w:val="1"/>
                <w:color w:val="auto"/>
              </w:rPr>
            </w:pPr>
          </w:p>
        </w:tc>
      </w:tr>
      <w:tr>
        <w:trPr>
          <w:trHeight w:val="189"/>
        </w:trPr>
        <w:tc>
          <w:tcPr>
            <w:tcW w:w="2280" w:type="dxa"/>
            <w:vAlign w:val="bottom"/>
            <w:shd w:val="clear" w:color="auto" w:fill="CFF0FC"/>
          </w:tcPr>
          <w:p>
            <w:pPr>
              <w:ind w:left="200"/>
              <w:spacing w:after="0"/>
              <w:rPr>
                <w:sz w:val="20"/>
                <w:szCs w:val="20"/>
                <w:color w:val="auto"/>
              </w:rPr>
            </w:pPr>
            <w:r>
              <w:rPr>
                <w:rFonts w:ascii="Arial" w:cs="Arial" w:eastAsia="Arial" w:hAnsi="Arial"/>
                <w:sz w:val="16"/>
                <w:szCs w:val="16"/>
                <w:color w:val="auto"/>
              </w:rPr>
              <w:t>Other comprehensive loss</w:t>
            </w:r>
          </w:p>
        </w:tc>
        <w:tc>
          <w:tcPr>
            <w:tcW w:w="102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9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(10.2 )</w:t>
            </w:r>
          </w:p>
        </w:tc>
        <w:tc>
          <w:tcPr>
            <w:tcW w:w="16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(10.2 )</w:t>
            </w:r>
          </w:p>
        </w:tc>
        <w:tc>
          <w:tcPr>
            <w:tcW w:w="0" w:type="dxa"/>
            <w:vAlign w:val="bottom"/>
          </w:tcPr>
          <w:p>
            <w:pPr>
              <w:spacing w:after="0"/>
              <w:rPr>
                <w:sz w:val="1"/>
                <w:szCs w:val="1"/>
                <w:color w:val="auto"/>
              </w:rPr>
            </w:pPr>
          </w:p>
        </w:tc>
      </w:tr>
      <w:tr>
        <w:trPr>
          <w:trHeight w:val="189"/>
        </w:trPr>
        <w:tc>
          <w:tcPr>
            <w:tcW w:w="2280" w:type="dxa"/>
            <w:vAlign w:val="bottom"/>
          </w:tcPr>
          <w:p>
            <w:pPr>
              <w:ind w:left="200"/>
              <w:spacing w:after="0"/>
              <w:rPr>
                <w:sz w:val="20"/>
                <w:szCs w:val="20"/>
                <w:color w:val="auto"/>
              </w:rPr>
            </w:pPr>
            <w:r>
              <w:rPr>
                <w:rFonts w:ascii="Arial" w:cs="Arial" w:eastAsia="Arial" w:hAnsi="Arial"/>
                <w:sz w:val="16"/>
                <w:szCs w:val="16"/>
                <w:color w:val="auto"/>
                <w:w w:val="99"/>
              </w:rPr>
              <w:t>Issuances under equity plans</w:t>
            </w:r>
          </w:p>
        </w:tc>
        <w:tc>
          <w:tcPr>
            <w:tcW w:w="1020" w:type="dxa"/>
            <w:vAlign w:val="bottom"/>
          </w:tcPr>
          <w:p>
            <w:pPr>
              <w:jc w:val="right"/>
              <w:spacing w:after="0"/>
              <w:rPr>
                <w:sz w:val="20"/>
                <w:szCs w:val="20"/>
                <w:color w:val="auto"/>
              </w:rPr>
            </w:pPr>
            <w:r>
              <w:rPr>
                <w:rFonts w:ascii="Arial" w:cs="Arial" w:eastAsia="Arial" w:hAnsi="Arial"/>
                <w:sz w:val="16"/>
                <w:szCs w:val="16"/>
                <w:color w:val="auto"/>
              </w:rPr>
              <w:t>246,804</w:t>
            </w:r>
          </w:p>
        </w:tc>
        <w:tc>
          <w:tcPr>
            <w:tcW w:w="7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(0.1 )</w:t>
            </w: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gridSpan w:val="3"/>
          </w:tcPr>
          <w:p>
            <w:pPr>
              <w:jc w:val="right"/>
              <w:ind w:right="60"/>
              <w:spacing w:after="0"/>
              <w:rPr>
                <w:sz w:val="20"/>
                <w:szCs w:val="20"/>
                <w:color w:val="auto"/>
              </w:rPr>
            </w:pPr>
            <w:r>
              <w:rPr>
                <w:rFonts w:ascii="Arial" w:cs="Arial" w:eastAsia="Arial" w:hAnsi="Arial"/>
                <w:sz w:val="16"/>
                <w:szCs w:val="16"/>
                <w:color w:val="auto"/>
              </w:rPr>
              <w:t>(8.2 )</w:t>
            </w: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(8.3 )</w:t>
            </w:r>
          </w:p>
        </w:tc>
        <w:tc>
          <w:tcPr>
            <w:tcW w:w="0" w:type="dxa"/>
            <w:vAlign w:val="bottom"/>
          </w:tcPr>
          <w:p>
            <w:pPr>
              <w:spacing w:after="0"/>
              <w:rPr>
                <w:sz w:val="1"/>
                <w:szCs w:val="1"/>
                <w:color w:val="auto"/>
              </w:rPr>
            </w:pPr>
          </w:p>
        </w:tc>
      </w:tr>
      <w:tr>
        <w:trPr>
          <w:trHeight w:val="152"/>
        </w:trPr>
        <w:tc>
          <w:tcPr>
            <w:tcW w:w="2280" w:type="dxa"/>
            <w:vAlign w:val="bottom"/>
            <w:shd w:val="clear" w:color="auto" w:fill="CFF0FC"/>
          </w:tcPr>
          <w:p>
            <w:pPr>
              <w:ind w:left="200"/>
              <w:spacing w:after="0" w:line="152" w:lineRule="exact"/>
              <w:rPr>
                <w:sz w:val="20"/>
                <w:szCs w:val="20"/>
                <w:color w:val="auto"/>
              </w:rPr>
            </w:pPr>
            <w:r>
              <w:rPr>
                <w:rFonts w:ascii="Arial" w:cs="Arial" w:eastAsia="Arial" w:hAnsi="Arial"/>
                <w:sz w:val="16"/>
                <w:szCs w:val="16"/>
                <w:color w:val="auto"/>
              </w:rPr>
              <w:t>Share-based compensation</w:t>
            </w:r>
          </w:p>
        </w:tc>
        <w:tc>
          <w:tcPr>
            <w:tcW w:w="102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960" w:type="dxa"/>
            <w:vAlign w:val="bottom"/>
            <w:vMerge w:val="restart"/>
            <w:shd w:val="clear" w:color="auto" w:fill="CFF0FC"/>
          </w:tcPr>
          <w:p>
            <w:pPr>
              <w:jc w:val="right"/>
              <w:ind w:right="39"/>
              <w:spacing w:after="0"/>
              <w:rPr>
                <w:sz w:val="20"/>
                <w:szCs w:val="20"/>
                <w:color w:val="auto"/>
              </w:rPr>
            </w:pPr>
            <w:r>
              <w:rPr>
                <w:rFonts w:ascii="Arial" w:cs="Arial" w:eastAsia="Arial" w:hAnsi="Arial"/>
                <w:sz w:val="16"/>
                <w:szCs w:val="16"/>
                <w:color w:val="auto"/>
              </w:rPr>
              <w:t>10.6</w:t>
            </w:r>
          </w:p>
        </w:tc>
        <w:tc>
          <w:tcPr>
            <w:tcW w:w="16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3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0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10.6</w:t>
            </w:r>
          </w:p>
        </w:tc>
        <w:tc>
          <w:tcPr>
            <w:tcW w:w="0" w:type="dxa"/>
            <w:vAlign w:val="bottom"/>
          </w:tcPr>
          <w:p>
            <w:pPr>
              <w:spacing w:after="0"/>
              <w:rPr>
                <w:sz w:val="1"/>
                <w:szCs w:val="1"/>
                <w:color w:val="auto"/>
              </w:rPr>
            </w:pPr>
          </w:p>
        </w:tc>
      </w:tr>
      <w:tr>
        <w:trPr>
          <w:trHeight w:val="199"/>
        </w:trPr>
        <w:tc>
          <w:tcPr>
            <w:tcW w:w="2280" w:type="dxa"/>
            <w:vAlign w:val="bottom"/>
            <w:shd w:val="clear" w:color="auto" w:fill="CFF0FC"/>
          </w:tcPr>
          <w:p>
            <w:pPr>
              <w:ind w:left="200"/>
              <w:spacing w:after="0"/>
              <w:rPr>
                <w:sz w:val="20"/>
                <w:szCs w:val="20"/>
                <w:color w:val="auto"/>
              </w:rPr>
            </w:pPr>
            <w:r>
              <w:rPr>
                <w:rFonts w:ascii="Arial" w:cs="Arial" w:eastAsia="Arial" w:hAnsi="Arial"/>
                <w:sz w:val="16"/>
                <w:szCs w:val="16"/>
                <w:color w:val="auto"/>
              </w:rPr>
              <w:t>expense</w:t>
            </w:r>
          </w:p>
        </w:tc>
        <w:tc>
          <w:tcPr>
            <w:tcW w:w="102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60" w:type="dxa"/>
            <w:vAlign w:val="bottom"/>
            <w:vMerge w:val="continue"/>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00" w:type="dxa"/>
            <w:vAlign w:val="bottom"/>
            <w:vMerge w:val="continue"/>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280" w:type="dxa"/>
            <w:vAlign w:val="bottom"/>
          </w:tcPr>
          <w:p>
            <w:pPr>
              <w:ind w:left="200"/>
              <w:spacing w:after="0"/>
              <w:rPr>
                <w:sz w:val="20"/>
                <w:szCs w:val="20"/>
                <w:color w:val="auto"/>
              </w:rPr>
            </w:pPr>
            <w:r>
              <w:rPr>
                <w:rFonts w:ascii="Arial" w:cs="Arial" w:eastAsia="Arial" w:hAnsi="Arial"/>
                <w:sz w:val="16"/>
                <w:szCs w:val="16"/>
                <w:color w:val="auto"/>
                <w:w w:val="93"/>
              </w:rPr>
              <w:t>Repurchases of common stock</w:t>
            </w:r>
          </w:p>
        </w:tc>
        <w:tc>
          <w:tcPr>
            <w:tcW w:w="10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gridSpan w:val="3"/>
          </w:tcPr>
          <w:p>
            <w:pPr>
              <w:jc w:val="right"/>
              <w:ind w:right="60"/>
              <w:spacing w:after="0"/>
              <w:rPr>
                <w:sz w:val="20"/>
                <w:szCs w:val="20"/>
                <w:color w:val="auto"/>
              </w:rPr>
            </w:pPr>
            <w:r>
              <w:rPr>
                <w:rFonts w:ascii="Arial" w:cs="Arial" w:eastAsia="Arial" w:hAnsi="Arial"/>
                <w:sz w:val="16"/>
                <w:szCs w:val="16"/>
                <w:color w:val="auto"/>
              </w:rPr>
              <w:t>(59.9 )</w:t>
            </w: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(59.9 )</w:t>
            </w:r>
          </w:p>
        </w:tc>
        <w:tc>
          <w:tcPr>
            <w:tcW w:w="0" w:type="dxa"/>
            <w:vAlign w:val="bottom"/>
          </w:tcPr>
          <w:p>
            <w:pPr>
              <w:spacing w:after="0"/>
              <w:rPr>
                <w:sz w:val="1"/>
                <w:szCs w:val="1"/>
                <w:color w:val="auto"/>
              </w:rPr>
            </w:pPr>
          </w:p>
        </w:tc>
      </w:tr>
      <w:tr>
        <w:trPr>
          <w:trHeight w:val="152"/>
        </w:trPr>
        <w:tc>
          <w:tcPr>
            <w:tcW w:w="2280" w:type="dxa"/>
            <w:vAlign w:val="bottom"/>
            <w:shd w:val="clear" w:color="auto" w:fill="CFF0FC"/>
          </w:tcPr>
          <w:p>
            <w:pPr>
              <w:ind w:left="200"/>
              <w:spacing w:after="0" w:line="152" w:lineRule="exact"/>
              <w:rPr>
                <w:sz w:val="20"/>
                <w:szCs w:val="20"/>
                <w:color w:val="auto"/>
              </w:rPr>
            </w:pPr>
            <w:r>
              <w:rPr>
                <w:rFonts w:ascii="Arial" w:cs="Arial" w:eastAsia="Arial" w:hAnsi="Arial"/>
                <w:sz w:val="16"/>
                <w:szCs w:val="16"/>
                <w:color w:val="auto"/>
              </w:rPr>
              <w:t>Noncontrolling interest</w:t>
            </w:r>
          </w:p>
        </w:tc>
        <w:tc>
          <w:tcPr>
            <w:tcW w:w="102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9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3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900" w:type="dxa"/>
            <w:vAlign w:val="bottom"/>
            <w:vMerge w:val="restart"/>
            <w:shd w:val="clear" w:color="auto" w:fill="CFF0FC"/>
          </w:tcPr>
          <w:p>
            <w:pPr>
              <w:jc w:val="right"/>
              <w:ind w:right="39"/>
              <w:spacing w:after="0"/>
              <w:rPr>
                <w:sz w:val="20"/>
                <w:szCs w:val="20"/>
                <w:color w:val="auto"/>
              </w:rPr>
            </w:pPr>
            <w:r>
              <w:rPr>
                <w:rFonts w:ascii="Arial" w:cs="Arial" w:eastAsia="Arial" w:hAnsi="Arial"/>
                <w:sz w:val="16"/>
                <w:szCs w:val="16"/>
                <w:color w:val="auto"/>
              </w:rPr>
              <w:t>0.6</w:t>
            </w:r>
          </w:p>
        </w:tc>
        <w:tc>
          <w:tcPr>
            <w:tcW w:w="200" w:type="dxa"/>
            <w:vAlign w:val="bottom"/>
            <w:shd w:val="clear" w:color="auto" w:fill="CFF0FC"/>
          </w:tcPr>
          <w:p>
            <w:pPr>
              <w:spacing w:after="0"/>
              <w:rPr>
                <w:sz w:val="13"/>
                <w:szCs w:val="13"/>
                <w:color w:val="auto"/>
              </w:rPr>
            </w:pPr>
          </w:p>
        </w:tc>
        <w:tc>
          <w:tcPr>
            <w:tcW w:w="80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0.6</w:t>
            </w:r>
          </w:p>
        </w:tc>
        <w:tc>
          <w:tcPr>
            <w:tcW w:w="0" w:type="dxa"/>
            <w:vAlign w:val="bottom"/>
          </w:tcPr>
          <w:p>
            <w:pPr>
              <w:spacing w:after="0"/>
              <w:rPr>
                <w:sz w:val="1"/>
                <w:szCs w:val="1"/>
                <w:color w:val="auto"/>
              </w:rPr>
            </w:pPr>
          </w:p>
        </w:tc>
      </w:tr>
      <w:tr>
        <w:trPr>
          <w:trHeight w:val="199"/>
        </w:trPr>
        <w:tc>
          <w:tcPr>
            <w:tcW w:w="2280" w:type="dxa"/>
            <w:vAlign w:val="bottom"/>
            <w:tcBorders>
              <w:bottom w:val="single" w:sz="8" w:color="auto"/>
            </w:tcBorders>
            <w:shd w:val="clear" w:color="auto" w:fill="CFF0FC"/>
          </w:tcPr>
          <w:p>
            <w:pPr>
              <w:ind w:left="200"/>
              <w:spacing w:after="0"/>
              <w:rPr>
                <w:sz w:val="20"/>
                <w:szCs w:val="20"/>
                <w:color w:val="auto"/>
              </w:rPr>
            </w:pPr>
            <w:r>
              <w:rPr>
                <w:rFonts w:ascii="Arial" w:cs="Arial" w:eastAsia="Arial" w:hAnsi="Arial"/>
                <w:sz w:val="16"/>
                <w:szCs w:val="16"/>
                <w:color w:val="auto"/>
              </w:rPr>
              <w:t>transactions</w:t>
            </w:r>
          </w:p>
        </w:tc>
        <w:tc>
          <w:tcPr>
            <w:tcW w:w="1020" w:type="dxa"/>
            <w:vAlign w:val="bottom"/>
            <w:tcBorders>
              <w:bottom w:val="single" w:sz="8" w:color="auto"/>
            </w:tcBorders>
            <w:shd w:val="clear" w:color="auto" w:fill="CFF0FC"/>
          </w:tcPr>
          <w:p>
            <w:pPr>
              <w:spacing w:after="0"/>
              <w:rPr>
                <w:sz w:val="17"/>
                <w:szCs w:val="17"/>
                <w:color w:val="auto"/>
              </w:rPr>
            </w:pPr>
          </w:p>
        </w:tc>
        <w:tc>
          <w:tcPr>
            <w:tcW w:w="780" w:type="dxa"/>
            <w:vAlign w:val="bottom"/>
            <w:tcBorders>
              <w:bottom w:val="single" w:sz="8" w:color="auto"/>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960" w:type="dxa"/>
            <w:vAlign w:val="bottom"/>
            <w:tcBorders>
              <w:bottom w:val="single" w:sz="8" w:color="auto"/>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900" w:type="dxa"/>
            <w:vAlign w:val="bottom"/>
            <w:tcBorders>
              <w:bottom w:val="single" w:sz="8" w:color="auto"/>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1320" w:type="dxa"/>
            <w:vAlign w:val="bottom"/>
            <w:tcBorders>
              <w:bottom w:val="single" w:sz="8" w:color="auto"/>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880" w:type="dxa"/>
            <w:vAlign w:val="bottom"/>
            <w:tcBorders>
              <w:bottom w:val="single" w:sz="8" w:color="auto"/>
            </w:tcBorders>
            <w:shd w:val="clear" w:color="auto" w:fill="CFF0FC"/>
          </w:tcPr>
          <w:p>
            <w:pPr>
              <w:spacing w:after="0"/>
              <w:rPr>
                <w:sz w:val="17"/>
                <w:szCs w:val="17"/>
                <w:color w:val="auto"/>
              </w:rPr>
            </w:pPr>
          </w:p>
        </w:tc>
        <w:tc>
          <w:tcPr>
            <w:tcW w:w="20" w:type="dxa"/>
            <w:vAlign w:val="bottom"/>
            <w:tcBorders>
              <w:bottom w:val="single" w:sz="8" w:color="auto"/>
            </w:tcBorders>
            <w:shd w:val="clear" w:color="auto" w:fill="CFF0FC"/>
          </w:tcPr>
          <w:p>
            <w:pPr>
              <w:spacing w:after="0"/>
              <w:rPr>
                <w:sz w:val="17"/>
                <w:szCs w:val="17"/>
                <w:color w:val="auto"/>
              </w:rPr>
            </w:pPr>
          </w:p>
        </w:tc>
        <w:tc>
          <w:tcPr>
            <w:tcW w:w="60" w:type="dxa"/>
            <w:vAlign w:val="bottom"/>
            <w:tcBorders>
              <w:bottom w:val="single" w:sz="8" w:color="auto"/>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900" w:type="dxa"/>
            <w:vAlign w:val="bottom"/>
            <w:tcBorders>
              <w:bottom w:val="single" w:sz="8" w:color="auto"/>
            </w:tcBorders>
            <w:vMerge w:val="continue"/>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800" w:type="dxa"/>
            <w:vAlign w:val="bottom"/>
            <w:tcBorders>
              <w:bottom w:val="single" w:sz="8" w:color="auto"/>
            </w:tcBorders>
            <w:vMerge w:val="continue"/>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2280" w:type="dxa"/>
            <w:vAlign w:val="bottom"/>
            <w:tcBorders>
              <w:bottom w:val="single" w:sz="8" w:color="auto"/>
            </w:tcBorders>
          </w:tcPr>
          <w:p>
            <w:pPr>
              <w:ind w:left="20"/>
              <w:spacing w:after="0" w:line="183" w:lineRule="exact"/>
              <w:rPr>
                <w:sz w:val="20"/>
                <w:szCs w:val="20"/>
                <w:color w:val="auto"/>
              </w:rPr>
            </w:pPr>
            <w:r>
              <w:rPr>
                <w:rFonts w:ascii="Arial" w:cs="Arial" w:eastAsia="Arial" w:hAnsi="Arial"/>
                <w:sz w:val="16"/>
                <w:szCs w:val="16"/>
                <w:color w:val="auto"/>
              </w:rPr>
              <w:t>Balance, March 31, 2022</w:t>
            </w:r>
          </w:p>
        </w:tc>
        <w:tc>
          <w:tcPr>
            <w:tcW w:w="10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118,008,869</w:t>
            </w:r>
          </w:p>
        </w:tc>
        <w:tc>
          <w:tcPr>
            <w:tcW w:w="780" w:type="dxa"/>
            <w:vAlign w:val="bottom"/>
            <w:tcBorders>
              <w:bottom w:val="single" w:sz="8" w:color="auto"/>
            </w:tcBorders>
          </w:tcPr>
          <w:p>
            <w:pPr>
              <w:jc w:val="right"/>
              <w:ind w:right="539"/>
              <w:spacing w:after="0" w:line="183" w:lineRule="exact"/>
              <w:rPr>
                <w:sz w:val="20"/>
                <w:szCs w:val="20"/>
                <w:color w:val="auto"/>
              </w:rPr>
            </w:pPr>
            <w:r>
              <w:rPr>
                <w:rFonts w:ascii="Arial" w:cs="Arial" w:eastAsia="Arial" w:hAnsi="Arial"/>
                <w:sz w:val="16"/>
                <w:szCs w:val="16"/>
                <w:color w:val="auto"/>
              </w:rPr>
              <w:t>$</w:t>
            </w:r>
          </w:p>
        </w:tc>
        <w:tc>
          <w:tcPr>
            <w:tcW w:w="3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w w:val="98"/>
              </w:rPr>
              <w:t>1.2</w:t>
            </w:r>
          </w:p>
        </w:tc>
        <w:tc>
          <w:tcPr>
            <w:tcW w:w="1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ind w:right="39"/>
              <w:spacing w:after="0" w:line="183" w:lineRule="exact"/>
              <w:rPr>
                <w:sz w:val="20"/>
                <w:szCs w:val="20"/>
                <w:color w:val="auto"/>
              </w:rPr>
            </w:pPr>
            <w:r>
              <w:rPr>
                <w:rFonts w:ascii="Arial" w:cs="Arial" w:eastAsia="Arial" w:hAnsi="Arial"/>
                <w:sz w:val="16"/>
                <w:szCs w:val="16"/>
                <w:color w:val="auto"/>
              </w:rPr>
              <w:t>3,455.2</w:t>
            </w:r>
          </w:p>
        </w:tc>
        <w:tc>
          <w:tcPr>
            <w:tcW w:w="1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3,726.2</w:t>
            </w:r>
          </w:p>
        </w:tc>
        <w:tc>
          <w:tcPr>
            <w:tcW w:w="2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(399.6 )</w:t>
            </w:r>
          </w:p>
        </w:tc>
        <w:tc>
          <w:tcPr>
            <w:tcW w:w="1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gridSpan w:val="4"/>
          </w:tcPr>
          <w:p>
            <w:pPr>
              <w:jc w:val="right"/>
              <w:spacing w:after="0" w:line="183" w:lineRule="exact"/>
              <w:rPr>
                <w:sz w:val="20"/>
                <w:szCs w:val="20"/>
                <w:color w:val="auto"/>
              </w:rPr>
            </w:pPr>
            <w:r>
              <w:rPr>
                <w:rFonts w:ascii="Arial" w:cs="Arial" w:eastAsia="Arial" w:hAnsi="Arial"/>
                <w:sz w:val="16"/>
                <w:szCs w:val="16"/>
                <w:color w:val="auto"/>
              </w:rPr>
              <w:t>(4,237.5 ) $</w:t>
            </w:r>
          </w:p>
        </w:tc>
        <w:tc>
          <w:tcPr>
            <w:tcW w:w="900" w:type="dxa"/>
            <w:vAlign w:val="bottom"/>
            <w:tcBorders>
              <w:bottom w:val="single" w:sz="8" w:color="auto"/>
            </w:tcBorders>
          </w:tcPr>
          <w:p>
            <w:pPr>
              <w:jc w:val="right"/>
              <w:ind w:right="39"/>
              <w:spacing w:after="0" w:line="183" w:lineRule="exact"/>
              <w:rPr>
                <w:sz w:val="20"/>
                <w:szCs w:val="20"/>
                <w:color w:val="auto"/>
              </w:rPr>
            </w:pPr>
            <w:r>
              <w:rPr>
                <w:rFonts w:ascii="Arial" w:cs="Arial" w:eastAsia="Arial" w:hAnsi="Arial"/>
                <w:sz w:val="16"/>
                <w:szCs w:val="16"/>
                <w:color w:val="auto"/>
              </w:rPr>
              <w:t>10.6</w:t>
            </w:r>
          </w:p>
        </w:tc>
        <w:tc>
          <w:tcPr>
            <w:tcW w:w="200" w:type="dxa"/>
            <w:vAlign w:val="bottom"/>
            <w:tcBorders>
              <w:bottom w:val="single" w:sz="8" w:color="auto"/>
            </w:tcBorders>
          </w:tcPr>
          <w:p>
            <w:pPr>
              <w:jc w:val="right"/>
              <w:ind w:right="19"/>
              <w:spacing w:after="0" w:line="183" w:lineRule="exact"/>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2,556.1</w:t>
            </w:r>
          </w:p>
        </w:tc>
        <w:tc>
          <w:tcPr>
            <w:tcW w:w="0" w:type="dxa"/>
            <w:vAlign w:val="bottom"/>
          </w:tcPr>
          <w:p>
            <w:pPr>
              <w:spacing w:after="0"/>
              <w:rPr>
                <w:sz w:val="1"/>
                <w:szCs w:val="1"/>
                <w:color w:val="auto"/>
              </w:rPr>
            </w:pPr>
          </w:p>
        </w:tc>
      </w:tr>
      <w:tr>
        <w:trPr>
          <w:trHeight w:val="344"/>
        </w:trPr>
        <w:tc>
          <w:tcPr>
            <w:tcW w:w="2280" w:type="dxa"/>
            <w:vAlign w:val="bottom"/>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gridSpan w:val="4"/>
          </w:tcPr>
          <w:p>
            <w:pPr>
              <w:ind w:left="40"/>
              <w:spacing w:after="0"/>
              <w:rPr>
                <w:sz w:val="20"/>
                <w:szCs w:val="20"/>
                <w:color w:val="auto"/>
              </w:rPr>
            </w:pPr>
            <w:r>
              <w:rPr>
                <w:rFonts w:ascii="Arial" w:cs="Arial" w:eastAsia="Arial" w:hAnsi="Arial"/>
                <w:sz w:val="16"/>
                <w:szCs w:val="16"/>
                <w:b w:val="1"/>
                <w:bCs w:val="1"/>
                <w:color w:val="auto"/>
                <w:w w:val="92"/>
              </w:rPr>
              <w:t>ManpowerGroup Shareholders</w:t>
            </w:r>
          </w:p>
        </w:tc>
        <w:tc>
          <w:tcPr>
            <w:tcW w:w="13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2280" w:type="dxa"/>
            <w:vAlign w:val="bottom"/>
          </w:tcPr>
          <w:p>
            <w:pPr>
              <w:spacing w:after="0"/>
              <w:rPr>
                <w:sz w:val="15"/>
                <w:szCs w:val="15"/>
                <w:color w:val="auto"/>
              </w:rPr>
            </w:pPr>
          </w:p>
        </w:tc>
        <w:tc>
          <w:tcPr>
            <w:tcW w:w="1800" w:type="dxa"/>
            <w:vAlign w:val="bottom"/>
            <w:tcBorders>
              <w:bottom w:val="single" w:sz="8" w:color="auto"/>
            </w:tcBorders>
            <w:gridSpan w:val="2"/>
          </w:tcPr>
          <w:p>
            <w:pPr>
              <w:ind w:left="480"/>
              <w:spacing w:after="0" w:line="183" w:lineRule="exact"/>
              <w:rPr>
                <w:sz w:val="20"/>
                <w:szCs w:val="20"/>
                <w:color w:val="auto"/>
              </w:rPr>
            </w:pPr>
            <w:r>
              <w:rPr>
                <w:rFonts w:ascii="Arial" w:cs="Arial" w:eastAsia="Arial" w:hAnsi="Arial"/>
                <w:sz w:val="16"/>
                <w:szCs w:val="16"/>
                <w:b w:val="1"/>
                <w:bCs w:val="1"/>
                <w:color w:val="auto"/>
              </w:rPr>
              <w:t>Common Stock</w:t>
            </w:r>
          </w:p>
        </w:tc>
        <w:tc>
          <w:tcPr>
            <w:tcW w:w="30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20" w:type="dxa"/>
            <w:vAlign w:val="bottom"/>
            <w:vMerge w:val="restart"/>
          </w:tcPr>
          <w:p>
            <w:pPr>
              <w:jc w:val="center"/>
              <w:ind w:right="159"/>
              <w:spacing w:after="0"/>
              <w:rPr>
                <w:sz w:val="20"/>
                <w:szCs w:val="20"/>
                <w:color w:val="auto"/>
              </w:rPr>
            </w:pPr>
            <w:r>
              <w:rPr>
                <w:rFonts w:ascii="Arial" w:cs="Arial" w:eastAsia="Arial" w:hAnsi="Arial"/>
                <w:sz w:val="16"/>
                <w:szCs w:val="16"/>
                <w:b w:val="1"/>
                <w:bCs w:val="1"/>
                <w:color w:val="auto"/>
                <w:w w:val="91"/>
              </w:rPr>
              <w:t>Accumulated</w:t>
            </w: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2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Capital in</w:t>
            </w: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vMerge w:val="restart"/>
          </w:tcPr>
          <w:p>
            <w:pPr>
              <w:jc w:val="center"/>
              <w:ind w:right="159"/>
              <w:spacing w:after="0"/>
              <w:rPr>
                <w:sz w:val="20"/>
                <w:szCs w:val="20"/>
                <w:color w:val="auto"/>
              </w:rPr>
            </w:pPr>
            <w:r>
              <w:rPr>
                <w:rFonts w:ascii="Arial" w:cs="Arial" w:eastAsia="Arial" w:hAnsi="Arial"/>
                <w:sz w:val="16"/>
                <w:szCs w:val="16"/>
                <w:b w:val="1"/>
                <w:bCs w:val="1"/>
                <w:color w:val="auto"/>
                <w:w w:val="93"/>
              </w:rPr>
              <w:t>Non-</w:t>
            </w: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280" w:type="dxa"/>
            <w:vAlign w:val="bottom"/>
          </w:tcPr>
          <w:p>
            <w:pPr>
              <w:spacing w:after="0"/>
              <w:rPr>
                <w:sz w:val="14"/>
                <w:szCs w:val="14"/>
                <w:color w:val="auto"/>
              </w:rPr>
            </w:pPr>
          </w:p>
        </w:tc>
        <w:tc>
          <w:tcPr>
            <w:tcW w:w="1020" w:type="dxa"/>
            <w:vAlign w:val="bottom"/>
            <w:vMerge w:val="restart"/>
          </w:tcPr>
          <w:p>
            <w:pPr>
              <w:ind w:left="240"/>
              <w:spacing w:after="0"/>
              <w:rPr>
                <w:sz w:val="20"/>
                <w:szCs w:val="20"/>
                <w:color w:val="auto"/>
              </w:rPr>
            </w:pPr>
            <w:r>
              <w:rPr>
                <w:rFonts w:ascii="Arial" w:cs="Arial" w:eastAsia="Arial" w:hAnsi="Arial"/>
                <w:sz w:val="16"/>
                <w:szCs w:val="16"/>
                <w:b w:val="1"/>
                <w:bCs w:val="1"/>
                <w:color w:val="auto"/>
              </w:rPr>
              <w:t>Shares</w:t>
            </w:r>
          </w:p>
        </w:tc>
        <w:tc>
          <w:tcPr>
            <w:tcW w:w="780" w:type="dxa"/>
            <w:vAlign w:val="bottom"/>
            <w:vMerge w:val="restart"/>
          </w:tcPr>
          <w:p>
            <w:pPr>
              <w:jc w:val="center"/>
              <w:ind w:left="239"/>
              <w:spacing w:after="0"/>
              <w:rPr>
                <w:sz w:val="20"/>
                <w:szCs w:val="20"/>
                <w:color w:val="auto"/>
              </w:rPr>
            </w:pPr>
            <w:r>
              <w:rPr>
                <w:rFonts w:ascii="Arial" w:cs="Arial" w:eastAsia="Arial" w:hAnsi="Arial"/>
                <w:sz w:val="16"/>
                <w:szCs w:val="16"/>
                <w:b w:val="1"/>
                <w:bCs w:val="1"/>
                <w:color w:val="auto"/>
              </w:rPr>
              <w:t>Par</w:t>
            </w: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Retained</w:t>
            </w:r>
          </w:p>
        </w:tc>
        <w:tc>
          <w:tcPr>
            <w:tcW w:w="200" w:type="dxa"/>
            <w:vAlign w:val="bottom"/>
          </w:tcPr>
          <w:p>
            <w:pPr>
              <w:spacing w:after="0"/>
              <w:rPr>
                <w:sz w:val="14"/>
                <w:szCs w:val="14"/>
                <w:color w:val="auto"/>
              </w:rPr>
            </w:pPr>
          </w:p>
        </w:tc>
        <w:tc>
          <w:tcPr>
            <w:tcW w:w="1320" w:type="dxa"/>
            <w:vAlign w:val="bottom"/>
          </w:tcPr>
          <w:p>
            <w:pPr>
              <w:jc w:val="center"/>
              <w:ind w:right="179"/>
              <w:spacing w:after="0" w:line="162" w:lineRule="exact"/>
              <w:rPr>
                <w:sz w:val="20"/>
                <w:szCs w:val="20"/>
                <w:color w:val="auto"/>
              </w:rPr>
            </w:pPr>
            <w:r>
              <w:rPr>
                <w:rFonts w:ascii="Arial" w:cs="Arial" w:eastAsia="Arial" w:hAnsi="Arial"/>
                <w:sz w:val="16"/>
                <w:szCs w:val="16"/>
                <w:b w:val="1"/>
                <w:bCs w:val="1"/>
                <w:color w:val="auto"/>
                <w:w w:val="98"/>
              </w:rPr>
              <w:t>Other</w:t>
            </w:r>
          </w:p>
        </w:tc>
        <w:tc>
          <w:tcPr>
            <w:tcW w:w="160" w:type="dxa"/>
            <w:vAlign w:val="bottom"/>
          </w:tcPr>
          <w:p>
            <w:pPr>
              <w:spacing w:after="0"/>
              <w:rPr>
                <w:sz w:val="14"/>
                <w:szCs w:val="14"/>
                <w:color w:val="auto"/>
              </w:rPr>
            </w:pPr>
          </w:p>
        </w:tc>
        <w:tc>
          <w:tcPr>
            <w:tcW w:w="960" w:type="dxa"/>
            <w:vAlign w:val="bottom"/>
            <w:gridSpan w:val="3"/>
            <w:vMerge w:val="restart"/>
          </w:tcPr>
          <w:p>
            <w:pPr>
              <w:jc w:val="center"/>
              <w:ind w:right="260"/>
              <w:spacing w:after="0"/>
              <w:rPr>
                <w:sz w:val="20"/>
                <w:szCs w:val="20"/>
                <w:color w:val="auto"/>
              </w:rPr>
            </w:pPr>
            <w:r>
              <w:rPr>
                <w:rFonts w:ascii="Arial" w:cs="Arial" w:eastAsia="Arial" w:hAnsi="Arial"/>
                <w:sz w:val="16"/>
                <w:szCs w:val="16"/>
                <w:b w:val="1"/>
                <w:bCs w:val="1"/>
                <w:color w:val="auto"/>
                <w:w w:val="91"/>
              </w:rPr>
              <w:t>Treasury</w:t>
            </w:r>
          </w:p>
        </w:tc>
        <w:tc>
          <w:tcPr>
            <w:tcW w:w="12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2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ind w:left="60"/>
              <w:spacing w:after="0" w:line="162" w:lineRule="exact"/>
              <w:rPr>
                <w:sz w:val="20"/>
                <w:szCs w:val="20"/>
                <w:color w:val="auto"/>
              </w:rPr>
            </w:pPr>
            <w:r>
              <w:rPr>
                <w:rFonts w:ascii="Arial" w:cs="Arial" w:eastAsia="Arial" w:hAnsi="Arial"/>
                <w:sz w:val="16"/>
                <w:szCs w:val="16"/>
                <w:b w:val="1"/>
                <w:bCs w:val="1"/>
                <w:color w:val="auto"/>
              </w:rPr>
              <w:t>Excess of</w:t>
            </w:r>
          </w:p>
        </w:tc>
        <w:tc>
          <w:tcPr>
            <w:tcW w:w="16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320" w:type="dxa"/>
            <w:vAlign w:val="bottom"/>
          </w:tcPr>
          <w:p>
            <w:pPr>
              <w:jc w:val="center"/>
              <w:ind w:right="159"/>
              <w:spacing w:after="0" w:line="162" w:lineRule="exact"/>
              <w:rPr>
                <w:sz w:val="20"/>
                <w:szCs w:val="20"/>
                <w:color w:val="auto"/>
              </w:rPr>
            </w:pPr>
            <w:r>
              <w:rPr>
                <w:rFonts w:ascii="Arial" w:cs="Arial" w:eastAsia="Arial" w:hAnsi="Arial"/>
                <w:sz w:val="16"/>
                <w:szCs w:val="16"/>
                <w:b w:val="1"/>
                <w:bCs w:val="1"/>
                <w:color w:val="auto"/>
                <w:w w:val="89"/>
              </w:rPr>
              <w:t>Comprehensive</w:t>
            </w:r>
          </w:p>
        </w:tc>
        <w:tc>
          <w:tcPr>
            <w:tcW w:w="160" w:type="dxa"/>
            <w:vAlign w:val="bottom"/>
          </w:tcPr>
          <w:p>
            <w:pPr>
              <w:spacing w:after="0"/>
              <w:rPr>
                <w:sz w:val="14"/>
                <w:szCs w:val="14"/>
                <w:color w:val="auto"/>
              </w:rPr>
            </w:pPr>
          </w:p>
        </w:tc>
        <w:tc>
          <w:tcPr>
            <w:tcW w:w="960" w:type="dxa"/>
            <w:vAlign w:val="bottom"/>
            <w:gridSpan w:val="3"/>
            <w:vMerge w:val="continue"/>
          </w:tcPr>
          <w:p>
            <w:pPr>
              <w:spacing w:after="0"/>
              <w:rPr>
                <w:sz w:val="14"/>
                <w:szCs w:val="14"/>
                <w:color w:val="auto"/>
              </w:rPr>
            </w:pPr>
          </w:p>
        </w:tc>
        <w:tc>
          <w:tcPr>
            <w:tcW w:w="1020" w:type="dxa"/>
            <w:vAlign w:val="bottom"/>
            <w:gridSpan w:val="2"/>
          </w:tcPr>
          <w:p>
            <w:pPr>
              <w:jc w:val="center"/>
              <w:ind w:right="19"/>
              <w:spacing w:after="0" w:line="162" w:lineRule="exact"/>
              <w:rPr>
                <w:sz w:val="20"/>
                <w:szCs w:val="20"/>
                <w:color w:val="auto"/>
              </w:rPr>
            </w:pPr>
            <w:r>
              <w:rPr>
                <w:rFonts w:ascii="Arial" w:cs="Arial" w:eastAsia="Arial" w:hAnsi="Arial"/>
                <w:sz w:val="16"/>
                <w:szCs w:val="16"/>
                <w:b w:val="1"/>
                <w:bCs w:val="1"/>
                <w:color w:val="auto"/>
                <w:w w:val="93"/>
              </w:rPr>
              <w:t>Controlling</w:t>
            </w:r>
          </w:p>
        </w:tc>
        <w:tc>
          <w:tcPr>
            <w:tcW w:w="200" w:type="dxa"/>
            <w:vAlign w:val="bottom"/>
          </w:tcPr>
          <w:p>
            <w:pPr>
              <w:spacing w:after="0"/>
              <w:rPr>
                <w:sz w:val="14"/>
                <w:szCs w:val="14"/>
                <w:color w:val="auto"/>
              </w:rPr>
            </w:pPr>
          </w:p>
        </w:tc>
        <w:tc>
          <w:tcPr>
            <w:tcW w:w="800" w:type="dxa"/>
            <w:vAlign w:val="bottom"/>
            <w:vMerge w:val="restart"/>
          </w:tcPr>
          <w:p>
            <w:pPr>
              <w:jc w:val="right"/>
              <w:ind w:right="25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03"/>
        </w:trPr>
        <w:tc>
          <w:tcPr>
            <w:tcW w:w="22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ind w:left="260"/>
              <w:spacing w:after="0"/>
              <w:rPr>
                <w:sz w:val="20"/>
                <w:szCs w:val="20"/>
                <w:color w:val="auto"/>
              </w:rPr>
            </w:pPr>
            <w:r>
              <w:rPr>
                <w:rFonts w:ascii="Arial" w:cs="Arial" w:eastAsia="Arial" w:hAnsi="Arial"/>
                <w:sz w:val="16"/>
                <w:szCs w:val="16"/>
                <w:b w:val="1"/>
                <w:bCs w:val="1"/>
                <w:color w:val="auto"/>
              </w:rPr>
              <w:t>Issued</w:t>
            </w:r>
          </w:p>
        </w:tc>
        <w:tc>
          <w:tcPr>
            <w:tcW w:w="780" w:type="dxa"/>
            <w:vAlign w:val="bottom"/>
            <w:tcBorders>
              <w:bottom w:val="single" w:sz="8" w:color="auto"/>
            </w:tcBorders>
          </w:tcPr>
          <w:p>
            <w:pPr>
              <w:jc w:val="center"/>
              <w:ind w:left="239"/>
              <w:spacing w:after="0"/>
              <w:rPr>
                <w:sz w:val="20"/>
                <w:szCs w:val="20"/>
                <w:color w:val="auto"/>
              </w:rPr>
            </w:pPr>
            <w:r>
              <w:rPr>
                <w:rFonts w:ascii="Arial" w:cs="Arial" w:eastAsia="Arial" w:hAnsi="Arial"/>
                <w:sz w:val="16"/>
                <w:szCs w:val="16"/>
                <w:b w:val="1"/>
                <w:bCs w:val="1"/>
                <w:color w:val="auto"/>
                <w:w w:val="88"/>
              </w:rPr>
              <w:t>Value</w:t>
            </w:r>
          </w:p>
        </w:tc>
        <w:tc>
          <w:tcPr>
            <w:tcW w:w="3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Par Value</w:t>
            </w:r>
          </w:p>
        </w:tc>
        <w:tc>
          <w:tcPr>
            <w:tcW w:w="1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Earnings</w:t>
            </w:r>
          </w:p>
        </w:tc>
        <w:tc>
          <w:tcPr>
            <w:tcW w:w="20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center"/>
              <w:ind w:right="179"/>
              <w:spacing w:after="0"/>
              <w:rPr>
                <w:sz w:val="20"/>
                <w:szCs w:val="20"/>
                <w:color w:val="auto"/>
              </w:rPr>
            </w:pPr>
            <w:r>
              <w:rPr>
                <w:rFonts w:ascii="Arial" w:cs="Arial" w:eastAsia="Arial" w:hAnsi="Arial"/>
                <w:sz w:val="16"/>
                <w:szCs w:val="16"/>
                <w:b w:val="1"/>
                <w:bCs w:val="1"/>
                <w:color w:val="auto"/>
                <w:w w:val="80"/>
              </w:rPr>
              <w:t>Loss</w:t>
            </w:r>
          </w:p>
        </w:tc>
        <w:tc>
          <w:tcPr>
            <w:tcW w:w="1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gridSpan w:val="3"/>
          </w:tcPr>
          <w:p>
            <w:pPr>
              <w:jc w:val="center"/>
              <w:ind w:right="260"/>
              <w:spacing w:after="0"/>
              <w:rPr>
                <w:sz w:val="20"/>
                <w:szCs w:val="20"/>
                <w:color w:val="auto"/>
              </w:rPr>
            </w:pPr>
            <w:r>
              <w:rPr>
                <w:rFonts w:ascii="Arial" w:cs="Arial" w:eastAsia="Arial" w:hAnsi="Arial"/>
                <w:sz w:val="16"/>
                <w:szCs w:val="16"/>
                <w:b w:val="1"/>
                <w:bCs w:val="1"/>
                <w:color w:val="auto"/>
                <w:w w:val="87"/>
              </w:rPr>
              <w:t>Stock</w:t>
            </w:r>
          </w:p>
        </w:tc>
        <w:tc>
          <w:tcPr>
            <w:tcW w:w="1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center"/>
              <w:ind w:right="139"/>
              <w:spacing w:after="0"/>
              <w:rPr>
                <w:sz w:val="20"/>
                <w:szCs w:val="20"/>
                <w:color w:val="auto"/>
              </w:rPr>
            </w:pPr>
            <w:r>
              <w:rPr>
                <w:rFonts w:ascii="Arial" w:cs="Arial" w:eastAsia="Arial" w:hAnsi="Arial"/>
                <w:sz w:val="16"/>
                <w:szCs w:val="16"/>
                <w:b w:val="1"/>
                <w:bCs w:val="1"/>
                <w:color w:val="auto"/>
                <w:w w:val="89"/>
              </w:rPr>
              <w:t>Interests</w:t>
            </w: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2280" w:type="dxa"/>
            <w:vAlign w:val="bottom"/>
            <w:shd w:val="clear" w:color="auto" w:fill="CFF0FC"/>
          </w:tcPr>
          <w:p>
            <w:pPr>
              <w:ind w:left="20"/>
              <w:spacing w:after="0" w:line="183" w:lineRule="exact"/>
              <w:rPr>
                <w:sz w:val="20"/>
                <w:szCs w:val="20"/>
                <w:color w:val="auto"/>
              </w:rPr>
            </w:pPr>
            <w:r>
              <w:rPr>
                <w:rFonts w:ascii="Arial" w:cs="Arial" w:eastAsia="Arial" w:hAnsi="Arial"/>
                <w:sz w:val="16"/>
                <w:szCs w:val="16"/>
                <w:color w:val="auto"/>
              </w:rPr>
              <w:t>Balance, December 31, 2020</w:t>
            </w:r>
          </w:p>
        </w:tc>
        <w:tc>
          <w:tcPr>
            <w:tcW w:w="102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117,555,991</w:t>
            </w:r>
          </w:p>
        </w:tc>
        <w:tc>
          <w:tcPr>
            <w:tcW w:w="780" w:type="dxa"/>
            <w:vAlign w:val="bottom"/>
            <w:shd w:val="clear" w:color="auto" w:fill="CFF0FC"/>
          </w:tcPr>
          <w:p>
            <w:pPr>
              <w:jc w:val="right"/>
              <w:ind w:right="539"/>
              <w:spacing w:after="0" w:line="183" w:lineRule="exact"/>
              <w:rPr>
                <w:sz w:val="20"/>
                <w:szCs w:val="20"/>
                <w:color w:val="auto"/>
              </w:rPr>
            </w:pPr>
            <w:r>
              <w:rPr>
                <w:rFonts w:ascii="Arial" w:cs="Arial" w:eastAsia="Arial" w:hAnsi="Arial"/>
                <w:sz w:val="16"/>
                <w:szCs w:val="16"/>
                <w:color w:val="auto"/>
              </w:rPr>
              <w:t>$</w:t>
            </w:r>
          </w:p>
        </w:tc>
        <w:tc>
          <w:tcPr>
            <w:tcW w:w="30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w w:val="98"/>
              </w:rPr>
              <w:t>1.2</w:t>
            </w:r>
          </w:p>
        </w:tc>
        <w:tc>
          <w:tcPr>
            <w:tcW w:w="18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w:t>
            </w:r>
          </w:p>
        </w:tc>
        <w:tc>
          <w:tcPr>
            <w:tcW w:w="960" w:type="dxa"/>
            <w:vAlign w:val="bottom"/>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3,402.5</w:t>
            </w:r>
          </w:p>
        </w:tc>
        <w:tc>
          <w:tcPr>
            <w:tcW w:w="16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w:t>
            </w:r>
          </w:p>
        </w:tc>
        <w:tc>
          <w:tcPr>
            <w:tcW w:w="90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3,388.8</w:t>
            </w:r>
          </w:p>
        </w:tc>
        <w:tc>
          <w:tcPr>
            <w:tcW w:w="20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w:t>
            </w:r>
          </w:p>
        </w:tc>
        <w:tc>
          <w:tcPr>
            <w:tcW w:w="132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(397.3 )</w:t>
            </w:r>
          </w:p>
        </w:tc>
        <w:tc>
          <w:tcPr>
            <w:tcW w:w="16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w:t>
            </w:r>
          </w:p>
        </w:tc>
        <w:tc>
          <w:tcPr>
            <w:tcW w:w="1080" w:type="dxa"/>
            <w:vAlign w:val="bottom"/>
            <w:gridSpan w:val="4"/>
            <w:shd w:val="clear" w:color="auto" w:fill="CFF0FC"/>
          </w:tcPr>
          <w:p>
            <w:pPr>
              <w:jc w:val="right"/>
              <w:spacing w:after="0" w:line="183" w:lineRule="exact"/>
              <w:rPr>
                <w:sz w:val="20"/>
                <w:szCs w:val="20"/>
                <w:color w:val="auto"/>
              </w:rPr>
            </w:pPr>
            <w:r>
              <w:rPr>
                <w:rFonts w:ascii="Arial" w:cs="Arial" w:eastAsia="Arial" w:hAnsi="Arial"/>
                <w:sz w:val="16"/>
                <w:szCs w:val="16"/>
                <w:color w:val="auto"/>
              </w:rPr>
              <w:t>(3,954.2 ) $</w:t>
            </w:r>
          </w:p>
        </w:tc>
        <w:tc>
          <w:tcPr>
            <w:tcW w:w="900" w:type="dxa"/>
            <w:vAlign w:val="bottom"/>
            <w:shd w:val="clear" w:color="auto" w:fill="CFF0FC"/>
          </w:tcPr>
          <w:p>
            <w:pPr>
              <w:jc w:val="right"/>
              <w:ind w:right="19"/>
              <w:spacing w:after="0" w:line="183" w:lineRule="exact"/>
              <w:rPr>
                <w:sz w:val="20"/>
                <w:szCs w:val="20"/>
                <w:color w:val="auto"/>
              </w:rPr>
            </w:pPr>
            <w:r>
              <w:rPr>
                <w:rFonts w:ascii="Arial" w:cs="Arial" w:eastAsia="Arial" w:hAnsi="Arial"/>
                <w:sz w:val="16"/>
                <w:szCs w:val="16"/>
                <w:color w:val="auto"/>
              </w:rPr>
              <w:t>12.6</w:t>
            </w:r>
          </w:p>
        </w:tc>
        <w:tc>
          <w:tcPr>
            <w:tcW w:w="200" w:type="dxa"/>
            <w:vAlign w:val="bottom"/>
            <w:shd w:val="clear" w:color="auto" w:fill="CFF0FC"/>
          </w:tcPr>
          <w:p>
            <w:pPr>
              <w:jc w:val="right"/>
              <w:ind w:right="19"/>
              <w:spacing w:after="0" w:line="183" w:lineRule="exact"/>
              <w:rPr>
                <w:sz w:val="20"/>
                <w:szCs w:val="20"/>
                <w:color w:val="auto"/>
              </w:rPr>
            </w:pPr>
            <w:r>
              <w:rPr>
                <w:rFonts w:ascii="Arial" w:cs="Arial" w:eastAsia="Arial" w:hAnsi="Arial"/>
                <w:sz w:val="16"/>
                <w:szCs w:val="16"/>
                <w:color w:val="auto"/>
                <w:w w:val="89"/>
              </w:rPr>
              <w:t>$</w:t>
            </w:r>
          </w:p>
        </w:tc>
        <w:tc>
          <w:tcPr>
            <w:tcW w:w="80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2,453.6</w:t>
            </w:r>
          </w:p>
        </w:tc>
        <w:tc>
          <w:tcPr>
            <w:tcW w:w="0" w:type="dxa"/>
            <w:vAlign w:val="bottom"/>
          </w:tcPr>
          <w:p>
            <w:pPr>
              <w:spacing w:after="0"/>
              <w:rPr>
                <w:sz w:val="1"/>
                <w:szCs w:val="1"/>
                <w:color w:val="auto"/>
              </w:rPr>
            </w:pPr>
          </w:p>
        </w:tc>
      </w:tr>
      <w:tr>
        <w:trPr>
          <w:trHeight w:val="189"/>
        </w:trPr>
        <w:tc>
          <w:tcPr>
            <w:tcW w:w="2280" w:type="dxa"/>
            <w:vAlign w:val="bottom"/>
          </w:tcPr>
          <w:p>
            <w:pPr>
              <w:ind w:left="200"/>
              <w:spacing w:after="0"/>
              <w:rPr>
                <w:sz w:val="20"/>
                <w:szCs w:val="20"/>
                <w:color w:val="auto"/>
              </w:rPr>
            </w:pPr>
            <w:r>
              <w:rPr>
                <w:rFonts w:ascii="Arial" w:cs="Arial" w:eastAsia="Arial" w:hAnsi="Arial"/>
                <w:sz w:val="16"/>
                <w:szCs w:val="16"/>
                <w:color w:val="auto"/>
              </w:rPr>
              <w:t>Net earnings</w:t>
            </w:r>
          </w:p>
        </w:tc>
        <w:tc>
          <w:tcPr>
            <w:tcW w:w="10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62.0</w:t>
            </w:r>
          </w:p>
        </w:tc>
        <w:tc>
          <w:tcPr>
            <w:tcW w:w="2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62.0</w:t>
            </w:r>
          </w:p>
        </w:tc>
        <w:tc>
          <w:tcPr>
            <w:tcW w:w="0" w:type="dxa"/>
            <w:vAlign w:val="bottom"/>
          </w:tcPr>
          <w:p>
            <w:pPr>
              <w:spacing w:after="0"/>
              <w:rPr>
                <w:sz w:val="1"/>
                <w:szCs w:val="1"/>
                <w:color w:val="auto"/>
              </w:rPr>
            </w:pPr>
          </w:p>
        </w:tc>
      </w:tr>
      <w:tr>
        <w:trPr>
          <w:trHeight w:val="189"/>
        </w:trPr>
        <w:tc>
          <w:tcPr>
            <w:tcW w:w="2280" w:type="dxa"/>
            <w:vAlign w:val="bottom"/>
            <w:shd w:val="clear" w:color="auto" w:fill="CFF0FC"/>
          </w:tcPr>
          <w:p>
            <w:pPr>
              <w:ind w:left="200"/>
              <w:spacing w:after="0"/>
              <w:rPr>
                <w:sz w:val="20"/>
                <w:szCs w:val="20"/>
                <w:color w:val="auto"/>
              </w:rPr>
            </w:pPr>
            <w:r>
              <w:rPr>
                <w:rFonts w:ascii="Arial" w:cs="Arial" w:eastAsia="Arial" w:hAnsi="Arial"/>
                <w:sz w:val="16"/>
                <w:szCs w:val="16"/>
                <w:color w:val="auto"/>
              </w:rPr>
              <w:t>Other comprehensive loss</w:t>
            </w:r>
          </w:p>
        </w:tc>
        <w:tc>
          <w:tcPr>
            <w:tcW w:w="102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9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(40.5 )</w:t>
            </w:r>
          </w:p>
        </w:tc>
        <w:tc>
          <w:tcPr>
            <w:tcW w:w="16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(40.5 )</w:t>
            </w:r>
          </w:p>
        </w:tc>
        <w:tc>
          <w:tcPr>
            <w:tcW w:w="0" w:type="dxa"/>
            <w:vAlign w:val="bottom"/>
          </w:tcPr>
          <w:p>
            <w:pPr>
              <w:spacing w:after="0"/>
              <w:rPr>
                <w:sz w:val="1"/>
                <w:szCs w:val="1"/>
                <w:color w:val="auto"/>
              </w:rPr>
            </w:pPr>
          </w:p>
        </w:tc>
      </w:tr>
      <w:tr>
        <w:trPr>
          <w:trHeight w:val="189"/>
        </w:trPr>
        <w:tc>
          <w:tcPr>
            <w:tcW w:w="2280" w:type="dxa"/>
            <w:vAlign w:val="bottom"/>
          </w:tcPr>
          <w:p>
            <w:pPr>
              <w:ind w:left="200"/>
              <w:spacing w:after="0"/>
              <w:rPr>
                <w:sz w:val="20"/>
                <w:szCs w:val="20"/>
                <w:color w:val="auto"/>
              </w:rPr>
            </w:pPr>
            <w:r>
              <w:rPr>
                <w:rFonts w:ascii="Arial" w:cs="Arial" w:eastAsia="Arial" w:hAnsi="Arial"/>
                <w:sz w:val="16"/>
                <w:szCs w:val="16"/>
                <w:color w:val="auto"/>
                <w:w w:val="99"/>
              </w:rPr>
              <w:t>Issuances under equity plans</w:t>
            </w:r>
          </w:p>
        </w:tc>
        <w:tc>
          <w:tcPr>
            <w:tcW w:w="1020" w:type="dxa"/>
            <w:vAlign w:val="bottom"/>
          </w:tcPr>
          <w:p>
            <w:pPr>
              <w:jc w:val="right"/>
              <w:spacing w:after="0"/>
              <w:rPr>
                <w:sz w:val="20"/>
                <w:szCs w:val="20"/>
                <w:color w:val="auto"/>
              </w:rPr>
            </w:pPr>
            <w:r>
              <w:rPr>
                <w:rFonts w:ascii="Arial" w:cs="Arial" w:eastAsia="Arial" w:hAnsi="Arial"/>
                <w:sz w:val="16"/>
                <w:szCs w:val="16"/>
                <w:color w:val="auto"/>
              </w:rPr>
              <w:t>169,192</w:t>
            </w:r>
          </w:p>
        </w:tc>
        <w:tc>
          <w:tcPr>
            <w:tcW w:w="7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1.0</w:t>
            </w: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(4.6 )</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(3.6 )</w:t>
            </w:r>
          </w:p>
        </w:tc>
        <w:tc>
          <w:tcPr>
            <w:tcW w:w="0" w:type="dxa"/>
            <w:vAlign w:val="bottom"/>
          </w:tcPr>
          <w:p>
            <w:pPr>
              <w:spacing w:after="0"/>
              <w:rPr>
                <w:sz w:val="1"/>
                <w:szCs w:val="1"/>
                <w:color w:val="auto"/>
              </w:rPr>
            </w:pPr>
          </w:p>
        </w:tc>
      </w:tr>
      <w:tr>
        <w:trPr>
          <w:trHeight w:val="152"/>
        </w:trPr>
        <w:tc>
          <w:tcPr>
            <w:tcW w:w="2280" w:type="dxa"/>
            <w:vAlign w:val="bottom"/>
            <w:shd w:val="clear" w:color="auto" w:fill="CFF0FC"/>
          </w:tcPr>
          <w:p>
            <w:pPr>
              <w:ind w:left="200"/>
              <w:spacing w:after="0" w:line="152" w:lineRule="exact"/>
              <w:rPr>
                <w:sz w:val="20"/>
                <w:szCs w:val="20"/>
                <w:color w:val="auto"/>
              </w:rPr>
            </w:pPr>
            <w:r>
              <w:rPr>
                <w:rFonts w:ascii="Arial" w:cs="Arial" w:eastAsia="Arial" w:hAnsi="Arial"/>
                <w:sz w:val="16"/>
                <w:szCs w:val="16"/>
                <w:color w:val="auto"/>
              </w:rPr>
              <w:t>Share-based compensation</w:t>
            </w:r>
          </w:p>
        </w:tc>
        <w:tc>
          <w:tcPr>
            <w:tcW w:w="102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960" w:type="dxa"/>
            <w:vAlign w:val="bottom"/>
            <w:vMerge w:val="restart"/>
            <w:shd w:val="clear" w:color="auto" w:fill="CFF0FC"/>
          </w:tcPr>
          <w:p>
            <w:pPr>
              <w:jc w:val="right"/>
              <w:ind w:right="39"/>
              <w:spacing w:after="0"/>
              <w:rPr>
                <w:sz w:val="20"/>
                <w:szCs w:val="20"/>
                <w:color w:val="auto"/>
              </w:rPr>
            </w:pPr>
            <w:r>
              <w:rPr>
                <w:rFonts w:ascii="Arial" w:cs="Arial" w:eastAsia="Arial" w:hAnsi="Arial"/>
                <w:sz w:val="16"/>
                <w:szCs w:val="16"/>
                <w:color w:val="auto"/>
              </w:rPr>
              <w:t>7.5</w:t>
            </w:r>
          </w:p>
        </w:tc>
        <w:tc>
          <w:tcPr>
            <w:tcW w:w="16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3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0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7.5</w:t>
            </w:r>
          </w:p>
        </w:tc>
        <w:tc>
          <w:tcPr>
            <w:tcW w:w="0" w:type="dxa"/>
            <w:vAlign w:val="bottom"/>
          </w:tcPr>
          <w:p>
            <w:pPr>
              <w:spacing w:after="0"/>
              <w:rPr>
                <w:sz w:val="1"/>
                <w:szCs w:val="1"/>
                <w:color w:val="auto"/>
              </w:rPr>
            </w:pPr>
          </w:p>
        </w:tc>
      </w:tr>
      <w:tr>
        <w:trPr>
          <w:trHeight w:val="199"/>
        </w:trPr>
        <w:tc>
          <w:tcPr>
            <w:tcW w:w="2280" w:type="dxa"/>
            <w:vAlign w:val="bottom"/>
            <w:shd w:val="clear" w:color="auto" w:fill="CFF0FC"/>
          </w:tcPr>
          <w:p>
            <w:pPr>
              <w:ind w:left="200"/>
              <w:spacing w:after="0"/>
              <w:rPr>
                <w:sz w:val="20"/>
                <w:szCs w:val="20"/>
                <w:color w:val="auto"/>
              </w:rPr>
            </w:pPr>
            <w:r>
              <w:rPr>
                <w:rFonts w:ascii="Arial" w:cs="Arial" w:eastAsia="Arial" w:hAnsi="Arial"/>
                <w:sz w:val="16"/>
                <w:szCs w:val="16"/>
                <w:color w:val="auto"/>
              </w:rPr>
              <w:t>expense</w:t>
            </w:r>
          </w:p>
        </w:tc>
        <w:tc>
          <w:tcPr>
            <w:tcW w:w="102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60" w:type="dxa"/>
            <w:vAlign w:val="bottom"/>
            <w:vMerge w:val="continue"/>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00" w:type="dxa"/>
            <w:vAlign w:val="bottom"/>
            <w:vMerge w:val="continue"/>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280" w:type="dxa"/>
            <w:vAlign w:val="bottom"/>
          </w:tcPr>
          <w:p>
            <w:pPr>
              <w:ind w:left="200"/>
              <w:spacing w:after="0"/>
              <w:rPr>
                <w:sz w:val="20"/>
                <w:szCs w:val="20"/>
                <w:color w:val="auto"/>
              </w:rPr>
            </w:pPr>
            <w:r>
              <w:rPr>
                <w:rFonts w:ascii="Arial" w:cs="Arial" w:eastAsia="Arial" w:hAnsi="Arial"/>
                <w:sz w:val="16"/>
                <w:szCs w:val="16"/>
                <w:color w:val="auto"/>
                <w:w w:val="93"/>
              </w:rPr>
              <w:t>Repurchases of common stock</w:t>
            </w:r>
          </w:p>
        </w:tc>
        <w:tc>
          <w:tcPr>
            <w:tcW w:w="10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(100.1 )</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(100.1 )</w:t>
            </w:r>
          </w:p>
        </w:tc>
        <w:tc>
          <w:tcPr>
            <w:tcW w:w="0" w:type="dxa"/>
            <w:vAlign w:val="bottom"/>
          </w:tcPr>
          <w:p>
            <w:pPr>
              <w:spacing w:after="0"/>
              <w:rPr>
                <w:sz w:val="1"/>
                <w:szCs w:val="1"/>
                <w:color w:val="auto"/>
              </w:rPr>
            </w:pPr>
          </w:p>
        </w:tc>
      </w:tr>
      <w:tr>
        <w:trPr>
          <w:trHeight w:val="152"/>
        </w:trPr>
        <w:tc>
          <w:tcPr>
            <w:tcW w:w="2280" w:type="dxa"/>
            <w:vAlign w:val="bottom"/>
            <w:shd w:val="clear" w:color="auto" w:fill="CFF0FC"/>
          </w:tcPr>
          <w:p>
            <w:pPr>
              <w:ind w:left="200"/>
              <w:spacing w:after="0" w:line="152" w:lineRule="exact"/>
              <w:rPr>
                <w:sz w:val="20"/>
                <w:szCs w:val="20"/>
                <w:color w:val="auto"/>
              </w:rPr>
            </w:pPr>
            <w:r>
              <w:rPr>
                <w:rFonts w:ascii="Arial" w:cs="Arial" w:eastAsia="Arial" w:hAnsi="Arial"/>
                <w:sz w:val="16"/>
                <w:szCs w:val="16"/>
                <w:color w:val="auto"/>
              </w:rPr>
              <w:t>Noncontrolling interest</w:t>
            </w:r>
          </w:p>
        </w:tc>
        <w:tc>
          <w:tcPr>
            <w:tcW w:w="102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9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3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90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(1.5 )</w:t>
            </w:r>
          </w:p>
        </w:tc>
        <w:tc>
          <w:tcPr>
            <w:tcW w:w="200" w:type="dxa"/>
            <w:vAlign w:val="bottom"/>
            <w:shd w:val="clear" w:color="auto" w:fill="CFF0FC"/>
          </w:tcPr>
          <w:p>
            <w:pPr>
              <w:spacing w:after="0"/>
              <w:rPr>
                <w:sz w:val="13"/>
                <w:szCs w:val="13"/>
                <w:color w:val="auto"/>
              </w:rPr>
            </w:pPr>
          </w:p>
        </w:tc>
        <w:tc>
          <w:tcPr>
            <w:tcW w:w="80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(1.5 )</w:t>
            </w:r>
          </w:p>
        </w:tc>
        <w:tc>
          <w:tcPr>
            <w:tcW w:w="0" w:type="dxa"/>
            <w:vAlign w:val="bottom"/>
          </w:tcPr>
          <w:p>
            <w:pPr>
              <w:spacing w:after="0"/>
              <w:rPr>
                <w:sz w:val="1"/>
                <w:szCs w:val="1"/>
                <w:color w:val="auto"/>
              </w:rPr>
            </w:pPr>
          </w:p>
        </w:tc>
      </w:tr>
      <w:tr>
        <w:trPr>
          <w:trHeight w:val="199"/>
        </w:trPr>
        <w:tc>
          <w:tcPr>
            <w:tcW w:w="2280" w:type="dxa"/>
            <w:vAlign w:val="bottom"/>
            <w:tcBorders>
              <w:bottom w:val="single" w:sz="8" w:color="auto"/>
            </w:tcBorders>
            <w:shd w:val="clear" w:color="auto" w:fill="CFF0FC"/>
          </w:tcPr>
          <w:p>
            <w:pPr>
              <w:ind w:left="200"/>
              <w:spacing w:after="0"/>
              <w:rPr>
                <w:sz w:val="20"/>
                <w:szCs w:val="20"/>
                <w:color w:val="auto"/>
              </w:rPr>
            </w:pPr>
            <w:r>
              <w:rPr>
                <w:rFonts w:ascii="Arial" w:cs="Arial" w:eastAsia="Arial" w:hAnsi="Arial"/>
                <w:sz w:val="16"/>
                <w:szCs w:val="16"/>
                <w:color w:val="auto"/>
              </w:rPr>
              <w:t>transactions</w:t>
            </w:r>
          </w:p>
        </w:tc>
        <w:tc>
          <w:tcPr>
            <w:tcW w:w="1020" w:type="dxa"/>
            <w:vAlign w:val="bottom"/>
            <w:tcBorders>
              <w:bottom w:val="single" w:sz="8" w:color="auto"/>
            </w:tcBorders>
            <w:shd w:val="clear" w:color="auto" w:fill="CFF0FC"/>
          </w:tcPr>
          <w:p>
            <w:pPr>
              <w:spacing w:after="0"/>
              <w:rPr>
                <w:sz w:val="17"/>
                <w:szCs w:val="17"/>
                <w:color w:val="auto"/>
              </w:rPr>
            </w:pPr>
          </w:p>
        </w:tc>
        <w:tc>
          <w:tcPr>
            <w:tcW w:w="780" w:type="dxa"/>
            <w:vAlign w:val="bottom"/>
            <w:tcBorders>
              <w:bottom w:val="single" w:sz="8" w:color="auto"/>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960" w:type="dxa"/>
            <w:vAlign w:val="bottom"/>
            <w:tcBorders>
              <w:bottom w:val="single" w:sz="8" w:color="auto"/>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900" w:type="dxa"/>
            <w:vAlign w:val="bottom"/>
            <w:tcBorders>
              <w:bottom w:val="single" w:sz="8" w:color="auto"/>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1320" w:type="dxa"/>
            <w:vAlign w:val="bottom"/>
            <w:tcBorders>
              <w:bottom w:val="single" w:sz="8" w:color="auto"/>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880" w:type="dxa"/>
            <w:vAlign w:val="bottom"/>
            <w:tcBorders>
              <w:bottom w:val="single" w:sz="8" w:color="auto"/>
            </w:tcBorders>
            <w:shd w:val="clear" w:color="auto" w:fill="CFF0FC"/>
          </w:tcPr>
          <w:p>
            <w:pPr>
              <w:spacing w:after="0"/>
              <w:rPr>
                <w:sz w:val="17"/>
                <w:szCs w:val="17"/>
                <w:color w:val="auto"/>
              </w:rPr>
            </w:pPr>
          </w:p>
        </w:tc>
        <w:tc>
          <w:tcPr>
            <w:tcW w:w="20" w:type="dxa"/>
            <w:vAlign w:val="bottom"/>
            <w:tcBorders>
              <w:bottom w:val="single" w:sz="8" w:color="auto"/>
            </w:tcBorders>
            <w:shd w:val="clear" w:color="auto" w:fill="CFF0FC"/>
          </w:tcPr>
          <w:p>
            <w:pPr>
              <w:spacing w:after="0"/>
              <w:rPr>
                <w:sz w:val="17"/>
                <w:szCs w:val="17"/>
                <w:color w:val="auto"/>
              </w:rPr>
            </w:pPr>
          </w:p>
        </w:tc>
        <w:tc>
          <w:tcPr>
            <w:tcW w:w="60" w:type="dxa"/>
            <w:vAlign w:val="bottom"/>
            <w:tcBorders>
              <w:bottom w:val="single" w:sz="8" w:color="auto"/>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900" w:type="dxa"/>
            <w:vAlign w:val="bottom"/>
            <w:tcBorders>
              <w:bottom w:val="single" w:sz="8" w:color="auto"/>
            </w:tcBorders>
            <w:vMerge w:val="continue"/>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800" w:type="dxa"/>
            <w:vAlign w:val="bottom"/>
            <w:tcBorders>
              <w:bottom w:val="single" w:sz="8" w:color="auto"/>
            </w:tcBorders>
            <w:vMerge w:val="continue"/>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2280" w:type="dxa"/>
            <w:vAlign w:val="bottom"/>
            <w:tcBorders>
              <w:bottom w:val="single" w:sz="8" w:color="auto"/>
            </w:tcBorders>
          </w:tcPr>
          <w:p>
            <w:pPr>
              <w:ind w:left="20"/>
              <w:spacing w:after="0" w:line="183" w:lineRule="exact"/>
              <w:rPr>
                <w:sz w:val="20"/>
                <w:szCs w:val="20"/>
                <w:color w:val="auto"/>
              </w:rPr>
            </w:pPr>
            <w:r>
              <w:rPr>
                <w:rFonts w:ascii="Arial" w:cs="Arial" w:eastAsia="Arial" w:hAnsi="Arial"/>
                <w:sz w:val="16"/>
                <w:szCs w:val="16"/>
                <w:color w:val="auto"/>
              </w:rPr>
              <w:t>Balance, March 31, 2021</w:t>
            </w:r>
          </w:p>
        </w:tc>
        <w:tc>
          <w:tcPr>
            <w:tcW w:w="10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117,725,183</w:t>
            </w:r>
          </w:p>
        </w:tc>
        <w:tc>
          <w:tcPr>
            <w:tcW w:w="780" w:type="dxa"/>
            <w:vAlign w:val="bottom"/>
            <w:tcBorders>
              <w:bottom w:val="single" w:sz="8" w:color="auto"/>
            </w:tcBorders>
          </w:tcPr>
          <w:p>
            <w:pPr>
              <w:jc w:val="right"/>
              <w:ind w:right="539"/>
              <w:spacing w:after="0" w:line="183" w:lineRule="exact"/>
              <w:rPr>
                <w:sz w:val="20"/>
                <w:szCs w:val="20"/>
                <w:color w:val="auto"/>
              </w:rPr>
            </w:pPr>
            <w:r>
              <w:rPr>
                <w:rFonts w:ascii="Arial" w:cs="Arial" w:eastAsia="Arial" w:hAnsi="Arial"/>
                <w:sz w:val="16"/>
                <w:szCs w:val="16"/>
                <w:color w:val="auto"/>
              </w:rPr>
              <w:t>$</w:t>
            </w:r>
          </w:p>
        </w:tc>
        <w:tc>
          <w:tcPr>
            <w:tcW w:w="3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w w:val="98"/>
              </w:rPr>
              <w:t>1.2</w:t>
            </w:r>
          </w:p>
        </w:tc>
        <w:tc>
          <w:tcPr>
            <w:tcW w:w="1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ind w:right="39"/>
              <w:spacing w:after="0" w:line="183" w:lineRule="exact"/>
              <w:rPr>
                <w:sz w:val="20"/>
                <w:szCs w:val="20"/>
                <w:color w:val="auto"/>
              </w:rPr>
            </w:pPr>
            <w:r>
              <w:rPr>
                <w:rFonts w:ascii="Arial" w:cs="Arial" w:eastAsia="Arial" w:hAnsi="Arial"/>
                <w:sz w:val="16"/>
                <w:szCs w:val="16"/>
                <w:color w:val="auto"/>
              </w:rPr>
              <w:t>3,411.0</w:t>
            </w:r>
          </w:p>
        </w:tc>
        <w:tc>
          <w:tcPr>
            <w:tcW w:w="1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3,450.8</w:t>
            </w:r>
          </w:p>
        </w:tc>
        <w:tc>
          <w:tcPr>
            <w:tcW w:w="2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(437.8 )</w:t>
            </w:r>
          </w:p>
        </w:tc>
        <w:tc>
          <w:tcPr>
            <w:tcW w:w="1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gridSpan w:val="4"/>
          </w:tcPr>
          <w:p>
            <w:pPr>
              <w:jc w:val="right"/>
              <w:spacing w:after="0" w:line="183" w:lineRule="exact"/>
              <w:rPr>
                <w:sz w:val="20"/>
                <w:szCs w:val="20"/>
                <w:color w:val="auto"/>
              </w:rPr>
            </w:pPr>
            <w:r>
              <w:rPr>
                <w:rFonts w:ascii="Arial" w:cs="Arial" w:eastAsia="Arial" w:hAnsi="Arial"/>
                <w:sz w:val="16"/>
                <w:szCs w:val="16"/>
                <w:color w:val="auto"/>
              </w:rPr>
              <w:t>(4,058.9 ) $</w:t>
            </w:r>
          </w:p>
        </w:tc>
        <w:tc>
          <w:tcPr>
            <w:tcW w:w="900" w:type="dxa"/>
            <w:vAlign w:val="bottom"/>
            <w:tcBorders>
              <w:bottom w:val="single" w:sz="8" w:color="auto"/>
            </w:tcBorders>
          </w:tcPr>
          <w:p>
            <w:pPr>
              <w:jc w:val="right"/>
              <w:ind w:right="19"/>
              <w:spacing w:after="0" w:line="183" w:lineRule="exact"/>
              <w:rPr>
                <w:sz w:val="20"/>
                <w:szCs w:val="20"/>
                <w:color w:val="auto"/>
              </w:rPr>
            </w:pPr>
            <w:r>
              <w:rPr>
                <w:rFonts w:ascii="Arial" w:cs="Arial" w:eastAsia="Arial" w:hAnsi="Arial"/>
                <w:sz w:val="16"/>
                <w:szCs w:val="16"/>
                <w:color w:val="auto"/>
              </w:rPr>
              <w:t>11.1</w:t>
            </w:r>
          </w:p>
        </w:tc>
        <w:tc>
          <w:tcPr>
            <w:tcW w:w="200" w:type="dxa"/>
            <w:vAlign w:val="bottom"/>
            <w:tcBorders>
              <w:bottom w:val="single" w:sz="8" w:color="auto"/>
            </w:tcBorders>
          </w:tcPr>
          <w:p>
            <w:pPr>
              <w:jc w:val="right"/>
              <w:ind w:right="19"/>
              <w:spacing w:after="0" w:line="183" w:lineRule="exact"/>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2,377.4</w:t>
            </w:r>
          </w:p>
        </w:tc>
        <w:tc>
          <w:tcPr>
            <w:tcW w:w="0" w:type="dxa"/>
            <w:vAlign w:val="bottom"/>
          </w:tcPr>
          <w:p>
            <w:pPr>
              <w:spacing w:after="0"/>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to Consolidated Financial Statements are an integral part of these statements.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March 31, 2022 and 2021</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share and per share data)</w:t>
      </w:r>
    </w:p>
    <w:p>
      <w:pPr>
        <w:spacing w:after="0" w:line="216" w:lineRule="exact"/>
        <w:rPr>
          <w:sz w:val="20"/>
          <w:szCs w:val="20"/>
          <w:color w:val="auto"/>
        </w:rPr>
      </w:pPr>
    </w:p>
    <w:p>
      <w:pPr>
        <w:ind w:left="260" w:hanging="252"/>
        <w:spacing w:after="0"/>
        <w:tabs>
          <w:tab w:leader="none" w:pos="260" w:val="left"/>
        </w:tabs>
        <w:numPr>
          <w:ilvl w:val="0"/>
          <w:numId w:val="3"/>
        </w:numPr>
        <w:rPr>
          <w:rFonts w:ascii="Arial" w:cs="Arial" w:eastAsia="Arial" w:hAnsi="Arial"/>
          <w:sz w:val="18"/>
          <w:szCs w:val="18"/>
          <w:color w:val="auto"/>
        </w:rPr>
      </w:pPr>
      <w:r>
        <w:rPr>
          <w:rFonts w:ascii="Arial" w:cs="Arial" w:eastAsia="Arial" w:hAnsi="Arial"/>
          <w:sz w:val="18"/>
          <w:szCs w:val="18"/>
          <w:u w:val="single" w:color="auto"/>
          <w:color w:val="auto"/>
        </w:rPr>
        <w:t>Basis of Presentation and Accounting Policies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of Presentation</w:t>
      </w:r>
    </w:p>
    <w:p>
      <w:pPr>
        <w:spacing w:after="0" w:line="212" w:lineRule="exact"/>
        <w:rPr>
          <w:sz w:val="20"/>
          <w:szCs w:val="20"/>
          <w:color w:val="auto"/>
        </w:rPr>
      </w:pPr>
    </w:p>
    <w:p>
      <w:pPr>
        <w:ind w:right="160"/>
        <w:spacing w:after="0" w:line="312" w:lineRule="auto"/>
        <w:rPr>
          <w:sz w:val="20"/>
          <w:szCs w:val="20"/>
          <w:color w:val="auto"/>
        </w:rPr>
      </w:pPr>
      <w:r>
        <w:rPr>
          <w:rFonts w:ascii="Arial" w:cs="Arial" w:eastAsia="Arial" w:hAnsi="Arial"/>
          <w:sz w:val="17"/>
          <w:szCs w:val="17"/>
          <w:color w:val="auto"/>
        </w:rPr>
        <w:t>Certain information and footnote disclosures normally included in the financial statements prepared in accordance with United States Generally Accepted Accounting Principles ("GAAP") have been condensed or omitted pursuant to the rules and regulations of the Securities and Exchange Commission, although we believe that the disclosures are adequate to make the information presented not misleading. These Consolidated Financial Statements should be read in conjunction with the Consolidated Financial Statements included in our 2021 Annual Report on Form 10-K.</w:t>
      </w:r>
    </w:p>
    <w:p>
      <w:pPr>
        <w:spacing w:after="0" w:line="131" w:lineRule="exact"/>
        <w:rPr>
          <w:sz w:val="20"/>
          <w:szCs w:val="20"/>
          <w:color w:val="auto"/>
        </w:rPr>
      </w:pPr>
    </w:p>
    <w:p>
      <w:pPr>
        <w:ind w:right="300"/>
        <w:spacing w:after="0" w:line="341" w:lineRule="auto"/>
        <w:rPr>
          <w:sz w:val="20"/>
          <w:szCs w:val="20"/>
          <w:color w:val="auto"/>
        </w:rPr>
      </w:pPr>
      <w:r>
        <w:rPr>
          <w:rFonts w:ascii="Arial" w:cs="Arial" w:eastAsia="Arial" w:hAnsi="Arial"/>
          <w:sz w:val="17"/>
          <w:szCs w:val="17"/>
          <w:color w:val="auto"/>
        </w:rPr>
        <w:t>The information furnished reflects all adjustments that, in the opinion of management, were necessary for a fair statement of the Consolidated Financial Statements for the periods presented. Such adjustments were of a normal recurring nature, unless otherwise disclosed.</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Allowance for Doubtful Accounts</w:t>
      </w:r>
    </w:p>
    <w:p>
      <w:pPr>
        <w:spacing w:after="0" w:line="212" w:lineRule="exact"/>
        <w:rPr>
          <w:sz w:val="20"/>
          <w:szCs w:val="20"/>
          <w:color w:val="auto"/>
        </w:rPr>
      </w:pPr>
    </w:p>
    <w:p>
      <w:pPr>
        <w:ind w:right="80"/>
        <w:spacing w:after="0" w:line="319" w:lineRule="auto"/>
        <w:rPr>
          <w:sz w:val="20"/>
          <w:szCs w:val="20"/>
          <w:color w:val="auto"/>
        </w:rPr>
      </w:pPr>
      <w:r>
        <w:rPr>
          <w:rFonts w:ascii="Arial" w:cs="Arial" w:eastAsia="Arial" w:hAnsi="Arial"/>
          <w:sz w:val="17"/>
          <w:szCs w:val="17"/>
          <w:color w:val="auto"/>
        </w:rPr>
        <w:t>We have an allowance for doubtful accounts recorded as an estimate of the accounts receivable that may not be collected. This allowance is calculated on an entity-by-entity basis with consideration of historical write-off experience, age of receivables, market conditions, and a specific review for potential bad debts. Items that affect this balance mainly include bad debt expense and the write-off of accounts receivable balances.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580" w:type="dxa"/>
            <w:vAlign w:val="bottom"/>
          </w:tcPr>
          <w:p>
            <w:pPr>
              <w:spacing w:after="0"/>
              <w:rPr>
                <w:sz w:val="20"/>
                <w:szCs w:val="20"/>
                <w:color w:val="auto"/>
              </w:rPr>
            </w:pPr>
            <w:r>
              <w:rPr>
                <w:rFonts w:ascii="Arial" w:cs="Arial" w:eastAsia="Arial" w:hAnsi="Arial"/>
                <w:sz w:val="18"/>
                <w:szCs w:val="18"/>
                <w:color w:val="auto"/>
              </w:rPr>
              <w:t>A rollforward of our allowance for doubtful accounts is shown below:</w:t>
            </w:r>
          </w:p>
        </w:tc>
        <w:tc>
          <w:tcPr>
            <w:tcW w:w="520" w:type="dxa"/>
            <w:vAlign w:val="bottom"/>
          </w:tcPr>
          <w:p>
            <w:pPr>
              <w:spacing w:after="0"/>
              <w:rPr>
                <w:sz w:val="20"/>
                <w:szCs w:val="20"/>
                <w:color w:val="auto"/>
              </w:rPr>
            </w:pPr>
          </w:p>
        </w:tc>
        <w:tc>
          <w:tcPr>
            <w:tcW w:w="3140" w:type="dxa"/>
            <w:vAlign w:val="bottom"/>
          </w:tcPr>
          <w:p>
            <w:pPr>
              <w:spacing w:after="0"/>
              <w:rPr>
                <w:sz w:val="20"/>
                <w:szCs w:val="20"/>
                <w:color w:val="auto"/>
              </w:rPr>
            </w:pPr>
          </w:p>
        </w:tc>
      </w:tr>
      <w:tr>
        <w:trPr>
          <w:trHeight w:val="378"/>
        </w:trPr>
        <w:tc>
          <w:tcPr>
            <w:tcW w:w="75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140" w:type="dxa"/>
            <w:vAlign w:val="bottom"/>
          </w:tcPr>
          <w:p>
            <w:pPr>
              <w:jc w:val="right"/>
              <w:ind w:right="990"/>
              <w:spacing w:after="0"/>
              <w:rPr>
                <w:sz w:val="20"/>
                <w:szCs w:val="20"/>
                <w:color w:val="auto"/>
              </w:rPr>
            </w:pPr>
            <w:r>
              <w:rPr>
                <w:rFonts w:ascii="Arial" w:cs="Arial" w:eastAsia="Arial" w:hAnsi="Arial"/>
                <w:sz w:val="18"/>
                <w:szCs w:val="18"/>
                <w:b w:val="1"/>
                <w:bCs w:val="1"/>
                <w:color w:val="auto"/>
              </w:rPr>
              <w:t>Three Months Ended</w:t>
            </w:r>
          </w:p>
        </w:tc>
      </w:tr>
      <w:tr>
        <w:trPr>
          <w:trHeight w:val="216"/>
        </w:trPr>
        <w:tc>
          <w:tcPr>
            <w:tcW w:w="758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3140" w:type="dxa"/>
            <w:vAlign w:val="bottom"/>
            <w:tcBorders>
              <w:bottom w:val="single" w:sz="8" w:color="auto"/>
            </w:tcBorders>
          </w:tcPr>
          <w:p>
            <w:pPr>
              <w:jc w:val="right"/>
              <w:ind w:right="1190"/>
              <w:spacing w:after="0"/>
              <w:rPr>
                <w:sz w:val="20"/>
                <w:szCs w:val="20"/>
                <w:color w:val="auto"/>
              </w:rPr>
            </w:pPr>
            <w:r>
              <w:rPr>
                <w:rFonts w:ascii="Arial" w:cs="Arial" w:eastAsia="Arial" w:hAnsi="Arial"/>
                <w:sz w:val="18"/>
                <w:szCs w:val="18"/>
                <w:b w:val="1"/>
                <w:bCs w:val="1"/>
                <w:color w:val="auto"/>
              </w:rPr>
              <w:t>March 31, 2022</w:t>
            </w:r>
          </w:p>
        </w:tc>
      </w:tr>
      <w:tr>
        <w:trPr>
          <w:trHeight w:val="196"/>
        </w:trPr>
        <w:tc>
          <w:tcPr>
            <w:tcW w:w="75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Balance, December 31, 2021</w:t>
            </w:r>
          </w:p>
        </w:tc>
        <w:tc>
          <w:tcPr>
            <w:tcW w:w="520" w:type="dxa"/>
            <w:vAlign w:val="bottom"/>
            <w:shd w:val="clear" w:color="auto" w:fill="CFF0FC"/>
          </w:tcPr>
          <w:p>
            <w:pPr>
              <w:jc w:val="right"/>
              <w:ind w:right="330"/>
              <w:spacing w:after="0" w:line="196" w:lineRule="exact"/>
              <w:rPr>
                <w:sz w:val="20"/>
                <w:szCs w:val="20"/>
                <w:color w:val="auto"/>
              </w:rPr>
            </w:pPr>
            <w:r>
              <w:rPr>
                <w:rFonts w:ascii="Arial" w:cs="Arial" w:eastAsia="Arial" w:hAnsi="Arial"/>
                <w:sz w:val="18"/>
                <w:szCs w:val="18"/>
                <w:color w:val="auto"/>
                <w:w w:val="79"/>
              </w:rPr>
              <w:t>$</w:t>
            </w:r>
          </w:p>
        </w:tc>
        <w:tc>
          <w:tcPr>
            <w:tcW w:w="3140" w:type="dxa"/>
            <w:vAlign w:val="bottom"/>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rPr>
              <w:t>121.6</w:t>
            </w:r>
          </w:p>
        </w:tc>
      </w:tr>
      <w:tr>
        <w:trPr>
          <w:trHeight w:val="203"/>
        </w:trPr>
        <w:tc>
          <w:tcPr>
            <w:tcW w:w="7580" w:type="dxa"/>
            <w:vAlign w:val="bottom"/>
          </w:tcPr>
          <w:p>
            <w:pPr>
              <w:ind w:left="20"/>
              <w:spacing w:after="0" w:line="202" w:lineRule="exact"/>
              <w:rPr>
                <w:sz w:val="20"/>
                <w:szCs w:val="20"/>
                <w:color w:val="auto"/>
              </w:rPr>
            </w:pPr>
            <w:r>
              <w:rPr>
                <w:rFonts w:ascii="Arial" w:cs="Arial" w:eastAsia="Arial" w:hAnsi="Arial"/>
                <w:sz w:val="18"/>
                <w:szCs w:val="18"/>
                <w:color w:val="auto"/>
              </w:rPr>
              <w:t>Provisions charged to earnings</w:t>
            </w:r>
          </w:p>
        </w:tc>
        <w:tc>
          <w:tcPr>
            <w:tcW w:w="520" w:type="dxa"/>
            <w:vAlign w:val="bottom"/>
          </w:tcPr>
          <w:p>
            <w:pPr>
              <w:spacing w:after="0"/>
              <w:rPr>
                <w:sz w:val="17"/>
                <w:szCs w:val="17"/>
                <w:color w:val="auto"/>
              </w:rPr>
            </w:pPr>
          </w:p>
        </w:tc>
        <w:tc>
          <w:tcPr>
            <w:tcW w:w="31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2.8</w:t>
            </w:r>
          </w:p>
        </w:tc>
      </w:tr>
      <w:tr>
        <w:trPr>
          <w:trHeight w:val="203"/>
        </w:trPr>
        <w:tc>
          <w:tcPr>
            <w:tcW w:w="75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Write-offs</w:t>
            </w:r>
          </w:p>
        </w:tc>
        <w:tc>
          <w:tcPr>
            <w:tcW w:w="520" w:type="dxa"/>
            <w:vAlign w:val="bottom"/>
            <w:shd w:val="clear" w:color="auto" w:fill="CFF0FC"/>
          </w:tcPr>
          <w:p>
            <w:pPr>
              <w:spacing w:after="0"/>
              <w:rPr>
                <w:sz w:val="17"/>
                <w:szCs w:val="17"/>
                <w:color w:val="auto"/>
              </w:rPr>
            </w:pPr>
          </w:p>
        </w:tc>
        <w:tc>
          <w:tcPr>
            <w:tcW w:w="31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(1.4 )</w:t>
            </w:r>
          </w:p>
        </w:tc>
      </w:tr>
      <w:tr>
        <w:trPr>
          <w:trHeight w:val="203"/>
        </w:trPr>
        <w:tc>
          <w:tcPr>
            <w:tcW w:w="7580" w:type="dxa"/>
            <w:vAlign w:val="bottom"/>
          </w:tcPr>
          <w:p>
            <w:pPr>
              <w:ind w:left="20"/>
              <w:spacing w:after="0" w:line="202" w:lineRule="exact"/>
              <w:rPr>
                <w:sz w:val="20"/>
                <w:szCs w:val="20"/>
                <w:color w:val="auto"/>
              </w:rPr>
            </w:pPr>
            <w:r>
              <w:rPr>
                <w:rFonts w:ascii="Arial" w:cs="Arial" w:eastAsia="Arial" w:hAnsi="Arial"/>
                <w:sz w:val="18"/>
                <w:szCs w:val="18"/>
                <w:color w:val="auto"/>
              </w:rPr>
              <w:t>Translation adjustments</w:t>
            </w:r>
          </w:p>
        </w:tc>
        <w:tc>
          <w:tcPr>
            <w:tcW w:w="520" w:type="dxa"/>
            <w:vAlign w:val="bottom"/>
            <w:tcBorders>
              <w:bottom w:val="single" w:sz="8" w:color="auto"/>
            </w:tcBorders>
          </w:tcPr>
          <w:p>
            <w:pPr>
              <w:spacing w:after="0"/>
              <w:rPr>
                <w:sz w:val="17"/>
                <w:szCs w:val="17"/>
                <w:color w:val="auto"/>
              </w:rPr>
            </w:pPr>
          </w:p>
        </w:tc>
        <w:tc>
          <w:tcPr>
            <w:tcW w:w="31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(2.2 )</w:t>
            </w:r>
          </w:p>
        </w:tc>
      </w:tr>
      <w:tr>
        <w:trPr>
          <w:trHeight w:val="236"/>
        </w:trPr>
        <w:tc>
          <w:tcPr>
            <w:tcW w:w="758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Balance, March 31, 2022</w:t>
            </w:r>
          </w:p>
        </w:tc>
        <w:tc>
          <w:tcPr>
            <w:tcW w:w="520" w:type="dxa"/>
            <w:vAlign w:val="bottom"/>
            <w:tcBorders>
              <w:bottom w:val="single" w:sz="8" w:color="auto"/>
            </w:tcBorders>
            <w:shd w:val="clear" w:color="auto" w:fill="CFF0FC"/>
          </w:tcPr>
          <w:p>
            <w:pPr>
              <w:jc w:val="right"/>
              <w:ind w:right="330"/>
              <w:spacing w:after="0" w:line="196" w:lineRule="exact"/>
              <w:rPr>
                <w:sz w:val="20"/>
                <w:szCs w:val="20"/>
                <w:color w:val="auto"/>
              </w:rPr>
            </w:pPr>
            <w:r>
              <w:rPr>
                <w:rFonts w:ascii="Arial" w:cs="Arial" w:eastAsia="Arial" w:hAnsi="Arial"/>
                <w:sz w:val="18"/>
                <w:szCs w:val="18"/>
                <w:color w:val="auto"/>
                <w:w w:val="79"/>
              </w:rPr>
              <w:t>$</w:t>
            </w:r>
          </w:p>
        </w:tc>
        <w:tc>
          <w:tcPr>
            <w:tcW w:w="3140" w:type="dxa"/>
            <w:vAlign w:val="bottom"/>
            <w:tcBorders>
              <w:bottom w:val="single" w:sz="8" w:color="auto"/>
            </w:tcBorders>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rPr>
              <w:t>120.8</w:t>
            </w: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Leases</w:t>
      </w:r>
    </w:p>
    <w:p>
      <w:pPr>
        <w:spacing w:after="0" w:line="212" w:lineRule="exact"/>
        <w:rPr>
          <w:sz w:val="20"/>
          <w:szCs w:val="20"/>
          <w:color w:val="auto"/>
        </w:rPr>
      </w:pPr>
    </w:p>
    <w:p>
      <w:pPr>
        <w:jc w:val="both"/>
        <w:ind w:right="220"/>
        <w:spacing w:after="0" w:line="295" w:lineRule="auto"/>
        <w:rPr>
          <w:sz w:val="20"/>
          <w:szCs w:val="20"/>
          <w:color w:val="auto"/>
        </w:rPr>
      </w:pPr>
      <w:r>
        <w:rPr>
          <w:rFonts w:ascii="Arial" w:cs="Arial" w:eastAsia="Arial" w:hAnsi="Arial"/>
          <w:sz w:val="18"/>
          <w:szCs w:val="18"/>
          <w:color w:val="auto"/>
        </w:rPr>
        <w:t>We determine whether a contract is or contains a lease at contract inception. Right-of-use (“ROU”) assets and long-term lease liabilities are presented as separate line items on our Consolidated Balance Sheets. Current operating lease liabilities are included in accrued expenses on our Consolidated Balance Sheets.</w:t>
      </w:r>
    </w:p>
    <w:p>
      <w:pPr>
        <w:spacing w:after="0" w:line="141" w:lineRule="exact"/>
        <w:rPr>
          <w:sz w:val="20"/>
          <w:szCs w:val="20"/>
          <w:color w:val="auto"/>
        </w:rPr>
      </w:pPr>
    </w:p>
    <w:p>
      <w:pPr>
        <w:ind w:right="60"/>
        <w:spacing w:after="0" w:line="286" w:lineRule="auto"/>
        <w:rPr>
          <w:sz w:val="20"/>
          <w:szCs w:val="20"/>
          <w:color w:val="auto"/>
        </w:rPr>
      </w:pPr>
      <w:r>
        <w:rPr>
          <w:rFonts w:ascii="Arial" w:cs="Arial" w:eastAsia="Arial" w:hAnsi="Arial"/>
          <w:sz w:val="18"/>
          <w:szCs w:val="18"/>
          <w:color w:val="auto"/>
        </w:rPr>
        <w:t>ROU assets represent our right to use an underlying asset for the lease term and lease liabilities represent our obligation to make lease payments arising from the lease. Lease liabilities are recognized at commencement date based on the present value of remaining lease payments over the lease term. As the rate implicit in the lease is not readily determinable in most of our leases, we use our incremental borrowing rate. We determine our incremental borrowing rate at the commencement date using our unsecured borrowing rate, adjusted for collateralization, lease term, economic environment, currency and other factors. ROU assets are recognized at commencement date at the value of the related lease liabilities, adjusted for any prepayments, lease incentives received, and initial direct costs incurred. Our lease terms include options to renew or not terminate the lease when it is reasonably certain that we will exercise that option.</w:t>
      </w:r>
    </w:p>
    <w:p>
      <w:pPr>
        <w:spacing w:after="0" w:line="163" w:lineRule="exact"/>
        <w:rPr>
          <w:sz w:val="20"/>
          <w:szCs w:val="20"/>
          <w:color w:val="auto"/>
        </w:rPr>
      </w:pPr>
    </w:p>
    <w:p>
      <w:pPr>
        <w:ind w:right="240"/>
        <w:spacing w:after="0" w:line="308" w:lineRule="auto"/>
        <w:rPr>
          <w:sz w:val="20"/>
          <w:szCs w:val="20"/>
          <w:color w:val="auto"/>
        </w:rPr>
      </w:pPr>
      <w:r>
        <w:rPr>
          <w:rFonts w:ascii="Arial" w:cs="Arial" w:eastAsia="Arial" w:hAnsi="Arial"/>
          <w:sz w:val="18"/>
          <w:szCs w:val="18"/>
          <w:color w:val="auto"/>
        </w:rPr>
        <w:t>Lease expenses for operating leases are recognized on a straight-line basis over the lease term and recorded in selling and administrative expenses on the Consolidated Statements of Operations.</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45085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i w:val="1"/>
          <w:iCs w:val="1"/>
          <w:color w:val="auto"/>
        </w:rPr>
        <w:t>Goodwill Impairment</w:t>
      </w:r>
    </w:p>
    <w:p>
      <w:pPr>
        <w:spacing w:after="0" w:line="225" w:lineRule="exact"/>
        <w:rPr>
          <w:sz w:val="20"/>
          <w:szCs w:val="20"/>
          <w:color w:val="auto"/>
        </w:rPr>
      </w:pPr>
    </w:p>
    <w:p>
      <w:pPr>
        <w:ind w:right="400"/>
        <w:spacing w:after="0" w:line="295" w:lineRule="auto"/>
        <w:rPr>
          <w:sz w:val="20"/>
          <w:szCs w:val="20"/>
          <w:color w:val="auto"/>
        </w:rPr>
      </w:pPr>
      <w:r>
        <w:rPr>
          <w:rFonts w:ascii="Arial" w:cs="Arial" w:eastAsia="Arial" w:hAnsi="Arial"/>
          <w:sz w:val="18"/>
          <w:szCs w:val="18"/>
          <w:color w:val="auto"/>
        </w:rPr>
        <w:t>In accordance with the accounting guidance on goodwill, we perform an annual impairment test of goodwill at our reporting unit level during the third quarter, or more frequently if events or circumstances change that would more likely than not reduce the fair value of our reporting units below their carrying value.</w:t>
      </w:r>
    </w:p>
    <w:p>
      <w:pPr>
        <w:spacing w:after="0" w:line="141" w:lineRule="exact"/>
        <w:rPr>
          <w:sz w:val="20"/>
          <w:szCs w:val="20"/>
          <w:color w:val="auto"/>
        </w:rPr>
      </w:pPr>
    </w:p>
    <w:p>
      <w:pPr>
        <w:ind w:right="40"/>
        <w:spacing w:after="0" w:line="312" w:lineRule="auto"/>
        <w:rPr>
          <w:sz w:val="20"/>
          <w:szCs w:val="20"/>
          <w:color w:val="auto"/>
        </w:rPr>
      </w:pPr>
      <w:r>
        <w:rPr>
          <w:rFonts w:ascii="Arial" w:cs="Arial" w:eastAsia="Arial" w:hAnsi="Arial"/>
          <w:sz w:val="17"/>
          <w:szCs w:val="17"/>
          <w:color w:val="auto"/>
        </w:rPr>
        <w:t>We evaluate the recoverability of goodwill utilizing an income approach that estimates the fair value of the future discounted cash flows to which the goodwill relates. This approach reflects management’s internal outlook of the reporting units, which is believed to be the best determination of value due to management’s insight and experience with the reporting units. Significant assumptions used in our goodwill impairment tests include: expected future revenue growth rates, operating unit profit margins, working capital levels, discount rates, and a terminal value multiple.</w:t>
      </w:r>
    </w:p>
    <w:p>
      <w:pPr>
        <w:spacing w:after="0" w:line="131" w:lineRule="exact"/>
        <w:rPr>
          <w:sz w:val="20"/>
          <w:szCs w:val="20"/>
          <w:color w:val="auto"/>
        </w:rPr>
      </w:pPr>
    </w:p>
    <w:p>
      <w:pPr>
        <w:ind w:right="180"/>
        <w:spacing w:after="0" w:line="308" w:lineRule="auto"/>
        <w:rPr>
          <w:sz w:val="20"/>
          <w:szCs w:val="20"/>
          <w:color w:val="auto"/>
        </w:rPr>
      </w:pPr>
      <w:r>
        <w:rPr>
          <w:rFonts w:ascii="Arial" w:cs="Arial" w:eastAsia="Arial" w:hAnsi="Arial"/>
          <w:sz w:val="18"/>
          <w:szCs w:val="18"/>
          <w:color w:val="auto"/>
        </w:rPr>
        <w:t>We performed our annual impairment test of our goodwill and indefinite-lived intangible assets during the third quarter of 2021 and determined that there was no impairment of our goodwill or indefinite-lived intangible assets.</w:t>
      </w:r>
    </w:p>
    <w:p>
      <w:pPr>
        <w:spacing w:after="0" w:line="144" w:lineRule="exact"/>
        <w:rPr>
          <w:sz w:val="20"/>
          <w:szCs w:val="20"/>
          <w:color w:val="auto"/>
        </w:rPr>
      </w:pPr>
    </w:p>
    <w:p>
      <w:pPr>
        <w:ind w:right="120"/>
        <w:spacing w:after="0" w:line="286" w:lineRule="auto"/>
        <w:rPr>
          <w:sz w:val="20"/>
          <w:szCs w:val="20"/>
          <w:color w:val="auto"/>
        </w:rPr>
      </w:pPr>
      <w:r>
        <w:rPr>
          <w:rFonts w:ascii="Arial" w:cs="Arial" w:eastAsia="Arial" w:hAnsi="Arial"/>
          <w:sz w:val="18"/>
          <w:szCs w:val="18"/>
          <w:color w:val="auto"/>
        </w:rPr>
        <w:t>The fair value of each reporting unit was at least 20% in excess of the respective reporting unit’s carrying value with the exception of the Netherlands reporting unit, which is part of the Northern Europe segment. The Netherlands reporting unit had a fair value that exceeded its carrying value by approximately 5.5%. Key assumptions included in the Netherlands discounted cash flow valuation performed during the third quarter of 2021 included a discount rate of 10.4%, revenue growth for the next three years ranging from 3.0% - 5.0%, a terminal value revenue growth rate of 2.0%, and a terminal value OUP margin of 3.5%. If the Netherlands reporting unit cannot improve from its current operating levels and meet its operating targets to achieve the growth and margin assumptions noted above, some or all of the recorded goodwill for the Netherlands reporting unit, which was $109.2 as of March 31, 2022, could be subject to impairment.</w:t>
      </w:r>
    </w:p>
    <w:p>
      <w:pPr>
        <w:spacing w:after="0" w:line="150" w:lineRule="exact"/>
        <w:rPr>
          <w:sz w:val="20"/>
          <w:szCs w:val="20"/>
          <w:color w:val="auto"/>
        </w:rPr>
      </w:pPr>
    </w:p>
    <w:p>
      <w:pPr>
        <w:ind w:right="340"/>
        <w:spacing w:after="0" w:line="295" w:lineRule="auto"/>
        <w:rPr>
          <w:sz w:val="20"/>
          <w:szCs w:val="20"/>
          <w:color w:val="auto"/>
        </w:rPr>
      </w:pPr>
      <w:r>
        <w:rPr>
          <w:rFonts w:ascii="Arial" w:cs="Arial" w:eastAsia="Arial" w:hAnsi="Arial"/>
          <w:sz w:val="18"/>
          <w:szCs w:val="18"/>
          <w:color w:val="auto"/>
        </w:rPr>
        <w:t>While our other reporting units' fair values exceeded 20% or more of their respective carrying values, there could be significant further decreases in the operating results of our reporting units for a sustained period, which may result in a recognition of goodwill impairment that could be material to the Consolidated Financial Statements.</w:t>
      </w:r>
    </w:p>
    <w:p>
      <w:pPr>
        <w:spacing w:after="0" w:line="141" w:lineRule="exact"/>
        <w:rPr>
          <w:sz w:val="20"/>
          <w:szCs w:val="20"/>
          <w:color w:val="auto"/>
        </w:rPr>
      </w:pPr>
    </w:p>
    <w:p>
      <w:pPr>
        <w:ind w:left="260" w:hanging="252"/>
        <w:spacing w:after="0"/>
        <w:tabs>
          <w:tab w:leader="none" w:pos="260" w:val="left"/>
        </w:tabs>
        <w:numPr>
          <w:ilvl w:val="0"/>
          <w:numId w:val="4"/>
        </w:numPr>
        <w:rPr>
          <w:rFonts w:ascii="Arial" w:cs="Arial" w:eastAsia="Arial" w:hAnsi="Arial"/>
          <w:sz w:val="18"/>
          <w:szCs w:val="18"/>
          <w:color w:val="auto"/>
        </w:rPr>
      </w:pPr>
      <w:r>
        <w:rPr>
          <w:rFonts w:ascii="Arial" w:cs="Arial" w:eastAsia="Arial" w:hAnsi="Arial"/>
          <w:sz w:val="18"/>
          <w:szCs w:val="18"/>
          <w:u w:val="single" w:color="auto"/>
          <w:color w:val="auto"/>
        </w:rPr>
        <w:t>Recent Accounting Standards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Standards Effective as of January 1, 2022</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November 2021, the FASB issued new guidance on disclosures by business entities about government assistance. The guidance requires business entities to disclose, in notes to their financial statements, information about certain types of government assistance they receive. The new guidance was effective for us as of January 1, 2022. The adoption of this guidance had no impact on our Consolidated Financial Statements.</w:t>
      </w:r>
    </w:p>
    <w:p>
      <w:pPr>
        <w:spacing w:after="0" w:line="150" w:lineRule="exact"/>
        <w:rPr>
          <w:sz w:val="20"/>
          <w:szCs w:val="20"/>
          <w:color w:val="auto"/>
        </w:rPr>
      </w:pPr>
    </w:p>
    <w:p>
      <w:pPr>
        <w:spacing w:after="0" w:line="243" w:lineRule="auto"/>
        <w:rPr>
          <w:sz w:val="20"/>
          <w:szCs w:val="20"/>
          <w:color w:val="auto"/>
        </w:rPr>
      </w:pPr>
      <w:r>
        <w:rPr>
          <w:rFonts w:ascii="Arial" w:cs="Arial" w:eastAsia="Arial" w:hAnsi="Arial"/>
          <w:sz w:val="18"/>
          <w:szCs w:val="18"/>
          <w:color w:val="auto"/>
        </w:rPr>
        <w:t>In March 2020, the FASB issued new guidance on accounting for contract modifications, including hedging relationships, due to the transition from LIBOR and other interbank offerings related to alternative reference interest rates. The guidance was effective upon issuance and can be applied to applicable contract modifications through December 31, 2022. The adoption of this guidance has not had any impact on our Consolidated Financial Statements, and we do not expect it to have a material impact going forward.</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Issued Accounting Standards</w:t>
      </w:r>
    </w:p>
    <w:p>
      <w:pPr>
        <w:spacing w:after="0" w:line="225"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In November 2021, the FASB issued new guidance on business combinations. The guidance added the contract assets and contract liabilities to the list of exceptions to the recognition and measurement principles that apply to business combinations and requires that an acquirer recognize and measure contract assets and contract liabilities acquired in a business combination in accordance with the revenue recognition standard. The new guidance is effective for us as of January 1, 2023. We do not expect the adoption of this guidance to have a material impact on our Consolidated Financial Statements.</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9" w:name="page10"/>
    <w:bookmarkEnd w:id="9"/>
    <w:p>
      <w:pPr>
        <w:ind w:left="260" w:hanging="252"/>
        <w:spacing w:after="0"/>
        <w:tabs>
          <w:tab w:leader="none" w:pos="260" w:val="left"/>
        </w:tabs>
        <w:numPr>
          <w:ilvl w:val="0"/>
          <w:numId w:val="5"/>
        </w:numPr>
        <w:rPr>
          <w:rFonts w:ascii="Arial" w:cs="Arial" w:eastAsia="Arial" w:hAnsi="Arial"/>
          <w:sz w:val="18"/>
          <w:szCs w:val="18"/>
          <w:color w:val="auto"/>
        </w:rPr>
      </w:pPr>
      <w:r>
        <w:rPr>
          <w:rFonts w:ascii="Arial" w:cs="Arial" w:eastAsia="Arial" w:hAnsi="Arial"/>
          <w:sz w:val="18"/>
          <w:szCs w:val="18"/>
          <w:u w:val="single" w:color="auto"/>
          <w:color w:val="auto"/>
        </w:rPr>
        <w:t>Revenue Recognition</w:t>
      </w:r>
    </w:p>
    <w:p>
      <w:pPr>
        <w:spacing w:after="0" w:line="225" w:lineRule="exact"/>
        <w:rPr>
          <w:sz w:val="20"/>
          <w:szCs w:val="20"/>
          <w:color w:val="auto"/>
        </w:rPr>
      </w:pPr>
    </w:p>
    <w:p>
      <w:pPr>
        <w:ind w:right="120"/>
        <w:spacing w:after="0" w:line="308" w:lineRule="auto"/>
        <w:rPr>
          <w:sz w:val="20"/>
          <w:szCs w:val="20"/>
          <w:color w:val="auto"/>
        </w:rPr>
      </w:pPr>
      <w:r>
        <w:rPr>
          <w:rFonts w:ascii="Arial" w:cs="Arial" w:eastAsia="Arial" w:hAnsi="Arial"/>
          <w:sz w:val="18"/>
          <w:szCs w:val="18"/>
          <w:color w:val="auto"/>
        </w:rPr>
        <w:t>For certain client contracts where we recognize revenues over time, we recognize the amount that we have the right to invoice, which corresponds directly to the value provided to the client of our performance to date.</w:t>
      </w:r>
    </w:p>
    <w:p>
      <w:pPr>
        <w:spacing w:after="0" w:line="130" w:lineRule="exact"/>
        <w:rPr>
          <w:sz w:val="20"/>
          <w:szCs w:val="20"/>
          <w:color w:val="auto"/>
        </w:rPr>
      </w:pPr>
    </w:p>
    <w:p>
      <w:pPr>
        <w:ind w:right="120"/>
        <w:spacing w:after="0" w:line="347" w:lineRule="auto"/>
        <w:rPr>
          <w:sz w:val="20"/>
          <w:szCs w:val="20"/>
          <w:color w:val="auto"/>
        </w:rPr>
      </w:pPr>
      <w:r>
        <w:rPr>
          <w:rFonts w:ascii="Arial" w:cs="Arial" w:eastAsia="Arial" w:hAnsi="Arial"/>
          <w:sz w:val="16"/>
          <w:szCs w:val="16"/>
          <w:color w:val="auto"/>
        </w:rPr>
        <w:t>We do not disclose the amount of unsatisfied performance obligations for client contracts with an original expected length of one year or less and those client contracts for which we recognize revenues at the amount to which we have the right to invoice for services performed. We have other contracts with revenues expected to be recognized subsequent to March 31, 2022, related to remaining performance obligations, which are not material.</w:t>
      </w:r>
    </w:p>
    <w:p>
      <w:pPr>
        <w:spacing w:after="0" w:line="106" w:lineRule="exact"/>
        <w:rPr>
          <w:sz w:val="20"/>
          <w:szCs w:val="20"/>
          <w:color w:val="auto"/>
        </w:rPr>
      </w:pPr>
    </w:p>
    <w:p>
      <w:pPr>
        <w:ind w:right="160"/>
        <w:spacing w:after="0" w:line="337" w:lineRule="auto"/>
        <w:rPr>
          <w:sz w:val="20"/>
          <w:szCs w:val="20"/>
          <w:color w:val="auto"/>
        </w:rPr>
      </w:pPr>
      <w:r>
        <w:rPr>
          <w:rFonts w:ascii="Arial" w:cs="Arial" w:eastAsia="Arial" w:hAnsi="Arial"/>
          <w:sz w:val="16"/>
          <w:szCs w:val="16"/>
          <w:color w:val="auto"/>
        </w:rPr>
        <w:t>We record accounts receivable when our right to consideration becomes unconditional. Contract assets primarily relate to our rights to consideration for services provided that they are conditional on satisfaction of future performance obligations. We record contract liabilities (deferred revenue) when payments are made or due prior to the related performance obligations being satisfied. The current portion of our contract liabilities is included in accrued liabilities in our Consolidated Balance Sheets. We do not have any material contract assets or long-term contract liabilities.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color w:val="auto"/>
        </w:rPr>
        <w:t>Our deferred revenue was $33.5 as of March 31, 2022 and $34.8 as of December 31, 2021.</w:t>
      </w:r>
    </w:p>
    <w:p>
      <w:pPr>
        <w:spacing w:after="0" w:line="212" w:lineRule="exact"/>
        <w:rPr>
          <w:sz w:val="20"/>
          <w:szCs w:val="20"/>
          <w:color w:val="auto"/>
        </w:rPr>
      </w:pPr>
    </w:p>
    <w:p>
      <w:pPr>
        <w:ind w:right="140"/>
        <w:spacing w:after="0" w:line="308" w:lineRule="auto"/>
        <w:rPr>
          <w:sz w:val="20"/>
          <w:szCs w:val="20"/>
          <w:color w:val="auto"/>
        </w:rPr>
      </w:pPr>
      <w:r>
        <w:rPr>
          <w:rFonts w:ascii="Arial" w:cs="Arial" w:eastAsia="Arial" w:hAnsi="Arial"/>
          <w:sz w:val="18"/>
          <w:szCs w:val="18"/>
          <w:color w:val="auto"/>
        </w:rPr>
        <w:t>In the following table, revenue is disaggregated by service types for each of our reportable segments. See Note 2 to the Consolidated Financial Statements in our 2021 Annual Report on Form 10-K for descriptions of revenue service types.</w:t>
      </w:r>
    </w:p>
    <w:p>
      <w:pPr>
        <w:spacing w:after="0" w:line="135" w:lineRule="exact"/>
        <w:rPr>
          <w:sz w:val="20"/>
          <w:szCs w:val="20"/>
          <w:color w:val="auto"/>
        </w:rPr>
      </w:pPr>
    </w:p>
    <w:p>
      <w:pPr>
        <w:ind w:left="5440"/>
        <w:spacing w:after="0"/>
        <w:rPr>
          <w:sz w:val="20"/>
          <w:szCs w:val="20"/>
          <w:color w:val="auto"/>
        </w:rPr>
      </w:pPr>
      <w:r>
        <w:rPr>
          <w:rFonts w:ascii="Arial" w:cs="Arial" w:eastAsia="Arial" w:hAnsi="Arial"/>
          <w:sz w:val="14"/>
          <w:szCs w:val="14"/>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1050925</wp:posOffset>
            </wp:positionH>
            <wp:positionV relativeFrom="paragraph">
              <wp:posOffset>15240</wp:posOffset>
            </wp:positionV>
            <wp:extent cx="608647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086475" cy="8890"/>
                    </a:xfrm>
                    <a:prstGeom prst="rect">
                      <a:avLst/>
                    </a:prstGeom>
                    <a:noFill/>
                  </pic:spPr>
                </pic:pic>
              </a:graphicData>
            </a:graphic>
          </wp:anchor>
        </w:drawing>
      </w:r>
    </w:p>
    <w:p>
      <w:pPr>
        <w:spacing w:after="0" w:line="22" w:lineRule="exact"/>
        <w:rPr>
          <w:sz w:val="20"/>
          <w:szCs w:val="20"/>
          <w:color w:val="auto"/>
        </w:rPr>
      </w:pPr>
    </w:p>
    <w:p>
      <w:pPr>
        <w:ind w:left="3960"/>
        <w:spacing w:after="0"/>
        <w:tabs>
          <w:tab w:leader="none" w:pos="8780" w:val="left"/>
        </w:tabs>
        <w:rPr>
          <w:sz w:val="20"/>
          <w:szCs w:val="20"/>
          <w:color w:val="auto"/>
        </w:rPr>
      </w:pPr>
      <w:r>
        <w:rPr>
          <w:rFonts w:ascii="Arial" w:cs="Arial" w:eastAsia="Arial" w:hAnsi="Arial"/>
          <w:sz w:val="14"/>
          <w:szCs w:val="14"/>
          <w:b w:val="1"/>
          <w:bCs w:val="1"/>
          <w:color w:val="auto"/>
        </w:rPr>
        <w:t>2022</w:t>
      </w:r>
      <w:r>
        <w:rPr>
          <w:sz w:val="20"/>
          <w:szCs w:val="20"/>
          <w:color w:val="auto"/>
        </w:rPr>
        <w:tab/>
      </w:r>
      <w:r>
        <w:rPr>
          <w:rFonts w:ascii="Arial" w:cs="Arial" w:eastAsia="Arial" w:hAnsi="Arial"/>
          <w:sz w:val="14"/>
          <w:szCs w:val="14"/>
          <w:b w:val="1"/>
          <w:bCs w:val="1"/>
          <w:color w:val="auto"/>
        </w:rPr>
        <w:t>2021</w:t>
      </w:r>
    </w:p>
    <w:p>
      <w:pPr>
        <w:sectPr>
          <w:pgSz w:w="11900" w:h="16838" w:orient="portrait"/>
          <w:cols w:equalWidth="0" w:num="1">
            <w:col w:w="11240"/>
          </w:cols>
          <w:pgMar w:left="320" w:top="517" w:right="339" w:bottom="1440" w:gutter="0" w:footer="0" w:header="0"/>
        </w:sectPr>
      </w:pPr>
    </w:p>
    <w:p>
      <w:pPr>
        <w:spacing w:after="0" w:line="24" w:lineRule="exact"/>
        <w:rPr>
          <w:sz w:val="20"/>
          <w:szCs w:val="20"/>
          <w:color w:val="auto"/>
        </w:rPr>
      </w:pPr>
    </w:p>
    <w:tbl>
      <w:tblPr>
        <w:tblLayout w:type="fixed"/>
        <w:tblInd w:w="1660" w:type="dxa"/>
        <w:tblCellMar>
          <w:top w:w="0" w:type="dxa"/>
          <w:left w:w="0" w:type="dxa"/>
          <w:bottom w:w="0" w:type="dxa"/>
          <w:right w:w="0" w:type="dxa"/>
        </w:tblCellMar>
      </w:tblPr>
      <w:tr>
        <w:trPr>
          <w:trHeight w:val="137"/>
        </w:trPr>
        <w:tc>
          <w:tcPr>
            <w:tcW w:w="90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jc w:val="center"/>
              <w:spacing w:after="0" w:line="137" w:lineRule="exact"/>
              <w:rPr>
                <w:sz w:val="20"/>
                <w:szCs w:val="20"/>
                <w:color w:val="auto"/>
              </w:rPr>
            </w:pPr>
            <w:r>
              <w:rPr>
                <w:rFonts w:ascii="Arial" w:cs="Arial" w:eastAsia="Arial" w:hAnsi="Arial"/>
                <w:sz w:val="14"/>
                <w:szCs w:val="14"/>
                <w:color w:val="auto"/>
                <w:w w:val="94"/>
              </w:rPr>
              <w:t>Outcome-</w:t>
            </w:r>
          </w:p>
        </w:tc>
        <w:tc>
          <w:tcPr>
            <w:tcW w:w="114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spacing w:after="0"/>
              <w:rPr>
                <w:sz w:val="11"/>
                <w:szCs w:val="11"/>
                <w:color w:val="auto"/>
              </w:rPr>
            </w:pPr>
          </w:p>
        </w:tc>
      </w:tr>
      <w:tr>
        <w:trPr>
          <w:trHeight w:val="148"/>
        </w:trPr>
        <w:tc>
          <w:tcPr>
            <w:tcW w:w="90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color w:val="auto"/>
                <w:w w:val="85"/>
              </w:rPr>
              <w:t>Based</w:t>
            </w:r>
          </w:p>
        </w:tc>
        <w:tc>
          <w:tcPr>
            <w:tcW w:w="1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0" w:type="dxa"/>
            <w:vAlign w:val="bottom"/>
          </w:tcPr>
          <w:p>
            <w:pPr>
              <w:spacing w:after="0"/>
              <w:rPr>
                <w:sz w:val="12"/>
                <w:szCs w:val="12"/>
                <w:color w:val="auto"/>
              </w:rPr>
            </w:pPr>
          </w:p>
        </w:tc>
      </w:tr>
      <w:tr>
        <w:trPr>
          <w:trHeight w:val="148"/>
        </w:trPr>
        <w:tc>
          <w:tcPr>
            <w:tcW w:w="900" w:type="dxa"/>
            <w:vAlign w:val="bottom"/>
          </w:tcPr>
          <w:p>
            <w:pPr>
              <w:jc w:val="center"/>
              <w:spacing w:after="0" w:line="149" w:lineRule="exact"/>
              <w:rPr>
                <w:sz w:val="20"/>
                <w:szCs w:val="20"/>
                <w:color w:val="auto"/>
              </w:rPr>
            </w:pPr>
            <w:r>
              <w:rPr>
                <w:rFonts w:ascii="Arial" w:cs="Arial" w:eastAsia="Arial" w:hAnsi="Arial"/>
                <w:sz w:val="14"/>
                <w:szCs w:val="14"/>
                <w:color w:val="auto"/>
                <w:w w:val="96"/>
              </w:rPr>
              <w:t>Staffing</w:t>
            </w:r>
          </w:p>
        </w:tc>
        <w:tc>
          <w:tcPr>
            <w:tcW w:w="1040" w:type="dxa"/>
            <w:vAlign w:val="bottom"/>
          </w:tcPr>
          <w:p>
            <w:pPr>
              <w:jc w:val="center"/>
              <w:spacing w:after="0" w:line="149" w:lineRule="exact"/>
              <w:rPr>
                <w:sz w:val="20"/>
                <w:szCs w:val="20"/>
                <w:color w:val="auto"/>
              </w:rPr>
            </w:pPr>
            <w:r>
              <w:rPr>
                <w:rFonts w:ascii="Arial" w:cs="Arial" w:eastAsia="Arial" w:hAnsi="Arial"/>
                <w:sz w:val="14"/>
                <w:szCs w:val="14"/>
                <w:color w:val="auto"/>
                <w:w w:val="93"/>
              </w:rPr>
              <w:t>Solutions</w:t>
            </w:r>
          </w:p>
        </w:tc>
        <w:tc>
          <w:tcPr>
            <w:tcW w:w="1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0" w:type="dxa"/>
            <w:vAlign w:val="bottom"/>
          </w:tcPr>
          <w:p>
            <w:pPr>
              <w:spacing w:after="0"/>
              <w:rPr>
                <w:sz w:val="12"/>
                <w:szCs w:val="12"/>
                <w:color w:val="auto"/>
              </w:rPr>
            </w:pPr>
          </w:p>
        </w:tc>
      </w:tr>
      <w:tr>
        <w:trPr>
          <w:trHeight w:val="148"/>
        </w:trPr>
        <w:tc>
          <w:tcPr>
            <w:tcW w:w="900" w:type="dxa"/>
            <w:vAlign w:val="bottom"/>
          </w:tcPr>
          <w:p>
            <w:pPr>
              <w:jc w:val="center"/>
              <w:spacing w:after="0" w:line="149" w:lineRule="exact"/>
              <w:rPr>
                <w:sz w:val="20"/>
                <w:szCs w:val="20"/>
                <w:color w:val="auto"/>
              </w:rPr>
            </w:pPr>
            <w:r>
              <w:rPr>
                <w:rFonts w:ascii="Arial" w:cs="Arial" w:eastAsia="Arial" w:hAnsi="Arial"/>
                <w:sz w:val="14"/>
                <w:szCs w:val="14"/>
                <w:color w:val="auto"/>
                <w:w w:val="85"/>
              </w:rPr>
              <w:t>and</w:t>
            </w:r>
          </w:p>
        </w:tc>
        <w:tc>
          <w:tcPr>
            <w:tcW w:w="1040" w:type="dxa"/>
            <w:vAlign w:val="bottom"/>
          </w:tcPr>
          <w:p>
            <w:pPr>
              <w:jc w:val="center"/>
              <w:spacing w:after="0" w:line="149" w:lineRule="exact"/>
              <w:rPr>
                <w:sz w:val="20"/>
                <w:szCs w:val="20"/>
                <w:color w:val="auto"/>
              </w:rPr>
            </w:pPr>
            <w:r>
              <w:rPr>
                <w:rFonts w:ascii="Arial" w:cs="Arial" w:eastAsia="Arial" w:hAnsi="Arial"/>
                <w:sz w:val="14"/>
                <w:szCs w:val="14"/>
                <w:color w:val="auto"/>
                <w:w w:val="94"/>
              </w:rPr>
              <w:t>and</w:t>
            </w:r>
          </w:p>
        </w:tc>
        <w:tc>
          <w:tcPr>
            <w:tcW w:w="1140" w:type="dxa"/>
            <w:vAlign w:val="bottom"/>
          </w:tcPr>
          <w:p>
            <w:pPr>
              <w:jc w:val="center"/>
              <w:spacing w:after="0" w:line="149" w:lineRule="exact"/>
              <w:rPr>
                <w:sz w:val="20"/>
                <w:szCs w:val="20"/>
                <w:color w:val="auto"/>
              </w:rPr>
            </w:pPr>
            <w:r>
              <w:rPr>
                <w:rFonts w:ascii="Arial" w:cs="Arial" w:eastAsia="Arial" w:hAnsi="Arial"/>
                <w:sz w:val="14"/>
                <w:szCs w:val="14"/>
                <w:color w:val="auto"/>
                <w:w w:val="87"/>
              </w:rPr>
              <w:t>Permanent</w:t>
            </w:r>
          </w:p>
        </w:tc>
        <w:tc>
          <w:tcPr>
            <w:tcW w:w="900" w:type="dxa"/>
            <w:vAlign w:val="bottom"/>
          </w:tcPr>
          <w:p>
            <w:pPr>
              <w:spacing w:after="0"/>
              <w:rPr>
                <w:sz w:val="12"/>
                <w:szCs w:val="12"/>
                <w:color w:val="auto"/>
              </w:rPr>
            </w:pPr>
          </w:p>
        </w:tc>
        <w:tc>
          <w:tcPr>
            <w:tcW w:w="1000" w:type="dxa"/>
            <w:vAlign w:val="bottom"/>
          </w:tcPr>
          <w:p>
            <w:pPr>
              <w:spacing w:after="0"/>
              <w:rPr>
                <w:sz w:val="12"/>
                <w:szCs w:val="12"/>
                <w:color w:val="auto"/>
              </w:rPr>
            </w:pPr>
          </w:p>
        </w:tc>
      </w:tr>
      <w:tr>
        <w:trPr>
          <w:trHeight w:val="181"/>
        </w:trPr>
        <w:tc>
          <w:tcPr>
            <w:tcW w:w="900" w:type="dxa"/>
            <w:vAlign w:val="bottom"/>
          </w:tcPr>
          <w:p>
            <w:pPr>
              <w:jc w:val="center"/>
              <w:spacing w:after="0"/>
              <w:rPr>
                <w:sz w:val="20"/>
                <w:szCs w:val="20"/>
                <w:color w:val="auto"/>
              </w:rPr>
            </w:pPr>
            <w:r>
              <w:rPr>
                <w:rFonts w:ascii="Arial" w:cs="Arial" w:eastAsia="Arial" w:hAnsi="Arial"/>
                <w:sz w:val="14"/>
                <w:szCs w:val="14"/>
                <w:color w:val="auto"/>
              </w:rPr>
              <w:t>Interim</w:t>
            </w:r>
          </w:p>
        </w:tc>
        <w:tc>
          <w:tcPr>
            <w:tcW w:w="1040" w:type="dxa"/>
            <w:vAlign w:val="bottom"/>
          </w:tcPr>
          <w:p>
            <w:pPr>
              <w:jc w:val="center"/>
              <w:spacing w:after="0"/>
              <w:rPr>
                <w:sz w:val="20"/>
                <w:szCs w:val="20"/>
                <w:color w:val="auto"/>
              </w:rPr>
            </w:pPr>
            <w:r>
              <w:rPr>
                <w:rFonts w:ascii="Arial" w:cs="Arial" w:eastAsia="Arial" w:hAnsi="Arial"/>
                <w:sz w:val="14"/>
                <w:szCs w:val="14"/>
                <w:color w:val="auto"/>
                <w:w w:val="93"/>
              </w:rPr>
              <w:t>Consulting</w:t>
            </w:r>
          </w:p>
        </w:tc>
        <w:tc>
          <w:tcPr>
            <w:tcW w:w="1140" w:type="dxa"/>
            <w:vAlign w:val="bottom"/>
          </w:tcPr>
          <w:p>
            <w:pPr>
              <w:jc w:val="center"/>
              <w:spacing w:after="0"/>
              <w:rPr>
                <w:sz w:val="20"/>
                <w:szCs w:val="20"/>
                <w:color w:val="auto"/>
              </w:rPr>
            </w:pPr>
            <w:r>
              <w:rPr>
                <w:rFonts w:ascii="Arial" w:cs="Arial" w:eastAsia="Arial" w:hAnsi="Arial"/>
                <w:sz w:val="14"/>
                <w:szCs w:val="14"/>
                <w:color w:val="auto"/>
                <w:w w:val="95"/>
              </w:rPr>
              <w:t>Recruitment</w:t>
            </w:r>
          </w:p>
        </w:tc>
        <w:tc>
          <w:tcPr>
            <w:tcW w:w="900" w:type="dxa"/>
            <w:vAlign w:val="bottom"/>
          </w:tcPr>
          <w:p>
            <w:pPr>
              <w:ind w:left="240"/>
              <w:spacing w:after="0"/>
              <w:rPr>
                <w:sz w:val="20"/>
                <w:szCs w:val="20"/>
                <w:color w:val="auto"/>
              </w:rPr>
            </w:pPr>
            <w:r>
              <w:rPr>
                <w:rFonts w:ascii="Arial" w:cs="Arial" w:eastAsia="Arial" w:hAnsi="Arial"/>
                <w:sz w:val="14"/>
                <w:szCs w:val="14"/>
                <w:color w:val="auto"/>
              </w:rPr>
              <w:t>Other</w:t>
            </w:r>
          </w:p>
        </w:tc>
        <w:tc>
          <w:tcPr>
            <w:tcW w:w="1000" w:type="dxa"/>
            <w:vAlign w:val="bottom"/>
          </w:tcPr>
          <w:p>
            <w:pPr>
              <w:ind w:left="340"/>
              <w:spacing w:after="0"/>
              <w:rPr>
                <w:sz w:val="20"/>
                <w:szCs w:val="20"/>
                <w:color w:val="auto"/>
              </w:rPr>
            </w:pPr>
            <w:r>
              <w:rPr>
                <w:rFonts w:ascii="Arial" w:cs="Arial" w:eastAsia="Arial" w:hAnsi="Arial"/>
                <w:sz w:val="14"/>
                <w:szCs w:val="14"/>
                <w:color w:val="auto"/>
              </w:rPr>
              <w:t>Total</w:t>
            </w:r>
          </w:p>
        </w:tc>
      </w:tr>
    </w:tbl>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7"/>
        </w:trPr>
        <w:tc>
          <w:tcPr>
            <w:tcW w:w="84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jc w:val="center"/>
              <w:spacing w:after="0" w:line="137" w:lineRule="exact"/>
              <w:rPr>
                <w:sz w:val="20"/>
                <w:szCs w:val="20"/>
                <w:color w:val="auto"/>
              </w:rPr>
            </w:pPr>
            <w:r>
              <w:rPr>
                <w:rFonts w:ascii="Arial" w:cs="Arial" w:eastAsia="Arial" w:hAnsi="Arial"/>
                <w:sz w:val="14"/>
                <w:szCs w:val="14"/>
                <w:color w:val="auto"/>
                <w:w w:val="91"/>
              </w:rPr>
              <w:t>Outcome-</w:t>
            </w:r>
          </w:p>
        </w:tc>
        <w:tc>
          <w:tcPr>
            <w:tcW w:w="104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r>
      <w:tr>
        <w:trPr>
          <w:trHeight w:val="148"/>
        </w:trPr>
        <w:tc>
          <w:tcPr>
            <w:tcW w:w="84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Arial" w:cs="Arial" w:eastAsia="Arial" w:hAnsi="Arial"/>
                <w:sz w:val="14"/>
                <w:szCs w:val="14"/>
                <w:color w:val="auto"/>
                <w:w w:val="90"/>
              </w:rPr>
              <w:t>Based</w:t>
            </w:r>
          </w:p>
        </w:tc>
        <w:tc>
          <w:tcPr>
            <w:tcW w:w="10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00" w:type="dxa"/>
            <w:vAlign w:val="bottom"/>
          </w:tcPr>
          <w:p>
            <w:pPr>
              <w:spacing w:after="0"/>
              <w:rPr>
                <w:sz w:val="12"/>
                <w:szCs w:val="12"/>
                <w:color w:val="auto"/>
              </w:rPr>
            </w:pPr>
          </w:p>
        </w:tc>
      </w:tr>
      <w:tr>
        <w:trPr>
          <w:trHeight w:val="148"/>
        </w:trPr>
        <w:tc>
          <w:tcPr>
            <w:tcW w:w="840" w:type="dxa"/>
            <w:vAlign w:val="bottom"/>
          </w:tcPr>
          <w:p>
            <w:pPr>
              <w:jc w:val="center"/>
              <w:spacing w:after="0" w:line="149" w:lineRule="exact"/>
              <w:rPr>
                <w:sz w:val="20"/>
                <w:szCs w:val="20"/>
                <w:color w:val="auto"/>
              </w:rPr>
            </w:pPr>
            <w:r>
              <w:rPr>
                <w:rFonts w:ascii="Arial" w:cs="Arial" w:eastAsia="Arial" w:hAnsi="Arial"/>
                <w:sz w:val="14"/>
                <w:szCs w:val="14"/>
                <w:color w:val="auto"/>
                <w:w w:val="96"/>
              </w:rPr>
              <w:t>Staffing</w:t>
            </w:r>
          </w:p>
        </w:tc>
        <w:tc>
          <w:tcPr>
            <w:tcW w:w="940" w:type="dxa"/>
            <w:vAlign w:val="bottom"/>
          </w:tcPr>
          <w:p>
            <w:pPr>
              <w:jc w:val="center"/>
              <w:spacing w:after="0" w:line="149" w:lineRule="exact"/>
              <w:rPr>
                <w:sz w:val="20"/>
                <w:szCs w:val="20"/>
                <w:color w:val="auto"/>
              </w:rPr>
            </w:pPr>
            <w:r>
              <w:rPr>
                <w:rFonts w:ascii="Arial" w:cs="Arial" w:eastAsia="Arial" w:hAnsi="Arial"/>
                <w:sz w:val="14"/>
                <w:szCs w:val="14"/>
                <w:color w:val="auto"/>
                <w:w w:val="97"/>
              </w:rPr>
              <w:t>Solutions</w:t>
            </w:r>
          </w:p>
        </w:tc>
        <w:tc>
          <w:tcPr>
            <w:tcW w:w="10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00" w:type="dxa"/>
            <w:vAlign w:val="bottom"/>
          </w:tcPr>
          <w:p>
            <w:pPr>
              <w:spacing w:after="0"/>
              <w:rPr>
                <w:sz w:val="12"/>
                <w:szCs w:val="12"/>
                <w:color w:val="auto"/>
              </w:rPr>
            </w:pPr>
          </w:p>
        </w:tc>
      </w:tr>
      <w:tr>
        <w:trPr>
          <w:trHeight w:val="148"/>
        </w:trPr>
        <w:tc>
          <w:tcPr>
            <w:tcW w:w="840" w:type="dxa"/>
            <w:vAlign w:val="bottom"/>
          </w:tcPr>
          <w:p>
            <w:pPr>
              <w:jc w:val="center"/>
              <w:spacing w:after="0" w:line="149" w:lineRule="exact"/>
              <w:rPr>
                <w:sz w:val="20"/>
                <w:szCs w:val="20"/>
                <w:color w:val="auto"/>
              </w:rPr>
            </w:pPr>
            <w:r>
              <w:rPr>
                <w:rFonts w:ascii="Arial" w:cs="Arial" w:eastAsia="Arial" w:hAnsi="Arial"/>
                <w:sz w:val="14"/>
                <w:szCs w:val="14"/>
                <w:color w:val="auto"/>
                <w:w w:val="85"/>
              </w:rPr>
              <w:t>and</w:t>
            </w:r>
          </w:p>
        </w:tc>
        <w:tc>
          <w:tcPr>
            <w:tcW w:w="940" w:type="dxa"/>
            <w:vAlign w:val="bottom"/>
          </w:tcPr>
          <w:p>
            <w:pPr>
              <w:jc w:val="center"/>
              <w:spacing w:after="0" w:line="149" w:lineRule="exact"/>
              <w:rPr>
                <w:sz w:val="20"/>
                <w:szCs w:val="20"/>
                <w:color w:val="auto"/>
              </w:rPr>
            </w:pPr>
            <w:r>
              <w:rPr>
                <w:rFonts w:ascii="Arial" w:cs="Arial" w:eastAsia="Arial" w:hAnsi="Arial"/>
                <w:sz w:val="14"/>
                <w:szCs w:val="14"/>
                <w:color w:val="auto"/>
                <w:w w:val="85"/>
              </w:rPr>
              <w:t>and</w:t>
            </w:r>
          </w:p>
        </w:tc>
        <w:tc>
          <w:tcPr>
            <w:tcW w:w="1040" w:type="dxa"/>
            <w:vAlign w:val="bottom"/>
          </w:tcPr>
          <w:p>
            <w:pPr>
              <w:jc w:val="center"/>
              <w:spacing w:after="0" w:line="149" w:lineRule="exact"/>
              <w:rPr>
                <w:sz w:val="20"/>
                <w:szCs w:val="20"/>
                <w:color w:val="auto"/>
              </w:rPr>
            </w:pPr>
            <w:r>
              <w:rPr>
                <w:rFonts w:ascii="Arial" w:cs="Arial" w:eastAsia="Arial" w:hAnsi="Arial"/>
                <w:sz w:val="14"/>
                <w:szCs w:val="14"/>
                <w:color w:val="auto"/>
                <w:w w:val="90"/>
              </w:rPr>
              <w:t>Permanent</w:t>
            </w:r>
          </w:p>
        </w:tc>
        <w:tc>
          <w:tcPr>
            <w:tcW w:w="820" w:type="dxa"/>
            <w:vAlign w:val="bottom"/>
          </w:tcPr>
          <w:p>
            <w:pPr>
              <w:spacing w:after="0"/>
              <w:rPr>
                <w:sz w:val="12"/>
                <w:szCs w:val="12"/>
                <w:color w:val="auto"/>
              </w:rPr>
            </w:pPr>
          </w:p>
        </w:tc>
        <w:tc>
          <w:tcPr>
            <w:tcW w:w="900" w:type="dxa"/>
            <w:vAlign w:val="bottom"/>
          </w:tcPr>
          <w:p>
            <w:pPr>
              <w:spacing w:after="0"/>
              <w:rPr>
                <w:sz w:val="12"/>
                <w:szCs w:val="12"/>
                <w:color w:val="auto"/>
              </w:rPr>
            </w:pPr>
          </w:p>
        </w:tc>
      </w:tr>
      <w:tr>
        <w:trPr>
          <w:trHeight w:val="181"/>
        </w:trPr>
        <w:tc>
          <w:tcPr>
            <w:tcW w:w="840" w:type="dxa"/>
            <w:vAlign w:val="bottom"/>
          </w:tcPr>
          <w:p>
            <w:pPr>
              <w:jc w:val="center"/>
              <w:spacing w:after="0"/>
              <w:rPr>
                <w:sz w:val="20"/>
                <w:szCs w:val="20"/>
                <w:color w:val="auto"/>
              </w:rPr>
            </w:pPr>
            <w:r>
              <w:rPr>
                <w:rFonts w:ascii="Arial" w:cs="Arial" w:eastAsia="Arial" w:hAnsi="Arial"/>
                <w:sz w:val="14"/>
                <w:szCs w:val="14"/>
                <w:color w:val="auto"/>
                <w:w w:val="98"/>
              </w:rPr>
              <w:t>Interim</w:t>
            </w:r>
          </w:p>
        </w:tc>
        <w:tc>
          <w:tcPr>
            <w:tcW w:w="940" w:type="dxa"/>
            <w:vAlign w:val="bottom"/>
          </w:tcPr>
          <w:p>
            <w:pPr>
              <w:jc w:val="center"/>
              <w:spacing w:after="0"/>
              <w:rPr>
                <w:sz w:val="20"/>
                <w:szCs w:val="20"/>
                <w:color w:val="auto"/>
              </w:rPr>
            </w:pPr>
            <w:r>
              <w:rPr>
                <w:rFonts w:ascii="Arial" w:cs="Arial" w:eastAsia="Arial" w:hAnsi="Arial"/>
                <w:sz w:val="14"/>
                <w:szCs w:val="14"/>
                <w:color w:val="auto"/>
                <w:w w:val="96"/>
              </w:rPr>
              <w:t>Consulting</w:t>
            </w:r>
          </w:p>
        </w:tc>
        <w:tc>
          <w:tcPr>
            <w:tcW w:w="1040" w:type="dxa"/>
            <w:vAlign w:val="bottom"/>
          </w:tcPr>
          <w:p>
            <w:pPr>
              <w:jc w:val="center"/>
              <w:spacing w:after="0"/>
              <w:rPr>
                <w:sz w:val="20"/>
                <w:szCs w:val="20"/>
                <w:color w:val="auto"/>
              </w:rPr>
            </w:pPr>
            <w:r>
              <w:rPr>
                <w:rFonts w:ascii="Arial" w:cs="Arial" w:eastAsia="Arial" w:hAnsi="Arial"/>
                <w:sz w:val="14"/>
                <w:szCs w:val="14"/>
                <w:color w:val="auto"/>
                <w:w w:val="92"/>
              </w:rPr>
              <w:t>Recruitment</w:t>
            </w:r>
          </w:p>
        </w:tc>
        <w:tc>
          <w:tcPr>
            <w:tcW w:w="820" w:type="dxa"/>
            <w:vAlign w:val="bottom"/>
          </w:tcPr>
          <w:p>
            <w:pPr>
              <w:ind w:left="200"/>
              <w:spacing w:after="0"/>
              <w:rPr>
                <w:sz w:val="20"/>
                <w:szCs w:val="20"/>
                <w:color w:val="auto"/>
              </w:rPr>
            </w:pPr>
            <w:r>
              <w:rPr>
                <w:rFonts w:ascii="Arial" w:cs="Arial" w:eastAsia="Arial" w:hAnsi="Arial"/>
                <w:sz w:val="14"/>
                <w:szCs w:val="14"/>
                <w:color w:val="auto"/>
              </w:rPr>
              <w:t>Other</w:t>
            </w:r>
          </w:p>
        </w:tc>
        <w:tc>
          <w:tcPr>
            <w:tcW w:w="900" w:type="dxa"/>
            <w:vAlign w:val="bottom"/>
          </w:tcPr>
          <w:p>
            <w:pPr>
              <w:ind w:left="300"/>
              <w:spacing w:after="0"/>
              <w:rPr>
                <w:sz w:val="20"/>
                <w:szCs w:val="20"/>
                <w:color w:val="auto"/>
              </w:rPr>
            </w:pPr>
            <w:r>
              <w:rPr>
                <w:rFonts w:ascii="Arial" w:cs="Arial" w:eastAsia="Arial" w:hAnsi="Arial"/>
                <w:sz w:val="14"/>
                <w:szCs w:val="14"/>
                <w:color w:val="auto"/>
              </w:rPr>
              <w:t>Total</w:t>
            </w:r>
          </w:p>
        </w:tc>
      </w:tr>
    </w:tbl>
    <w:p>
      <w:pPr>
        <w:spacing w:after="0" w:line="1" w:lineRule="exact"/>
        <w:rPr>
          <w:sz w:val="20"/>
          <w:szCs w:val="20"/>
          <w:color w:val="auto"/>
        </w:rPr>
      </w:pPr>
    </w:p>
    <w:p>
      <w:pPr>
        <w:sectPr>
          <w:pgSz w:w="11900" w:h="16838" w:orient="portrait"/>
          <w:cols w:equalWidth="0" w:num="2">
            <w:col w:w="6640" w:space="60"/>
            <w:col w:w="4540"/>
          </w:cols>
          <w:pgMar w:left="320" w:top="517" w:right="339" w:bottom="1440" w:gutter="0" w:footer="0" w:header="0"/>
          <w:type w:val="continuous"/>
        </w:sectPr>
      </w:pPr>
    </w:p>
    <w:tbl>
      <w:tblPr>
        <w:tblLayout w:type="fixed"/>
        <w:tblInd w:w="0" w:type="dxa"/>
        <w:tblCellMar>
          <w:top w:w="0" w:type="dxa"/>
          <w:left w:w="0" w:type="dxa"/>
          <w:bottom w:w="0" w:type="dxa"/>
          <w:right w:w="0" w:type="dxa"/>
        </w:tblCellMar>
      </w:tblPr>
      <w:tr>
        <w:trPr>
          <w:trHeight w:val="169"/>
        </w:trPr>
        <w:tc>
          <w:tcPr>
            <w:tcW w:w="1660" w:type="dxa"/>
            <w:vAlign w:val="bottom"/>
            <w:tcBorders>
              <w:top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Americas:</w:t>
            </w:r>
          </w:p>
        </w:tc>
        <w:tc>
          <w:tcPr>
            <w:tcW w:w="260" w:type="dxa"/>
            <w:vAlign w:val="bottom"/>
            <w:tcBorders>
              <w:top w:val="single" w:sz="8" w:color="auto"/>
            </w:tcBorders>
            <w:shd w:val="clear" w:color="auto" w:fill="CFF0FC"/>
          </w:tcPr>
          <w:p>
            <w:pPr>
              <w:spacing w:after="0"/>
              <w:rPr>
                <w:sz w:val="14"/>
                <w:szCs w:val="14"/>
                <w:color w:val="auto"/>
              </w:rPr>
            </w:pPr>
          </w:p>
        </w:tc>
        <w:tc>
          <w:tcPr>
            <w:tcW w:w="680" w:type="dxa"/>
            <w:vAlign w:val="bottom"/>
            <w:tcBorders>
              <w:top w:val="single" w:sz="8" w:color="auto"/>
            </w:tcBorders>
            <w:shd w:val="clear" w:color="auto" w:fill="CFF0FC"/>
          </w:tcPr>
          <w:p>
            <w:pPr>
              <w:spacing w:after="0"/>
              <w:rPr>
                <w:sz w:val="14"/>
                <w:szCs w:val="14"/>
                <w:color w:val="auto"/>
              </w:rPr>
            </w:pPr>
          </w:p>
        </w:tc>
        <w:tc>
          <w:tcPr>
            <w:tcW w:w="380" w:type="dxa"/>
            <w:vAlign w:val="bottom"/>
            <w:tcBorders>
              <w:top w:val="single" w:sz="8" w:color="auto"/>
            </w:tcBorders>
            <w:shd w:val="clear" w:color="auto" w:fill="CFF0FC"/>
          </w:tcPr>
          <w:p>
            <w:pPr>
              <w:spacing w:after="0"/>
              <w:rPr>
                <w:sz w:val="14"/>
                <w:szCs w:val="14"/>
                <w:color w:val="auto"/>
              </w:rPr>
            </w:pPr>
          </w:p>
        </w:tc>
        <w:tc>
          <w:tcPr>
            <w:tcW w:w="640" w:type="dxa"/>
            <w:vAlign w:val="bottom"/>
            <w:tcBorders>
              <w:top w:val="single" w:sz="8" w:color="auto"/>
            </w:tcBorders>
            <w:shd w:val="clear" w:color="auto" w:fill="CFF0FC"/>
          </w:tcPr>
          <w:p>
            <w:pPr>
              <w:spacing w:after="0"/>
              <w:rPr>
                <w:sz w:val="14"/>
                <w:szCs w:val="14"/>
                <w:color w:val="auto"/>
              </w:rPr>
            </w:pPr>
          </w:p>
        </w:tc>
        <w:tc>
          <w:tcPr>
            <w:tcW w:w="400" w:type="dxa"/>
            <w:vAlign w:val="bottom"/>
            <w:tcBorders>
              <w:top w:val="single" w:sz="8" w:color="auto"/>
            </w:tcBorders>
            <w:shd w:val="clear" w:color="auto" w:fill="CFF0FC"/>
          </w:tcPr>
          <w:p>
            <w:pPr>
              <w:spacing w:after="0"/>
              <w:rPr>
                <w:sz w:val="14"/>
                <w:szCs w:val="14"/>
                <w:color w:val="auto"/>
              </w:rPr>
            </w:pPr>
          </w:p>
        </w:tc>
        <w:tc>
          <w:tcPr>
            <w:tcW w:w="640" w:type="dxa"/>
            <w:vAlign w:val="bottom"/>
            <w:tcBorders>
              <w:top w:val="single" w:sz="8" w:color="auto"/>
            </w:tcBorders>
            <w:shd w:val="clear" w:color="auto" w:fill="CFF0FC"/>
          </w:tcPr>
          <w:p>
            <w:pPr>
              <w:spacing w:after="0"/>
              <w:rPr>
                <w:sz w:val="14"/>
                <w:szCs w:val="14"/>
                <w:color w:val="auto"/>
              </w:rPr>
            </w:pPr>
          </w:p>
        </w:tc>
        <w:tc>
          <w:tcPr>
            <w:tcW w:w="400" w:type="dxa"/>
            <w:vAlign w:val="bottom"/>
            <w:tcBorders>
              <w:top w:val="single" w:sz="8" w:color="auto"/>
            </w:tcBorders>
            <w:shd w:val="clear" w:color="auto" w:fill="CFF0FC"/>
          </w:tcPr>
          <w:p>
            <w:pPr>
              <w:spacing w:after="0"/>
              <w:rPr>
                <w:sz w:val="14"/>
                <w:szCs w:val="14"/>
                <w:color w:val="auto"/>
              </w:rPr>
            </w:pPr>
          </w:p>
        </w:tc>
        <w:tc>
          <w:tcPr>
            <w:tcW w:w="640" w:type="dxa"/>
            <w:vAlign w:val="bottom"/>
            <w:tcBorders>
              <w:top w:val="single" w:sz="8" w:color="auto"/>
            </w:tcBorders>
            <w:shd w:val="clear" w:color="auto" w:fill="CFF0FC"/>
          </w:tcPr>
          <w:p>
            <w:pPr>
              <w:spacing w:after="0"/>
              <w:rPr>
                <w:sz w:val="14"/>
                <w:szCs w:val="14"/>
                <w:color w:val="auto"/>
              </w:rPr>
            </w:pPr>
          </w:p>
        </w:tc>
        <w:tc>
          <w:tcPr>
            <w:tcW w:w="260" w:type="dxa"/>
            <w:vAlign w:val="bottom"/>
            <w:tcBorders>
              <w:top w:val="single" w:sz="8" w:color="auto"/>
            </w:tcBorders>
            <w:shd w:val="clear" w:color="auto" w:fill="CFF0FC"/>
          </w:tcPr>
          <w:p>
            <w:pPr>
              <w:spacing w:after="0"/>
              <w:rPr>
                <w:sz w:val="14"/>
                <w:szCs w:val="14"/>
                <w:color w:val="auto"/>
              </w:rPr>
            </w:pPr>
          </w:p>
        </w:tc>
        <w:tc>
          <w:tcPr>
            <w:tcW w:w="680" w:type="dxa"/>
            <w:vAlign w:val="bottom"/>
            <w:tcBorders>
              <w:top w:val="single" w:sz="8" w:color="auto"/>
            </w:tcBorders>
            <w:shd w:val="clear" w:color="auto" w:fill="CFF0FC"/>
          </w:tcPr>
          <w:p>
            <w:pPr>
              <w:spacing w:after="0"/>
              <w:rPr>
                <w:sz w:val="14"/>
                <w:szCs w:val="14"/>
                <w:color w:val="auto"/>
              </w:rPr>
            </w:pPr>
          </w:p>
        </w:tc>
        <w:tc>
          <w:tcPr>
            <w:tcW w:w="60" w:type="dxa"/>
            <w:vAlign w:val="bottom"/>
            <w:tcBorders>
              <w:top w:val="single" w:sz="8" w:color="CFF0FC"/>
            </w:tcBorders>
            <w:shd w:val="clear" w:color="auto" w:fill="CFF0FC"/>
          </w:tcPr>
          <w:p>
            <w:pPr>
              <w:spacing w:after="0"/>
              <w:rPr>
                <w:sz w:val="14"/>
                <w:szCs w:val="14"/>
                <w:color w:val="auto"/>
              </w:rPr>
            </w:pPr>
          </w:p>
        </w:tc>
        <w:tc>
          <w:tcPr>
            <w:tcW w:w="240" w:type="dxa"/>
            <w:vAlign w:val="bottom"/>
            <w:tcBorders>
              <w:top w:val="single" w:sz="8" w:color="auto"/>
            </w:tcBorders>
            <w:shd w:val="clear" w:color="auto" w:fill="CFF0FC"/>
          </w:tcPr>
          <w:p>
            <w:pPr>
              <w:spacing w:after="0"/>
              <w:rPr>
                <w:sz w:val="14"/>
                <w:szCs w:val="14"/>
                <w:color w:val="auto"/>
              </w:rPr>
            </w:pPr>
          </w:p>
        </w:tc>
        <w:tc>
          <w:tcPr>
            <w:tcW w:w="640" w:type="dxa"/>
            <w:vAlign w:val="bottom"/>
            <w:tcBorders>
              <w:top w:val="single" w:sz="8" w:color="auto"/>
            </w:tcBorders>
            <w:shd w:val="clear" w:color="auto" w:fill="CFF0FC"/>
          </w:tcPr>
          <w:p>
            <w:pPr>
              <w:spacing w:after="0"/>
              <w:rPr>
                <w:sz w:val="14"/>
                <w:szCs w:val="14"/>
                <w:color w:val="auto"/>
              </w:rPr>
            </w:pPr>
          </w:p>
        </w:tc>
        <w:tc>
          <w:tcPr>
            <w:tcW w:w="340" w:type="dxa"/>
            <w:vAlign w:val="bottom"/>
            <w:tcBorders>
              <w:top w:val="single" w:sz="8" w:color="auto"/>
            </w:tcBorders>
            <w:shd w:val="clear" w:color="auto" w:fill="CFF0FC"/>
          </w:tcPr>
          <w:p>
            <w:pPr>
              <w:spacing w:after="0"/>
              <w:rPr>
                <w:sz w:val="14"/>
                <w:szCs w:val="14"/>
                <w:color w:val="auto"/>
              </w:rPr>
            </w:pPr>
          </w:p>
        </w:tc>
        <w:tc>
          <w:tcPr>
            <w:tcW w:w="580" w:type="dxa"/>
            <w:vAlign w:val="bottom"/>
            <w:tcBorders>
              <w:top w:val="single" w:sz="8" w:color="auto"/>
            </w:tcBorders>
            <w:shd w:val="clear" w:color="auto" w:fill="CFF0FC"/>
          </w:tcPr>
          <w:p>
            <w:pPr>
              <w:spacing w:after="0"/>
              <w:rPr>
                <w:sz w:val="14"/>
                <w:szCs w:val="14"/>
                <w:color w:val="auto"/>
              </w:rPr>
            </w:pPr>
          </w:p>
        </w:tc>
        <w:tc>
          <w:tcPr>
            <w:tcW w:w="340" w:type="dxa"/>
            <w:vAlign w:val="bottom"/>
            <w:tcBorders>
              <w:top w:val="single" w:sz="8" w:color="auto"/>
            </w:tcBorders>
            <w:shd w:val="clear" w:color="auto" w:fill="CFF0FC"/>
          </w:tcPr>
          <w:p>
            <w:pPr>
              <w:spacing w:after="0"/>
              <w:rPr>
                <w:sz w:val="14"/>
                <w:szCs w:val="14"/>
                <w:color w:val="auto"/>
              </w:rPr>
            </w:pPr>
          </w:p>
        </w:tc>
        <w:tc>
          <w:tcPr>
            <w:tcW w:w="600" w:type="dxa"/>
            <w:vAlign w:val="bottom"/>
            <w:tcBorders>
              <w:top w:val="single" w:sz="8" w:color="auto"/>
            </w:tcBorders>
            <w:shd w:val="clear" w:color="auto" w:fill="CFF0FC"/>
          </w:tcPr>
          <w:p>
            <w:pPr>
              <w:spacing w:after="0"/>
              <w:rPr>
                <w:sz w:val="14"/>
                <w:szCs w:val="14"/>
                <w:color w:val="auto"/>
              </w:rPr>
            </w:pPr>
          </w:p>
        </w:tc>
        <w:tc>
          <w:tcPr>
            <w:tcW w:w="360" w:type="dxa"/>
            <w:vAlign w:val="bottom"/>
            <w:tcBorders>
              <w:top w:val="single" w:sz="8" w:color="auto"/>
            </w:tcBorders>
            <w:shd w:val="clear" w:color="auto" w:fill="CFF0FC"/>
          </w:tcPr>
          <w:p>
            <w:pPr>
              <w:spacing w:after="0"/>
              <w:rPr>
                <w:sz w:val="14"/>
                <w:szCs w:val="14"/>
                <w:color w:val="auto"/>
              </w:rPr>
            </w:pPr>
          </w:p>
        </w:tc>
        <w:tc>
          <w:tcPr>
            <w:tcW w:w="580" w:type="dxa"/>
            <w:vAlign w:val="bottom"/>
            <w:tcBorders>
              <w:top w:val="single" w:sz="8" w:color="auto"/>
            </w:tcBorders>
            <w:shd w:val="clear" w:color="auto" w:fill="CFF0FC"/>
          </w:tcPr>
          <w:p>
            <w:pPr>
              <w:spacing w:after="0"/>
              <w:rPr>
                <w:sz w:val="14"/>
                <w:szCs w:val="14"/>
                <w:color w:val="auto"/>
              </w:rPr>
            </w:pPr>
          </w:p>
        </w:tc>
        <w:tc>
          <w:tcPr>
            <w:tcW w:w="220" w:type="dxa"/>
            <w:vAlign w:val="bottom"/>
            <w:tcBorders>
              <w:top w:val="single" w:sz="8" w:color="auto"/>
            </w:tcBorders>
            <w:shd w:val="clear" w:color="auto" w:fill="CFF0FC"/>
          </w:tcPr>
          <w:p>
            <w:pPr>
              <w:spacing w:after="0"/>
              <w:rPr>
                <w:sz w:val="14"/>
                <w:szCs w:val="14"/>
                <w:color w:val="auto"/>
              </w:rPr>
            </w:pPr>
          </w:p>
        </w:tc>
        <w:tc>
          <w:tcPr>
            <w:tcW w:w="640" w:type="dxa"/>
            <w:vAlign w:val="bottom"/>
            <w:tcBorders>
              <w:top w:val="single" w:sz="8" w:color="auto"/>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1660" w:type="dxa"/>
            <w:vAlign w:val="bottom"/>
          </w:tcPr>
          <w:p>
            <w:pPr>
              <w:ind w:left="200"/>
              <w:spacing w:after="0"/>
              <w:rPr>
                <w:sz w:val="20"/>
                <w:szCs w:val="20"/>
                <w:color w:val="auto"/>
              </w:rPr>
            </w:pPr>
            <w:r>
              <w:rPr>
                <w:rFonts w:ascii="Arial" w:cs="Arial" w:eastAsia="Arial" w:hAnsi="Arial"/>
                <w:sz w:val="14"/>
                <w:szCs w:val="14"/>
                <w:color w:val="auto"/>
              </w:rPr>
              <w:t>United States</w:t>
            </w: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739.9</w:t>
            </w:r>
          </w:p>
        </w:tc>
        <w:tc>
          <w:tcPr>
            <w:tcW w:w="38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8"/>
              <w:spacing w:after="0"/>
              <w:rPr>
                <w:sz w:val="20"/>
                <w:szCs w:val="20"/>
                <w:color w:val="auto"/>
              </w:rPr>
            </w:pPr>
            <w:r>
              <w:rPr>
                <w:rFonts w:ascii="Arial" w:cs="Arial" w:eastAsia="Arial" w:hAnsi="Arial"/>
                <w:sz w:val="14"/>
                <w:szCs w:val="14"/>
                <w:color w:val="auto"/>
              </w:rPr>
              <w:t>57.1</w:t>
            </w:r>
          </w:p>
        </w:tc>
        <w:tc>
          <w:tcPr>
            <w:tcW w:w="40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8"/>
              <w:spacing w:after="0"/>
              <w:rPr>
                <w:sz w:val="20"/>
                <w:szCs w:val="20"/>
                <w:color w:val="auto"/>
              </w:rPr>
            </w:pPr>
            <w:r>
              <w:rPr>
                <w:rFonts w:ascii="Arial" w:cs="Arial" w:eastAsia="Arial" w:hAnsi="Arial"/>
                <w:sz w:val="14"/>
                <w:szCs w:val="14"/>
                <w:color w:val="auto"/>
              </w:rPr>
              <w:t>54.2</w:t>
            </w:r>
          </w:p>
        </w:tc>
        <w:tc>
          <w:tcPr>
            <w:tcW w:w="40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48"/>
              <w:spacing w:after="0"/>
              <w:rPr>
                <w:sz w:val="20"/>
                <w:szCs w:val="20"/>
                <w:color w:val="auto"/>
              </w:rPr>
            </w:pPr>
            <w:r>
              <w:rPr>
                <w:rFonts w:ascii="Arial" w:cs="Arial" w:eastAsia="Arial" w:hAnsi="Arial"/>
                <w:sz w:val="14"/>
                <w:szCs w:val="14"/>
                <w:color w:val="auto"/>
              </w:rPr>
              <w:t>38.2</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889.4</w:t>
            </w:r>
          </w:p>
        </w:tc>
        <w:tc>
          <w:tcPr>
            <w:tcW w:w="3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510.1</w:t>
            </w:r>
          </w:p>
        </w:tc>
        <w:tc>
          <w:tcPr>
            <w:tcW w:w="34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28.8</w:t>
            </w:r>
          </w:p>
        </w:tc>
        <w:tc>
          <w:tcPr>
            <w:tcW w:w="34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28.5</w:t>
            </w:r>
          </w:p>
        </w:tc>
        <w:tc>
          <w:tcPr>
            <w:tcW w:w="36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580" w:type="dxa"/>
            <w:vAlign w:val="bottom"/>
          </w:tcPr>
          <w:p>
            <w:pPr>
              <w:jc w:val="right"/>
              <w:ind w:right="48"/>
              <w:spacing w:after="0"/>
              <w:rPr>
                <w:sz w:val="20"/>
                <w:szCs w:val="20"/>
                <w:color w:val="auto"/>
              </w:rPr>
            </w:pPr>
            <w:r>
              <w:rPr>
                <w:rFonts w:ascii="Arial" w:cs="Arial" w:eastAsia="Arial" w:hAnsi="Arial"/>
                <w:sz w:val="14"/>
                <w:szCs w:val="14"/>
                <w:color w:val="auto"/>
              </w:rPr>
              <w:t>41.4</w:t>
            </w: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608.8</w:t>
            </w:r>
          </w:p>
        </w:tc>
        <w:tc>
          <w:tcPr>
            <w:tcW w:w="0" w:type="dxa"/>
            <w:vAlign w:val="bottom"/>
          </w:tcPr>
          <w:p>
            <w:pPr>
              <w:spacing w:after="0"/>
              <w:rPr>
                <w:sz w:val="1"/>
                <w:szCs w:val="1"/>
                <w:color w:val="auto"/>
              </w:rPr>
            </w:pPr>
          </w:p>
        </w:tc>
      </w:tr>
      <w:tr>
        <w:trPr>
          <w:trHeight w:val="176"/>
        </w:trPr>
        <w:tc>
          <w:tcPr>
            <w:tcW w:w="166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4"/>
                <w:szCs w:val="14"/>
                <w:color w:val="auto"/>
              </w:rPr>
              <w:t>Other Americas</w:t>
            </w:r>
          </w:p>
        </w:tc>
        <w:tc>
          <w:tcPr>
            <w:tcW w:w="260" w:type="dxa"/>
            <w:vAlign w:val="bottom"/>
            <w:tcBorders>
              <w:bottom w:val="single" w:sz="8" w:color="auto"/>
            </w:tcBorders>
            <w:shd w:val="clear" w:color="auto" w:fill="CFF0FC"/>
          </w:tcPr>
          <w:p>
            <w:pPr>
              <w:spacing w:after="0"/>
              <w:rPr>
                <w:sz w:val="15"/>
                <w:szCs w:val="15"/>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336.9</w:t>
            </w:r>
          </w:p>
        </w:tc>
        <w:tc>
          <w:tcPr>
            <w:tcW w:w="380" w:type="dxa"/>
            <w:vAlign w:val="bottom"/>
            <w:tcBorders>
              <w:bottom w:val="single" w:sz="8" w:color="auto"/>
            </w:tcBorders>
            <w:shd w:val="clear" w:color="auto" w:fill="CFF0FC"/>
          </w:tcPr>
          <w:p>
            <w:pPr>
              <w:spacing w:after="0"/>
              <w:rPr>
                <w:sz w:val="15"/>
                <w:szCs w:val="15"/>
                <w:color w:val="auto"/>
              </w:rPr>
            </w:pPr>
          </w:p>
        </w:tc>
        <w:tc>
          <w:tcPr>
            <w:tcW w:w="640" w:type="dxa"/>
            <w:vAlign w:val="bottom"/>
            <w:tcBorders>
              <w:bottom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rPr>
              <w:t>12.0</w:t>
            </w:r>
          </w:p>
        </w:tc>
        <w:tc>
          <w:tcPr>
            <w:tcW w:w="400" w:type="dxa"/>
            <w:vAlign w:val="bottom"/>
            <w:tcBorders>
              <w:bottom w:val="single" w:sz="8" w:color="auto"/>
            </w:tcBorders>
            <w:shd w:val="clear" w:color="auto" w:fill="CFF0FC"/>
          </w:tcPr>
          <w:p>
            <w:pPr>
              <w:spacing w:after="0"/>
              <w:rPr>
                <w:sz w:val="15"/>
                <w:szCs w:val="15"/>
                <w:color w:val="auto"/>
              </w:rPr>
            </w:pPr>
          </w:p>
        </w:tc>
        <w:tc>
          <w:tcPr>
            <w:tcW w:w="640" w:type="dxa"/>
            <w:vAlign w:val="bottom"/>
            <w:tcBorders>
              <w:bottom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rPr>
              <w:t>11.2</w:t>
            </w:r>
          </w:p>
        </w:tc>
        <w:tc>
          <w:tcPr>
            <w:tcW w:w="400" w:type="dxa"/>
            <w:vAlign w:val="bottom"/>
            <w:tcBorders>
              <w:bottom w:val="single" w:sz="8" w:color="auto"/>
            </w:tcBorders>
            <w:shd w:val="clear" w:color="auto" w:fill="CFF0FC"/>
          </w:tcPr>
          <w:p>
            <w:pPr>
              <w:spacing w:after="0"/>
              <w:rPr>
                <w:sz w:val="15"/>
                <w:szCs w:val="15"/>
                <w:color w:val="auto"/>
              </w:rPr>
            </w:pPr>
          </w:p>
        </w:tc>
        <w:tc>
          <w:tcPr>
            <w:tcW w:w="64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1.7</w:t>
            </w:r>
          </w:p>
        </w:tc>
        <w:tc>
          <w:tcPr>
            <w:tcW w:w="260" w:type="dxa"/>
            <w:vAlign w:val="bottom"/>
            <w:tcBorders>
              <w:bottom w:val="single" w:sz="8" w:color="auto"/>
            </w:tcBorders>
            <w:shd w:val="clear" w:color="auto" w:fill="CFF0FC"/>
          </w:tcPr>
          <w:p>
            <w:pPr>
              <w:spacing w:after="0"/>
              <w:rPr>
                <w:sz w:val="15"/>
                <w:szCs w:val="15"/>
                <w:color w:val="auto"/>
              </w:rPr>
            </w:pPr>
          </w:p>
        </w:tc>
        <w:tc>
          <w:tcPr>
            <w:tcW w:w="680" w:type="dxa"/>
            <w:vAlign w:val="bottom"/>
            <w:tcBorders>
              <w:bottom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rPr>
              <w:t>361.8</w:t>
            </w:r>
          </w:p>
        </w:tc>
        <w:tc>
          <w:tcPr>
            <w:tcW w:w="60" w:type="dxa"/>
            <w:vAlign w:val="bottom"/>
            <w:tcBorders>
              <w:bottom w:val="single" w:sz="8" w:color="CFF0FC"/>
            </w:tcBorders>
            <w:shd w:val="clear" w:color="auto" w:fill="CFF0FC"/>
          </w:tcPr>
          <w:p>
            <w:pPr>
              <w:spacing w:after="0"/>
              <w:rPr>
                <w:sz w:val="15"/>
                <w:szCs w:val="15"/>
                <w:color w:val="auto"/>
              </w:rPr>
            </w:pPr>
          </w:p>
        </w:tc>
        <w:tc>
          <w:tcPr>
            <w:tcW w:w="240" w:type="dxa"/>
            <w:vAlign w:val="bottom"/>
            <w:tcBorders>
              <w:bottom w:val="single" w:sz="8" w:color="auto"/>
            </w:tcBorders>
            <w:shd w:val="clear" w:color="auto" w:fill="CFF0FC"/>
          </w:tcPr>
          <w:p>
            <w:pPr>
              <w:spacing w:after="0"/>
              <w:rPr>
                <w:sz w:val="15"/>
                <w:szCs w:val="15"/>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374.9</w:t>
            </w:r>
          </w:p>
        </w:tc>
        <w:tc>
          <w:tcPr>
            <w:tcW w:w="340" w:type="dxa"/>
            <w:vAlign w:val="bottom"/>
            <w:tcBorders>
              <w:bottom w:val="single" w:sz="8" w:color="auto"/>
            </w:tcBorders>
            <w:shd w:val="clear" w:color="auto" w:fill="CFF0FC"/>
          </w:tcPr>
          <w:p>
            <w:pPr>
              <w:spacing w:after="0"/>
              <w:rPr>
                <w:sz w:val="15"/>
                <w:szCs w:val="15"/>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9.9</w:t>
            </w:r>
          </w:p>
        </w:tc>
        <w:tc>
          <w:tcPr>
            <w:tcW w:w="340" w:type="dxa"/>
            <w:vAlign w:val="bottom"/>
            <w:tcBorders>
              <w:bottom w:val="single" w:sz="8" w:color="auto"/>
            </w:tcBorders>
            <w:shd w:val="clear" w:color="auto" w:fill="CFF0FC"/>
          </w:tcPr>
          <w:p>
            <w:pPr>
              <w:spacing w:after="0"/>
              <w:rPr>
                <w:sz w:val="15"/>
                <w:szCs w:val="15"/>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6.1</w:t>
            </w:r>
          </w:p>
        </w:tc>
        <w:tc>
          <w:tcPr>
            <w:tcW w:w="360" w:type="dxa"/>
            <w:vAlign w:val="bottom"/>
            <w:tcBorders>
              <w:bottom w:val="single" w:sz="8" w:color="auto"/>
            </w:tcBorders>
            <w:shd w:val="clear" w:color="auto" w:fill="CFF0FC"/>
          </w:tcPr>
          <w:p>
            <w:pPr>
              <w:spacing w:after="0"/>
              <w:rPr>
                <w:sz w:val="15"/>
                <w:szCs w:val="15"/>
                <w:color w:val="auto"/>
              </w:rPr>
            </w:pPr>
          </w:p>
        </w:tc>
        <w:tc>
          <w:tcPr>
            <w:tcW w:w="58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3.2</w:t>
            </w:r>
          </w:p>
        </w:tc>
        <w:tc>
          <w:tcPr>
            <w:tcW w:w="220" w:type="dxa"/>
            <w:vAlign w:val="bottom"/>
            <w:tcBorders>
              <w:bottom w:val="single" w:sz="8" w:color="auto"/>
            </w:tcBorders>
            <w:shd w:val="clear" w:color="auto" w:fill="CFF0FC"/>
          </w:tcPr>
          <w:p>
            <w:pPr>
              <w:spacing w:after="0"/>
              <w:rPr>
                <w:sz w:val="15"/>
                <w:szCs w:val="15"/>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394.1</w:t>
            </w:r>
          </w:p>
        </w:tc>
        <w:tc>
          <w:tcPr>
            <w:tcW w:w="0" w:type="dxa"/>
            <w:vAlign w:val="bottom"/>
          </w:tcPr>
          <w:p>
            <w:pPr>
              <w:spacing w:after="0"/>
              <w:rPr>
                <w:sz w:val="1"/>
                <w:szCs w:val="1"/>
                <w:color w:val="auto"/>
              </w:rPr>
            </w:pPr>
          </w:p>
        </w:tc>
      </w:tr>
      <w:tr>
        <w:trPr>
          <w:trHeight w:val="169"/>
        </w:trPr>
        <w:tc>
          <w:tcPr>
            <w:tcW w:w="16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1,076.8</w:t>
            </w:r>
          </w:p>
        </w:tc>
        <w:tc>
          <w:tcPr>
            <w:tcW w:w="3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69.1</w:t>
            </w:r>
          </w:p>
        </w:tc>
        <w:tc>
          <w:tcPr>
            <w:tcW w:w="4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65.4</w:t>
            </w:r>
          </w:p>
        </w:tc>
        <w:tc>
          <w:tcPr>
            <w:tcW w:w="4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39.9</w:t>
            </w:r>
          </w:p>
        </w:tc>
        <w:tc>
          <w:tcPr>
            <w:tcW w:w="2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1,251.2</w:t>
            </w:r>
          </w:p>
        </w:tc>
        <w:tc>
          <w:tcPr>
            <w:tcW w:w="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885.0</w:t>
            </w:r>
          </w:p>
        </w:tc>
        <w:tc>
          <w:tcPr>
            <w:tcW w:w="3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38.7</w:t>
            </w:r>
          </w:p>
        </w:tc>
        <w:tc>
          <w:tcPr>
            <w:tcW w:w="3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34.6</w:t>
            </w:r>
          </w:p>
        </w:tc>
        <w:tc>
          <w:tcPr>
            <w:tcW w:w="3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44.6</w:t>
            </w:r>
          </w:p>
        </w:tc>
        <w:tc>
          <w:tcPr>
            <w:tcW w:w="2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1,002.9</w:t>
            </w:r>
          </w:p>
        </w:tc>
        <w:tc>
          <w:tcPr>
            <w:tcW w:w="0" w:type="dxa"/>
            <w:vAlign w:val="bottom"/>
          </w:tcPr>
          <w:p>
            <w:pPr>
              <w:spacing w:after="0"/>
              <w:rPr>
                <w:sz w:val="1"/>
                <w:szCs w:val="1"/>
                <w:color w:val="auto"/>
              </w:rPr>
            </w:pPr>
          </w:p>
        </w:tc>
      </w:tr>
      <w:tr>
        <w:trPr>
          <w:trHeight w:val="169"/>
        </w:trPr>
        <w:tc>
          <w:tcPr>
            <w:tcW w:w="1660" w:type="dxa"/>
            <w:vAlign w:val="bottom"/>
            <w:shd w:val="clear" w:color="auto" w:fill="CFF0FC"/>
          </w:tcPr>
          <w:p>
            <w:pPr>
              <w:ind w:left="20"/>
              <w:spacing w:after="0"/>
              <w:rPr>
                <w:sz w:val="20"/>
                <w:szCs w:val="20"/>
                <w:color w:val="auto"/>
              </w:rPr>
            </w:pPr>
            <w:r>
              <w:rPr>
                <w:rFonts w:ascii="Arial" w:cs="Arial" w:eastAsia="Arial" w:hAnsi="Arial"/>
                <w:sz w:val="14"/>
                <w:szCs w:val="14"/>
                <w:color w:val="auto"/>
              </w:rPr>
              <w:t>Southern Europe:</w:t>
            </w:r>
          </w:p>
        </w:tc>
        <w:tc>
          <w:tcPr>
            <w:tcW w:w="26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1660" w:type="dxa"/>
            <w:vAlign w:val="bottom"/>
          </w:tcPr>
          <w:p>
            <w:pPr>
              <w:ind w:left="200"/>
              <w:spacing w:after="0"/>
              <w:rPr>
                <w:sz w:val="20"/>
                <w:szCs w:val="20"/>
                <w:color w:val="auto"/>
              </w:rPr>
            </w:pPr>
            <w:r>
              <w:rPr>
                <w:rFonts w:ascii="Arial" w:cs="Arial" w:eastAsia="Arial" w:hAnsi="Arial"/>
                <w:sz w:val="14"/>
                <w:szCs w:val="14"/>
                <w:color w:val="auto"/>
              </w:rPr>
              <w:t>France</w:t>
            </w:r>
          </w:p>
        </w:tc>
        <w:tc>
          <w:tcPr>
            <w:tcW w:w="2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1,101.5</w:t>
            </w:r>
          </w:p>
        </w:tc>
        <w:tc>
          <w:tcPr>
            <w:tcW w:w="380" w:type="dxa"/>
            <w:vAlign w:val="bottom"/>
          </w:tcPr>
          <w:p>
            <w:pPr>
              <w:spacing w:after="0"/>
              <w:rPr>
                <w:sz w:val="15"/>
                <w:szCs w:val="15"/>
                <w:color w:val="auto"/>
              </w:rPr>
            </w:pPr>
          </w:p>
        </w:tc>
        <w:tc>
          <w:tcPr>
            <w:tcW w:w="640" w:type="dxa"/>
            <w:vAlign w:val="bottom"/>
          </w:tcPr>
          <w:p>
            <w:pPr>
              <w:jc w:val="right"/>
              <w:ind w:right="8"/>
              <w:spacing w:after="0"/>
              <w:rPr>
                <w:sz w:val="20"/>
                <w:szCs w:val="20"/>
                <w:color w:val="auto"/>
              </w:rPr>
            </w:pPr>
            <w:r>
              <w:rPr>
                <w:rFonts w:ascii="Arial" w:cs="Arial" w:eastAsia="Arial" w:hAnsi="Arial"/>
                <w:sz w:val="14"/>
                <w:szCs w:val="14"/>
                <w:color w:val="auto"/>
              </w:rPr>
              <w:t>70.3</w:t>
            </w:r>
          </w:p>
        </w:tc>
        <w:tc>
          <w:tcPr>
            <w:tcW w:w="400" w:type="dxa"/>
            <w:vAlign w:val="bottom"/>
          </w:tcPr>
          <w:p>
            <w:pPr>
              <w:spacing w:after="0"/>
              <w:rPr>
                <w:sz w:val="15"/>
                <w:szCs w:val="15"/>
                <w:color w:val="auto"/>
              </w:rPr>
            </w:pPr>
          </w:p>
        </w:tc>
        <w:tc>
          <w:tcPr>
            <w:tcW w:w="640" w:type="dxa"/>
            <w:vAlign w:val="bottom"/>
          </w:tcPr>
          <w:p>
            <w:pPr>
              <w:jc w:val="right"/>
              <w:ind w:right="8"/>
              <w:spacing w:after="0"/>
              <w:rPr>
                <w:sz w:val="20"/>
                <w:szCs w:val="20"/>
                <w:color w:val="auto"/>
              </w:rPr>
            </w:pPr>
            <w:r>
              <w:rPr>
                <w:rFonts w:ascii="Arial" w:cs="Arial" w:eastAsia="Arial" w:hAnsi="Arial"/>
                <w:sz w:val="14"/>
                <w:szCs w:val="14"/>
                <w:color w:val="auto"/>
              </w:rPr>
              <w:t>16.5</w:t>
            </w:r>
          </w:p>
        </w:tc>
        <w:tc>
          <w:tcPr>
            <w:tcW w:w="400" w:type="dxa"/>
            <w:vAlign w:val="bottom"/>
          </w:tcPr>
          <w:p>
            <w:pPr>
              <w:spacing w:after="0"/>
              <w:rPr>
                <w:sz w:val="15"/>
                <w:szCs w:val="15"/>
                <w:color w:val="auto"/>
              </w:rPr>
            </w:pPr>
          </w:p>
        </w:tc>
        <w:tc>
          <w:tcPr>
            <w:tcW w:w="640" w:type="dxa"/>
            <w:vAlign w:val="bottom"/>
          </w:tcPr>
          <w:p>
            <w:pPr>
              <w:jc w:val="right"/>
              <w:ind w:right="48"/>
              <w:spacing w:after="0"/>
              <w:rPr>
                <w:sz w:val="20"/>
                <w:szCs w:val="20"/>
                <w:color w:val="auto"/>
              </w:rPr>
            </w:pPr>
            <w:r>
              <w:rPr>
                <w:rFonts w:ascii="Arial" w:cs="Arial" w:eastAsia="Arial" w:hAnsi="Arial"/>
                <w:sz w:val="14"/>
                <w:szCs w:val="14"/>
                <w:color w:val="auto"/>
              </w:rPr>
              <w:t>4.1</w:t>
            </w:r>
          </w:p>
        </w:tc>
        <w:tc>
          <w:tcPr>
            <w:tcW w:w="260" w:type="dxa"/>
            <w:vAlign w:val="bottom"/>
          </w:tcPr>
          <w:p>
            <w:pPr>
              <w:spacing w:after="0"/>
              <w:rPr>
                <w:sz w:val="15"/>
                <w:szCs w:val="15"/>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1,192.4</w:t>
            </w: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1,084.0</w:t>
            </w:r>
          </w:p>
        </w:tc>
        <w:tc>
          <w:tcPr>
            <w:tcW w:w="3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86.5</w:t>
            </w:r>
          </w:p>
        </w:tc>
        <w:tc>
          <w:tcPr>
            <w:tcW w:w="3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12.8</w:t>
            </w:r>
          </w:p>
        </w:tc>
        <w:tc>
          <w:tcPr>
            <w:tcW w:w="360" w:type="dxa"/>
            <w:vAlign w:val="bottom"/>
          </w:tcPr>
          <w:p>
            <w:pPr>
              <w:spacing w:after="0"/>
              <w:rPr>
                <w:sz w:val="15"/>
                <w:szCs w:val="15"/>
                <w:color w:val="auto"/>
              </w:rPr>
            </w:pPr>
          </w:p>
        </w:tc>
        <w:tc>
          <w:tcPr>
            <w:tcW w:w="580" w:type="dxa"/>
            <w:vAlign w:val="bottom"/>
          </w:tcPr>
          <w:p>
            <w:pPr>
              <w:jc w:val="right"/>
              <w:ind w:right="48"/>
              <w:spacing w:after="0"/>
              <w:rPr>
                <w:sz w:val="20"/>
                <w:szCs w:val="20"/>
                <w:color w:val="auto"/>
              </w:rPr>
            </w:pPr>
            <w:r>
              <w:rPr>
                <w:rFonts w:ascii="Arial" w:cs="Arial" w:eastAsia="Arial" w:hAnsi="Arial"/>
                <w:sz w:val="14"/>
                <w:szCs w:val="14"/>
                <w:color w:val="auto"/>
              </w:rPr>
              <w:t>5.6</w:t>
            </w:r>
          </w:p>
        </w:tc>
        <w:tc>
          <w:tcPr>
            <w:tcW w:w="2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1,188.9</w:t>
            </w:r>
          </w:p>
        </w:tc>
        <w:tc>
          <w:tcPr>
            <w:tcW w:w="0" w:type="dxa"/>
            <w:vAlign w:val="bottom"/>
          </w:tcPr>
          <w:p>
            <w:pPr>
              <w:spacing w:after="0"/>
              <w:rPr>
                <w:sz w:val="1"/>
                <w:szCs w:val="1"/>
                <w:color w:val="auto"/>
              </w:rPr>
            </w:pPr>
          </w:p>
        </w:tc>
      </w:tr>
      <w:tr>
        <w:trPr>
          <w:trHeight w:val="175"/>
        </w:trPr>
        <w:tc>
          <w:tcPr>
            <w:tcW w:w="1660" w:type="dxa"/>
            <w:vAlign w:val="bottom"/>
            <w:shd w:val="clear" w:color="auto" w:fill="CFF0FC"/>
          </w:tcPr>
          <w:p>
            <w:pPr>
              <w:ind w:left="200"/>
              <w:spacing w:after="0"/>
              <w:rPr>
                <w:sz w:val="20"/>
                <w:szCs w:val="20"/>
                <w:color w:val="auto"/>
              </w:rPr>
            </w:pPr>
            <w:r>
              <w:rPr>
                <w:rFonts w:ascii="Arial" w:cs="Arial" w:eastAsia="Arial" w:hAnsi="Arial"/>
                <w:sz w:val="14"/>
                <w:szCs w:val="14"/>
                <w:color w:val="auto"/>
              </w:rPr>
              <w:t>Italy</w:t>
            </w:r>
          </w:p>
        </w:tc>
        <w:tc>
          <w:tcPr>
            <w:tcW w:w="26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417.8</w:t>
            </w:r>
          </w:p>
        </w:tc>
        <w:tc>
          <w:tcPr>
            <w:tcW w:w="380" w:type="dxa"/>
            <w:vAlign w:val="bottom"/>
            <w:shd w:val="clear" w:color="auto" w:fill="CFF0FC"/>
          </w:tcPr>
          <w:p>
            <w:pPr>
              <w:spacing w:after="0"/>
              <w:rPr>
                <w:sz w:val="15"/>
                <w:szCs w:val="15"/>
                <w:color w:val="auto"/>
              </w:rPr>
            </w:pPr>
          </w:p>
        </w:tc>
        <w:tc>
          <w:tcPr>
            <w:tcW w:w="64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8.1</w:t>
            </w:r>
          </w:p>
        </w:tc>
        <w:tc>
          <w:tcPr>
            <w:tcW w:w="400" w:type="dxa"/>
            <w:vAlign w:val="bottom"/>
            <w:shd w:val="clear" w:color="auto" w:fill="CFF0FC"/>
          </w:tcPr>
          <w:p>
            <w:pPr>
              <w:spacing w:after="0"/>
              <w:rPr>
                <w:sz w:val="15"/>
                <w:szCs w:val="15"/>
                <w:color w:val="auto"/>
              </w:rPr>
            </w:pPr>
          </w:p>
        </w:tc>
        <w:tc>
          <w:tcPr>
            <w:tcW w:w="64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13.7</w:t>
            </w:r>
          </w:p>
        </w:tc>
        <w:tc>
          <w:tcPr>
            <w:tcW w:w="400" w:type="dxa"/>
            <w:vAlign w:val="bottom"/>
            <w:shd w:val="clear" w:color="auto" w:fill="CFF0FC"/>
          </w:tcPr>
          <w:p>
            <w:pPr>
              <w:spacing w:after="0"/>
              <w:rPr>
                <w:sz w:val="15"/>
                <w:szCs w:val="15"/>
                <w:color w:val="auto"/>
              </w:rPr>
            </w:pPr>
          </w:p>
        </w:tc>
        <w:tc>
          <w:tcPr>
            <w:tcW w:w="64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5.4</w:t>
            </w:r>
          </w:p>
        </w:tc>
        <w:tc>
          <w:tcPr>
            <w:tcW w:w="260" w:type="dxa"/>
            <w:vAlign w:val="bottom"/>
            <w:shd w:val="clear" w:color="auto" w:fill="CFF0FC"/>
          </w:tcPr>
          <w:p>
            <w:pPr>
              <w:spacing w:after="0"/>
              <w:rPr>
                <w:sz w:val="15"/>
                <w:szCs w:val="15"/>
                <w:color w:val="auto"/>
              </w:rPr>
            </w:pPr>
          </w:p>
        </w:tc>
        <w:tc>
          <w:tcPr>
            <w:tcW w:w="68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445.0</w:t>
            </w:r>
          </w:p>
        </w:tc>
        <w:tc>
          <w:tcPr>
            <w:tcW w:w="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381.5</w:t>
            </w:r>
          </w:p>
        </w:tc>
        <w:tc>
          <w:tcPr>
            <w:tcW w:w="34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7.7</w:t>
            </w:r>
          </w:p>
        </w:tc>
        <w:tc>
          <w:tcPr>
            <w:tcW w:w="34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9.7</w:t>
            </w:r>
          </w:p>
        </w:tc>
        <w:tc>
          <w:tcPr>
            <w:tcW w:w="360" w:type="dxa"/>
            <w:vAlign w:val="bottom"/>
            <w:shd w:val="clear" w:color="auto" w:fill="CFF0FC"/>
          </w:tcPr>
          <w:p>
            <w:pPr>
              <w:spacing w:after="0"/>
              <w:rPr>
                <w:sz w:val="15"/>
                <w:szCs w:val="15"/>
                <w:color w:val="auto"/>
              </w:rPr>
            </w:pPr>
          </w:p>
        </w:tc>
        <w:tc>
          <w:tcPr>
            <w:tcW w:w="58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3.9</w:t>
            </w:r>
          </w:p>
        </w:tc>
        <w:tc>
          <w:tcPr>
            <w:tcW w:w="22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402.8</w:t>
            </w:r>
          </w:p>
        </w:tc>
        <w:tc>
          <w:tcPr>
            <w:tcW w:w="0" w:type="dxa"/>
            <w:vAlign w:val="bottom"/>
          </w:tcPr>
          <w:p>
            <w:pPr>
              <w:spacing w:after="0"/>
              <w:rPr>
                <w:sz w:val="1"/>
                <w:szCs w:val="1"/>
                <w:color w:val="auto"/>
              </w:rPr>
            </w:pPr>
          </w:p>
        </w:tc>
      </w:tr>
      <w:tr>
        <w:trPr>
          <w:trHeight w:val="175"/>
        </w:trPr>
        <w:tc>
          <w:tcPr>
            <w:tcW w:w="1660" w:type="dxa"/>
            <w:vAlign w:val="bottom"/>
          </w:tcPr>
          <w:p>
            <w:pPr>
              <w:ind w:left="200"/>
              <w:spacing w:after="0"/>
              <w:rPr>
                <w:sz w:val="20"/>
                <w:szCs w:val="20"/>
                <w:color w:val="auto"/>
              </w:rPr>
            </w:pPr>
            <w:r>
              <w:rPr>
                <w:rFonts w:ascii="Arial" w:cs="Arial" w:eastAsia="Arial" w:hAnsi="Arial"/>
                <w:sz w:val="14"/>
                <w:szCs w:val="14"/>
                <w:color w:val="auto"/>
                <w:w w:val="99"/>
              </w:rPr>
              <w:t>Other Southern Europe</w:t>
            </w:r>
          </w:p>
        </w:tc>
        <w:tc>
          <w:tcPr>
            <w:tcW w:w="2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443.5</w:t>
            </w:r>
          </w:p>
        </w:tc>
        <w:tc>
          <w:tcPr>
            <w:tcW w:w="3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94.1</w:t>
            </w:r>
          </w:p>
        </w:tc>
        <w:tc>
          <w:tcPr>
            <w:tcW w:w="4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15.8</w:t>
            </w:r>
          </w:p>
        </w:tc>
        <w:tc>
          <w:tcPr>
            <w:tcW w:w="4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3.1</w:t>
            </w:r>
          </w:p>
        </w:tc>
        <w:tc>
          <w:tcPr>
            <w:tcW w:w="2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556.5</w:t>
            </w:r>
          </w:p>
        </w:tc>
        <w:tc>
          <w:tcPr>
            <w:tcW w:w="6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460.8</w:t>
            </w:r>
          </w:p>
        </w:tc>
        <w:tc>
          <w:tcPr>
            <w:tcW w:w="3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92.6</w:t>
            </w:r>
          </w:p>
        </w:tc>
        <w:tc>
          <w:tcPr>
            <w:tcW w:w="34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11.7</w:t>
            </w:r>
          </w:p>
        </w:tc>
        <w:tc>
          <w:tcPr>
            <w:tcW w:w="36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3.5</w:t>
            </w:r>
          </w:p>
        </w:tc>
        <w:tc>
          <w:tcPr>
            <w:tcW w:w="2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568.6</w:t>
            </w:r>
          </w:p>
        </w:tc>
        <w:tc>
          <w:tcPr>
            <w:tcW w:w="0" w:type="dxa"/>
            <w:vAlign w:val="bottom"/>
          </w:tcPr>
          <w:p>
            <w:pPr>
              <w:spacing w:after="0"/>
              <w:rPr>
                <w:sz w:val="1"/>
                <w:szCs w:val="1"/>
                <w:color w:val="auto"/>
              </w:rPr>
            </w:pPr>
          </w:p>
        </w:tc>
      </w:tr>
      <w:tr>
        <w:trPr>
          <w:trHeight w:val="169"/>
        </w:trPr>
        <w:tc>
          <w:tcPr>
            <w:tcW w:w="1660" w:type="dxa"/>
            <w:vAlign w:val="bottom"/>
            <w:tcBorders>
              <w:bottom w:val="single" w:sz="8" w:color="CFF0FC"/>
            </w:tcBorders>
            <w:shd w:val="clear" w:color="auto" w:fill="CFF0FC"/>
          </w:tcPr>
          <w:p>
            <w:pPr>
              <w:spacing w:after="0"/>
              <w:rPr>
                <w:sz w:val="14"/>
                <w:szCs w:val="14"/>
                <w:color w:val="auto"/>
              </w:rPr>
            </w:pPr>
          </w:p>
        </w:tc>
        <w:tc>
          <w:tcPr>
            <w:tcW w:w="260" w:type="dxa"/>
            <w:vAlign w:val="bottom"/>
            <w:tcBorders>
              <w:bottom w:val="single" w:sz="8" w:color="auto"/>
            </w:tcBorders>
            <w:shd w:val="clear" w:color="auto" w:fill="CFF0FC"/>
          </w:tcPr>
          <w:p>
            <w:pPr>
              <w:spacing w:after="0"/>
              <w:rPr>
                <w:sz w:val="14"/>
                <w:szCs w:val="14"/>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1,962.8</w:t>
            </w:r>
          </w:p>
        </w:tc>
        <w:tc>
          <w:tcPr>
            <w:tcW w:w="380" w:type="dxa"/>
            <w:vAlign w:val="bottom"/>
            <w:tcBorders>
              <w:bottom w:val="single" w:sz="8" w:color="auto"/>
            </w:tcBorders>
            <w:shd w:val="clear" w:color="auto" w:fill="CFF0FC"/>
          </w:tcPr>
          <w:p>
            <w:pPr>
              <w:spacing w:after="0"/>
              <w:rPr>
                <w:sz w:val="14"/>
                <w:szCs w:val="14"/>
                <w:color w:val="auto"/>
              </w:rPr>
            </w:pPr>
          </w:p>
        </w:tc>
        <w:tc>
          <w:tcPr>
            <w:tcW w:w="640" w:type="dxa"/>
            <w:vAlign w:val="bottom"/>
            <w:tcBorders>
              <w:bottom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rPr>
              <w:t>172.5</w:t>
            </w:r>
          </w:p>
        </w:tc>
        <w:tc>
          <w:tcPr>
            <w:tcW w:w="400" w:type="dxa"/>
            <w:vAlign w:val="bottom"/>
            <w:tcBorders>
              <w:bottom w:val="single" w:sz="8" w:color="auto"/>
            </w:tcBorders>
            <w:shd w:val="clear" w:color="auto" w:fill="CFF0FC"/>
          </w:tcPr>
          <w:p>
            <w:pPr>
              <w:spacing w:after="0"/>
              <w:rPr>
                <w:sz w:val="14"/>
                <w:szCs w:val="14"/>
                <w:color w:val="auto"/>
              </w:rPr>
            </w:pPr>
          </w:p>
        </w:tc>
        <w:tc>
          <w:tcPr>
            <w:tcW w:w="640" w:type="dxa"/>
            <w:vAlign w:val="bottom"/>
            <w:tcBorders>
              <w:bottom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rPr>
              <w:t>46.0</w:t>
            </w:r>
          </w:p>
        </w:tc>
        <w:tc>
          <w:tcPr>
            <w:tcW w:w="400" w:type="dxa"/>
            <w:vAlign w:val="bottom"/>
            <w:tcBorders>
              <w:bottom w:val="single" w:sz="8" w:color="auto"/>
            </w:tcBorders>
            <w:shd w:val="clear" w:color="auto" w:fill="CFF0FC"/>
          </w:tcPr>
          <w:p>
            <w:pPr>
              <w:spacing w:after="0"/>
              <w:rPr>
                <w:sz w:val="14"/>
                <w:szCs w:val="14"/>
                <w:color w:val="auto"/>
              </w:rPr>
            </w:pPr>
          </w:p>
        </w:tc>
        <w:tc>
          <w:tcPr>
            <w:tcW w:w="64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12.6</w:t>
            </w:r>
          </w:p>
        </w:tc>
        <w:tc>
          <w:tcPr>
            <w:tcW w:w="260" w:type="dxa"/>
            <w:vAlign w:val="bottom"/>
            <w:tcBorders>
              <w:bottom w:val="single" w:sz="8" w:color="auto"/>
            </w:tcBorders>
            <w:shd w:val="clear" w:color="auto" w:fill="CFF0FC"/>
          </w:tcPr>
          <w:p>
            <w:pPr>
              <w:spacing w:after="0"/>
              <w:rPr>
                <w:sz w:val="14"/>
                <w:szCs w:val="14"/>
                <w:color w:val="auto"/>
              </w:rPr>
            </w:pPr>
          </w:p>
        </w:tc>
        <w:tc>
          <w:tcPr>
            <w:tcW w:w="680" w:type="dxa"/>
            <w:vAlign w:val="bottom"/>
            <w:tcBorders>
              <w:bottom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rPr>
              <w:t>2,193.9</w:t>
            </w:r>
          </w:p>
        </w:tc>
        <w:tc>
          <w:tcPr>
            <w:tcW w:w="60" w:type="dxa"/>
            <w:vAlign w:val="bottom"/>
            <w:tcBorders>
              <w:bottom w:val="single" w:sz="8" w:color="CFF0FC"/>
            </w:tcBorders>
            <w:shd w:val="clear" w:color="auto" w:fill="CFF0FC"/>
          </w:tcPr>
          <w:p>
            <w:pPr>
              <w:spacing w:after="0"/>
              <w:rPr>
                <w:sz w:val="14"/>
                <w:szCs w:val="14"/>
                <w:color w:val="auto"/>
              </w:rPr>
            </w:pPr>
          </w:p>
        </w:tc>
        <w:tc>
          <w:tcPr>
            <w:tcW w:w="240" w:type="dxa"/>
            <w:vAlign w:val="bottom"/>
            <w:tcBorders>
              <w:bottom w:val="single" w:sz="8" w:color="auto"/>
            </w:tcBorders>
            <w:shd w:val="clear" w:color="auto" w:fill="CFF0FC"/>
          </w:tcPr>
          <w:p>
            <w:pPr>
              <w:spacing w:after="0"/>
              <w:rPr>
                <w:sz w:val="14"/>
                <w:szCs w:val="14"/>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1,926.3</w:t>
            </w:r>
          </w:p>
        </w:tc>
        <w:tc>
          <w:tcPr>
            <w:tcW w:w="340" w:type="dxa"/>
            <w:vAlign w:val="bottom"/>
            <w:tcBorders>
              <w:bottom w:val="single" w:sz="8" w:color="auto"/>
            </w:tcBorders>
            <w:shd w:val="clear" w:color="auto" w:fill="CFF0FC"/>
          </w:tcPr>
          <w:p>
            <w:pPr>
              <w:spacing w:after="0"/>
              <w:rPr>
                <w:sz w:val="14"/>
                <w:szCs w:val="14"/>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186.8</w:t>
            </w:r>
          </w:p>
        </w:tc>
        <w:tc>
          <w:tcPr>
            <w:tcW w:w="340" w:type="dxa"/>
            <w:vAlign w:val="bottom"/>
            <w:tcBorders>
              <w:bottom w:val="single" w:sz="8" w:color="auto"/>
            </w:tcBorders>
            <w:shd w:val="clear" w:color="auto" w:fill="CFF0FC"/>
          </w:tcPr>
          <w:p>
            <w:pPr>
              <w:spacing w:after="0"/>
              <w:rPr>
                <w:sz w:val="14"/>
                <w:szCs w:val="14"/>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34.2</w:t>
            </w:r>
          </w:p>
        </w:tc>
        <w:tc>
          <w:tcPr>
            <w:tcW w:w="360" w:type="dxa"/>
            <w:vAlign w:val="bottom"/>
            <w:tcBorders>
              <w:bottom w:val="single" w:sz="8" w:color="auto"/>
            </w:tcBorders>
            <w:shd w:val="clear" w:color="auto" w:fill="CFF0FC"/>
          </w:tcPr>
          <w:p>
            <w:pPr>
              <w:spacing w:after="0"/>
              <w:rPr>
                <w:sz w:val="14"/>
                <w:szCs w:val="14"/>
                <w:color w:val="auto"/>
              </w:rPr>
            </w:pPr>
          </w:p>
        </w:tc>
        <w:tc>
          <w:tcPr>
            <w:tcW w:w="58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13.0</w:t>
            </w:r>
          </w:p>
        </w:tc>
        <w:tc>
          <w:tcPr>
            <w:tcW w:w="220" w:type="dxa"/>
            <w:vAlign w:val="bottom"/>
            <w:tcBorders>
              <w:bottom w:val="single" w:sz="8" w:color="auto"/>
            </w:tcBorders>
            <w:shd w:val="clear" w:color="auto" w:fill="CFF0FC"/>
          </w:tcPr>
          <w:p>
            <w:pPr>
              <w:spacing w:after="0"/>
              <w:rPr>
                <w:sz w:val="14"/>
                <w:szCs w:val="14"/>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2,160.3</w:t>
            </w:r>
          </w:p>
        </w:tc>
        <w:tc>
          <w:tcPr>
            <w:tcW w:w="0" w:type="dxa"/>
            <w:vAlign w:val="bottom"/>
          </w:tcPr>
          <w:p>
            <w:pPr>
              <w:spacing w:after="0"/>
              <w:rPr>
                <w:sz w:val="1"/>
                <w:szCs w:val="1"/>
                <w:color w:val="auto"/>
              </w:rPr>
            </w:pPr>
          </w:p>
        </w:tc>
      </w:tr>
      <w:tr>
        <w:trPr>
          <w:trHeight w:val="169"/>
        </w:trPr>
        <w:tc>
          <w:tcPr>
            <w:tcW w:w="1660" w:type="dxa"/>
            <w:vAlign w:val="bottom"/>
          </w:tcPr>
          <w:p>
            <w:pPr>
              <w:ind w:left="20"/>
              <w:spacing w:after="0"/>
              <w:rPr>
                <w:sz w:val="20"/>
                <w:szCs w:val="20"/>
                <w:color w:val="auto"/>
              </w:rPr>
            </w:pPr>
            <w:r>
              <w:rPr>
                <w:rFonts w:ascii="Arial" w:cs="Arial" w:eastAsia="Arial" w:hAnsi="Arial"/>
                <w:sz w:val="14"/>
                <w:szCs w:val="14"/>
                <w:color w:val="auto"/>
              </w:rPr>
              <w:t>Northern Europe</w:t>
            </w:r>
          </w:p>
        </w:tc>
        <w:tc>
          <w:tcPr>
            <w:tcW w:w="2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977.1</w:t>
            </w:r>
          </w:p>
        </w:tc>
        <w:tc>
          <w:tcPr>
            <w:tcW w:w="380" w:type="dxa"/>
            <w:vAlign w:val="bottom"/>
          </w:tcPr>
          <w:p>
            <w:pPr>
              <w:spacing w:after="0"/>
              <w:rPr>
                <w:sz w:val="14"/>
                <w:szCs w:val="14"/>
                <w:color w:val="auto"/>
              </w:rPr>
            </w:pPr>
          </w:p>
        </w:tc>
        <w:tc>
          <w:tcPr>
            <w:tcW w:w="640" w:type="dxa"/>
            <w:vAlign w:val="bottom"/>
          </w:tcPr>
          <w:p>
            <w:pPr>
              <w:jc w:val="right"/>
              <w:ind w:right="8"/>
              <w:spacing w:after="0"/>
              <w:rPr>
                <w:sz w:val="20"/>
                <w:szCs w:val="20"/>
                <w:color w:val="auto"/>
              </w:rPr>
            </w:pPr>
            <w:r>
              <w:rPr>
                <w:rFonts w:ascii="Arial" w:cs="Arial" w:eastAsia="Arial" w:hAnsi="Arial"/>
                <w:sz w:val="14"/>
                <w:szCs w:val="14"/>
                <w:color w:val="auto"/>
              </w:rPr>
              <w:t>55.0</w:t>
            </w:r>
          </w:p>
        </w:tc>
        <w:tc>
          <w:tcPr>
            <w:tcW w:w="400" w:type="dxa"/>
            <w:vAlign w:val="bottom"/>
          </w:tcPr>
          <w:p>
            <w:pPr>
              <w:spacing w:after="0"/>
              <w:rPr>
                <w:sz w:val="14"/>
                <w:szCs w:val="14"/>
                <w:color w:val="auto"/>
              </w:rPr>
            </w:pPr>
          </w:p>
        </w:tc>
        <w:tc>
          <w:tcPr>
            <w:tcW w:w="640" w:type="dxa"/>
            <w:vAlign w:val="bottom"/>
          </w:tcPr>
          <w:p>
            <w:pPr>
              <w:jc w:val="right"/>
              <w:ind w:right="8"/>
              <w:spacing w:after="0"/>
              <w:rPr>
                <w:sz w:val="20"/>
                <w:szCs w:val="20"/>
                <w:color w:val="auto"/>
              </w:rPr>
            </w:pPr>
            <w:r>
              <w:rPr>
                <w:rFonts w:ascii="Arial" w:cs="Arial" w:eastAsia="Arial" w:hAnsi="Arial"/>
                <w:sz w:val="14"/>
                <w:szCs w:val="14"/>
                <w:color w:val="auto"/>
              </w:rPr>
              <w:t>45.3</w:t>
            </w:r>
          </w:p>
        </w:tc>
        <w:tc>
          <w:tcPr>
            <w:tcW w:w="400" w:type="dxa"/>
            <w:vAlign w:val="bottom"/>
          </w:tcPr>
          <w:p>
            <w:pPr>
              <w:spacing w:after="0"/>
              <w:rPr>
                <w:sz w:val="14"/>
                <w:szCs w:val="14"/>
                <w:color w:val="auto"/>
              </w:rPr>
            </w:pPr>
          </w:p>
        </w:tc>
        <w:tc>
          <w:tcPr>
            <w:tcW w:w="640" w:type="dxa"/>
            <w:vAlign w:val="bottom"/>
          </w:tcPr>
          <w:p>
            <w:pPr>
              <w:jc w:val="right"/>
              <w:ind w:right="48"/>
              <w:spacing w:after="0"/>
              <w:rPr>
                <w:sz w:val="20"/>
                <w:szCs w:val="20"/>
                <w:color w:val="auto"/>
              </w:rPr>
            </w:pPr>
            <w:r>
              <w:rPr>
                <w:rFonts w:ascii="Arial" w:cs="Arial" w:eastAsia="Arial" w:hAnsi="Arial"/>
                <w:sz w:val="14"/>
                <w:szCs w:val="14"/>
                <w:color w:val="auto"/>
              </w:rPr>
              <w:t>17.1</w:t>
            </w:r>
          </w:p>
        </w:tc>
        <w:tc>
          <w:tcPr>
            <w:tcW w:w="260" w:type="dxa"/>
            <w:vAlign w:val="bottom"/>
          </w:tcPr>
          <w:p>
            <w:pPr>
              <w:spacing w:after="0"/>
              <w:rPr>
                <w:sz w:val="14"/>
                <w:szCs w:val="14"/>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1,094.5</w:t>
            </w: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1,018.8</w:t>
            </w:r>
          </w:p>
        </w:tc>
        <w:tc>
          <w:tcPr>
            <w:tcW w:w="3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64.8</w:t>
            </w:r>
          </w:p>
        </w:tc>
        <w:tc>
          <w:tcPr>
            <w:tcW w:w="3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29.5</w:t>
            </w:r>
          </w:p>
        </w:tc>
        <w:tc>
          <w:tcPr>
            <w:tcW w:w="360" w:type="dxa"/>
            <w:vAlign w:val="bottom"/>
          </w:tcPr>
          <w:p>
            <w:pPr>
              <w:spacing w:after="0"/>
              <w:rPr>
                <w:sz w:val="14"/>
                <w:szCs w:val="14"/>
                <w:color w:val="auto"/>
              </w:rPr>
            </w:pPr>
          </w:p>
        </w:tc>
        <w:tc>
          <w:tcPr>
            <w:tcW w:w="580" w:type="dxa"/>
            <w:vAlign w:val="bottom"/>
          </w:tcPr>
          <w:p>
            <w:pPr>
              <w:jc w:val="right"/>
              <w:ind w:right="48"/>
              <w:spacing w:after="0"/>
              <w:rPr>
                <w:sz w:val="20"/>
                <w:szCs w:val="20"/>
                <w:color w:val="auto"/>
              </w:rPr>
            </w:pPr>
            <w:r>
              <w:rPr>
                <w:rFonts w:ascii="Arial" w:cs="Arial" w:eastAsia="Arial" w:hAnsi="Arial"/>
                <w:sz w:val="14"/>
                <w:szCs w:val="14"/>
                <w:color w:val="auto"/>
              </w:rPr>
              <w:t>20.7</w:t>
            </w:r>
          </w:p>
        </w:tc>
        <w:tc>
          <w:tcPr>
            <w:tcW w:w="2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1,133.8</w:t>
            </w:r>
          </w:p>
        </w:tc>
        <w:tc>
          <w:tcPr>
            <w:tcW w:w="0" w:type="dxa"/>
            <w:vAlign w:val="bottom"/>
          </w:tcPr>
          <w:p>
            <w:pPr>
              <w:spacing w:after="0"/>
              <w:rPr>
                <w:sz w:val="1"/>
                <w:szCs w:val="1"/>
                <w:color w:val="auto"/>
              </w:rPr>
            </w:pPr>
          </w:p>
        </w:tc>
      </w:tr>
      <w:tr>
        <w:trPr>
          <w:trHeight w:val="176"/>
        </w:trPr>
        <w:tc>
          <w:tcPr>
            <w:tcW w:w="16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APME</w:t>
            </w:r>
          </w:p>
        </w:tc>
        <w:tc>
          <w:tcPr>
            <w:tcW w:w="260" w:type="dxa"/>
            <w:vAlign w:val="bottom"/>
            <w:tcBorders>
              <w:bottom w:val="single" w:sz="8" w:color="auto"/>
            </w:tcBorders>
            <w:shd w:val="clear" w:color="auto" w:fill="CFF0FC"/>
          </w:tcPr>
          <w:p>
            <w:pPr>
              <w:spacing w:after="0"/>
              <w:rPr>
                <w:sz w:val="15"/>
                <w:szCs w:val="15"/>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463.1</w:t>
            </w:r>
          </w:p>
        </w:tc>
        <w:tc>
          <w:tcPr>
            <w:tcW w:w="380" w:type="dxa"/>
            <w:vAlign w:val="bottom"/>
            <w:tcBorders>
              <w:bottom w:val="single" w:sz="8" w:color="auto"/>
            </w:tcBorders>
            <w:shd w:val="clear" w:color="auto" w:fill="CFF0FC"/>
          </w:tcPr>
          <w:p>
            <w:pPr>
              <w:spacing w:after="0"/>
              <w:rPr>
                <w:sz w:val="15"/>
                <w:szCs w:val="15"/>
                <w:color w:val="auto"/>
              </w:rPr>
            </w:pPr>
          </w:p>
        </w:tc>
        <w:tc>
          <w:tcPr>
            <w:tcW w:w="640" w:type="dxa"/>
            <w:vAlign w:val="bottom"/>
            <w:tcBorders>
              <w:bottom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rPr>
              <w:t>109.3</w:t>
            </w:r>
          </w:p>
        </w:tc>
        <w:tc>
          <w:tcPr>
            <w:tcW w:w="400" w:type="dxa"/>
            <w:vAlign w:val="bottom"/>
            <w:tcBorders>
              <w:bottom w:val="single" w:sz="8" w:color="auto"/>
            </w:tcBorders>
            <w:shd w:val="clear" w:color="auto" w:fill="CFF0FC"/>
          </w:tcPr>
          <w:p>
            <w:pPr>
              <w:spacing w:after="0"/>
              <w:rPr>
                <w:sz w:val="15"/>
                <w:szCs w:val="15"/>
                <w:color w:val="auto"/>
              </w:rPr>
            </w:pPr>
          </w:p>
        </w:tc>
        <w:tc>
          <w:tcPr>
            <w:tcW w:w="640" w:type="dxa"/>
            <w:vAlign w:val="bottom"/>
            <w:tcBorders>
              <w:bottom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rPr>
              <w:t>37.2</w:t>
            </w:r>
          </w:p>
        </w:tc>
        <w:tc>
          <w:tcPr>
            <w:tcW w:w="400" w:type="dxa"/>
            <w:vAlign w:val="bottom"/>
            <w:tcBorders>
              <w:bottom w:val="single" w:sz="8" w:color="auto"/>
            </w:tcBorders>
            <w:shd w:val="clear" w:color="auto" w:fill="CFF0FC"/>
          </w:tcPr>
          <w:p>
            <w:pPr>
              <w:spacing w:after="0"/>
              <w:rPr>
                <w:sz w:val="15"/>
                <w:szCs w:val="15"/>
                <w:color w:val="auto"/>
              </w:rPr>
            </w:pPr>
          </w:p>
        </w:tc>
        <w:tc>
          <w:tcPr>
            <w:tcW w:w="64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8.6</w:t>
            </w:r>
          </w:p>
        </w:tc>
        <w:tc>
          <w:tcPr>
            <w:tcW w:w="260" w:type="dxa"/>
            <w:vAlign w:val="bottom"/>
            <w:tcBorders>
              <w:bottom w:val="single" w:sz="8" w:color="auto"/>
            </w:tcBorders>
            <w:shd w:val="clear" w:color="auto" w:fill="CFF0FC"/>
          </w:tcPr>
          <w:p>
            <w:pPr>
              <w:spacing w:after="0"/>
              <w:rPr>
                <w:sz w:val="15"/>
                <w:szCs w:val="15"/>
                <w:color w:val="auto"/>
              </w:rPr>
            </w:pPr>
          </w:p>
        </w:tc>
        <w:tc>
          <w:tcPr>
            <w:tcW w:w="680" w:type="dxa"/>
            <w:vAlign w:val="bottom"/>
            <w:tcBorders>
              <w:bottom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rPr>
              <w:t>618.2</w:t>
            </w:r>
          </w:p>
        </w:tc>
        <w:tc>
          <w:tcPr>
            <w:tcW w:w="60" w:type="dxa"/>
            <w:vAlign w:val="bottom"/>
            <w:tcBorders>
              <w:bottom w:val="single" w:sz="8" w:color="CFF0FC"/>
            </w:tcBorders>
            <w:shd w:val="clear" w:color="auto" w:fill="CFF0FC"/>
          </w:tcPr>
          <w:p>
            <w:pPr>
              <w:spacing w:after="0"/>
              <w:rPr>
                <w:sz w:val="15"/>
                <w:szCs w:val="15"/>
                <w:color w:val="auto"/>
              </w:rPr>
            </w:pPr>
          </w:p>
        </w:tc>
        <w:tc>
          <w:tcPr>
            <w:tcW w:w="240" w:type="dxa"/>
            <w:vAlign w:val="bottom"/>
            <w:tcBorders>
              <w:bottom w:val="single" w:sz="8" w:color="auto"/>
            </w:tcBorders>
            <w:shd w:val="clear" w:color="auto" w:fill="CFF0FC"/>
          </w:tcPr>
          <w:p>
            <w:pPr>
              <w:spacing w:after="0"/>
              <w:rPr>
                <w:sz w:val="15"/>
                <w:szCs w:val="15"/>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480.8</w:t>
            </w:r>
          </w:p>
        </w:tc>
        <w:tc>
          <w:tcPr>
            <w:tcW w:w="340" w:type="dxa"/>
            <w:vAlign w:val="bottom"/>
            <w:tcBorders>
              <w:bottom w:val="single" w:sz="8" w:color="auto"/>
            </w:tcBorders>
            <w:shd w:val="clear" w:color="auto" w:fill="CFF0FC"/>
          </w:tcPr>
          <w:p>
            <w:pPr>
              <w:spacing w:after="0"/>
              <w:rPr>
                <w:sz w:val="15"/>
                <w:szCs w:val="15"/>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98.4</w:t>
            </w:r>
          </w:p>
        </w:tc>
        <w:tc>
          <w:tcPr>
            <w:tcW w:w="340" w:type="dxa"/>
            <w:vAlign w:val="bottom"/>
            <w:tcBorders>
              <w:bottom w:val="single" w:sz="8" w:color="auto"/>
            </w:tcBorders>
            <w:shd w:val="clear" w:color="auto" w:fill="CFF0FC"/>
          </w:tcPr>
          <w:p>
            <w:pPr>
              <w:spacing w:after="0"/>
              <w:rPr>
                <w:sz w:val="15"/>
                <w:szCs w:val="15"/>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37.4</w:t>
            </w:r>
          </w:p>
        </w:tc>
        <w:tc>
          <w:tcPr>
            <w:tcW w:w="360" w:type="dxa"/>
            <w:vAlign w:val="bottom"/>
            <w:tcBorders>
              <w:bottom w:val="single" w:sz="8" w:color="auto"/>
            </w:tcBorders>
            <w:shd w:val="clear" w:color="auto" w:fill="CFF0FC"/>
          </w:tcPr>
          <w:p>
            <w:pPr>
              <w:spacing w:after="0"/>
              <w:rPr>
                <w:sz w:val="15"/>
                <w:szCs w:val="15"/>
                <w:color w:val="auto"/>
              </w:rPr>
            </w:pPr>
          </w:p>
        </w:tc>
        <w:tc>
          <w:tcPr>
            <w:tcW w:w="58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10.8</w:t>
            </w:r>
          </w:p>
        </w:tc>
        <w:tc>
          <w:tcPr>
            <w:tcW w:w="220" w:type="dxa"/>
            <w:vAlign w:val="bottom"/>
            <w:tcBorders>
              <w:bottom w:val="single" w:sz="8" w:color="auto"/>
            </w:tcBorders>
            <w:shd w:val="clear" w:color="auto" w:fill="CFF0FC"/>
          </w:tcPr>
          <w:p>
            <w:pPr>
              <w:spacing w:after="0"/>
              <w:rPr>
                <w:sz w:val="15"/>
                <w:szCs w:val="15"/>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627.4</w:t>
            </w:r>
          </w:p>
        </w:tc>
        <w:tc>
          <w:tcPr>
            <w:tcW w:w="0" w:type="dxa"/>
            <w:vAlign w:val="bottom"/>
          </w:tcPr>
          <w:p>
            <w:pPr>
              <w:spacing w:after="0"/>
              <w:rPr>
                <w:sz w:val="1"/>
                <w:szCs w:val="1"/>
                <w:color w:val="auto"/>
              </w:rPr>
            </w:pPr>
          </w:p>
        </w:tc>
      </w:tr>
      <w:tr>
        <w:trPr>
          <w:trHeight w:val="169"/>
        </w:trPr>
        <w:tc>
          <w:tcPr>
            <w:tcW w:w="16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4,479.8</w:t>
            </w:r>
          </w:p>
        </w:tc>
        <w:tc>
          <w:tcPr>
            <w:tcW w:w="3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405.9</w:t>
            </w:r>
          </w:p>
        </w:tc>
        <w:tc>
          <w:tcPr>
            <w:tcW w:w="4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193.9</w:t>
            </w:r>
          </w:p>
        </w:tc>
        <w:tc>
          <w:tcPr>
            <w:tcW w:w="4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78.2</w:t>
            </w:r>
          </w:p>
        </w:tc>
        <w:tc>
          <w:tcPr>
            <w:tcW w:w="2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5,157.8</w:t>
            </w:r>
          </w:p>
        </w:tc>
        <w:tc>
          <w:tcPr>
            <w:tcW w:w="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4,310.9</w:t>
            </w:r>
          </w:p>
        </w:tc>
        <w:tc>
          <w:tcPr>
            <w:tcW w:w="3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388.7</w:t>
            </w:r>
          </w:p>
        </w:tc>
        <w:tc>
          <w:tcPr>
            <w:tcW w:w="3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135.7</w:t>
            </w:r>
          </w:p>
        </w:tc>
        <w:tc>
          <w:tcPr>
            <w:tcW w:w="3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89.1</w:t>
            </w:r>
          </w:p>
        </w:tc>
        <w:tc>
          <w:tcPr>
            <w:tcW w:w="2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4,924.4</w:t>
            </w:r>
          </w:p>
        </w:tc>
        <w:tc>
          <w:tcPr>
            <w:tcW w:w="0" w:type="dxa"/>
            <w:vAlign w:val="bottom"/>
          </w:tcPr>
          <w:p>
            <w:pPr>
              <w:spacing w:after="0"/>
              <w:rPr>
                <w:sz w:val="1"/>
                <w:szCs w:val="1"/>
                <w:color w:val="auto"/>
              </w:rPr>
            </w:pPr>
          </w:p>
        </w:tc>
      </w:tr>
      <w:tr>
        <w:trPr>
          <w:trHeight w:val="137"/>
        </w:trPr>
        <w:tc>
          <w:tcPr>
            <w:tcW w:w="1660" w:type="dxa"/>
            <w:vAlign w:val="bottom"/>
            <w:shd w:val="clear" w:color="auto" w:fill="CFF0FC"/>
          </w:tcPr>
          <w:p>
            <w:pPr>
              <w:ind w:left="20"/>
              <w:spacing w:after="0" w:line="137" w:lineRule="exact"/>
              <w:rPr>
                <w:sz w:val="20"/>
                <w:szCs w:val="20"/>
                <w:color w:val="auto"/>
              </w:rPr>
            </w:pPr>
            <w:r>
              <w:rPr>
                <w:rFonts w:ascii="Arial" w:cs="Arial" w:eastAsia="Arial" w:hAnsi="Arial"/>
                <w:sz w:val="14"/>
                <w:szCs w:val="14"/>
                <w:color w:val="auto"/>
              </w:rPr>
              <w:t>Intercompany</w:t>
            </w:r>
          </w:p>
        </w:tc>
        <w:tc>
          <w:tcPr>
            <w:tcW w:w="26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38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40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40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68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(14.5 )</w:t>
            </w:r>
          </w:p>
        </w:tc>
        <w:tc>
          <w:tcPr>
            <w:tcW w:w="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36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64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7"/>
        </w:trPr>
        <w:tc>
          <w:tcPr>
            <w:tcW w:w="16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Eliminations</w:t>
            </w:r>
          </w:p>
        </w:tc>
        <w:tc>
          <w:tcPr>
            <w:tcW w:w="260" w:type="dxa"/>
            <w:vAlign w:val="bottom"/>
            <w:tcBorders>
              <w:bottom w:val="single" w:sz="8" w:color="CFF0FC"/>
            </w:tcBorders>
            <w:shd w:val="clear" w:color="auto" w:fill="CFF0FC"/>
          </w:tcPr>
          <w:p>
            <w:pPr>
              <w:spacing w:after="0"/>
              <w:rPr>
                <w:sz w:val="14"/>
                <w:szCs w:val="14"/>
                <w:color w:val="auto"/>
              </w:rPr>
            </w:pPr>
          </w:p>
        </w:tc>
        <w:tc>
          <w:tcPr>
            <w:tcW w:w="680" w:type="dxa"/>
            <w:vAlign w:val="bottom"/>
            <w:tcBorders>
              <w:bottom w:val="single" w:sz="8" w:color="CFF0FC"/>
            </w:tcBorders>
            <w:shd w:val="clear" w:color="auto" w:fill="CFF0FC"/>
          </w:tcPr>
          <w:p>
            <w:pPr>
              <w:spacing w:after="0"/>
              <w:rPr>
                <w:sz w:val="14"/>
                <w:szCs w:val="14"/>
                <w:color w:val="auto"/>
              </w:rPr>
            </w:pPr>
          </w:p>
        </w:tc>
        <w:tc>
          <w:tcPr>
            <w:tcW w:w="380" w:type="dxa"/>
            <w:vAlign w:val="bottom"/>
            <w:tcBorders>
              <w:bottom w:val="single" w:sz="8" w:color="CFF0FC"/>
            </w:tcBorders>
            <w:shd w:val="clear" w:color="auto" w:fill="CFF0FC"/>
          </w:tcPr>
          <w:p>
            <w:pPr>
              <w:spacing w:after="0"/>
              <w:rPr>
                <w:sz w:val="14"/>
                <w:szCs w:val="14"/>
                <w:color w:val="auto"/>
              </w:rPr>
            </w:pPr>
          </w:p>
        </w:tc>
        <w:tc>
          <w:tcPr>
            <w:tcW w:w="640" w:type="dxa"/>
            <w:vAlign w:val="bottom"/>
            <w:tcBorders>
              <w:bottom w:val="single" w:sz="8" w:color="CFF0FC"/>
            </w:tcBorders>
            <w:shd w:val="clear" w:color="auto" w:fill="CFF0FC"/>
          </w:tcPr>
          <w:p>
            <w:pPr>
              <w:spacing w:after="0"/>
              <w:rPr>
                <w:sz w:val="14"/>
                <w:szCs w:val="14"/>
                <w:color w:val="auto"/>
              </w:rPr>
            </w:pPr>
          </w:p>
        </w:tc>
        <w:tc>
          <w:tcPr>
            <w:tcW w:w="400" w:type="dxa"/>
            <w:vAlign w:val="bottom"/>
            <w:tcBorders>
              <w:bottom w:val="single" w:sz="8" w:color="CFF0FC"/>
            </w:tcBorders>
            <w:shd w:val="clear" w:color="auto" w:fill="CFF0FC"/>
          </w:tcPr>
          <w:p>
            <w:pPr>
              <w:spacing w:after="0"/>
              <w:rPr>
                <w:sz w:val="14"/>
                <w:szCs w:val="14"/>
                <w:color w:val="auto"/>
              </w:rPr>
            </w:pPr>
          </w:p>
        </w:tc>
        <w:tc>
          <w:tcPr>
            <w:tcW w:w="640" w:type="dxa"/>
            <w:vAlign w:val="bottom"/>
            <w:tcBorders>
              <w:bottom w:val="single" w:sz="8" w:color="CFF0FC"/>
            </w:tcBorders>
            <w:shd w:val="clear" w:color="auto" w:fill="CFF0FC"/>
          </w:tcPr>
          <w:p>
            <w:pPr>
              <w:spacing w:after="0"/>
              <w:rPr>
                <w:sz w:val="14"/>
                <w:szCs w:val="14"/>
                <w:color w:val="auto"/>
              </w:rPr>
            </w:pPr>
          </w:p>
        </w:tc>
        <w:tc>
          <w:tcPr>
            <w:tcW w:w="400" w:type="dxa"/>
            <w:vAlign w:val="bottom"/>
            <w:tcBorders>
              <w:bottom w:val="single" w:sz="8" w:color="CFF0FC"/>
            </w:tcBorders>
            <w:shd w:val="clear" w:color="auto" w:fill="CFF0FC"/>
          </w:tcPr>
          <w:p>
            <w:pPr>
              <w:spacing w:after="0"/>
              <w:rPr>
                <w:sz w:val="14"/>
                <w:szCs w:val="14"/>
                <w:color w:val="auto"/>
              </w:rPr>
            </w:pPr>
          </w:p>
        </w:tc>
        <w:tc>
          <w:tcPr>
            <w:tcW w:w="640" w:type="dxa"/>
            <w:vAlign w:val="bottom"/>
            <w:tcBorders>
              <w:bottom w:val="single" w:sz="8" w:color="CFF0FC"/>
            </w:tcBorders>
            <w:shd w:val="clear" w:color="auto" w:fill="CFF0FC"/>
          </w:tcPr>
          <w:p>
            <w:pPr>
              <w:spacing w:after="0"/>
              <w:rPr>
                <w:sz w:val="14"/>
                <w:szCs w:val="14"/>
                <w:color w:val="auto"/>
              </w:rPr>
            </w:pPr>
          </w:p>
        </w:tc>
        <w:tc>
          <w:tcPr>
            <w:tcW w:w="260" w:type="dxa"/>
            <w:vAlign w:val="bottom"/>
            <w:tcBorders>
              <w:bottom w:val="single" w:sz="8" w:color="auto"/>
            </w:tcBorders>
            <w:shd w:val="clear" w:color="auto" w:fill="CFF0FC"/>
          </w:tcPr>
          <w:p>
            <w:pPr>
              <w:spacing w:after="0"/>
              <w:rPr>
                <w:sz w:val="14"/>
                <w:szCs w:val="14"/>
                <w:color w:val="auto"/>
              </w:rPr>
            </w:pPr>
          </w:p>
        </w:tc>
        <w:tc>
          <w:tcPr>
            <w:tcW w:w="680" w:type="dxa"/>
            <w:vAlign w:val="bottom"/>
            <w:tcBorders>
              <w:bottom w:val="single" w:sz="8" w:color="auto"/>
            </w:tcBorders>
            <w:vMerge w:val="continue"/>
            <w:shd w:val="clear" w:color="auto" w:fill="CFF0FC"/>
          </w:tcPr>
          <w:p>
            <w:pPr>
              <w:spacing w:after="0"/>
              <w:rPr>
                <w:sz w:val="14"/>
                <w:szCs w:val="14"/>
                <w:color w:val="auto"/>
              </w:rPr>
            </w:pPr>
          </w:p>
        </w:tc>
        <w:tc>
          <w:tcPr>
            <w:tcW w:w="60" w:type="dxa"/>
            <w:vAlign w:val="bottom"/>
            <w:tcBorders>
              <w:bottom w:val="single" w:sz="8" w:color="CFF0FC"/>
            </w:tcBorders>
            <w:shd w:val="clear" w:color="auto" w:fill="CFF0FC"/>
          </w:tcPr>
          <w:p>
            <w:pPr>
              <w:spacing w:after="0"/>
              <w:rPr>
                <w:sz w:val="14"/>
                <w:szCs w:val="14"/>
                <w:color w:val="auto"/>
              </w:rPr>
            </w:pPr>
          </w:p>
        </w:tc>
        <w:tc>
          <w:tcPr>
            <w:tcW w:w="240" w:type="dxa"/>
            <w:vAlign w:val="bottom"/>
            <w:tcBorders>
              <w:bottom w:val="single" w:sz="8" w:color="CFF0FC"/>
            </w:tcBorders>
            <w:shd w:val="clear" w:color="auto" w:fill="CFF0FC"/>
          </w:tcPr>
          <w:p>
            <w:pPr>
              <w:spacing w:after="0"/>
              <w:rPr>
                <w:sz w:val="14"/>
                <w:szCs w:val="14"/>
                <w:color w:val="auto"/>
              </w:rPr>
            </w:pPr>
          </w:p>
        </w:tc>
        <w:tc>
          <w:tcPr>
            <w:tcW w:w="640" w:type="dxa"/>
            <w:vAlign w:val="bottom"/>
            <w:tcBorders>
              <w:bottom w:val="single" w:sz="8" w:color="CFF0FC"/>
            </w:tcBorders>
            <w:shd w:val="clear" w:color="auto" w:fill="CFF0FC"/>
          </w:tcPr>
          <w:p>
            <w:pPr>
              <w:spacing w:after="0"/>
              <w:rPr>
                <w:sz w:val="14"/>
                <w:szCs w:val="14"/>
                <w:color w:val="auto"/>
              </w:rPr>
            </w:pPr>
          </w:p>
        </w:tc>
        <w:tc>
          <w:tcPr>
            <w:tcW w:w="340" w:type="dxa"/>
            <w:vAlign w:val="bottom"/>
            <w:tcBorders>
              <w:bottom w:val="single" w:sz="8" w:color="CFF0FC"/>
            </w:tcBorders>
            <w:shd w:val="clear" w:color="auto" w:fill="CFF0FC"/>
          </w:tcPr>
          <w:p>
            <w:pPr>
              <w:spacing w:after="0"/>
              <w:rPr>
                <w:sz w:val="14"/>
                <w:szCs w:val="14"/>
                <w:color w:val="auto"/>
              </w:rPr>
            </w:pPr>
          </w:p>
        </w:tc>
        <w:tc>
          <w:tcPr>
            <w:tcW w:w="580" w:type="dxa"/>
            <w:vAlign w:val="bottom"/>
            <w:tcBorders>
              <w:bottom w:val="single" w:sz="8" w:color="CFF0FC"/>
            </w:tcBorders>
            <w:shd w:val="clear" w:color="auto" w:fill="CFF0FC"/>
          </w:tcPr>
          <w:p>
            <w:pPr>
              <w:spacing w:after="0"/>
              <w:rPr>
                <w:sz w:val="14"/>
                <w:szCs w:val="14"/>
                <w:color w:val="auto"/>
              </w:rPr>
            </w:pPr>
          </w:p>
        </w:tc>
        <w:tc>
          <w:tcPr>
            <w:tcW w:w="340" w:type="dxa"/>
            <w:vAlign w:val="bottom"/>
            <w:tcBorders>
              <w:bottom w:val="single" w:sz="8" w:color="CFF0FC"/>
            </w:tcBorders>
            <w:shd w:val="clear" w:color="auto" w:fill="CFF0FC"/>
          </w:tcPr>
          <w:p>
            <w:pPr>
              <w:spacing w:after="0"/>
              <w:rPr>
                <w:sz w:val="14"/>
                <w:szCs w:val="14"/>
                <w:color w:val="auto"/>
              </w:rPr>
            </w:pPr>
          </w:p>
        </w:tc>
        <w:tc>
          <w:tcPr>
            <w:tcW w:w="600" w:type="dxa"/>
            <w:vAlign w:val="bottom"/>
            <w:tcBorders>
              <w:bottom w:val="single" w:sz="8" w:color="CFF0FC"/>
            </w:tcBorders>
            <w:shd w:val="clear" w:color="auto" w:fill="CFF0FC"/>
          </w:tcPr>
          <w:p>
            <w:pPr>
              <w:spacing w:after="0"/>
              <w:rPr>
                <w:sz w:val="14"/>
                <w:szCs w:val="14"/>
                <w:color w:val="auto"/>
              </w:rPr>
            </w:pPr>
          </w:p>
        </w:tc>
        <w:tc>
          <w:tcPr>
            <w:tcW w:w="360" w:type="dxa"/>
            <w:vAlign w:val="bottom"/>
            <w:tcBorders>
              <w:bottom w:val="single" w:sz="8" w:color="CFF0FC"/>
            </w:tcBorders>
            <w:shd w:val="clear" w:color="auto" w:fill="CFF0FC"/>
          </w:tcPr>
          <w:p>
            <w:pPr>
              <w:spacing w:after="0"/>
              <w:rPr>
                <w:sz w:val="14"/>
                <w:szCs w:val="14"/>
                <w:color w:val="auto"/>
              </w:rPr>
            </w:pPr>
          </w:p>
        </w:tc>
        <w:tc>
          <w:tcPr>
            <w:tcW w:w="580" w:type="dxa"/>
            <w:vAlign w:val="bottom"/>
            <w:tcBorders>
              <w:bottom w:val="single" w:sz="8" w:color="CFF0FC"/>
            </w:tcBorders>
            <w:shd w:val="clear" w:color="auto" w:fill="CFF0FC"/>
          </w:tcPr>
          <w:p>
            <w:pPr>
              <w:spacing w:after="0"/>
              <w:rPr>
                <w:sz w:val="14"/>
                <w:szCs w:val="14"/>
                <w:color w:val="auto"/>
              </w:rPr>
            </w:pPr>
          </w:p>
        </w:tc>
        <w:tc>
          <w:tcPr>
            <w:tcW w:w="220" w:type="dxa"/>
            <w:vAlign w:val="bottom"/>
            <w:tcBorders>
              <w:bottom w:val="single" w:sz="8" w:color="auto"/>
            </w:tcBorders>
            <w:shd w:val="clear" w:color="auto" w:fill="CFF0FC"/>
          </w:tcPr>
          <w:p>
            <w:pPr>
              <w:spacing w:after="0"/>
              <w:rPr>
                <w:sz w:val="14"/>
                <w:szCs w:val="14"/>
                <w:color w:val="auto"/>
              </w:rPr>
            </w:pPr>
          </w:p>
        </w:tc>
        <w:tc>
          <w:tcPr>
            <w:tcW w:w="640" w:type="dxa"/>
            <w:vAlign w:val="bottom"/>
            <w:tcBorders>
              <w:bottom w:val="single" w:sz="8" w:color="auto"/>
            </w:tcBorders>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660" w:type="dxa"/>
            <w:vAlign w:val="bottom"/>
          </w:tcPr>
          <w:p>
            <w:pPr>
              <w:ind w:left="20"/>
              <w:spacing w:after="0"/>
              <w:rPr>
                <w:sz w:val="20"/>
                <w:szCs w:val="20"/>
                <w:color w:val="auto"/>
              </w:rPr>
            </w:pPr>
            <w:r>
              <w:rPr>
                <w:rFonts w:ascii="Arial" w:cs="Arial" w:eastAsia="Arial" w:hAnsi="Arial"/>
                <w:sz w:val="14"/>
                <w:szCs w:val="14"/>
                <w:color w:val="auto"/>
              </w:rPr>
              <w:t>Total</w:t>
            </w: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5,143.3</w:t>
            </w: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w w:val="76"/>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4,924.4</w:t>
            </w:r>
          </w:p>
        </w:tc>
        <w:tc>
          <w:tcPr>
            <w:tcW w:w="0" w:type="dxa"/>
            <w:vAlign w:val="bottom"/>
          </w:tcPr>
          <w:p>
            <w:pPr>
              <w:spacing w:after="0"/>
              <w:rPr>
                <w:sz w:val="1"/>
                <w:szCs w:val="1"/>
                <w:color w:val="auto"/>
              </w:rPr>
            </w:pPr>
          </w:p>
        </w:tc>
      </w:tr>
      <w:tr>
        <w:trPr>
          <w:trHeight w:val="20"/>
        </w:trPr>
        <w:tc>
          <w:tcPr>
            <w:tcW w:w="1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4213860</wp:posOffset>
            </wp:positionH>
            <wp:positionV relativeFrom="paragraph">
              <wp:posOffset>-1393825</wp:posOffset>
            </wp:positionV>
            <wp:extent cx="43180" cy="571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-699135</wp:posOffset>
            </wp:positionV>
            <wp:extent cx="43180" cy="571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-467995</wp:posOffset>
            </wp:positionV>
            <wp:extent cx="43180" cy="571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-142240</wp:posOffset>
            </wp:positionV>
            <wp:extent cx="43180" cy="571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43180" cy="5715"/>
                    </a:xfrm>
                    <a:prstGeom prst="rect">
                      <a:avLst/>
                    </a:prstGeom>
                    <a:noFill/>
                  </pic:spPr>
                </pic:pic>
              </a:graphicData>
            </a:graphic>
          </wp:anchor>
        </w:drawing>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type w:val="continuous"/>
        </w:sectPr>
      </w:pPr>
    </w:p>
    <w:bookmarkStart w:id="10" w:name="page11"/>
    <w:bookmarkEnd w:id="10"/>
    <w:p>
      <w:pPr>
        <w:spacing w:after="0"/>
        <w:rPr>
          <w:sz w:val="20"/>
          <w:szCs w:val="20"/>
          <w:color w:val="auto"/>
        </w:rPr>
      </w:pPr>
      <w:r>
        <w:rPr>
          <w:rFonts w:ascii="Arial" w:cs="Arial" w:eastAsia="Arial" w:hAnsi="Arial"/>
          <w:sz w:val="18"/>
          <w:szCs w:val="18"/>
          <w:color w:val="auto"/>
        </w:rPr>
        <w:t>In the following table, revenue is disaggregated by timing of revenue recognition for each of our reportable segments:</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2540" w:type="dxa"/>
            <w:vAlign w:val="bottom"/>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880" w:type="dxa"/>
            <w:vAlign w:val="bottom"/>
            <w:tcBorders>
              <w:bottom w:val="single" w:sz="8" w:color="auto"/>
            </w:tcBorders>
            <w:gridSpan w:val="5"/>
          </w:tcPr>
          <w:p>
            <w:pPr>
              <w:jc w:val="right"/>
              <w:ind w:right="508"/>
              <w:spacing w:after="0"/>
              <w:rPr>
                <w:sz w:val="20"/>
                <w:szCs w:val="20"/>
                <w:color w:val="auto"/>
              </w:rPr>
            </w:pPr>
            <w:r>
              <w:rPr>
                <w:rFonts w:ascii="Arial" w:cs="Arial" w:eastAsia="Arial" w:hAnsi="Arial"/>
                <w:sz w:val="14"/>
                <w:szCs w:val="14"/>
                <w:b w:val="1"/>
                <w:bCs w:val="1"/>
                <w:color w:val="auto"/>
              </w:rPr>
              <w:t>Three Months Ended March 31,</w:t>
            </w:r>
          </w:p>
        </w:tc>
        <w:tc>
          <w:tcPr>
            <w:tcW w:w="2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r>
      <w:tr>
        <w:trPr>
          <w:trHeight w:val="169"/>
        </w:trPr>
        <w:tc>
          <w:tcPr>
            <w:tcW w:w="2540" w:type="dxa"/>
            <w:vAlign w:val="bottom"/>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2022</w:t>
            </w:r>
          </w:p>
        </w:tc>
        <w:tc>
          <w:tcPr>
            <w:tcW w:w="5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b w:val="1"/>
                <w:bCs w:val="1"/>
                <w:color w:val="auto"/>
              </w:rPr>
              <w:t>2021</w:t>
            </w:r>
          </w:p>
        </w:tc>
        <w:tc>
          <w:tcPr>
            <w:tcW w:w="2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r>
      <w:tr>
        <w:trPr>
          <w:trHeight w:val="137"/>
        </w:trPr>
        <w:tc>
          <w:tcPr>
            <w:tcW w:w="25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80" w:type="dxa"/>
            <w:vAlign w:val="bottom"/>
          </w:tcPr>
          <w:p>
            <w:pPr>
              <w:jc w:val="center"/>
              <w:ind w:left="348"/>
              <w:spacing w:after="0" w:line="137" w:lineRule="exact"/>
              <w:rPr>
                <w:sz w:val="20"/>
                <w:szCs w:val="20"/>
                <w:color w:val="auto"/>
              </w:rPr>
            </w:pPr>
            <w:r>
              <w:rPr>
                <w:rFonts w:ascii="Arial" w:cs="Arial" w:eastAsia="Arial" w:hAnsi="Arial"/>
                <w:sz w:val="14"/>
                <w:szCs w:val="14"/>
                <w:color w:val="auto"/>
                <w:w w:val="93"/>
              </w:rPr>
              <w:t>Services</w:t>
            </w:r>
          </w:p>
        </w:tc>
        <w:tc>
          <w:tcPr>
            <w:tcW w:w="5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tcPr>
          <w:p>
            <w:pPr>
              <w:jc w:val="center"/>
              <w:ind w:right="268"/>
              <w:spacing w:after="0" w:line="137" w:lineRule="exact"/>
              <w:rPr>
                <w:sz w:val="20"/>
                <w:szCs w:val="20"/>
                <w:color w:val="auto"/>
              </w:rPr>
            </w:pPr>
            <w:r>
              <w:rPr>
                <w:rFonts w:ascii="Arial" w:cs="Arial" w:eastAsia="Arial" w:hAnsi="Arial"/>
                <w:sz w:val="14"/>
                <w:szCs w:val="14"/>
                <w:color w:val="auto"/>
                <w:w w:val="93"/>
              </w:rPr>
              <w:t>Services</w:t>
            </w:r>
          </w:p>
        </w:tc>
        <w:tc>
          <w:tcPr>
            <w:tcW w:w="280" w:type="dxa"/>
            <w:vAlign w:val="bottom"/>
          </w:tcPr>
          <w:p>
            <w:pPr>
              <w:spacing w:after="0"/>
              <w:rPr>
                <w:sz w:val="11"/>
                <w:szCs w:val="11"/>
                <w:color w:val="auto"/>
              </w:rPr>
            </w:pPr>
          </w:p>
        </w:tc>
        <w:tc>
          <w:tcPr>
            <w:tcW w:w="1040" w:type="dxa"/>
            <w:vAlign w:val="bottom"/>
          </w:tcPr>
          <w:p>
            <w:pPr>
              <w:spacing w:after="0"/>
              <w:rPr>
                <w:sz w:val="11"/>
                <w:szCs w:val="11"/>
                <w:color w:val="auto"/>
              </w:rPr>
            </w:pPr>
          </w:p>
        </w:tc>
      </w:tr>
      <w:tr>
        <w:trPr>
          <w:trHeight w:val="148"/>
        </w:trPr>
        <w:tc>
          <w:tcPr>
            <w:tcW w:w="2540" w:type="dxa"/>
            <w:vAlign w:val="bottom"/>
          </w:tcPr>
          <w:p>
            <w:pPr>
              <w:spacing w:after="0"/>
              <w:rPr>
                <w:sz w:val="12"/>
                <w:szCs w:val="12"/>
                <w:color w:val="auto"/>
              </w:rPr>
            </w:pPr>
          </w:p>
        </w:tc>
        <w:tc>
          <w:tcPr>
            <w:tcW w:w="1020" w:type="dxa"/>
            <w:vAlign w:val="bottom"/>
          </w:tcPr>
          <w:p>
            <w:pPr>
              <w:jc w:val="center"/>
              <w:ind w:left="288"/>
              <w:spacing w:after="0" w:line="149" w:lineRule="exact"/>
              <w:rPr>
                <w:sz w:val="20"/>
                <w:szCs w:val="20"/>
                <w:color w:val="auto"/>
              </w:rPr>
            </w:pPr>
            <w:r>
              <w:rPr>
                <w:rFonts w:ascii="Arial" w:cs="Arial" w:eastAsia="Arial" w:hAnsi="Arial"/>
                <w:sz w:val="14"/>
                <w:szCs w:val="14"/>
                <w:color w:val="auto"/>
                <w:w w:val="93"/>
              </w:rPr>
              <w:t>Services</w:t>
            </w:r>
          </w:p>
        </w:tc>
        <w:tc>
          <w:tcPr>
            <w:tcW w:w="420" w:type="dxa"/>
            <w:vAlign w:val="bottom"/>
          </w:tcPr>
          <w:p>
            <w:pPr>
              <w:spacing w:after="0"/>
              <w:rPr>
                <w:sz w:val="12"/>
                <w:szCs w:val="12"/>
                <w:color w:val="auto"/>
              </w:rPr>
            </w:pPr>
          </w:p>
        </w:tc>
        <w:tc>
          <w:tcPr>
            <w:tcW w:w="1080" w:type="dxa"/>
            <w:vAlign w:val="bottom"/>
          </w:tcPr>
          <w:p>
            <w:pPr>
              <w:jc w:val="center"/>
              <w:ind w:left="348"/>
              <w:spacing w:after="0" w:line="149" w:lineRule="exact"/>
              <w:rPr>
                <w:sz w:val="20"/>
                <w:szCs w:val="20"/>
                <w:color w:val="auto"/>
              </w:rPr>
            </w:pPr>
            <w:r>
              <w:rPr>
                <w:rFonts w:ascii="Arial" w:cs="Arial" w:eastAsia="Arial" w:hAnsi="Arial"/>
                <w:sz w:val="14"/>
                <w:szCs w:val="14"/>
                <w:color w:val="auto"/>
                <w:w w:val="91"/>
              </w:rPr>
              <w:t>transferred</w:t>
            </w:r>
          </w:p>
        </w:tc>
        <w:tc>
          <w:tcPr>
            <w:tcW w:w="5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tcPr>
          <w:p>
            <w:pPr>
              <w:jc w:val="center"/>
              <w:ind w:right="228"/>
              <w:spacing w:after="0" w:line="149" w:lineRule="exact"/>
              <w:rPr>
                <w:sz w:val="20"/>
                <w:szCs w:val="20"/>
                <w:color w:val="auto"/>
              </w:rPr>
            </w:pPr>
            <w:r>
              <w:rPr>
                <w:rFonts w:ascii="Arial" w:cs="Arial" w:eastAsia="Arial" w:hAnsi="Arial"/>
                <w:sz w:val="14"/>
                <w:szCs w:val="14"/>
                <w:color w:val="auto"/>
                <w:w w:val="89"/>
              </w:rPr>
              <w:t>Services</w:t>
            </w:r>
          </w:p>
        </w:tc>
        <w:tc>
          <w:tcPr>
            <w:tcW w:w="280" w:type="dxa"/>
            <w:vAlign w:val="bottom"/>
          </w:tcPr>
          <w:p>
            <w:pPr>
              <w:spacing w:after="0"/>
              <w:rPr>
                <w:sz w:val="12"/>
                <w:szCs w:val="12"/>
                <w:color w:val="auto"/>
              </w:rPr>
            </w:pPr>
          </w:p>
        </w:tc>
        <w:tc>
          <w:tcPr>
            <w:tcW w:w="1200" w:type="dxa"/>
            <w:vAlign w:val="bottom"/>
          </w:tcPr>
          <w:p>
            <w:pPr>
              <w:jc w:val="center"/>
              <w:ind w:right="268"/>
              <w:spacing w:after="0" w:line="149" w:lineRule="exact"/>
              <w:rPr>
                <w:sz w:val="20"/>
                <w:szCs w:val="20"/>
                <w:color w:val="auto"/>
              </w:rPr>
            </w:pPr>
            <w:r>
              <w:rPr>
                <w:rFonts w:ascii="Arial" w:cs="Arial" w:eastAsia="Arial" w:hAnsi="Arial"/>
                <w:sz w:val="14"/>
                <w:szCs w:val="14"/>
                <w:color w:val="auto"/>
                <w:w w:val="91"/>
              </w:rPr>
              <w:t>transferred</w:t>
            </w:r>
          </w:p>
        </w:tc>
        <w:tc>
          <w:tcPr>
            <w:tcW w:w="280" w:type="dxa"/>
            <w:vAlign w:val="bottom"/>
          </w:tcPr>
          <w:p>
            <w:pPr>
              <w:spacing w:after="0"/>
              <w:rPr>
                <w:sz w:val="12"/>
                <w:szCs w:val="12"/>
                <w:color w:val="auto"/>
              </w:rPr>
            </w:pPr>
          </w:p>
        </w:tc>
        <w:tc>
          <w:tcPr>
            <w:tcW w:w="1040" w:type="dxa"/>
            <w:vAlign w:val="bottom"/>
          </w:tcPr>
          <w:p>
            <w:pPr>
              <w:spacing w:after="0"/>
              <w:rPr>
                <w:sz w:val="12"/>
                <w:szCs w:val="12"/>
                <w:color w:val="auto"/>
              </w:rPr>
            </w:pPr>
          </w:p>
        </w:tc>
      </w:tr>
      <w:tr>
        <w:trPr>
          <w:trHeight w:val="148"/>
        </w:trPr>
        <w:tc>
          <w:tcPr>
            <w:tcW w:w="2540" w:type="dxa"/>
            <w:vAlign w:val="bottom"/>
          </w:tcPr>
          <w:p>
            <w:pPr>
              <w:spacing w:after="0"/>
              <w:rPr>
                <w:sz w:val="12"/>
                <w:szCs w:val="12"/>
                <w:color w:val="auto"/>
              </w:rPr>
            </w:pPr>
          </w:p>
        </w:tc>
        <w:tc>
          <w:tcPr>
            <w:tcW w:w="1020" w:type="dxa"/>
            <w:vAlign w:val="bottom"/>
          </w:tcPr>
          <w:p>
            <w:pPr>
              <w:jc w:val="center"/>
              <w:ind w:left="288"/>
              <w:spacing w:after="0" w:line="149" w:lineRule="exact"/>
              <w:rPr>
                <w:sz w:val="20"/>
                <w:szCs w:val="20"/>
                <w:color w:val="auto"/>
              </w:rPr>
            </w:pPr>
            <w:r>
              <w:rPr>
                <w:rFonts w:ascii="Arial" w:cs="Arial" w:eastAsia="Arial" w:hAnsi="Arial"/>
                <w:sz w:val="14"/>
                <w:szCs w:val="14"/>
                <w:color w:val="auto"/>
                <w:w w:val="91"/>
              </w:rPr>
              <w:t>transferred</w:t>
            </w:r>
          </w:p>
        </w:tc>
        <w:tc>
          <w:tcPr>
            <w:tcW w:w="420" w:type="dxa"/>
            <w:vAlign w:val="bottom"/>
          </w:tcPr>
          <w:p>
            <w:pPr>
              <w:spacing w:after="0"/>
              <w:rPr>
                <w:sz w:val="12"/>
                <w:szCs w:val="12"/>
                <w:color w:val="auto"/>
              </w:rPr>
            </w:pPr>
          </w:p>
        </w:tc>
        <w:tc>
          <w:tcPr>
            <w:tcW w:w="1080" w:type="dxa"/>
            <w:vAlign w:val="bottom"/>
          </w:tcPr>
          <w:p>
            <w:pPr>
              <w:jc w:val="center"/>
              <w:ind w:left="348"/>
              <w:spacing w:after="0" w:line="149" w:lineRule="exact"/>
              <w:rPr>
                <w:sz w:val="20"/>
                <w:szCs w:val="20"/>
                <w:color w:val="auto"/>
              </w:rPr>
            </w:pPr>
            <w:r>
              <w:rPr>
                <w:rFonts w:ascii="Arial" w:cs="Arial" w:eastAsia="Arial" w:hAnsi="Arial"/>
                <w:sz w:val="14"/>
                <w:szCs w:val="14"/>
                <w:color w:val="auto"/>
                <w:w w:val="93"/>
              </w:rPr>
              <w:t>at a point</w:t>
            </w:r>
          </w:p>
        </w:tc>
        <w:tc>
          <w:tcPr>
            <w:tcW w:w="5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tcPr>
          <w:p>
            <w:pPr>
              <w:jc w:val="center"/>
              <w:ind w:right="208"/>
              <w:spacing w:after="0" w:line="149" w:lineRule="exact"/>
              <w:rPr>
                <w:sz w:val="20"/>
                <w:szCs w:val="20"/>
                <w:color w:val="auto"/>
              </w:rPr>
            </w:pPr>
            <w:r>
              <w:rPr>
                <w:rFonts w:ascii="Arial" w:cs="Arial" w:eastAsia="Arial" w:hAnsi="Arial"/>
                <w:sz w:val="14"/>
                <w:szCs w:val="14"/>
                <w:color w:val="auto"/>
                <w:w w:val="91"/>
              </w:rPr>
              <w:t>transferred</w:t>
            </w:r>
          </w:p>
        </w:tc>
        <w:tc>
          <w:tcPr>
            <w:tcW w:w="280" w:type="dxa"/>
            <w:vAlign w:val="bottom"/>
          </w:tcPr>
          <w:p>
            <w:pPr>
              <w:spacing w:after="0"/>
              <w:rPr>
                <w:sz w:val="12"/>
                <w:szCs w:val="12"/>
                <w:color w:val="auto"/>
              </w:rPr>
            </w:pPr>
          </w:p>
        </w:tc>
        <w:tc>
          <w:tcPr>
            <w:tcW w:w="1200" w:type="dxa"/>
            <w:vAlign w:val="bottom"/>
          </w:tcPr>
          <w:p>
            <w:pPr>
              <w:jc w:val="center"/>
              <w:ind w:right="268"/>
              <w:spacing w:after="0" w:line="149" w:lineRule="exact"/>
              <w:rPr>
                <w:sz w:val="20"/>
                <w:szCs w:val="20"/>
                <w:color w:val="auto"/>
              </w:rPr>
            </w:pPr>
            <w:r>
              <w:rPr>
                <w:rFonts w:ascii="Arial" w:cs="Arial" w:eastAsia="Arial" w:hAnsi="Arial"/>
                <w:sz w:val="14"/>
                <w:szCs w:val="14"/>
                <w:color w:val="auto"/>
                <w:w w:val="93"/>
              </w:rPr>
              <w:t>at a point</w:t>
            </w:r>
          </w:p>
        </w:tc>
        <w:tc>
          <w:tcPr>
            <w:tcW w:w="280" w:type="dxa"/>
            <w:vAlign w:val="bottom"/>
          </w:tcPr>
          <w:p>
            <w:pPr>
              <w:spacing w:after="0"/>
              <w:rPr>
                <w:sz w:val="12"/>
                <w:szCs w:val="12"/>
                <w:color w:val="auto"/>
              </w:rPr>
            </w:pPr>
          </w:p>
        </w:tc>
        <w:tc>
          <w:tcPr>
            <w:tcW w:w="1040" w:type="dxa"/>
            <w:vAlign w:val="bottom"/>
          </w:tcPr>
          <w:p>
            <w:pPr>
              <w:spacing w:after="0"/>
              <w:rPr>
                <w:sz w:val="12"/>
                <w:szCs w:val="12"/>
                <w:color w:val="auto"/>
              </w:rPr>
            </w:pPr>
          </w:p>
        </w:tc>
      </w:tr>
      <w:tr>
        <w:trPr>
          <w:trHeight w:val="181"/>
        </w:trPr>
        <w:tc>
          <w:tcPr>
            <w:tcW w:w="2540" w:type="dxa"/>
            <w:vAlign w:val="bottom"/>
          </w:tcPr>
          <w:p>
            <w:pPr>
              <w:spacing w:after="0"/>
              <w:rPr>
                <w:sz w:val="15"/>
                <w:szCs w:val="15"/>
                <w:color w:val="auto"/>
              </w:rPr>
            </w:pPr>
          </w:p>
        </w:tc>
        <w:tc>
          <w:tcPr>
            <w:tcW w:w="1020" w:type="dxa"/>
            <w:vAlign w:val="bottom"/>
            <w:tcBorders>
              <w:bottom w:val="single" w:sz="8" w:color="auto"/>
            </w:tcBorders>
          </w:tcPr>
          <w:p>
            <w:pPr>
              <w:jc w:val="center"/>
              <w:ind w:left="288"/>
              <w:spacing w:after="0"/>
              <w:rPr>
                <w:sz w:val="20"/>
                <w:szCs w:val="20"/>
                <w:color w:val="auto"/>
              </w:rPr>
            </w:pPr>
            <w:r>
              <w:rPr>
                <w:rFonts w:ascii="Arial" w:cs="Arial" w:eastAsia="Arial" w:hAnsi="Arial"/>
                <w:sz w:val="14"/>
                <w:szCs w:val="14"/>
                <w:color w:val="auto"/>
                <w:w w:val="93"/>
              </w:rPr>
              <w:t>over time</w:t>
            </w:r>
          </w:p>
        </w:tc>
        <w:tc>
          <w:tcPr>
            <w:tcW w:w="4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center"/>
              <w:ind w:left="328"/>
              <w:spacing w:after="0"/>
              <w:rPr>
                <w:sz w:val="20"/>
                <w:szCs w:val="20"/>
                <w:color w:val="auto"/>
              </w:rPr>
            </w:pPr>
            <w:r>
              <w:rPr>
                <w:rFonts w:ascii="Arial" w:cs="Arial" w:eastAsia="Arial" w:hAnsi="Arial"/>
                <w:sz w:val="14"/>
                <w:szCs w:val="14"/>
                <w:color w:val="auto"/>
                <w:w w:val="96"/>
              </w:rPr>
              <w:t>in time</w:t>
            </w:r>
          </w:p>
        </w:tc>
        <w:tc>
          <w:tcPr>
            <w:tcW w:w="5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Total</w:t>
            </w:r>
          </w:p>
        </w:tc>
        <w:tc>
          <w:tcPr>
            <w:tcW w:w="5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center"/>
              <w:ind w:right="228"/>
              <w:spacing w:after="0"/>
              <w:rPr>
                <w:sz w:val="20"/>
                <w:szCs w:val="20"/>
                <w:color w:val="auto"/>
              </w:rPr>
            </w:pPr>
            <w:r>
              <w:rPr>
                <w:rFonts w:ascii="Arial" w:cs="Arial" w:eastAsia="Arial" w:hAnsi="Arial"/>
                <w:sz w:val="14"/>
                <w:szCs w:val="14"/>
                <w:color w:val="auto"/>
                <w:w w:val="97"/>
              </w:rPr>
              <w:t>over time</w:t>
            </w:r>
          </w:p>
        </w:tc>
        <w:tc>
          <w:tcPr>
            <w:tcW w:w="2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center"/>
              <w:ind w:right="288"/>
              <w:spacing w:after="0"/>
              <w:rPr>
                <w:sz w:val="20"/>
                <w:szCs w:val="20"/>
                <w:color w:val="auto"/>
              </w:rPr>
            </w:pPr>
            <w:r>
              <w:rPr>
                <w:rFonts w:ascii="Arial" w:cs="Arial" w:eastAsia="Arial" w:hAnsi="Arial"/>
                <w:sz w:val="14"/>
                <w:szCs w:val="14"/>
                <w:color w:val="auto"/>
                <w:w w:val="96"/>
              </w:rPr>
              <w:t>in time</w:t>
            </w:r>
          </w:p>
        </w:tc>
        <w:tc>
          <w:tcPr>
            <w:tcW w:w="2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color w:val="auto"/>
              </w:rPr>
              <w:t>Total</w:t>
            </w:r>
          </w:p>
        </w:tc>
      </w:tr>
      <w:tr>
        <w:trPr>
          <w:trHeight w:val="169"/>
        </w:trPr>
        <w:tc>
          <w:tcPr>
            <w:tcW w:w="2540" w:type="dxa"/>
            <w:vAlign w:val="bottom"/>
            <w:shd w:val="clear" w:color="auto" w:fill="CFF0FC"/>
          </w:tcPr>
          <w:p>
            <w:pPr>
              <w:ind w:left="20"/>
              <w:spacing w:after="0"/>
              <w:rPr>
                <w:sz w:val="20"/>
                <w:szCs w:val="20"/>
                <w:color w:val="auto"/>
              </w:rPr>
            </w:pPr>
            <w:r>
              <w:rPr>
                <w:rFonts w:ascii="Arial" w:cs="Arial" w:eastAsia="Arial" w:hAnsi="Arial"/>
                <w:sz w:val="14"/>
                <w:szCs w:val="14"/>
                <w:color w:val="auto"/>
              </w:rPr>
              <w:t>Americas:</w:t>
            </w:r>
          </w:p>
        </w:tc>
        <w:tc>
          <w:tcPr>
            <w:tcW w:w="1020" w:type="dxa"/>
            <w:vAlign w:val="bottom"/>
            <w:shd w:val="clear" w:color="auto" w:fill="CFF0FC"/>
          </w:tcPr>
          <w:p>
            <w:pPr>
              <w:spacing w:after="0"/>
              <w:rPr>
                <w:sz w:val="14"/>
                <w:szCs w:val="14"/>
                <w:color w:val="auto"/>
              </w:rPr>
            </w:pPr>
          </w:p>
        </w:tc>
        <w:tc>
          <w:tcPr>
            <w:tcW w:w="42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18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20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r>
      <w:tr>
        <w:trPr>
          <w:trHeight w:val="175"/>
        </w:trPr>
        <w:tc>
          <w:tcPr>
            <w:tcW w:w="2540" w:type="dxa"/>
            <w:vAlign w:val="bottom"/>
          </w:tcPr>
          <w:p>
            <w:pPr>
              <w:ind w:left="200"/>
              <w:spacing w:after="0"/>
              <w:rPr>
                <w:sz w:val="20"/>
                <w:szCs w:val="20"/>
                <w:color w:val="auto"/>
              </w:rPr>
            </w:pPr>
            <w:r>
              <w:rPr>
                <w:rFonts w:ascii="Arial" w:cs="Arial" w:eastAsia="Arial" w:hAnsi="Arial"/>
                <w:sz w:val="14"/>
                <w:szCs w:val="14"/>
                <w:color w:val="auto"/>
              </w:rPr>
              <w:t>United States</w:t>
            </w:r>
          </w:p>
        </w:tc>
        <w:tc>
          <w:tcPr>
            <w:tcW w:w="1020" w:type="dxa"/>
            <w:vAlign w:val="bottom"/>
          </w:tcPr>
          <w:p>
            <w:pPr>
              <w:jc w:val="right"/>
              <w:ind w:right="848"/>
              <w:spacing w:after="0"/>
              <w:rPr>
                <w:sz w:val="20"/>
                <w:szCs w:val="20"/>
                <w:color w:val="auto"/>
              </w:rPr>
            </w:pPr>
            <w:r>
              <w:rPr>
                <w:rFonts w:ascii="Arial" w:cs="Arial" w:eastAsia="Arial" w:hAnsi="Arial"/>
                <w:sz w:val="14"/>
                <w:szCs w:val="14"/>
                <w:color w:val="auto"/>
              </w:rPr>
              <w:t>$</w:t>
            </w:r>
          </w:p>
        </w:tc>
        <w:tc>
          <w:tcPr>
            <w:tcW w:w="420" w:type="dxa"/>
            <w:vAlign w:val="bottom"/>
          </w:tcPr>
          <w:p>
            <w:pPr>
              <w:jc w:val="right"/>
              <w:ind w:right="8"/>
              <w:spacing w:after="0"/>
              <w:rPr>
                <w:sz w:val="20"/>
                <w:szCs w:val="20"/>
                <w:color w:val="auto"/>
              </w:rPr>
            </w:pPr>
            <w:r>
              <w:rPr>
                <w:rFonts w:ascii="Arial" w:cs="Arial" w:eastAsia="Arial" w:hAnsi="Arial"/>
                <w:sz w:val="14"/>
                <w:szCs w:val="14"/>
                <w:color w:val="auto"/>
                <w:w w:val="91"/>
              </w:rPr>
              <w:t>858.8</w:t>
            </w:r>
          </w:p>
        </w:tc>
        <w:tc>
          <w:tcPr>
            <w:tcW w:w="1080" w:type="dxa"/>
            <w:vAlign w:val="bottom"/>
          </w:tcPr>
          <w:p>
            <w:pPr>
              <w:jc w:val="right"/>
              <w:ind w:right="848"/>
              <w:spacing w:after="0"/>
              <w:rPr>
                <w:sz w:val="20"/>
                <w:szCs w:val="20"/>
                <w:color w:val="auto"/>
              </w:rPr>
            </w:pPr>
            <w:r>
              <w:rPr>
                <w:rFonts w:ascii="Arial" w:cs="Arial" w:eastAsia="Arial" w:hAnsi="Arial"/>
                <w:sz w:val="14"/>
                <w:szCs w:val="14"/>
                <w:color w:val="auto"/>
              </w:rPr>
              <w:t>$</w:t>
            </w:r>
          </w:p>
        </w:tc>
        <w:tc>
          <w:tcPr>
            <w:tcW w:w="500" w:type="dxa"/>
            <w:vAlign w:val="bottom"/>
          </w:tcPr>
          <w:p>
            <w:pPr>
              <w:jc w:val="right"/>
              <w:ind w:right="88"/>
              <w:spacing w:after="0"/>
              <w:rPr>
                <w:sz w:val="20"/>
                <w:szCs w:val="20"/>
                <w:color w:val="auto"/>
              </w:rPr>
            </w:pPr>
            <w:r>
              <w:rPr>
                <w:rFonts w:ascii="Arial" w:cs="Arial" w:eastAsia="Arial" w:hAnsi="Arial"/>
                <w:sz w:val="14"/>
                <w:szCs w:val="14"/>
                <w:color w:val="auto"/>
              </w:rPr>
              <w:t>30.6</w:t>
            </w:r>
          </w:p>
        </w:tc>
        <w:tc>
          <w:tcPr>
            <w:tcW w:w="820" w:type="dxa"/>
            <w:vAlign w:val="bottom"/>
          </w:tcPr>
          <w:p>
            <w:pPr>
              <w:jc w:val="right"/>
              <w:ind w:right="668"/>
              <w:spacing w:after="0"/>
              <w:rPr>
                <w:sz w:val="20"/>
                <w:szCs w:val="20"/>
                <w:color w:val="auto"/>
              </w:rPr>
            </w:pPr>
            <w:r>
              <w:rPr>
                <w:rFonts w:ascii="Arial" w:cs="Arial" w:eastAsia="Arial" w:hAnsi="Arial"/>
                <w:sz w:val="14"/>
                <w:szCs w:val="14"/>
                <w:color w:val="auto"/>
                <w:w w:val="76"/>
              </w:rPr>
              <w:t>$</w:t>
            </w:r>
          </w:p>
        </w:tc>
        <w:tc>
          <w:tcPr>
            <w:tcW w:w="560" w:type="dxa"/>
            <w:vAlign w:val="bottom"/>
          </w:tcPr>
          <w:p>
            <w:pPr>
              <w:jc w:val="right"/>
              <w:ind w:right="8"/>
              <w:spacing w:after="0"/>
              <w:rPr>
                <w:sz w:val="20"/>
                <w:szCs w:val="20"/>
                <w:color w:val="auto"/>
              </w:rPr>
            </w:pPr>
            <w:r>
              <w:rPr>
                <w:rFonts w:ascii="Arial" w:cs="Arial" w:eastAsia="Arial" w:hAnsi="Arial"/>
                <w:sz w:val="14"/>
                <w:szCs w:val="14"/>
                <w:color w:val="auto"/>
              </w:rPr>
              <w:t>889.4</w:t>
            </w:r>
          </w:p>
        </w:tc>
        <w:tc>
          <w:tcPr>
            <w:tcW w:w="3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8"/>
              <w:spacing w:after="0"/>
              <w:rPr>
                <w:sz w:val="20"/>
                <w:szCs w:val="20"/>
                <w:color w:val="auto"/>
              </w:rPr>
            </w:pPr>
            <w:r>
              <w:rPr>
                <w:rFonts w:ascii="Arial" w:cs="Arial" w:eastAsia="Arial" w:hAnsi="Arial"/>
                <w:sz w:val="14"/>
                <w:szCs w:val="14"/>
                <w:color w:val="auto"/>
              </w:rPr>
              <w:t>594.7</w:t>
            </w:r>
          </w:p>
        </w:tc>
        <w:tc>
          <w:tcPr>
            <w:tcW w:w="2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68"/>
              <w:spacing w:after="0"/>
              <w:rPr>
                <w:sz w:val="20"/>
                <w:szCs w:val="20"/>
                <w:color w:val="auto"/>
              </w:rPr>
            </w:pPr>
            <w:r>
              <w:rPr>
                <w:rFonts w:ascii="Arial" w:cs="Arial" w:eastAsia="Arial" w:hAnsi="Arial"/>
                <w:sz w:val="14"/>
                <w:szCs w:val="14"/>
                <w:color w:val="auto"/>
              </w:rPr>
              <w:t>14.1</w:t>
            </w:r>
          </w:p>
        </w:tc>
        <w:tc>
          <w:tcPr>
            <w:tcW w:w="280" w:type="dxa"/>
            <w:vAlign w:val="bottom"/>
          </w:tcPr>
          <w:p>
            <w:pPr>
              <w:jc w:val="right"/>
              <w:ind w:right="128"/>
              <w:spacing w:after="0"/>
              <w:rPr>
                <w:sz w:val="20"/>
                <w:szCs w:val="20"/>
                <w:color w:val="auto"/>
              </w:rPr>
            </w:pPr>
            <w:r>
              <w:rPr>
                <w:rFonts w:ascii="Arial" w:cs="Arial" w:eastAsia="Arial" w:hAnsi="Arial"/>
                <w:sz w:val="14"/>
                <w:szCs w:val="14"/>
                <w:color w:val="auto"/>
                <w:w w:val="76"/>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608.8</w:t>
            </w:r>
          </w:p>
        </w:tc>
      </w:tr>
      <w:tr>
        <w:trPr>
          <w:trHeight w:val="176"/>
        </w:trPr>
        <w:tc>
          <w:tcPr>
            <w:tcW w:w="254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4"/>
                <w:szCs w:val="14"/>
                <w:color w:val="auto"/>
              </w:rPr>
              <w:t>Other Americas</w:t>
            </w:r>
          </w:p>
        </w:tc>
        <w:tc>
          <w:tcPr>
            <w:tcW w:w="1020" w:type="dxa"/>
            <w:vAlign w:val="bottom"/>
            <w:tcBorders>
              <w:bottom w:val="single" w:sz="8" w:color="auto"/>
            </w:tcBorders>
            <w:shd w:val="clear" w:color="auto" w:fill="CFF0FC"/>
          </w:tcPr>
          <w:p>
            <w:pPr>
              <w:spacing w:after="0"/>
              <w:rPr>
                <w:sz w:val="15"/>
                <w:szCs w:val="15"/>
                <w:color w:val="auto"/>
              </w:rPr>
            </w:pPr>
          </w:p>
        </w:tc>
        <w:tc>
          <w:tcPr>
            <w:tcW w:w="420" w:type="dxa"/>
            <w:vAlign w:val="bottom"/>
            <w:tcBorders>
              <w:bottom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w w:val="91"/>
              </w:rPr>
              <w:t>355.0</w:t>
            </w:r>
          </w:p>
        </w:tc>
        <w:tc>
          <w:tcPr>
            <w:tcW w:w="1080" w:type="dxa"/>
            <w:vAlign w:val="bottom"/>
            <w:tcBorders>
              <w:bottom w:val="single" w:sz="8" w:color="auto"/>
            </w:tcBorders>
            <w:shd w:val="clear" w:color="auto" w:fill="CFF0FC"/>
          </w:tcPr>
          <w:p>
            <w:pPr>
              <w:spacing w:after="0"/>
              <w:rPr>
                <w:sz w:val="15"/>
                <w:szCs w:val="15"/>
                <w:color w:val="auto"/>
              </w:rPr>
            </w:pPr>
          </w:p>
        </w:tc>
        <w:tc>
          <w:tcPr>
            <w:tcW w:w="500" w:type="dxa"/>
            <w:vAlign w:val="bottom"/>
            <w:tcBorders>
              <w:bottom w:val="single" w:sz="8" w:color="auto"/>
            </w:tcBorders>
            <w:shd w:val="clear" w:color="auto" w:fill="CFF0FC"/>
          </w:tcPr>
          <w:p>
            <w:pPr>
              <w:jc w:val="right"/>
              <w:ind w:right="88"/>
              <w:spacing w:after="0"/>
              <w:rPr>
                <w:sz w:val="20"/>
                <w:szCs w:val="20"/>
                <w:color w:val="auto"/>
              </w:rPr>
            </w:pPr>
            <w:r>
              <w:rPr>
                <w:rFonts w:ascii="Arial" w:cs="Arial" w:eastAsia="Arial" w:hAnsi="Arial"/>
                <w:sz w:val="14"/>
                <w:szCs w:val="14"/>
                <w:color w:val="auto"/>
              </w:rPr>
              <w:t>6.8</w:t>
            </w:r>
          </w:p>
        </w:tc>
        <w:tc>
          <w:tcPr>
            <w:tcW w:w="820" w:type="dxa"/>
            <w:vAlign w:val="bottom"/>
            <w:tcBorders>
              <w:bottom w:val="single" w:sz="8" w:color="auto"/>
            </w:tcBorders>
            <w:shd w:val="clear" w:color="auto" w:fill="CFF0FC"/>
          </w:tcPr>
          <w:p>
            <w:pPr>
              <w:spacing w:after="0"/>
              <w:rPr>
                <w:sz w:val="15"/>
                <w:szCs w:val="15"/>
                <w:color w:val="auto"/>
              </w:rPr>
            </w:pPr>
          </w:p>
        </w:tc>
        <w:tc>
          <w:tcPr>
            <w:tcW w:w="560" w:type="dxa"/>
            <w:vAlign w:val="bottom"/>
            <w:tcBorders>
              <w:bottom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rPr>
              <w:t>361.8</w:t>
            </w:r>
          </w:p>
        </w:tc>
        <w:tc>
          <w:tcPr>
            <w:tcW w:w="10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auto"/>
            </w:tcBorders>
            <w:shd w:val="clear" w:color="auto" w:fill="CFF0FC"/>
          </w:tcPr>
          <w:p>
            <w:pPr>
              <w:spacing w:after="0"/>
              <w:rPr>
                <w:sz w:val="15"/>
                <w:szCs w:val="15"/>
                <w:color w:val="auto"/>
              </w:rPr>
            </w:pPr>
          </w:p>
        </w:tc>
        <w:tc>
          <w:tcPr>
            <w:tcW w:w="1180" w:type="dxa"/>
            <w:vAlign w:val="bottom"/>
            <w:tcBorders>
              <w:bottom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rPr>
              <w:t>390.2</w:t>
            </w:r>
          </w:p>
        </w:tc>
        <w:tc>
          <w:tcPr>
            <w:tcW w:w="280" w:type="dxa"/>
            <w:vAlign w:val="bottom"/>
            <w:tcBorders>
              <w:bottom w:val="single" w:sz="8" w:color="auto"/>
            </w:tcBorders>
            <w:shd w:val="clear" w:color="auto" w:fill="CFF0FC"/>
          </w:tcPr>
          <w:p>
            <w:pPr>
              <w:spacing w:after="0"/>
              <w:rPr>
                <w:sz w:val="15"/>
                <w:szCs w:val="15"/>
                <w:color w:val="auto"/>
              </w:rPr>
            </w:pPr>
          </w:p>
        </w:tc>
        <w:tc>
          <w:tcPr>
            <w:tcW w:w="1200" w:type="dxa"/>
            <w:vAlign w:val="bottom"/>
            <w:tcBorders>
              <w:bottom w:val="single" w:sz="8" w:color="auto"/>
            </w:tcBorders>
            <w:shd w:val="clear" w:color="auto" w:fill="CFF0FC"/>
          </w:tcPr>
          <w:p>
            <w:pPr>
              <w:jc w:val="right"/>
              <w:ind w:right="68"/>
              <w:spacing w:after="0"/>
              <w:rPr>
                <w:sz w:val="20"/>
                <w:szCs w:val="20"/>
                <w:color w:val="auto"/>
              </w:rPr>
            </w:pPr>
            <w:r>
              <w:rPr>
                <w:rFonts w:ascii="Arial" w:cs="Arial" w:eastAsia="Arial" w:hAnsi="Arial"/>
                <w:sz w:val="14"/>
                <w:szCs w:val="14"/>
                <w:color w:val="auto"/>
              </w:rPr>
              <w:t>3.9</w:t>
            </w:r>
          </w:p>
        </w:tc>
        <w:tc>
          <w:tcPr>
            <w:tcW w:w="280" w:type="dxa"/>
            <w:vAlign w:val="bottom"/>
            <w:tcBorders>
              <w:bottom w:val="single" w:sz="8" w:color="auto"/>
            </w:tcBorders>
            <w:shd w:val="clear" w:color="auto" w:fill="CFF0FC"/>
          </w:tcPr>
          <w:p>
            <w:pPr>
              <w:spacing w:after="0"/>
              <w:rPr>
                <w:sz w:val="15"/>
                <w:szCs w:val="15"/>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394.1</w:t>
            </w:r>
          </w:p>
        </w:tc>
      </w:tr>
      <w:tr>
        <w:trPr>
          <w:trHeight w:val="169"/>
        </w:trPr>
        <w:tc>
          <w:tcPr>
            <w:tcW w:w="2540" w:type="dxa"/>
            <w:vAlign w:val="bottom"/>
          </w:tcPr>
          <w:p>
            <w:pPr>
              <w:spacing w:after="0"/>
              <w:rPr>
                <w:sz w:val="14"/>
                <w:szCs w:val="14"/>
                <w:color w:val="auto"/>
              </w:rPr>
            </w:pPr>
          </w:p>
        </w:tc>
        <w:tc>
          <w:tcPr>
            <w:tcW w:w="1440" w:type="dxa"/>
            <w:vAlign w:val="bottom"/>
            <w:tcBorders>
              <w:bottom w:val="single" w:sz="8" w:color="auto"/>
            </w:tcBorders>
            <w:gridSpan w:val="2"/>
          </w:tcPr>
          <w:p>
            <w:pPr>
              <w:jc w:val="right"/>
              <w:ind w:right="8"/>
              <w:spacing w:after="0"/>
              <w:rPr>
                <w:sz w:val="20"/>
                <w:szCs w:val="20"/>
                <w:color w:val="auto"/>
              </w:rPr>
            </w:pPr>
            <w:r>
              <w:rPr>
                <w:rFonts w:ascii="Arial" w:cs="Arial" w:eastAsia="Arial" w:hAnsi="Arial"/>
                <w:sz w:val="14"/>
                <w:szCs w:val="14"/>
                <w:color w:val="auto"/>
              </w:rPr>
              <w:t>1,213.8</w:t>
            </w:r>
          </w:p>
        </w:tc>
        <w:tc>
          <w:tcPr>
            <w:tcW w:w="10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37.4</w:t>
            </w:r>
          </w:p>
        </w:tc>
        <w:tc>
          <w:tcPr>
            <w:tcW w:w="8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w w:val="98"/>
              </w:rPr>
              <w:t>1,251.2</w:t>
            </w:r>
          </w:p>
        </w:tc>
        <w:tc>
          <w:tcPr>
            <w:tcW w:w="1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984.9</w:t>
            </w:r>
          </w:p>
        </w:tc>
        <w:tc>
          <w:tcPr>
            <w:tcW w:w="2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18.0</w:t>
            </w:r>
          </w:p>
        </w:tc>
        <w:tc>
          <w:tcPr>
            <w:tcW w:w="2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1,002.9</w:t>
            </w:r>
          </w:p>
        </w:tc>
      </w:tr>
      <w:tr>
        <w:trPr>
          <w:trHeight w:val="169"/>
        </w:trPr>
        <w:tc>
          <w:tcPr>
            <w:tcW w:w="2540" w:type="dxa"/>
            <w:vAlign w:val="bottom"/>
            <w:shd w:val="clear" w:color="auto" w:fill="CFF0FC"/>
          </w:tcPr>
          <w:p>
            <w:pPr>
              <w:ind w:left="20"/>
              <w:spacing w:after="0"/>
              <w:rPr>
                <w:sz w:val="20"/>
                <w:szCs w:val="20"/>
                <w:color w:val="auto"/>
              </w:rPr>
            </w:pPr>
            <w:r>
              <w:rPr>
                <w:rFonts w:ascii="Arial" w:cs="Arial" w:eastAsia="Arial" w:hAnsi="Arial"/>
                <w:sz w:val="14"/>
                <w:szCs w:val="14"/>
                <w:color w:val="auto"/>
              </w:rPr>
              <w:t>Southern Europe:</w:t>
            </w:r>
          </w:p>
        </w:tc>
        <w:tc>
          <w:tcPr>
            <w:tcW w:w="1020" w:type="dxa"/>
            <w:vAlign w:val="bottom"/>
            <w:shd w:val="clear" w:color="auto" w:fill="CFF0FC"/>
          </w:tcPr>
          <w:p>
            <w:pPr>
              <w:spacing w:after="0"/>
              <w:rPr>
                <w:sz w:val="14"/>
                <w:szCs w:val="14"/>
                <w:color w:val="auto"/>
              </w:rPr>
            </w:pPr>
          </w:p>
        </w:tc>
        <w:tc>
          <w:tcPr>
            <w:tcW w:w="42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18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20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r>
      <w:tr>
        <w:trPr>
          <w:trHeight w:val="175"/>
        </w:trPr>
        <w:tc>
          <w:tcPr>
            <w:tcW w:w="2540" w:type="dxa"/>
            <w:vAlign w:val="bottom"/>
          </w:tcPr>
          <w:p>
            <w:pPr>
              <w:ind w:left="200"/>
              <w:spacing w:after="0"/>
              <w:rPr>
                <w:sz w:val="20"/>
                <w:szCs w:val="20"/>
                <w:color w:val="auto"/>
              </w:rPr>
            </w:pPr>
            <w:r>
              <w:rPr>
                <w:rFonts w:ascii="Arial" w:cs="Arial" w:eastAsia="Arial" w:hAnsi="Arial"/>
                <w:sz w:val="14"/>
                <w:szCs w:val="14"/>
                <w:color w:val="auto"/>
              </w:rPr>
              <w:t>France</w:t>
            </w:r>
          </w:p>
        </w:tc>
        <w:tc>
          <w:tcPr>
            <w:tcW w:w="1440" w:type="dxa"/>
            <w:vAlign w:val="bottom"/>
            <w:gridSpan w:val="2"/>
          </w:tcPr>
          <w:p>
            <w:pPr>
              <w:jc w:val="right"/>
              <w:ind w:right="8"/>
              <w:spacing w:after="0"/>
              <w:rPr>
                <w:sz w:val="20"/>
                <w:szCs w:val="20"/>
                <w:color w:val="auto"/>
              </w:rPr>
            </w:pPr>
            <w:r>
              <w:rPr>
                <w:rFonts w:ascii="Arial" w:cs="Arial" w:eastAsia="Arial" w:hAnsi="Arial"/>
                <w:sz w:val="14"/>
                <w:szCs w:val="14"/>
                <w:color w:val="auto"/>
              </w:rPr>
              <w:t>1,177.0</w:t>
            </w:r>
          </w:p>
        </w:tc>
        <w:tc>
          <w:tcPr>
            <w:tcW w:w="1080" w:type="dxa"/>
            <w:vAlign w:val="bottom"/>
          </w:tcPr>
          <w:p>
            <w:pPr>
              <w:spacing w:after="0"/>
              <w:rPr>
                <w:sz w:val="15"/>
                <w:szCs w:val="15"/>
                <w:color w:val="auto"/>
              </w:rPr>
            </w:pPr>
          </w:p>
        </w:tc>
        <w:tc>
          <w:tcPr>
            <w:tcW w:w="500" w:type="dxa"/>
            <w:vAlign w:val="bottom"/>
          </w:tcPr>
          <w:p>
            <w:pPr>
              <w:jc w:val="right"/>
              <w:ind w:right="88"/>
              <w:spacing w:after="0"/>
              <w:rPr>
                <w:sz w:val="20"/>
                <w:szCs w:val="20"/>
                <w:color w:val="auto"/>
              </w:rPr>
            </w:pPr>
            <w:r>
              <w:rPr>
                <w:rFonts w:ascii="Arial" w:cs="Arial" w:eastAsia="Arial" w:hAnsi="Arial"/>
                <w:sz w:val="14"/>
                <w:szCs w:val="14"/>
                <w:color w:val="auto"/>
              </w:rPr>
              <w:t>15.4</w:t>
            </w:r>
          </w:p>
        </w:tc>
        <w:tc>
          <w:tcPr>
            <w:tcW w:w="820" w:type="dxa"/>
            <w:vAlign w:val="bottom"/>
          </w:tcPr>
          <w:p>
            <w:pPr>
              <w:spacing w:after="0"/>
              <w:rPr>
                <w:sz w:val="15"/>
                <w:szCs w:val="15"/>
                <w:color w:val="auto"/>
              </w:rPr>
            </w:pPr>
          </w:p>
        </w:tc>
        <w:tc>
          <w:tcPr>
            <w:tcW w:w="560" w:type="dxa"/>
            <w:vAlign w:val="bottom"/>
          </w:tcPr>
          <w:p>
            <w:pPr>
              <w:jc w:val="right"/>
              <w:ind w:right="8"/>
              <w:spacing w:after="0"/>
              <w:rPr>
                <w:sz w:val="20"/>
                <w:szCs w:val="20"/>
                <w:color w:val="auto"/>
              </w:rPr>
            </w:pPr>
            <w:r>
              <w:rPr>
                <w:rFonts w:ascii="Arial" w:cs="Arial" w:eastAsia="Arial" w:hAnsi="Arial"/>
                <w:sz w:val="14"/>
                <w:szCs w:val="14"/>
                <w:color w:val="auto"/>
                <w:w w:val="98"/>
              </w:rPr>
              <w:t>1,192.4</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tcPr>
          <w:p>
            <w:pPr>
              <w:jc w:val="right"/>
              <w:ind w:right="8"/>
              <w:spacing w:after="0"/>
              <w:rPr>
                <w:sz w:val="20"/>
                <w:szCs w:val="20"/>
                <w:color w:val="auto"/>
              </w:rPr>
            </w:pPr>
            <w:r>
              <w:rPr>
                <w:rFonts w:ascii="Arial" w:cs="Arial" w:eastAsia="Arial" w:hAnsi="Arial"/>
                <w:sz w:val="14"/>
                <w:szCs w:val="14"/>
                <w:color w:val="auto"/>
              </w:rPr>
              <w:t>1,176.9</w:t>
            </w:r>
          </w:p>
        </w:tc>
        <w:tc>
          <w:tcPr>
            <w:tcW w:w="280" w:type="dxa"/>
            <w:vAlign w:val="bottom"/>
          </w:tcPr>
          <w:p>
            <w:pPr>
              <w:spacing w:after="0"/>
              <w:rPr>
                <w:sz w:val="15"/>
                <w:szCs w:val="15"/>
                <w:color w:val="auto"/>
              </w:rPr>
            </w:pPr>
          </w:p>
        </w:tc>
        <w:tc>
          <w:tcPr>
            <w:tcW w:w="1200" w:type="dxa"/>
            <w:vAlign w:val="bottom"/>
          </w:tcPr>
          <w:p>
            <w:pPr>
              <w:jc w:val="right"/>
              <w:ind w:right="68"/>
              <w:spacing w:after="0"/>
              <w:rPr>
                <w:sz w:val="20"/>
                <w:szCs w:val="20"/>
                <w:color w:val="auto"/>
              </w:rPr>
            </w:pPr>
            <w:r>
              <w:rPr>
                <w:rFonts w:ascii="Arial" w:cs="Arial" w:eastAsia="Arial" w:hAnsi="Arial"/>
                <w:sz w:val="14"/>
                <w:szCs w:val="14"/>
                <w:color w:val="auto"/>
              </w:rPr>
              <w:t>12.0</w:t>
            </w:r>
          </w:p>
        </w:tc>
        <w:tc>
          <w:tcPr>
            <w:tcW w:w="2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1,188.9</w:t>
            </w:r>
          </w:p>
        </w:tc>
      </w:tr>
      <w:tr>
        <w:trPr>
          <w:trHeight w:val="176"/>
        </w:trPr>
        <w:tc>
          <w:tcPr>
            <w:tcW w:w="2540" w:type="dxa"/>
            <w:vAlign w:val="bottom"/>
            <w:shd w:val="clear" w:color="auto" w:fill="CFF0FC"/>
          </w:tcPr>
          <w:p>
            <w:pPr>
              <w:ind w:left="200"/>
              <w:spacing w:after="0"/>
              <w:rPr>
                <w:sz w:val="20"/>
                <w:szCs w:val="20"/>
                <w:color w:val="auto"/>
              </w:rPr>
            </w:pPr>
            <w:r>
              <w:rPr>
                <w:rFonts w:ascii="Arial" w:cs="Arial" w:eastAsia="Arial" w:hAnsi="Arial"/>
                <w:sz w:val="14"/>
                <w:szCs w:val="14"/>
                <w:color w:val="auto"/>
              </w:rPr>
              <w:t>Italy</w:t>
            </w:r>
          </w:p>
        </w:tc>
        <w:tc>
          <w:tcPr>
            <w:tcW w:w="1020" w:type="dxa"/>
            <w:vAlign w:val="bottom"/>
            <w:shd w:val="clear" w:color="auto" w:fill="CFF0FC"/>
          </w:tcPr>
          <w:p>
            <w:pPr>
              <w:spacing w:after="0"/>
              <w:rPr>
                <w:sz w:val="15"/>
                <w:szCs w:val="15"/>
                <w:color w:val="auto"/>
              </w:rPr>
            </w:pPr>
          </w:p>
        </w:tc>
        <w:tc>
          <w:tcPr>
            <w:tcW w:w="42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w w:val="91"/>
              </w:rPr>
              <w:t>432.4</w:t>
            </w:r>
          </w:p>
        </w:tc>
        <w:tc>
          <w:tcPr>
            <w:tcW w:w="1080" w:type="dxa"/>
            <w:vAlign w:val="bottom"/>
            <w:shd w:val="clear" w:color="auto" w:fill="CFF0FC"/>
          </w:tcPr>
          <w:p>
            <w:pPr>
              <w:spacing w:after="0"/>
              <w:rPr>
                <w:sz w:val="15"/>
                <w:szCs w:val="15"/>
                <w:color w:val="auto"/>
              </w:rPr>
            </w:pPr>
          </w:p>
        </w:tc>
        <w:tc>
          <w:tcPr>
            <w:tcW w:w="50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12.6</w:t>
            </w:r>
          </w:p>
        </w:tc>
        <w:tc>
          <w:tcPr>
            <w:tcW w:w="820" w:type="dxa"/>
            <w:vAlign w:val="bottom"/>
            <w:shd w:val="clear" w:color="auto" w:fill="CFF0FC"/>
          </w:tcPr>
          <w:p>
            <w:pPr>
              <w:spacing w:after="0"/>
              <w:rPr>
                <w:sz w:val="15"/>
                <w:szCs w:val="15"/>
                <w:color w:val="auto"/>
              </w:rPr>
            </w:pPr>
          </w:p>
        </w:tc>
        <w:tc>
          <w:tcPr>
            <w:tcW w:w="56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445.0</w:t>
            </w:r>
          </w:p>
        </w:tc>
        <w:tc>
          <w:tcPr>
            <w:tcW w:w="1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18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393.5</w:t>
            </w:r>
          </w:p>
        </w:tc>
        <w:tc>
          <w:tcPr>
            <w:tcW w:w="280" w:type="dxa"/>
            <w:vAlign w:val="bottom"/>
            <w:shd w:val="clear" w:color="auto" w:fill="CFF0FC"/>
          </w:tcPr>
          <w:p>
            <w:pPr>
              <w:spacing w:after="0"/>
              <w:rPr>
                <w:sz w:val="15"/>
                <w:szCs w:val="15"/>
                <w:color w:val="auto"/>
              </w:rPr>
            </w:pPr>
          </w:p>
        </w:tc>
        <w:tc>
          <w:tcPr>
            <w:tcW w:w="120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9.3</w:t>
            </w:r>
          </w:p>
        </w:tc>
        <w:tc>
          <w:tcPr>
            <w:tcW w:w="28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402.8</w:t>
            </w:r>
          </w:p>
        </w:tc>
      </w:tr>
      <w:tr>
        <w:trPr>
          <w:trHeight w:val="175"/>
        </w:trPr>
        <w:tc>
          <w:tcPr>
            <w:tcW w:w="2540" w:type="dxa"/>
            <w:vAlign w:val="bottom"/>
          </w:tcPr>
          <w:p>
            <w:pPr>
              <w:ind w:left="200"/>
              <w:spacing w:after="0"/>
              <w:rPr>
                <w:sz w:val="20"/>
                <w:szCs w:val="20"/>
                <w:color w:val="auto"/>
              </w:rPr>
            </w:pPr>
            <w:r>
              <w:rPr>
                <w:rFonts w:ascii="Arial" w:cs="Arial" w:eastAsia="Arial" w:hAnsi="Arial"/>
                <w:sz w:val="14"/>
                <w:szCs w:val="14"/>
                <w:color w:val="auto"/>
              </w:rPr>
              <w:t>Other Southern Europe</w:t>
            </w:r>
          </w:p>
        </w:tc>
        <w:tc>
          <w:tcPr>
            <w:tcW w:w="102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w w:val="91"/>
              </w:rPr>
              <w:t>543.3</w:t>
            </w:r>
          </w:p>
        </w:tc>
        <w:tc>
          <w:tcPr>
            <w:tcW w:w="108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13.2</w:t>
            </w:r>
          </w:p>
        </w:tc>
        <w:tc>
          <w:tcPr>
            <w:tcW w:w="8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556.5</w:t>
            </w:r>
          </w:p>
        </w:tc>
        <w:tc>
          <w:tcPr>
            <w:tcW w:w="1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558.9</w:t>
            </w:r>
          </w:p>
        </w:tc>
        <w:tc>
          <w:tcPr>
            <w:tcW w:w="2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9.7</w:t>
            </w:r>
          </w:p>
        </w:tc>
        <w:tc>
          <w:tcPr>
            <w:tcW w:w="2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568.6</w:t>
            </w:r>
          </w:p>
        </w:tc>
      </w:tr>
      <w:tr>
        <w:trPr>
          <w:trHeight w:val="169"/>
        </w:trPr>
        <w:tc>
          <w:tcPr>
            <w:tcW w:w="2540" w:type="dxa"/>
            <w:vAlign w:val="bottom"/>
            <w:tcBorders>
              <w:bottom w:val="single" w:sz="8" w:color="CFF0FC"/>
            </w:tcBorders>
            <w:shd w:val="clear" w:color="auto" w:fill="CFF0FC"/>
          </w:tcPr>
          <w:p>
            <w:pPr>
              <w:spacing w:after="0"/>
              <w:rPr>
                <w:sz w:val="14"/>
                <w:szCs w:val="14"/>
                <w:color w:val="auto"/>
              </w:rPr>
            </w:pPr>
          </w:p>
        </w:tc>
        <w:tc>
          <w:tcPr>
            <w:tcW w:w="1440" w:type="dxa"/>
            <w:vAlign w:val="bottom"/>
            <w:tcBorders>
              <w:bottom w:val="single" w:sz="8" w:color="auto"/>
            </w:tcBorders>
            <w:gridSpan w:val="2"/>
            <w:shd w:val="clear" w:color="auto" w:fill="CFF0FC"/>
          </w:tcPr>
          <w:p>
            <w:pPr>
              <w:jc w:val="right"/>
              <w:ind w:right="8"/>
              <w:spacing w:after="0"/>
              <w:rPr>
                <w:sz w:val="20"/>
                <w:szCs w:val="20"/>
                <w:color w:val="auto"/>
              </w:rPr>
            </w:pPr>
            <w:r>
              <w:rPr>
                <w:rFonts w:ascii="Arial" w:cs="Arial" w:eastAsia="Arial" w:hAnsi="Arial"/>
                <w:sz w:val="14"/>
                <w:szCs w:val="14"/>
                <w:color w:val="auto"/>
              </w:rPr>
              <w:t>2,152.7</w:t>
            </w:r>
          </w:p>
        </w:tc>
        <w:tc>
          <w:tcPr>
            <w:tcW w:w="1080" w:type="dxa"/>
            <w:vAlign w:val="bottom"/>
            <w:tcBorders>
              <w:bottom w:val="single" w:sz="8" w:color="auto"/>
            </w:tcBorders>
            <w:shd w:val="clear" w:color="auto" w:fill="CFF0FC"/>
          </w:tcPr>
          <w:p>
            <w:pPr>
              <w:spacing w:after="0"/>
              <w:rPr>
                <w:sz w:val="14"/>
                <w:szCs w:val="14"/>
                <w:color w:val="auto"/>
              </w:rPr>
            </w:pPr>
          </w:p>
        </w:tc>
        <w:tc>
          <w:tcPr>
            <w:tcW w:w="500" w:type="dxa"/>
            <w:vAlign w:val="bottom"/>
            <w:tcBorders>
              <w:bottom w:val="single" w:sz="8" w:color="auto"/>
            </w:tcBorders>
            <w:shd w:val="clear" w:color="auto" w:fill="CFF0FC"/>
          </w:tcPr>
          <w:p>
            <w:pPr>
              <w:jc w:val="right"/>
              <w:ind w:right="88"/>
              <w:spacing w:after="0"/>
              <w:rPr>
                <w:sz w:val="20"/>
                <w:szCs w:val="20"/>
                <w:color w:val="auto"/>
              </w:rPr>
            </w:pPr>
            <w:r>
              <w:rPr>
                <w:rFonts w:ascii="Arial" w:cs="Arial" w:eastAsia="Arial" w:hAnsi="Arial"/>
                <w:sz w:val="14"/>
                <w:szCs w:val="14"/>
                <w:color w:val="auto"/>
              </w:rPr>
              <w:t>41.2</w:t>
            </w:r>
          </w:p>
        </w:tc>
        <w:tc>
          <w:tcPr>
            <w:tcW w:w="820" w:type="dxa"/>
            <w:vAlign w:val="bottom"/>
            <w:tcBorders>
              <w:bottom w:val="single" w:sz="8" w:color="auto"/>
            </w:tcBorders>
            <w:shd w:val="clear" w:color="auto" w:fill="CFF0FC"/>
          </w:tcPr>
          <w:p>
            <w:pPr>
              <w:spacing w:after="0"/>
              <w:rPr>
                <w:sz w:val="14"/>
                <w:szCs w:val="14"/>
                <w:color w:val="auto"/>
              </w:rPr>
            </w:pPr>
          </w:p>
        </w:tc>
        <w:tc>
          <w:tcPr>
            <w:tcW w:w="560" w:type="dxa"/>
            <w:vAlign w:val="bottom"/>
            <w:tcBorders>
              <w:bottom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w w:val="98"/>
              </w:rPr>
              <w:t>2,193.9</w:t>
            </w:r>
          </w:p>
        </w:tc>
        <w:tc>
          <w:tcPr>
            <w:tcW w:w="100" w:type="dxa"/>
            <w:vAlign w:val="bottom"/>
            <w:tcBorders>
              <w:bottom w:val="single" w:sz="8" w:color="CFF0FC"/>
            </w:tcBorders>
            <w:shd w:val="clear" w:color="auto" w:fill="CFF0FC"/>
          </w:tcPr>
          <w:p>
            <w:pPr>
              <w:spacing w:after="0"/>
              <w:rPr>
                <w:sz w:val="14"/>
                <w:szCs w:val="14"/>
                <w:color w:val="auto"/>
              </w:rPr>
            </w:pPr>
          </w:p>
        </w:tc>
        <w:tc>
          <w:tcPr>
            <w:tcW w:w="220" w:type="dxa"/>
            <w:vAlign w:val="bottom"/>
            <w:tcBorders>
              <w:bottom w:val="single" w:sz="8" w:color="auto"/>
            </w:tcBorders>
            <w:shd w:val="clear" w:color="auto" w:fill="CFF0FC"/>
          </w:tcPr>
          <w:p>
            <w:pPr>
              <w:spacing w:after="0"/>
              <w:rPr>
                <w:sz w:val="14"/>
                <w:szCs w:val="14"/>
                <w:color w:val="auto"/>
              </w:rPr>
            </w:pPr>
          </w:p>
        </w:tc>
        <w:tc>
          <w:tcPr>
            <w:tcW w:w="1180" w:type="dxa"/>
            <w:vAlign w:val="bottom"/>
            <w:tcBorders>
              <w:bottom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rPr>
              <w:t>2,129.3</w:t>
            </w:r>
          </w:p>
        </w:tc>
        <w:tc>
          <w:tcPr>
            <w:tcW w:w="280" w:type="dxa"/>
            <w:vAlign w:val="bottom"/>
            <w:tcBorders>
              <w:bottom w:val="single" w:sz="8" w:color="auto"/>
            </w:tcBorders>
            <w:shd w:val="clear" w:color="auto" w:fill="CFF0FC"/>
          </w:tcPr>
          <w:p>
            <w:pPr>
              <w:spacing w:after="0"/>
              <w:rPr>
                <w:sz w:val="14"/>
                <w:szCs w:val="14"/>
                <w:color w:val="auto"/>
              </w:rPr>
            </w:pPr>
          </w:p>
        </w:tc>
        <w:tc>
          <w:tcPr>
            <w:tcW w:w="1200" w:type="dxa"/>
            <w:vAlign w:val="bottom"/>
            <w:tcBorders>
              <w:bottom w:val="single" w:sz="8" w:color="auto"/>
            </w:tcBorders>
            <w:shd w:val="clear" w:color="auto" w:fill="CFF0FC"/>
          </w:tcPr>
          <w:p>
            <w:pPr>
              <w:jc w:val="right"/>
              <w:ind w:right="68"/>
              <w:spacing w:after="0"/>
              <w:rPr>
                <w:sz w:val="20"/>
                <w:szCs w:val="20"/>
                <w:color w:val="auto"/>
              </w:rPr>
            </w:pPr>
            <w:r>
              <w:rPr>
                <w:rFonts w:ascii="Arial" w:cs="Arial" w:eastAsia="Arial" w:hAnsi="Arial"/>
                <w:sz w:val="14"/>
                <w:szCs w:val="14"/>
                <w:color w:val="auto"/>
              </w:rPr>
              <w:t>31.0</w:t>
            </w:r>
          </w:p>
        </w:tc>
        <w:tc>
          <w:tcPr>
            <w:tcW w:w="280" w:type="dxa"/>
            <w:vAlign w:val="bottom"/>
            <w:tcBorders>
              <w:bottom w:val="single" w:sz="8" w:color="auto"/>
            </w:tcBorders>
            <w:shd w:val="clear" w:color="auto" w:fill="CFF0FC"/>
          </w:tcPr>
          <w:p>
            <w:pPr>
              <w:spacing w:after="0"/>
              <w:rPr>
                <w:sz w:val="14"/>
                <w:szCs w:val="14"/>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2,160.3</w:t>
            </w:r>
          </w:p>
        </w:tc>
      </w:tr>
      <w:tr>
        <w:trPr>
          <w:trHeight w:val="169"/>
        </w:trPr>
        <w:tc>
          <w:tcPr>
            <w:tcW w:w="2540" w:type="dxa"/>
            <w:vAlign w:val="bottom"/>
          </w:tcPr>
          <w:p>
            <w:pPr>
              <w:ind w:left="20"/>
              <w:spacing w:after="0"/>
              <w:rPr>
                <w:sz w:val="20"/>
                <w:szCs w:val="20"/>
                <w:color w:val="auto"/>
              </w:rPr>
            </w:pPr>
            <w:r>
              <w:rPr>
                <w:rFonts w:ascii="Arial" w:cs="Arial" w:eastAsia="Arial" w:hAnsi="Arial"/>
                <w:sz w:val="14"/>
                <w:szCs w:val="14"/>
                <w:color w:val="auto"/>
              </w:rPr>
              <w:t>Northern Europe</w:t>
            </w:r>
          </w:p>
        </w:tc>
        <w:tc>
          <w:tcPr>
            <w:tcW w:w="1440" w:type="dxa"/>
            <w:vAlign w:val="bottom"/>
            <w:gridSpan w:val="2"/>
          </w:tcPr>
          <w:p>
            <w:pPr>
              <w:jc w:val="right"/>
              <w:ind w:right="8"/>
              <w:spacing w:after="0"/>
              <w:rPr>
                <w:sz w:val="20"/>
                <w:szCs w:val="20"/>
                <w:color w:val="auto"/>
              </w:rPr>
            </w:pPr>
            <w:r>
              <w:rPr>
                <w:rFonts w:ascii="Arial" w:cs="Arial" w:eastAsia="Arial" w:hAnsi="Arial"/>
                <w:sz w:val="14"/>
                <w:szCs w:val="14"/>
                <w:color w:val="auto"/>
              </w:rPr>
              <w:t>1,057.2</w:t>
            </w:r>
          </w:p>
        </w:tc>
        <w:tc>
          <w:tcPr>
            <w:tcW w:w="1080" w:type="dxa"/>
            <w:vAlign w:val="bottom"/>
          </w:tcPr>
          <w:p>
            <w:pPr>
              <w:spacing w:after="0"/>
              <w:rPr>
                <w:sz w:val="14"/>
                <w:szCs w:val="14"/>
                <w:color w:val="auto"/>
              </w:rPr>
            </w:pPr>
          </w:p>
        </w:tc>
        <w:tc>
          <w:tcPr>
            <w:tcW w:w="500" w:type="dxa"/>
            <w:vAlign w:val="bottom"/>
          </w:tcPr>
          <w:p>
            <w:pPr>
              <w:jc w:val="right"/>
              <w:ind w:right="88"/>
              <w:spacing w:after="0"/>
              <w:rPr>
                <w:sz w:val="20"/>
                <w:szCs w:val="20"/>
                <w:color w:val="auto"/>
              </w:rPr>
            </w:pPr>
            <w:r>
              <w:rPr>
                <w:rFonts w:ascii="Arial" w:cs="Arial" w:eastAsia="Arial" w:hAnsi="Arial"/>
                <w:sz w:val="14"/>
                <w:szCs w:val="14"/>
                <w:color w:val="auto"/>
              </w:rPr>
              <w:t>37.3</w:t>
            </w:r>
          </w:p>
        </w:tc>
        <w:tc>
          <w:tcPr>
            <w:tcW w:w="820" w:type="dxa"/>
            <w:vAlign w:val="bottom"/>
          </w:tcPr>
          <w:p>
            <w:pPr>
              <w:spacing w:after="0"/>
              <w:rPr>
                <w:sz w:val="14"/>
                <w:szCs w:val="14"/>
                <w:color w:val="auto"/>
              </w:rPr>
            </w:pPr>
          </w:p>
        </w:tc>
        <w:tc>
          <w:tcPr>
            <w:tcW w:w="560" w:type="dxa"/>
            <w:vAlign w:val="bottom"/>
          </w:tcPr>
          <w:p>
            <w:pPr>
              <w:jc w:val="right"/>
              <w:ind w:right="8"/>
              <w:spacing w:after="0"/>
              <w:rPr>
                <w:sz w:val="20"/>
                <w:szCs w:val="20"/>
                <w:color w:val="auto"/>
              </w:rPr>
            </w:pPr>
            <w:r>
              <w:rPr>
                <w:rFonts w:ascii="Arial" w:cs="Arial" w:eastAsia="Arial" w:hAnsi="Arial"/>
                <w:sz w:val="14"/>
                <w:szCs w:val="14"/>
                <w:color w:val="auto"/>
                <w:w w:val="98"/>
              </w:rPr>
              <w:t>1,094.5</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tcPr>
          <w:p>
            <w:pPr>
              <w:jc w:val="right"/>
              <w:ind w:right="8"/>
              <w:spacing w:after="0"/>
              <w:rPr>
                <w:sz w:val="20"/>
                <w:szCs w:val="20"/>
                <w:color w:val="auto"/>
              </w:rPr>
            </w:pPr>
            <w:r>
              <w:rPr>
                <w:rFonts w:ascii="Arial" w:cs="Arial" w:eastAsia="Arial" w:hAnsi="Arial"/>
                <w:sz w:val="14"/>
                <w:szCs w:val="14"/>
                <w:color w:val="auto"/>
              </w:rPr>
              <w:t>1,107.8</w:t>
            </w:r>
          </w:p>
        </w:tc>
        <w:tc>
          <w:tcPr>
            <w:tcW w:w="280" w:type="dxa"/>
            <w:vAlign w:val="bottom"/>
          </w:tcPr>
          <w:p>
            <w:pPr>
              <w:spacing w:after="0"/>
              <w:rPr>
                <w:sz w:val="14"/>
                <w:szCs w:val="14"/>
                <w:color w:val="auto"/>
              </w:rPr>
            </w:pPr>
          </w:p>
        </w:tc>
        <w:tc>
          <w:tcPr>
            <w:tcW w:w="1200" w:type="dxa"/>
            <w:vAlign w:val="bottom"/>
          </w:tcPr>
          <w:p>
            <w:pPr>
              <w:jc w:val="right"/>
              <w:ind w:right="68"/>
              <w:spacing w:after="0"/>
              <w:rPr>
                <w:sz w:val="20"/>
                <w:szCs w:val="20"/>
                <w:color w:val="auto"/>
              </w:rPr>
            </w:pPr>
            <w:r>
              <w:rPr>
                <w:rFonts w:ascii="Arial" w:cs="Arial" w:eastAsia="Arial" w:hAnsi="Arial"/>
                <w:sz w:val="14"/>
                <w:szCs w:val="14"/>
                <w:color w:val="auto"/>
              </w:rPr>
              <w:t>26.0</w:t>
            </w:r>
          </w:p>
        </w:tc>
        <w:tc>
          <w:tcPr>
            <w:tcW w:w="2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1,133.8</w:t>
            </w:r>
          </w:p>
        </w:tc>
      </w:tr>
      <w:tr>
        <w:trPr>
          <w:trHeight w:val="175"/>
        </w:trPr>
        <w:tc>
          <w:tcPr>
            <w:tcW w:w="25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APME</w:t>
            </w:r>
          </w:p>
        </w:tc>
        <w:tc>
          <w:tcPr>
            <w:tcW w:w="1020" w:type="dxa"/>
            <w:vAlign w:val="bottom"/>
            <w:tcBorders>
              <w:bottom w:val="single" w:sz="8" w:color="auto"/>
            </w:tcBorders>
            <w:shd w:val="clear" w:color="auto" w:fill="CFF0FC"/>
          </w:tcPr>
          <w:p>
            <w:pPr>
              <w:spacing w:after="0"/>
              <w:rPr>
                <w:sz w:val="15"/>
                <w:szCs w:val="15"/>
                <w:color w:val="auto"/>
              </w:rPr>
            </w:pPr>
          </w:p>
        </w:tc>
        <w:tc>
          <w:tcPr>
            <w:tcW w:w="420" w:type="dxa"/>
            <w:vAlign w:val="bottom"/>
            <w:tcBorders>
              <w:bottom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w w:val="91"/>
              </w:rPr>
              <w:t>597.1</w:t>
            </w:r>
          </w:p>
        </w:tc>
        <w:tc>
          <w:tcPr>
            <w:tcW w:w="1080" w:type="dxa"/>
            <w:vAlign w:val="bottom"/>
            <w:tcBorders>
              <w:bottom w:val="single" w:sz="8" w:color="auto"/>
            </w:tcBorders>
            <w:shd w:val="clear" w:color="auto" w:fill="CFF0FC"/>
          </w:tcPr>
          <w:p>
            <w:pPr>
              <w:spacing w:after="0"/>
              <w:rPr>
                <w:sz w:val="15"/>
                <w:szCs w:val="15"/>
                <w:color w:val="auto"/>
              </w:rPr>
            </w:pPr>
          </w:p>
        </w:tc>
        <w:tc>
          <w:tcPr>
            <w:tcW w:w="500" w:type="dxa"/>
            <w:vAlign w:val="bottom"/>
            <w:tcBorders>
              <w:bottom w:val="single" w:sz="8" w:color="auto"/>
            </w:tcBorders>
            <w:shd w:val="clear" w:color="auto" w:fill="CFF0FC"/>
          </w:tcPr>
          <w:p>
            <w:pPr>
              <w:jc w:val="right"/>
              <w:ind w:right="88"/>
              <w:spacing w:after="0"/>
              <w:rPr>
                <w:sz w:val="20"/>
                <w:szCs w:val="20"/>
                <w:color w:val="auto"/>
              </w:rPr>
            </w:pPr>
            <w:r>
              <w:rPr>
                <w:rFonts w:ascii="Arial" w:cs="Arial" w:eastAsia="Arial" w:hAnsi="Arial"/>
                <w:sz w:val="14"/>
                <w:szCs w:val="14"/>
                <w:color w:val="auto"/>
              </w:rPr>
              <w:t>21.1</w:t>
            </w:r>
          </w:p>
        </w:tc>
        <w:tc>
          <w:tcPr>
            <w:tcW w:w="820" w:type="dxa"/>
            <w:vAlign w:val="bottom"/>
            <w:tcBorders>
              <w:bottom w:val="single" w:sz="8" w:color="auto"/>
            </w:tcBorders>
            <w:shd w:val="clear" w:color="auto" w:fill="CFF0FC"/>
          </w:tcPr>
          <w:p>
            <w:pPr>
              <w:spacing w:after="0"/>
              <w:rPr>
                <w:sz w:val="15"/>
                <w:szCs w:val="15"/>
                <w:color w:val="auto"/>
              </w:rPr>
            </w:pPr>
          </w:p>
        </w:tc>
        <w:tc>
          <w:tcPr>
            <w:tcW w:w="560" w:type="dxa"/>
            <w:vAlign w:val="bottom"/>
            <w:tcBorders>
              <w:bottom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rPr>
              <w:t>618.2</w:t>
            </w:r>
          </w:p>
        </w:tc>
        <w:tc>
          <w:tcPr>
            <w:tcW w:w="10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auto"/>
            </w:tcBorders>
            <w:shd w:val="clear" w:color="auto" w:fill="CFF0FC"/>
          </w:tcPr>
          <w:p>
            <w:pPr>
              <w:spacing w:after="0"/>
              <w:rPr>
                <w:sz w:val="15"/>
                <w:szCs w:val="15"/>
                <w:color w:val="auto"/>
              </w:rPr>
            </w:pPr>
          </w:p>
        </w:tc>
        <w:tc>
          <w:tcPr>
            <w:tcW w:w="1180" w:type="dxa"/>
            <w:vAlign w:val="bottom"/>
            <w:tcBorders>
              <w:bottom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rPr>
              <w:t>607.9</w:t>
            </w:r>
          </w:p>
        </w:tc>
        <w:tc>
          <w:tcPr>
            <w:tcW w:w="280" w:type="dxa"/>
            <w:vAlign w:val="bottom"/>
            <w:tcBorders>
              <w:bottom w:val="single" w:sz="8" w:color="auto"/>
            </w:tcBorders>
            <w:shd w:val="clear" w:color="auto" w:fill="CFF0FC"/>
          </w:tcPr>
          <w:p>
            <w:pPr>
              <w:spacing w:after="0"/>
              <w:rPr>
                <w:sz w:val="15"/>
                <w:szCs w:val="15"/>
                <w:color w:val="auto"/>
              </w:rPr>
            </w:pPr>
          </w:p>
        </w:tc>
        <w:tc>
          <w:tcPr>
            <w:tcW w:w="1200" w:type="dxa"/>
            <w:vAlign w:val="bottom"/>
            <w:tcBorders>
              <w:bottom w:val="single" w:sz="8" w:color="auto"/>
            </w:tcBorders>
            <w:shd w:val="clear" w:color="auto" w:fill="CFF0FC"/>
          </w:tcPr>
          <w:p>
            <w:pPr>
              <w:jc w:val="right"/>
              <w:ind w:right="68"/>
              <w:spacing w:after="0"/>
              <w:rPr>
                <w:sz w:val="20"/>
                <w:szCs w:val="20"/>
                <w:color w:val="auto"/>
              </w:rPr>
            </w:pPr>
            <w:r>
              <w:rPr>
                <w:rFonts w:ascii="Arial" w:cs="Arial" w:eastAsia="Arial" w:hAnsi="Arial"/>
                <w:sz w:val="14"/>
                <w:szCs w:val="14"/>
                <w:color w:val="auto"/>
              </w:rPr>
              <w:t>19.5</w:t>
            </w:r>
          </w:p>
        </w:tc>
        <w:tc>
          <w:tcPr>
            <w:tcW w:w="280" w:type="dxa"/>
            <w:vAlign w:val="bottom"/>
            <w:tcBorders>
              <w:bottom w:val="single" w:sz="8" w:color="auto"/>
            </w:tcBorders>
            <w:shd w:val="clear" w:color="auto" w:fill="CFF0FC"/>
          </w:tcPr>
          <w:p>
            <w:pPr>
              <w:spacing w:after="0"/>
              <w:rPr>
                <w:sz w:val="15"/>
                <w:szCs w:val="15"/>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627.4</w:t>
            </w:r>
          </w:p>
        </w:tc>
      </w:tr>
      <w:tr>
        <w:trPr>
          <w:trHeight w:val="169"/>
        </w:trPr>
        <w:tc>
          <w:tcPr>
            <w:tcW w:w="2540" w:type="dxa"/>
            <w:vAlign w:val="bottom"/>
          </w:tcPr>
          <w:p>
            <w:pPr>
              <w:spacing w:after="0"/>
              <w:rPr>
                <w:sz w:val="14"/>
                <w:szCs w:val="14"/>
                <w:color w:val="auto"/>
              </w:rPr>
            </w:pPr>
          </w:p>
        </w:tc>
        <w:tc>
          <w:tcPr>
            <w:tcW w:w="1440" w:type="dxa"/>
            <w:vAlign w:val="bottom"/>
            <w:tcBorders>
              <w:bottom w:val="single" w:sz="8" w:color="auto"/>
            </w:tcBorders>
            <w:gridSpan w:val="2"/>
          </w:tcPr>
          <w:p>
            <w:pPr>
              <w:jc w:val="right"/>
              <w:ind w:right="8"/>
              <w:spacing w:after="0"/>
              <w:rPr>
                <w:sz w:val="20"/>
                <w:szCs w:val="20"/>
                <w:color w:val="auto"/>
              </w:rPr>
            </w:pPr>
            <w:r>
              <w:rPr>
                <w:rFonts w:ascii="Arial" w:cs="Arial" w:eastAsia="Arial" w:hAnsi="Arial"/>
                <w:sz w:val="14"/>
                <w:szCs w:val="14"/>
                <w:color w:val="auto"/>
              </w:rPr>
              <w:t>5,020.8</w:t>
            </w:r>
          </w:p>
        </w:tc>
        <w:tc>
          <w:tcPr>
            <w:tcW w:w="10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w w:val="91"/>
              </w:rPr>
              <w:t>137.0</w:t>
            </w:r>
          </w:p>
        </w:tc>
        <w:tc>
          <w:tcPr>
            <w:tcW w:w="8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w w:val="98"/>
              </w:rPr>
              <w:t>5,157.8</w:t>
            </w:r>
          </w:p>
        </w:tc>
        <w:tc>
          <w:tcPr>
            <w:tcW w:w="1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4,829.9</w:t>
            </w:r>
          </w:p>
        </w:tc>
        <w:tc>
          <w:tcPr>
            <w:tcW w:w="2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94.5</w:t>
            </w:r>
          </w:p>
        </w:tc>
        <w:tc>
          <w:tcPr>
            <w:tcW w:w="2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4,924.4</w:t>
            </w:r>
          </w:p>
        </w:tc>
      </w:tr>
      <w:tr>
        <w:trPr>
          <w:trHeight w:val="169"/>
        </w:trPr>
        <w:tc>
          <w:tcPr>
            <w:tcW w:w="25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Intercompany Eliminations</w:t>
            </w:r>
          </w:p>
        </w:tc>
        <w:tc>
          <w:tcPr>
            <w:tcW w:w="1020" w:type="dxa"/>
            <w:vAlign w:val="bottom"/>
            <w:tcBorders>
              <w:bottom w:val="single" w:sz="8" w:color="CFF0FC"/>
            </w:tcBorders>
            <w:shd w:val="clear" w:color="auto" w:fill="CFF0FC"/>
          </w:tcPr>
          <w:p>
            <w:pPr>
              <w:spacing w:after="0"/>
              <w:rPr>
                <w:sz w:val="14"/>
                <w:szCs w:val="14"/>
                <w:color w:val="auto"/>
              </w:rPr>
            </w:pPr>
          </w:p>
        </w:tc>
        <w:tc>
          <w:tcPr>
            <w:tcW w:w="420" w:type="dxa"/>
            <w:vAlign w:val="bottom"/>
            <w:tcBorders>
              <w:bottom w:val="single" w:sz="8" w:color="CFF0FC"/>
            </w:tcBorders>
            <w:shd w:val="clear" w:color="auto" w:fill="CFF0FC"/>
          </w:tcPr>
          <w:p>
            <w:pPr>
              <w:spacing w:after="0"/>
              <w:rPr>
                <w:sz w:val="14"/>
                <w:szCs w:val="14"/>
                <w:color w:val="auto"/>
              </w:rPr>
            </w:pPr>
          </w:p>
        </w:tc>
        <w:tc>
          <w:tcPr>
            <w:tcW w:w="1080" w:type="dxa"/>
            <w:vAlign w:val="bottom"/>
            <w:tcBorders>
              <w:bottom w:val="single" w:sz="8" w:color="CFF0FC"/>
            </w:tcBorders>
            <w:shd w:val="clear" w:color="auto" w:fill="CFF0FC"/>
          </w:tcPr>
          <w:p>
            <w:pPr>
              <w:spacing w:after="0"/>
              <w:rPr>
                <w:sz w:val="14"/>
                <w:szCs w:val="14"/>
                <w:color w:val="auto"/>
              </w:rPr>
            </w:pPr>
          </w:p>
        </w:tc>
        <w:tc>
          <w:tcPr>
            <w:tcW w:w="500" w:type="dxa"/>
            <w:vAlign w:val="bottom"/>
            <w:tcBorders>
              <w:bottom w:val="single" w:sz="8" w:color="CFF0FC"/>
            </w:tcBorders>
            <w:shd w:val="clear" w:color="auto" w:fill="CFF0FC"/>
          </w:tcPr>
          <w:p>
            <w:pPr>
              <w:spacing w:after="0"/>
              <w:rPr>
                <w:sz w:val="14"/>
                <w:szCs w:val="14"/>
                <w:color w:val="auto"/>
              </w:rPr>
            </w:pPr>
          </w:p>
        </w:tc>
        <w:tc>
          <w:tcPr>
            <w:tcW w:w="820" w:type="dxa"/>
            <w:vAlign w:val="bottom"/>
            <w:tcBorders>
              <w:bottom w:val="single" w:sz="8" w:color="auto"/>
            </w:tcBorders>
            <w:shd w:val="clear" w:color="auto" w:fill="CFF0FC"/>
          </w:tcPr>
          <w:p>
            <w:pPr>
              <w:spacing w:after="0"/>
              <w:rPr>
                <w:sz w:val="14"/>
                <w:szCs w:val="14"/>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(14.5 )</w:t>
            </w:r>
          </w:p>
        </w:tc>
        <w:tc>
          <w:tcPr>
            <w:tcW w:w="100" w:type="dxa"/>
            <w:vAlign w:val="bottom"/>
            <w:tcBorders>
              <w:bottom w:val="single" w:sz="8" w:color="CFF0FC"/>
            </w:tcBorders>
            <w:shd w:val="clear" w:color="auto" w:fill="CFF0FC"/>
          </w:tcPr>
          <w:p>
            <w:pPr>
              <w:spacing w:after="0"/>
              <w:rPr>
                <w:sz w:val="14"/>
                <w:szCs w:val="14"/>
                <w:color w:val="auto"/>
              </w:rPr>
            </w:pPr>
          </w:p>
        </w:tc>
        <w:tc>
          <w:tcPr>
            <w:tcW w:w="220" w:type="dxa"/>
            <w:vAlign w:val="bottom"/>
            <w:tcBorders>
              <w:bottom w:val="single" w:sz="8" w:color="CFF0FC"/>
            </w:tcBorders>
            <w:shd w:val="clear" w:color="auto" w:fill="CFF0FC"/>
          </w:tcPr>
          <w:p>
            <w:pPr>
              <w:spacing w:after="0"/>
              <w:rPr>
                <w:sz w:val="14"/>
                <w:szCs w:val="14"/>
                <w:color w:val="auto"/>
              </w:rPr>
            </w:pPr>
          </w:p>
        </w:tc>
        <w:tc>
          <w:tcPr>
            <w:tcW w:w="1180" w:type="dxa"/>
            <w:vAlign w:val="bottom"/>
            <w:tcBorders>
              <w:bottom w:val="single" w:sz="8" w:color="CFF0FC"/>
            </w:tcBorders>
            <w:shd w:val="clear" w:color="auto" w:fill="CFF0FC"/>
          </w:tcPr>
          <w:p>
            <w:pPr>
              <w:spacing w:after="0"/>
              <w:rPr>
                <w:sz w:val="14"/>
                <w:szCs w:val="14"/>
                <w:color w:val="auto"/>
              </w:rPr>
            </w:pPr>
          </w:p>
        </w:tc>
        <w:tc>
          <w:tcPr>
            <w:tcW w:w="280" w:type="dxa"/>
            <w:vAlign w:val="bottom"/>
            <w:tcBorders>
              <w:bottom w:val="single" w:sz="8" w:color="CFF0FC"/>
            </w:tcBorders>
            <w:shd w:val="clear" w:color="auto" w:fill="CFF0FC"/>
          </w:tcPr>
          <w:p>
            <w:pPr>
              <w:spacing w:after="0"/>
              <w:rPr>
                <w:sz w:val="14"/>
                <w:szCs w:val="14"/>
                <w:color w:val="auto"/>
              </w:rPr>
            </w:pPr>
          </w:p>
        </w:tc>
        <w:tc>
          <w:tcPr>
            <w:tcW w:w="1200" w:type="dxa"/>
            <w:vAlign w:val="bottom"/>
            <w:tcBorders>
              <w:bottom w:val="single" w:sz="8" w:color="CFF0FC"/>
            </w:tcBorders>
            <w:shd w:val="clear" w:color="auto" w:fill="CFF0FC"/>
          </w:tcPr>
          <w:p>
            <w:pPr>
              <w:spacing w:after="0"/>
              <w:rPr>
                <w:sz w:val="14"/>
                <w:szCs w:val="14"/>
                <w:color w:val="auto"/>
              </w:rPr>
            </w:pPr>
          </w:p>
        </w:tc>
        <w:tc>
          <w:tcPr>
            <w:tcW w:w="280" w:type="dxa"/>
            <w:vAlign w:val="bottom"/>
            <w:tcBorders>
              <w:bottom w:val="single" w:sz="8" w:color="auto"/>
            </w:tcBorders>
            <w:shd w:val="clear" w:color="auto" w:fill="CFF0FC"/>
          </w:tcPr>
          <w:p>
            <w:pPr>
              <w:spacing w:after="0"/>
              <w:rPr>
                <w:sz w:val="14"/>
                <w:szCs w:val="14"/>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r>
      <w:tr>
        <w:trPr>
          <w:trHeight w:val="169"/>
        </w:trPr>
        <w:tc>
          <w:tcPr>
            <w:tcW w:w="2540" w:type="dxa"/>
            <w:vAlign w:val="bottom"/>
          </w:tcPr>
          <w:p>
            <w:pPr>
              <w:ind w:left="20"/>
              <w:spacing w:after="0"/>
              <w:rPr>
                <w:sz w:val="20"/>
                <w:szCs w:val="20"/>
                <w:color w:val="auto"/>
              </w:rPr>
            </w:pPr>
            <w:r>
              <w:rPr>
                <w:rFonts w:ascii="Arial" w:cs="Arial" w:eastAsia="Arial" w:hAnsi="Arial"/>
                <w:sz w:val="14"/>
                <w:szCs w:val="14"/>
                <w:color w:val="auto"/>
              </w:rPr>
              <w:t>Total</w:t>
            </w:r>
          </w:p>
        </w:tc>
        <w:tc>
          <w:tcPr>
            <w:tcW w:w="10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20" w:type="dxa"/>
            <w:vAlign w:val="bottom"/>
            <w:tcBorders>
              <w:bottom w:val="single" w:sz="8" w:color="auto"/>
            </w:tcBorders>
          </w:tcPr>
          <w:p>
            <w:pPr>
              <w:jc w:val="right"/>
              <w:ind w:right="668"/>
              <w:spacing w:after="0"/>
              <w:rPr>
                <w:sz w:val="20"/>
                <w:szCs w:val="20"/>
                <w:color w:val="auto"/>
              </w:rPr>
            </w:pPr>
            <w:r>
              <w:rPr>
                <w:rFonts w:ascii="Arial" w:cs="Arial" w:eastAsia="Arial" w:hAnsi="Arial"/>
                <w:sz w:val="14"/>
                <w:szCs w:val="14"/>
                <w:color w:val="auto"/>
                <w:w w:val="76"/>
              </w:rPr>
              <w:t>$</w:t>
            </w:r>
          </w:p>
        </w:tc>
        <w:tc>
          <w:tcPr>
            <w:tcW w:w="5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w w:val="98"/>
              </w:rPr>
              <w:t>5,143.3</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4,924.4</w:t>
            </w:r>
          </w:p>
        </w:tc>
      </w:tr>
      <w:tr>
        <w:trPr>
          <w:trHeight w:val="20"/>
        </w:trPr>
        <w:tc>
          <w:tcPr>
            <w:tcW w:w="2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4411345</wp:posOffset>
            </wp:positionH>
            <wp:positionV relativeFrom="paragraph">
              <wp:posOffset>-1308100</wp:posOffset>
            </wp:positionV>
            <wp:extent cx="60325" cy="571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-613410</wp:posOffset>
            </wp:positionV>
            <wp:extent cx="60325" cy="571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-382270</wp:posOffset>
            </wp:positionV>
            <wp:extent cx="60325" cy="571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-142240</wp:posOffset>
            </wp:positionV>
            <wp:extent cx="60325" cy="571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0325" cy="5715"/>
                    </a:xfrm>
                    <a:prstGeom prst="rect">
                      <a:avLst/>
                    </a:prstGeom>
                    <a:noFill/>
                  </pic:spPr>
                </pic:pic>
              </a:graphicData>
            </a:graphic>
          </wp:anchor>
        </w:drawing>
      </w:r>
    </w:p>
    <w:p>
      <w:pPr>
        <w:spacing w:after="0" w:line="222" w:lineRule="exact"/>
        <w:rPr>
          <w:sz w:val="20"/>
          <w:szCs w:val="20"/>
          <w:color w:val="auto"/>
        </w:rPr>
      </w:pPr>
    </w:p>
    <w:p>
      <w:pPr>
        <w:ind w:left="260" w:hanging="252"/>
        <w:spacing w:after="0"/>
        <w:tabs>
          <w:tab w:leader="none" w:pos="260"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auto"/>
        </w:rPr>
        <w:t>Share-Based Compensation Plans</w:t>
      </w:r>
    </w:p>
    <w:p>
      <w:pPr>
        <w:spacing w:after="0" w:line="212" w:lineRule="exact"/>
        <w:rPr>
          <w:sz w:val="20"/>
          <w:szCs w:val="20"/>
          <w:color w:val="auto"/>
        </w:rPr>
      </w:pPr>
    </w:p>
    <w:p>
      <w:pPr>
        <w:ind w:right="160"/>
        <w:spacing w:after="0" w:line="290" w:lineRule="auto"/>
        <w:rPr>
          <w:sz w:val="20"/>
          <w:szCs w:val="20"/>
          <w:color w:val="auto"/>
        </w:rPr>
      </w:pPr>
      <w:r>
        <w:rPr>
          <w:rFonts w:ascii="Arial" w:cs="Arial" w:eastAsia="Arial" w:hAnsi="Arial"/>
          <w:sz w:val="18"/>
          <w:szCs w:val="18"/>
          <w:color w:val="auto"/>
        </w:rPr>
        <w:t>During the three months ended March 31, 2022 and 2021, we recognized share-based compensation expense of $10.6 and $7.5, respectively. The expense relates to stock options, deferred stock, restricted stock and performance share units. We recognize share-based compensation expense in selling and administrative expenses on a straight-line basis over the service period of each award. Consideration received from share-based awards was $0.3 and $1.7 for the three months ended March 31, 2022 and 2021, respectively.</w:t>
      </w:r>
    </w:p>
    <w:p>
      <w:pPr>
        <w:spacing w:after="0" w:line="161" w:lineRule="exact"/>
        <w:rPr>
          <w:sz w:val="20"/>
          <w:szCs w:val="20"/>
          <w:color w:val="auto"/>
        </w:rPr>
      </w:pPr>
    </w:p>
    <w:p>
      <w:pPr>
        <w:ind w:right="80"/>
        <w:spacing w:after="0" w:line="295" w:lineRule="auto"/>
        <w:rPr>
          <w:sz w:val="20"/>
          <w:szCs w:val="20"/>
          <w:color w:val="auto"/>
        </w:rPr>
      </w:pPr>
      <w:r>
        <w:rPr>
          <w:rFonts w:ascii="Arial" w:cs="Arial" w:eastAsia="Arial" w:hAnsi="Arial"/>
          <w:sz w:val="18"/>
          <w:szCs w:val="18"/>
          <w:color w:val="auto"/>
        </w:rPr>
        <w:t>Our annual grant of share-based compensation generally takes place during the first quarter of each fiscal year. The number of shares granted to employees and members of our Board of Directors, and the weighted-average fair value per share for shares granted during the first quarter of 2022 and 2021 are presented in the table below:</w:t>
      </w: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5800" w:type="dxa"/>
            <w:vAlign w:val="bottom"/>
          </w:tcPr>
          <w:p>
            <w:pPr>
              <w:spacing w:after="0"/>
              <w:rPr>
                <w:sz w:val="19"/>
                <w:szCs w:val="19"/>
                <w:color w:val="auto"/>
              </w:rPr>
            </w:pPr>
          </w:p>
        </w:tc>
        <w:tc>
          <w:tcPr>
            <w:tcW w:w="4320" w:type="dxa"/>
            <w:vAlign w:val="bottom"/>
            <w:tcBorders>
              <w:bottom w:val="single" w:sz="8" w:color="auto"/>
            </w:tcBorders>
            <w:gridSpan w:val="8"/>
          </w:tcPr>
          <w:p>
            <w:pPr>
              <w:jc w:val="right"/>
              <w:spacing w:after="0"/>
              <w:rPr>
                <w:sz w:val="20"/>
                <w:szCs w:val="20"/>
                <w:color w:val="auto"/>
              </w:rPr>
            </w:pPr>
            <w:r>
              <w:rPr>
                <w:rFonts w:ascii="Arial" w:cs="Arial" w:eastAsia="Arial" w:hAnsi="Arial"/>
                <w:sz w:val="18"/>
                <w:szCs w:val="18"/>
                <w:b w:val="1"/>
                <w:bCs w:val="1"/>
                <w:color w:val="auto"/>
              </w:rPr>
              <w:t>For the Three Months Ended March 31,</w:t>
            </w:r>
          </w:p>
        </w:tc>
        <w:tc>
          <w:tcPr>
            <w:tcW w:w="1120" w:type="dxa"/>
            <w:vAlign w:val="bottom"/>
            <w:tcBorders>
              <w:bottom w:val="single" w:sz="8" w:color="auto"/>
            </w:tcBorders>
          </w:tcPr>
          <w:p>
            <w:pPr>
              <w:spacing w:after="0"/>
              <w:rPr>
                <w:sz w:val="19"/>
                <w:szCs w:val="19"/>
                <w:color w:val="auto"/>
              </w:rPr>
            </w:pPr>
          </w:p>
        </w:tc>
      </w:tr>
      <w:tr>
        <w:trPr>
          <w:trHeight w:val="196"/>
        </w:trPr>
        <w:tc>
          <w:tcPr>
            <w:tcW w:w="5800" w:type="dxa"/>
            <w:vAlign w:val="bottom"/>
          </w:tcPr>
          <w:p>
            <w:pPr>
              <w:spacing w:after="0"/>
              <w:rPr>
                <w:sz w:val="17"/>
                <w:szCs w:val="17"/>
                <w:color w:val="auto"/>
              </w:rPr>
            </w:pPr>
          </w:p>
        </w:tc>
        <w:tc>
          <w:tcPr>
            <w:tcW w:w="1560" w:type="dxa"/>
            <w:vAlign w:val="bottom"/>
            <w:gridSpan w:val="3"/>
          </w:tcPr>
          <w:p>
            <w:pPr>
              <w:jc w:val="right"/>
              <w:ind w:right="60"/>
              <w:spacing w:after="0" w:line="196" w:lineRule="exact"/>
              <w:rPr>
                <w:sz w:val="20"/>
                <w:szCs w:val="20"/>
                <w:color w:val="auto"/>
              </w:rPr>
            </w:pPr>
            <w:r>
              <w:rPr>
                <w:rFonts w:ascii="Arial" w:cs="Arial" w:eastAsia="Arial" w:hAnsi="Arial"/>
                <w:sz w:val="18"/>
                <w:szCs w:val="18"/>
                <w:b w:val="1"/>
                <w:bCs w:val="1"/>
                <w:color w:val="auto"/>
              </w:rPr>
              <w:t>2022</w:t>
            </w:r>
          </w:p>
        </w:tc>
        <w:tc>
          <w:tcPr>
            <w:tcW w:w="1160" w:type="dxa"/>
            <w:vAlign w:val="bottom"/>
          </w:tcPr>
          <w:p>
            <w:pPr>
              <w:spacing w:after="0"/>
              <w:rPr>
                <w:sz w:val="17"/>
                <w:szCs w:val="17"/>
                <w:color w:val="auto"/>
              </w:rPr>
            </w:pPr>
          </w:p>
        </w:tc>
        <w:tc>
          <w:tcPr>
            <w:tcW w:w="1600" w:type="dxa"/>
            <w:vAlign w:val="bottom"/>
            <w:gridSpan w:val="4"/>
          </w:tcPr>
          <w:p>
            <w:pPr>
              <w:jc w:val="right"/>
              <w:spacing w:after="0" w:line="196" w:lineRule="exact"/>
              <w:rPr>
                <w:sz w:val="20"/>
                <w:szCs w:val="20"/>
                <w:color w:val="auto"/>
              </w:rPr>
            </w:pPr>
            <w:r>
              <w:rPr>
                <w:rFonts w:ascii="Arial" w:cs="Arial" w:eastAsia="Arial" w:hAnsi="Arial"/>
                <w:sz w:val="18"/>
                <w:szCs w:val="18"/>
                <w:b w:val="1"/>
                <w:bCs w:val="1"/>
                <w:color w:val="auto"/>
              </w:rPr>
              <w:t>2021</w:t>
            </w:r>
          </w:p>
        </w:tc>
        <w:tc>
          <w:tcPr>
            <w:tcW w:w="1120" w:type="dxa"/>
            <w:vAlign w:val="bottom"/>
          </w:tcPr>
          <w:p>
            <w:pPr>
              <w:spacing w:after="0"/>
              <w:rPr>
                <w:sz w:val="17"/>
                <w:szCs w:val="17"/>
                <w:color w:val="auto"/>
              </w:rPr>
            </w:pPr>
          </w:p>
        </w:tc>
      </w:tr>
      <w:tr>
        <w:trPr>
          <w:trHeight w:val="155"/>
        </w:trPr>
        <w:tc>
          <w:tcPr>
            <w:tcW w:w="5800" w:type="dxa"/>
            <w:vAlign w:val="bottom"/>
          </w:tcPr>
          <w:p>
            <w:pPr>
              <w:spacing w:after="0"/>
              <w:rPr>
                <w:sz w:val="13"/>
                <w:szCs w:val="13"/>
                <w:color w:val="auto"/>
              </w:rPr>
            </w:pPr>
          </w:p>
        </w:tc>
        <w:tc>
          <w:tcPr>
            <w:tcW w:w="1320" w:type="dxa"/>
            <w:vAlign w:val="bottom"/>
            <w:tcBorders>
              <w:top w:val="single" w:sz="8" w:color="auto"/>
            </w:tcBorders>
          </w:tcPr>
          <w:p>
            <w:pPr>
              <w:jc w:val="center"/>
              <w:spacing w:after="0" w:line="156" w:lineRule="exact"/>
              <w:rPr>
                <w:sz w:val="20"/>
                <w:szCs w:val="20"/>
                <w:color w:val="auto"/>
              </w:rPr>
            </w:pPr>
            <w:r>
              <w:rPr>
                <w:rFonts w:ascii="Arial" w:cs="Arial" w:eastAsia="Arial" w:hAnsi="Arial"/>
                <w:sz w:val="18"/>
                <w:szCs w:val="18"/>
                <w:b w:val="1"/>
                <w:bCs w:val="1"/>
                <w:color w:val="auto"/>
                <w:w w:val="86"/>
              </w:rPr>
              <w:t>Shares</w:t>
            </w:r>
          </w:p>
        </w:tc>
        <w:tc>
          <w:tcPr>
            <w:tcW w:w="8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tcPr>
          <w:p>
            <w:pPr>
              <w:ind w:left="80"/>
              <w:spacing w:after="0" w:line="156" w:lineRule="exact"/>
              <w:rPr>
                <w:sz w:val="20"/>
                <w:szCs w:val="20"/>
                <w:color w:val="auto"/>
              </w:rPr>
            </w:pPr>
            <w:r>
              <w:rPr>
                <w:rFonts w:ascii="Arial" w:cs="Arial" w:eastAsia="Arial" w:hAnsi="Arial"/>
                <w:sz w:val="18"/>
                <w:szCs w:val="18"/>
                <w:b w:val="1"/>
                <w:bCs w:val="1"/>
                <w:color w:val="auto"/>
              </w:rPr>
              <w:t>Wtd.-Avg.</w:t>
            </w:r>
          </w:p>
        </w:tc>
        <w:tc>
          <w:tcPr>
            <w:tcW w:w="80" w:type="dxa"/>
            <w:vAlign w:val="bottom"/>
          </w:tcPr>
          <w:p>
            <w:pPr>
              <w:spacing w:after="0"/>
              <w:rPr>
                <w:sz w:val="13"/>
                <w:szCs w:val="13"/>
                <w:color w:val="auto"/>
              </w:rPr>
            </w:pPr>
          </w:p>
        </w:tc>
        <w:tc>
          <w:tcPr>
            <w:tcW w:w="1280" w:type="dxa"/>
            <w:vAlign w:val="bottom"/>
            <w:tcBorders>
              <w:top w:val="single" w:sz="8" w:color="auto"/>
            </w:tcBorders>
          </w:tcPr>
          <w:p>
            <w:pPr>
              <w:jc w:val="center"/>
              <w:spacing w:after="0" w:line="156" w:lineRule="exact"/>
              <w:rPr>
                <w:sz w:val="20"/>
                <w:szCs w:val="20"/>
                <w:color w:val="auto"/>
              </w:rPr>
            </w:pPr>
            <w:r>
              <w:rPr>
                <w:rFonts w:ascii="Arial" w:cs="Arial" w:eastAsia="Arial" w:hAnsi="Arial"/>
                <w:sz w:val="18"/>
                <w:szCs w:val="18"/>
                <w:b w:val="1"/>
                <w:bCs w:val="1"/>
                <w:color w:val="auto"/>
                <w:w w:val="86"/>
              </w:rPr>
              <w:t>Shares</w:t>
            </w:r>
          </w:p>
        </w:tc>
        <w:tc>
          <w:tcPr>
            <w:tcW w:w="8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ind w:left="60"/>
              <w:spacing w:after="0" w:line="156" w:lineRule="exact"/>
              <w:rPr>
                <w:sz w:val="20"/>
                <w:szCs w:val="20"/>
                <w:color w:val="auto"/>
              </w:rPr>
            </w:pPr>
            <w:r>
              <w:rPr>
                <w:rFonts w:ascii="Arial" w:cs="Arial" w:eastAsia="Arial" w:hAnsi="Arial"/>
                <w:sz w:val="18"/>
                <w:szCs w:val="18"/>
                <w:b w:val="1"/>
                <w:bCs w:val="1"/>
                <w:color w:val="auto"/>
              </w:rPr>
              <w:t>Wtd.-Avg.</w:t>
            </w:r>
          </w:p>
        </w:tc>
      </w:tr>
      <w:tr>
        <w:trPr>
          <w:trHeight w:val="176"/>
        </w:trPr>
        <w:tc>
          <w:tcPr>
            <w:tcW w:w="5800" w:type="dxa"/>
            <w:vAlign w:val="bottom"/>
          </w:tcPr>
          <w:p>
            <w:pPr>
              <w:spacing w:after="0"/>
              <w:rPr>
                <w:sz w:val="15"/>
                <w:szCs w:val="15"/>
                <w:color w:val="auto"/>
              </w:rPr>
            </w:pPr>
          </w:p>
        </w:tc>
        <w:tc>
          <w:tcPr>
            <w:tcW w:w="132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5"/>
              </w:rPr>
              <w:t>Granted</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ind w:left="100"/>
              <w:spacing w:after="0" w:line="176" w:lineRule="exact"/>
              <w:rPr>
                <w:sz w:val="20"/>
                <w:szCs w:val="20"/>
                <w:color w:val="auto"/>
              </w:rPr>
            </w:pPr>
            <w:r>
              <w:rPr>
                <w:rFonts w:ascii="Arial" w:cs="Arial" w:eastAsia="Arial" w:hAnsi="Arial"/>
                <w:sz w:val="18"/>
                <w:szCs w:val="18"/>
                <w:b w:val="1"/>
                <w:bCs w:val="1"/>
                <w:color w:val="auto"/>
              </w:rPr>
              <w:t>Per Share</w:t>
            </w:r>
          </w:p>
        </w:tc>
        <w:tc>
          <w:tcPr>
            <w:tcW w:w="80" w:type="dxa"/>
            <w:vAlign w:val="bottom"/>
          </w:tcPr>
          <w:p>
            <w:pPr>
              <w:spacing w:after="0"/>
              <w:rPr>
                <w:sz w:val="15"/>
                <w:szCs w:val="15"/>
                <w:color w:val="auto"/>
              </w:rPr>
            </w:pPr>
          </w:p>
        </w:tc>
        <w:tc>
          <w:tcPr>
            <w:tcW w:w="128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2"/>
              </w:rPr>
              <w:t>Granted</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Pr>
          <w:p>
            <w:pPr>
              <w:ind w:left="80"/>
              <w:spacing w:after="0" w:line="176" w:lineRule="exact"/>
              <w:rPr>
                <w:sz w:val="20"/>
                <w:szCs w:val="20"/>
                <w:color w:val="auto"/>
              </w:rPr>
            </w:pPr>
            <w:r>
              <w:rPr>
                <w:rFonts w:ascii="Arial" w:cs="Arial" w:eastAsia="Arial" w:hAnsi="Arial"/>
                <w:sz w:val="18"/>
                <w:szCs w:val="18"/>
                <w:b w:val="1"/>
                <w:bCs w:val="1"/>
                <w:color w:val="auto"/>
              </w:rPr>
              <w:t>Per Share</w:t>
            </w:r>
          </w:p>
        </w:tc>
      </w:tr>
      <w:tr>
        <w:trPr>
          <w:trHeight w:val="216"/>
        </w:trPr>
        <w:tc>
          <w:tcPr>
            <w:tcW w:w="5800" w:type="dxa"/>
            <w:vAlign w:val="bottom"/>
          </w:tcPr>
          <w:p>
            <w:pPr>
              <w:spacing w:after="0"/>
              <w:rPr>
                <w:sz w:val="18"/>
                <w:szCs w:val="18"/>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(thousands)</w:t>
            </w: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rPr>
              <w:t>Fair Value</w:t>
            </w:r>
          </w:p>
        </w:tc>
        <w:tc>
          <w:tcPr>
            <w:tcW w:w="80" w:type="dxa"/>
            <w:vAlign w:val="bottom"/>
          </w:tcPr>
          <w:p>
            <w:pPr>
              <w:spacing w:after="0"/>
              <w:rPr>
                <w:sz w:val="18"/>
                <w:szCs w:val="18"/>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(thousands)</w:t>
            </w: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Fair Value</w:t>
            </w:r>
          </w:p>
        </w:tc>
      </w:tr>
      <w:tr>
        <w:trPr>
          <w:trHeight w:val="196"/>
        </w:trPr>
        <w:tc>
          <w:tcPr>
            <w:tcW w:w="580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Stock Options</w:t>
            </w:r>
          </w:p>
        </w:tc>
        <w:tc>
          <w:tcPr>
            <w:tcW w:w="13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N/A</w:t>
            </w:r>
          </w:p>
        </w:tc>
        <w:tc>
          <w:tcPr>
            <w:tcW w:w="80" w:type="dxa"/>
            <w:vAlign w:val="bottom"/>
            <w:shd w:val="clear" w:color="auto" w:fill="CFF0FC"/>
          </w:tcPr>
          <w:p>
            <w:pPr>
              <w:spacing w:after="0"/>
              <w:rPr>
                <w:sz w:val="17"/>
                <w:szCs w:val="17"/>
                <w:color w:val="auto"/>
              </w:rPr>
            </w:pPr>
          </w:p>
        </w:tc>
        <w:tc>
          <w:tcPr>
            <w:tcW w:w="12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130</w:t>
            </w: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22.83</w:t>
            </w:r>
          </w:p>
        </w:tc>
      </w:tr>
      <w:tr>
        <w:trPr>
          <w:trHeight w:val="203"/>
        </w:trPr>
        <w:tc>
          <w:tcPr>
            <w:tcW w:w="5800" w:type="dxa"/>
            <w:vAlign w:val="bottom"/>
          </w:tcPr>
          <w:p>
            <w:pPr>
              <w:ind w:left="20"/>
              <w:spacing w:after="0" w:line="202" w:lineRule="exact"/>
              <w:rPr>
                <w:sz w:val="20"/>
                <w:szCs w:val="20"/>
                <w:color w:val="auto"/>
              </w:rPr>
            </w:pPr>
            <w:r>
              <w:rPr>
                <w:rFonts w:ascii="Arial" w:cs="Arial" w:eastAsia="Arial" w:hAnsi="Arial"/>
                <w:sz w:val="18"/>
                <w:szCs w:val="18"/>
                <w:color w:val="auto"/>
              </w:rPr>
              <w:t>Deferred Stock Units</w:t>
            </w:r>
          </w:p>
        </w:tc>
        <w:tc>
          <w:tcPr>
            <w:tcW w:w="1320" w:type="dxa"/>
            <w:vAlign w:val="bottom"/>
          </w:tcPr>
          <w:p>
            <w:pPr>
              <w:jc w:val="right"/>
              <w:spacing w:after="0" w:line="202" w:lineRule="exact"/>
              <w:rPr>
                <w:sz w:val="20"/>
                <w:szCs w:val="20"/>
                <w:color w:val="auto"/>
              </w:rPr>
            </w:pPr>
            <w:r>
              <w:rPr>
                <w:rFonts w:ascii="Arial" w:cs="Arial" w:eastAsia="Arial" w:hAnsi="Arial"/>
                <w:sz w:val="18"/>
                <w:szCs w:val="18"/>
                <w:color w:val="auto"/>
              </w:rPr>
              <w:t>13</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97.33</w:t>
            </w:r>
          </w:p>
        </w:tc>
        <w:tc>
          <w:tcPr>
            <w:tcW w:w="13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12</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90.18</w:t>
            </w:r>
          </w:p>
        </w:tc>
      </w:tr>
      <w:tr>
        <w:trPr>
          <w:trHeight w:val="203"/>
        </w:trPr>
        <w:tc>
          <w:tcPr>
            <w:tcW w:w="58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Restricted Stock Units</w:t>
            </w:r>
          </w:p>
        </w:tc>
        <w:tc>
          <w:tcPr>
            <w:tcW w:w="13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245</w:t>
            </w: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104.50</w:t>
            </w:r>
          </w:p>
        </w:tc>
        <w:tc>
          <w:tcPr>
            <w:tcW w:w="136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197</w:t>
            </w: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85.66</w:t>
            </w:r>
          </w:p>
        </w:tc>
      </w:tr>
      <w:tr>
        <w:trPr>
          <w:trHeight w:val="203"/>
        </w:trPr>
        <w:tc>
          <w:tcPr>
            <w:tcW w:w="5800" w:type="dxa"/>
            <w:vAlign w:val="bottom"/>
          </w:tcPr>
          <w:p>
            <w:pPr>
              <w:ind w:left="20"/>
              <w:spacing w:after="0" w:line="202" w:lineRule="exact"/>
              <w:rPr>
                <w:sz w:val="20"/>
                <w:szCs w:val="20"/>
                <w:color w:val="auto"/>
              </w:rPr>
            </w:pPr>
            <w:r>
              <w:rPr>
                <w:rFonts w:ascii="Arial" w:cs="Arial" w:eastAsia="Arial" w:hAnsi="Arial"/>
                <w:sz w:val="18"/>
                <w:szCs w:val="18"/>
                <w:color w:val="auto"/>
              </w:rPr>
              <w:t>Performance Share Units</w:t>
            </w:r>
          </w:p>
        </w:tc>
        <w:tc>
          <w:tcPr>
            <w:tcW w:w="1320" w:type="dxa"/>
            <w:vAlign w:val="bottom"/>
          </w:tcPr>
          <w:p>
            <w:pPr>
              <w:jc w:val="right"/>
              <w:spacing w:after="0" w:line="202" w:lineRule="exact"/>
              <w:rPr>
                <w:sz w:val="20"/>
                <w:szCs w:val="20"/>
                <w:color w:val="auto"/>
              </w:rPr>
            </w:pPr>
            <w:r>
              <w:rPr>
                <w:rFonts w:ascii="Arial" w:cs="Arial" w:eastAsia="Arial" w:hAnsi="Arial"/>
                <w:sz w:val="18"/>
                <w:szCs w:val="18"/>
                <w:color w:val="auto"/>
              </w:rPr>
              <w:t>134</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106.40</w:t>
            </w:r>
          </w:p>
        </w:tc>
        <w:tc>
          <w:tcPr>
            <w:tcW w:w="13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203</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84.34</w:t>
            </w:r>
          </w:p>
        </w:tc>
      </w:tr>
      <w:tr>
        <w:trPr>
          <w:trHeight w:val="236"/>
        </w:trPr>
        <w:tc>
          <w:tcPr>
            <w:tcW w:w="5800" w:type="dxa"/>
            <w:vAlign w:val="bottom"/>
            <w:tcBorders>
              <w:bottom w:val="single" w:sz="8" w:color="CFF0FC"/>
            </w:tcBorders>
            <w:shd w:val="clear" w:color="auto" w:fill="CFF0FC"/>
          </w:tcPr>
          <w:p>
            <w:pPr>
              <w:ind w:left="200"/>
              <w:spacing w:after="0" w:line="182" w:lineRule="exact"/>
              <w:rPr>
                <w:sz w:val="20"/>
                <w:szCs w:val="20"/>
                <w:color w:val="auto"/>
              </w:rPr>
            </w:pPr>
            <w:r>
              <w:rPr>
                <w:rFonts w:ascii="Arial" w:cs="Arial" w:eastAsia="Arial" w:hAnsi="Arial"/>
                <w:sz w:val="18"/>
                <w:szCs w:val="18"/>
                <w:color w:val="auto"/>
              </w:rPr>
              <w:t>Total Shares Granted</w:t>
            </w:r>
          </w:p>
        </w:tc>
        <w:tc>
          <w:tcPr>
            <w:tcW w:w="132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392</w:t>
            </w:r>
          </w:p>
        </w:tc>
        <w:tc>
          <w:tcPr>
            <w:tcW w:w="240" w:type="dxa"/>
            <w:vAlign w:val="bottom"/>
            <w:tcBorders>
              <w:bottom w:val="single" w:sz="8" w:color="CFF0FC"/>
            </w:tcBorders>
            <w:gridSpan w:val="2"/>
            <w:shd w:val="clear" w:color="auto" w:fill="CFF0FC"/>
          </w:tcPr>
          <w:p>
            <w:pPr>
              <w:jc w:val="right"/>
              <w:ind w:right="60"/>
              <w:spacing w:after="0" w:line="182" w:lineRule="exact"/>
              <w:rPr>
                <w:sz w:val="20"/>
                <w:szCs w:val="20"/>
                <w:color w:val="auto"/>
              </w:rPr>
            </w:pPr>
            <w:r>
              <w:rPr>
                <w:rFonts w:ascii="Arial" w:cs="Arial" w:eastAsia="Arial" w:hAnsi="Arial"/>
                <w:sz w:val="18"/>
                <w:szCs w:val="18"/>
                <w:color w:val="auto"/>
              </w:rPr>
              <w:t>$</w:t>
            </w:r>
          </w:p>
        </w:tc>
        <w:tc>
          <w:tcPr>
            <w:tcW w:w="1160" w:type="dxa"/>
            <w:vAlign w:val="bottom"/>
            <w:tcBorders>
              <w:bottom w:val="single" w:sz="8" w:color="CFF0FC"/>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104.91</w:t>
            </w:r>
          </w:p>
        </w:tc>
        <w:tc>
          <w:tcPr>
            <w:tcW w:w="80" w:type="dxa"/>
            <w:vAlign w:val="bottom"/>
            <w:tcBorders>
              <w:bottom w:val="single" w:sz="8" w:color="CFF0FC"/>
            </w:tcBorders>
            <w:shd w:val="clear" w:color="auto" w:fill="CFF0FC"/>
          </w:tcPr>
          <w:p>
            <w:pPr>
              <w:spacing w:after="0"/>
              <w:rPr>
                <w:sz w:val="20"/>
                <w:szCs w:val="20"/>
                <w:color w:val="auto"/>
              </w:rPr>
            </w:pPr>
          </w:p>
        </w:tc>
        <w:tc>
          <w:tcPr>
            <w:tcW w:w="128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542</w:t>
            </w:r>
          </w:p>
        </w:tc>
        <w:tc>
          <w:tcPr>
            <w:tcW w:w="240" w:type="dxa"/>
            <w:vAlign w:val="bottom"/>
            <w:tcBorders>
              <w:bottom w:val="single" w:sz="8" w:color="CFF0FC"/>
            </w:tcBorders>
            <w:gridSpan w:val="2"/>
            <w:shd w:val="clear" w:color="auto" w:fill="CFF0FC"/>
          </w:tcPr>
          <w:p>
            <w:pPr>
              <w:jc w:val="right"/>
              <w:spacing w:after="0" w:line="182" w:lineRule="exact"/>
              <w:rPr>
                <w:sz w:val="20"/>
                <w:szCs w:val="20"/>
                <w:color w:val="auto"/>
              </w:rPr>
            </w:pPr>
            <w:r>
              <w:rPr>
                <w:rFonts w:ascii="Arial" w:cs="Arial" w:eastAsia="Arial" w:hAnsi="Arial"/>
                <w:sz w:val="18"/>
                <w:szCs w:val="18"/>
                <w:color w:val="auto"/>
              </w:rPr>
              <w:t>$</w:t>
            </w:r>
          </w:p>
        </w:tc>
        <w:tc>
          <w:tcPr>
            <w:tcW w:w="1120" w:type="dxa"/>
            <w:vAlign w:val="bottom"/>
            <w:tcBorders>
              <w:bottom w:val="single" w:sz="8" w:color="CFF0FC"/>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70.19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4522470</wp:posOffset>
            </wp:positionH>
            <wp:positionV relativeFrom="paragraph">
              <wp:posOffset>-24765</wp:posOffset>
            </wp:positionV>
            <wp:extent cx="5143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-8255</wp:posOffset>
            </wp:positionV>
            <wp:extent cx="5143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-24765</wp:posOffset>
            </wp:positionV>
            <wp:extent cx="4318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-8255</wp:posOffset>
            </wp:positionV>
            <wp:extent cx="4318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43180" cy="8890"/>
                    </a:xfrm>
                    <a:prstGeom prst="rect">
                      <a:avLst/>
                    </a:prstGeom>
                    <a:noFill/>
                  </pic:spPr>
                </pic:pic>
              </a:graphicData>
            </a:graphic>
          </wp:anchor>
        </w:drawing>
      </w:r>
    </w:p>
    <w:p>
      <w:pPr>
        <w:spacing w:after="0" w:line="168" w:lineRule="exact"/>
        <w:rPr>
          <w:sz w:val="20"/>
          <w:szCs w:val="20"/>
          <w:color w:val="auto"/>
        </w:rPr>
      </w:pPr>
    </w:p>
    <w:p>
      <w:pPr>
        <w:ind w:left="260" w:hanging="252"/>
        <w:spacing w:after="0"/>
        <w:tabs>
          <w:tab w:leader="none" w:pos="260" w:val="left"/>
        </w:tabs>
        <w:numPr>
          <w:ilvl w:val="0"/>
          <w:numId w:val="7"/>
        </w:numPr>
        <w:rPr>
          <w:rFonts w:ascii="Arial" w:cs="Arial" w:eastAsia="Arial" w:hAnsi="Arial"/>
          <w:sz w:val="18"/>
          <w:szCs w:val="18"/>
          <w:color w:val="auto"/>
        </w:rPr>
      </w:pPr>
      <w:r>
        <w:rPr>
          <w:rFonts w:ascii="Arial" w:cs="Arial" w:eastAsia="Arial" w:hAnsi="Arial"/>
          <w:sz w:val="18"/>
          <w:szCs w:val="18"/>
          <w:u w:val="single" w:color="auto"/>
          <w:color w:val="auto"/>
        </w:rPr>
        <w:t>Acquisitions and Dispositions</w:t>
      </w:r>
    </w:p>
    <w:p>
      <w:pPr>
        <w:spacing w:after="0" w:line="185" w:lineRule="exact"/>
        <w:rPr>
          <w:sz w:val="20"/>
          <w:szCs w:val="20"/>
          <w:color w:val="auto"/>
        </w:rPr>
      </w:pPr>
    </w:p>
    <w:p>
      <w:pPr>
        <w:ind w:right="40"/>
        <w:spacing w:after="0" w:line="347" w:lineRule="auto"/>
        <w:rPr>
          <w:sz w:val="20"/>
          <w:szCs w:val="20"/>
          <w:color w:val="auto"/>
        </w:rPr>
      </w:pPr>
      <w:r>
        <w:rPr>
          <w:rFonts w:ascii="Arial" w:cs="Arial" w:eastAsia="Arial" w:hAnsi="Arial"/>
          <w:sz w:val="16"/>
          <w:szCs w:val="16"/>
          <w:color w:val="auto"/>
        </w:rPr>
        <w:t>From time to time, we acquire and invest in companies throughout the world, including franchises. No cash consideration was paid during the three months ended March 31, 2022. For the three months ended March 31, 2021, the total cash consideration paid for acquisitions, net of cash acquired, was $12.9, which represents consideration payments for franchises in the United States and contingent consideration payments related to previous acquisitions.</w:t>
      </w:r>
    </w:p>
    <w:p>
      <w:pPr>
        <w:spacing w:after="0" w:line="120" w:lineRule="exact"/>
        <w:rPr>
          <w:sz w:val="20"/>
          <w:szCs w:val="20"/>
          <w:color w:val="auto"/>
        </w:rPr>
      </w:pPr>
    </w:p>
    <w:p>
      <w:pPr>
        <w:ind w:right="60"/>
        <w:spacing w:after="0" w:line="290" w:lineRule="auto"/>
        <w:rPr>
          <w:sz w:val="20"/>
          <w:szCs w:val="20"/>
          <w:color w:val="auto"/>
        </w:rPr>
      </w:pPr>
      <w:r>
        <w:rPr>
          <w:rFonts w:ascii="Arial" w:cs="Arial" w:eastAsia="Arial" w:hAnsi="Arial"/>
          <w:sz w:val="18"/>
          <w:szCs w:val="18"/>
          <w:color w:val="auto"/>
        </w:rPr>
        <w:t>Occasionally, we dispose of parts of our operations based on risk considerations and to optimize our global strategic and geographic footprint and overall efficiency. On January 17, 2022, we disposed of our Russia business in our Northern Europe segment for cash proceeds of $3.2 and simultaneously entered into a franchise agreement with the new owner of the Russia business. In connection with the disposition, we recognized a one-time net loss on disposition of $8.0.</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45085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0" w:right="339" w:bottom="1440" w:gutter="0" w:footer="0" w:header="0"/>
        </w:sectPr>
      </w:pPr>
    </w:p>
    <w:bookmarkStart w:id="11" w:name="page12"/>
    <w:bookmarkEnd w:id="11"/>
    <w:p>
      <w:pPr>
        <w:ind w:right="120"/>
        <w:spacing w:after="0" w:line="332" w:lineRule="auto"/>
        <w:rPr>
          <w:sz w:val="20"/>
          <w:szCs w:val="20"/>
          <w:color w:val="auto"/>
        </w:rPr>
      </w:pPr>
      <w:r>
        <w:rPr>
          <w:rFonts w:ascii="Arial" w:cs="Arial" w:eastAsia="Arial" w:hAnsi="Arial"/>
          <w:sz w:val="16"/>
          <w:szCs w:val="16"/>
          <w:color w:val="auto"/>
        </w:rPr>
        <w:t>On October 1, 2021, we acquired ettain group, one of the largest privately held IT resourcing and services providers in North America. Effective that date, ettain group became part of our Experis business in the Americas segment. The acquisition is intended to accelerate our strategy of diversifying our business mix into higher growth and higher value services. The aggregate cash consideration paid was $930.9. Of the total consideration paid, $925.0 was for the acquired interests and the remaining $5.9 was for excess working capital and cash. The transaction was funded through cash on hand and a $150.0 draw on our revolving credit facility on October 1, 2021. We expect to finalize the net working capital adjustments in the second half of 2022.</w:t>
      </w:r>
    </w:p>
    <w:p>
      <w:pPr>
        <w:spacing w:after="0" w:line="131" w:lineRule="exact"/>
        <w:rPr>
          <w:sz w:val="20"/>
          <w:szCs w:val="20"/>
          <w:color w:val="auto"/>
        </w:rPr>
      </w:pPr>
    </w:p>
    <w:p>
      <w:pPr>
        <w:ind w:right="440"/>
        <w:spacing w:after="0" w:line="377" w:lineRule="auto"/>
        <w:rPr>
          <w:sz w:val="20"/>
          <w:szCs w:val="20"/>
          <w:color w:val="auto"/>
        </w:rPr>
      </w:pPr>
      <w:r>
        <w:rPr>
          <w:rFonts w:ascii="Arial" w:cs="Arial" w:eastAsia="Arial" w:hAnsi="Arial"/>
          <w:sz w:val="16"/>
          <w:szCs w:val="16"/>
          <w:color w:val="auto"/>
        </w:rPr>
        <w:t>The acquisition was accounted for as a business combination, and the assets and liabilities were included in the Consolidated Balance Sheets as of the acquisition date and the results of its operations have been included in the Consolidated Statements of Operations subsequent to the acquisition date.</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preliminary fair value of the assets and liabilities as of the acquisition date of October 1, 2021:</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56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Cash and cash equivalents</w:t>
            </w:r>
          </w:p>
        </w:tc>
        <w:tc>
          <w:tcPr>
            <w:tcW w:w="1140" w:type="dxa"/>
            <w:vAlign w:val="bottom"/>
            <w:shd w:val="clear" w:color="auto" w:fill="CFF0FC"/>
          </w:tcPr>
          <w:p>
            <w:pPr>
              <w:jc w:val="right"/>
              <w:ind w:right="930"/>
              <w:spacing w:after="0"/>
              <w:rPr>
                <w:sz w:val="20"/>
                <w:szCs w:val="20"/>
                <w:color w:val="auto"/>
              </w:rPr>
            </w:pPr>
            <w:r>
              <w:rPr>
                <w:rFonts w:ascii="Arial" w:cs="Arial" w:eastAsia="Arial" w:hAnsi="Arial"/>
                <w:sz w:val="18"/>
                <w:szCs w:val="18"/>
                <w:color w:val="auto"/>
                <w:w w:val="99"/>
              </w:rPr>
              <w:t>$</w:t>
            </w:r>
          </w:p>
        </w:tc>
        <w:tc>
          <w:tcPr>
            <w:tcW w:w="15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14.6</w:t>
            </w:r>
          </w:p>
        </w:tc>
      </w:tr>
      <w:tr>
        <w:trPr>
          <w:trHeight w:val="203"/>
        </w:trPr>
        <w:tc>
          <w:tcPr>
            <w:tcW w:w="8560" w:type="dxa"/>
            <w:vAlign w:val="bottom"/>
          </w:tcPr>
          <w:p>
            <w:pPr>
              <w:ind w:left="20"/>
              <w:spacing w:after="0" w:line="202" w:lineRule="exact"/>
              <w:rPr>
                <w:sz w:val="20"/>
                <w:szCs w:val="20"/>
                <w:color w:val="auto"/>
              </w:rPr>
            </w:pPr>
            <w:r>
              <w:rPr>
                <w:rFonts w:ascii="Arial" w:cs="Arial" w:eastAsia="Arial" w:hAnsi="Arial"/>
                <w:sz w:val="18"/>
                <w:szCs w:val="18"/>
                <w:color w:val="auto"/>
              </w:rPr>
              <w:t>Accounts receivable</w:t>
            </w:r>
          </w:p>
        </w:tc>
        <w:tc>
          <w:tcPr>
            <w:tcW w:w="1140" w:type="dxa"/>
            <w:vAlign w:val="bottom"/>
          </w:tcPr>
          <w:p>
            <w:pPr>
              <w:spacing w:after="0"/>
              <w:rPr>
                <w:sz w:val="17"/>
                <w:szCs w:val="17"/>
                <w:color w:val="auto"/>
              </w:rPr>
            </w:pPr>
          </w:p>
        </w:tc>
        <w:tc>
          <w:tcPr>
            <w:tcW w:w="15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132.2</w:t>
            </w:r>
          </w:p>
        </w:tc>
      </w:tr>
      <w:tr>
        <w:trPr>
          <w:trHeight w:val="203"/>
        </w:trPr>
        <w:tc>
          <w:tcPr>
            <w:tcW w:w="85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Prepaid expenses and other assets</w:t>
            </w:r>
          </w:p>
        </w:tc>
        <w:tc>
          <w:tcPr>
            <w:tcW w:w="1140" w:type="dxa"/>
            <w:vAlign w:val="bottom"/>
            <w:shd w:val="clear" w:color="auto" w:fill="CFF0FC"/>
          </w:tcPr>
          <w:p>
            <w:pPr>
              <w:spacing w:after="0"/>
              <w:rPr>
                <w:sz w:val="17"/>
                <w:szCs w:val="17"/>
                <w:color w:val="auto"/>
              </w:rPr>
            </w:pPr>
          </w:p>
        </w:tc>
        <w:tc>
          <w:tcPr>
            <w:tcW w:w="1540" w:type="dxa"/>
            <w:vAlign w:val="bottom"/>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6.3</w:t>
            </w:r>
          </w:p>
        </w:tc>
      </w:tr>
      <w:tr>
        <w:trPr>
          <w:trHeight w:val="203"/>
        </w:trPr>
        <w:tc>
          <w:tcPr>
            <w:tcW w:w="8560" w:type="dxa"/>
            <w:vAlign w:val="bottom"/>
          </w:tcPr>
          <w:p>
            <w:pPr>
              <w:ind w:left="20"/>
              <w:spacing w:after="0" w:line="202" w:lineRule="exact"/>
              <w:rPr>
                <w:sz w:val="20"/>
                <w:szCs w:val="20"/>
                <w:color w:val="auto"/>
              </w:rPr>
            </w:pPr>
            <w:r>
              <w:rPr>
                <w:rFonts w:ascii="Arial" w:cs="Arial" w:eastAsia="Arial" w:hAnsi="Arial"/>
                <w:sz w:val="18"/>
                <w:szCs w:val="18"/>
                <w:color w:val="auto"/>
              </w:rPr>
              <w:t>Operating lease right-of-use asset</w:t>
            </w:r>
          </w:p>
        </w:tc>
        <w:tc>
          <w:tcPr>
            <w:tcW w:w="1140" w:type="dxa"/>
            <w:vAlign w:val="bottom"/>
          </w:tcPr>
          <w:p>
            <w:pPr>
              <w:spacing w:after="0"/>
              <w:rPr>
                <w:sz w:val="17"/>
                <w:szCs w:val="17"/>
                <w:color w:val="auto"/>
              </w:rPr>
            </w:pPr>
          </w:p>
        </w:tc>
        <w:tc>
          <w:tcPr>
            <w:tcW w:w="15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8.7</w:t>
            </w:r>
          </w:p>
        </w:tc>
      </w:tr>
      <w:tr>
        <w:trPr>
          <w:trHeight w:val="203"/>
        </w:trPr>
        <w:tc>
          <w:tcPr>
            <w:tcW w:w="85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Goodwill</w:t>
            </w:r>
          </w:p>
        </w:tc>
        <w:tc>
          <w:tcPr>
            <w:tcW w:w="1140" w:type="dxa"/>
            <w:vAlign w:val="bottom"/>
            <w:shd w:val="clear" w:color="auto" w:fill="CFF0FC"/>
          </w:tcPr>
          <w:p>
            <w:pPr>
              <w:spacing w:after="0"/>
              <w:rPr>
                <w:sz w:val="17"/>
                <w:szCs w:val="17"/>
                <w:color w:val="auto"/>
              </w:rPr>
            </w:pPr>
          </w:p>
        </w:tc>
        <w:tc>
          <w:tcPr>
            <w:tcW w:w="1540" w:type="dxa"/>
            <w:vAlign w:val="bottom"/>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519.6</w:t>
            </w:r>
          </w:p>
        </w:tc>
      </w:tr>
      <w:tr>
        <w:trPr>
          <w:trHeight w:val="203"/>
        </w:trPr>
        <w:tc>
          <w:tcPr>
            <w:tcW w:w="8560" w:type="dxa"/>
            <w:vAlign w:val="bottom"/>
          </w:tcPr>
          <w:p>
            <w:pPr>
              <w:ind w:left="20"/>
              <w:spacing w:after="0" w:line="202" w:lineRule="exact"/>
              <w:rPr>
                <w:sz w:val="20"/>
                <w:szCs w:val="20"/>
                <w:color w:val="auto"/>
              </w:rPr>
            </w:pPr>
            <w:r>
              <w:rPr>
                <w:rFonts w:ascii="Arial" w:cs="Arial" w:eastAsia="Arial" w:hAnsi="Arial"/>
                <w:sz w:val="18"/>
                <w:szCs w:val="18"/>
                <w:color w:val="auto"/>
              </w:rPr>
              <w:t>Intangible assets subject to amortization, customer relationship</w:t>
            </w:r>
          </w:p>
        </w:tc>
        <w:tc>
          <w:tcPr>
            <w:tcW w:w="1140" w:type="dxa"/>
            <w:vAlign w:val="bottom"/>
          </w:tcPr>
          <w:p>
            <w:pPr>
              <w:spacing w:after="0"/>
              <w:rPr>
                <w:sz w:val="17"/>
                <w:szCs w:val="17"/>
                <w:color w:val="auto"/>
              </w:rPr>
            </w:pPr>
          </w:p>
        </w:tc>
        <w:tc>
          <w:tcPr>
            <w:tcW w:w="15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360.0</w:t>
            </w:r>
          </w:p>
        </w:tc>
      </w:tr>
      <w:tr>
        <w:trPr>
          <w:trHeight w:val="203"/>
        </w:trPr>
        <w:tc>
          <w:tcPr>
            <w:tcW w:w="85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Accounts payable</w:t>
            </w:r>
          </w:p>
        </w:tc>
        <w:tc>
          <w:tcPr>
            <w:tcW w:w="1140" w:type="dxa"/>
            <w:vAlign w:val="bottom"/>
            <w:shd w:val="clear" w:color="auto" w:fill="CFF0FC"/>
          </w:tcPr>
          <w:p>
            <w:pPr>
              <w:spacing w:after="0"/>
              <w:rPr>
                <w:sz w:val="17"/>
                <w:szCs w:val="17"/>
                <w:color w:val="auto"/>
              </w:rPr>
            </w:pPr>
          </w:p>
        </w:tc>
        <w:tc>
          <w:tcPr>
            <w:tcW w:w="15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(40.5 )</w:t>
            </w:r>
          </w:p>
        </w:tc>
      </w:tr>
      <w:tr>
        <w:trPr>
          <w:trHeight w:val="203"/>
        </w:trPr>
        <w:tc>
          <w:tcPr>
            <w:tcW w:w="8560" w:type="dxa"/>
            <w:vAlign w:val="bottom"/>
          </w:tcPr>
          <w:p>
            <w:pPr>
              <w:ind w:left="20"/>
              <w:spacing w:after="0" w:line="202" w:lineRule="exact"/>
              <w:rPr>
                <w:sz w:val="20"/>
                <w:szCs w:val="20"/>
                <w:color w:val="auto"/>
              </w:rPr>
            </w:pPr>
            <w:r>
              <w:rPr>
                <w:rFonts w:ascii="Arial" w:cs="Arial" w:eastAsia="Arial" w:hAnsi="Arial"/>
                <w:sz w:val="18"/>
                <w:szCs w:val="18"/>
                <w:color w:val="auto"/>
              </w:rPr>
              <w:t>Employee compensation payable</w:t>
            </w:r>
          </w:p>
        </w:tc>
        <w:tc>
          <w:tcPr>
            <w:tcW w:w="1140" w:type="dxa"/>
            <w:vAlign w:val="bottom"/>
          </w:tcPr>
          <w:p>
            <w:pPr>
              <w:spacing w:after="0"/>
              <w:rPr>
                <w:sz w:val="17"/>
                <w:szCs w:val="17"/>
                <w:color w:val="auto"/>
              </w:rPr>
            </w:pPr>
          </w:p>
        </w:tc>
        <w:tc>
          <w:tcPr>
            <w:tcW w:w="1540" w:type="dxa"/>
            <w:vAlign w:val="bottom"/>
          </w:tcPr>
          <w:p>
            <w:pPr>
              <w:jc w:val="right"/>
              <w:spacing w:after="0" w:line="202" w:lineRule="exact"/>
              <w:rPr>
                <w:sz w:val="20"/>
                <w:szCs w:val="20"/>
                <w:color w:val="auto"/>
              </w:rPr>
            </w:pPr>
            <w:r>
              <w:rPr>
                <w:rFonts w:ascii="Arial" w:cs="Arial" w:eastAsia="Arial" w:hAnsi="Arial"/>
                <w:sz w:val="18"/>
                <w:szCs w:val="18"/>
                <w:color w:val="auto"/>
              </w:rPr>
              <w:t>(15.0 )</w:t>
            </w:r>
          </w:p>
        </w:tc>
      </w:tr>
      <w:tr>
        <w:trPr>
          <w:trHeight w:val="203"/>
        </w:trPr>
        <w:tc>
          <w:tcPr>
            <w:tcW w:w="85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Accrued liabilities</w:t>
            </w:r>
          </w:p>
        </w:tc>
        <w:tc>
          <w:tcPr>
            <w:tcW w:w="1140" w:type="dxa"/>
            <w:vAlign w:val="bottom"/>
            <w:shd w:val="clear" w:color="auto" w:fill="CFF0FC"/>
          </w:tcPr>
          <w:p>
            <w:pPr>
              <w:spacing w:after="0"/>
              <w:rPr>
                <w:sz w:val="17"/>
                <w:szCs w:val="17"/>
                <w:color w:val="auto"/>
              </w:rPr>
            </w:pPr>
          </w:p>
        </w:tc>
        <w:tc>
          <w:tcPr>
            <w:tcW w:w="15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(7.9 )</w:t>
            </w:r>
          </w:p>
        </w:tc>
      </w:tr>
      <w:tr>
        <w:trPr>
          <w:trHeight w:val="203"/>
        </w:trPr>
        <w:tc>
          <w:tcPr>
            <w:tcW w:w="8560" w:type="dxa"/>
            <w:vAlign w:val="bottom"/>
          </w:tcPr>
          <w:p>
            <w:pPr>
              <w:ind w:left="20"/>
              <w:spacing w:after="0" w:line="202" w:lineRule="exact"/>
              <w:rPr>
                <w:sz w:val="20"/>
                <w:szCs w:val="20"/>
                <w:color w:val="auto"/>
              </w:rPr>
            </w:pPr>
            <w:r>
              <w:rPr>
                <w:rFonts w:ascii="Arial" w:cs="Arial" w:eastAsia="Arial" w:hAnsi="Arial"/>
                <w:sz w:val="18"/>
                <w:szCs w:val="18"/>
                <w:color w:val="auto"/>
              </w:rPr>
              <w:t>Accrued payroll taxes and insurance</w:t>
            </w:r>
          </w:p>
        </w:tc>
        <w:tc>
          <w:tcPr>
            <w:tcW w:w="1140" w:type="dxa"/>
            <w:vAlign w:val="bottom"/>
          </w:tcPr>
          <w:p>
            <w:pPr>
              <w:spacing w:after="0"/>
              <w:rPr>
                <w:sz w:val="17"/>
                <w:szCs w:val="17"/>
                <w:color w:val="auto"/>
              </w:rPr>
            </w:pPr>
          </w:p>
        </w:tc>
        <w:tc>
          <w:tcPr>
            <w:tcW w:w="1540" w:type="dxa"/>
            <w:vAlign w:val="bottom"/>
          </w:tcPr>
          <w:p>
            <w:pPr>
              <w:jc w:val="right"/>
              <w:spacing w:after="0" w:line="202" w:lineRule="exact"/>
              <w:rPr>
                <w:sz w:val="20"/>
                <w:szCs w:val="20"/>
                <w:color w:val="auto"/>
              </w:rPr>
            </w:pPr>
            <w:r>
              <w:rPr>
                <w:rFonts w:ascii="Arial" w:cs="Arial" w:eastAsia="Arial" w:hAnsi="Arial"/>
                <w:sz w:val="18"/>
                <w:szCs w:val="18"/>
                <w:color w:val="auto"/>
              </w:rPr>
              <w:t>(11.2 )</w:t>
            </w:r>
          </w:p>
        </w:tc>
      </w:tr>
      <w:tr>
        <w:trPr>
          <w:trHeight w:val="203"/>
        </w:trPr>
        <w:tc>
          <w:tcPr>
            <w:tcW w:w="85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Value added taxes payable</w:t>
            </w:r>
          </w:p>
        </w:tc>
        <w:tc>
          <w:tcPr>
            <w:tcW w:w="1140" w:type="dxa"/>
            <w:vAlign w:val="bottom"/>
            <w:shd w:val="clear" w:color="auto" w:fill="CFF0FC"/>
          </w:tcPr>
          <w:p>
            <w:pPr>
              <w:spacing w:after="0"/>
              <w:rPr>
                <w:sz w:val="17"/>
                <w:szCs w:val="17"/>
                <w:color w:val="auto"/>
              </w:rPr>
            </w:pPr>
          </w:p>
        </w:tc>
        <w:tc>
          <w:tcPr>
            <w:tcW w:w="15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(12.2 )</w:t>
            </w:r>
          </w:p>
        </w:tc>
      </w:tr>
      <w:tr>
        <w:trPr>
          <w:trHeight w:val="203"/>
        </w:trPr>
        <w:tc>
          <w:tcPr>
            <w:tcW w:w="8560" w:type="dxa"/>
            <w:vAlign w:val="bottom"/>
          </w:tcPr>
          <w:p>
            <w:pPr>
              <w:ind w:left="20"/>
              <w:spacing w:after="0" w:line="202" w:lineRule="exact"/>
              <w:rPr>
                <w:sz w:val="20"/>
                <w:szCs w:val="20"/>
                <w:color w:val="auto"/>
              </w:rPr>
            </w:pPr>
            <w:r>
              <w:rPr>
                <w:rFonts w:ascii="Arial" w:cs="Arial" w:eastAsia="Arial" w:hAnsi="Arial"/>
                <w:sz w:val="18"/>
                <w:szCs w:val="18"/>
                <w:color w:val="auto"/>
              </w:rPr>
              <w:t>Long-term operating lease liability</w:t>
            </w:r>
          </w:p>
        </w:tc>
        <w:tc>
          <w:tcPr>
            <w:tcW w:w="1140" w:type="dxa"/>
            <w:vAlign w:val="bottom"/>
          </w:tcPr>
          <w:p>
            <w:pPr>
              <w:spacing w:after="0"/>
              <w:rPr>
                <w:sz w:val="17"/>
                <w:szCs w:val="17"/>
                <w:color w:val="auto"/>
              </w:rPr>
            </w:pPr>
          </w:p>
        </w:tc>
        <w:tc>
          <w:tcPr>
            <w:tcW w:w="1540" w:type="dxa"/>
            <w:vAlign w:val="bottom"/>
          </w:tcPr>
          <w:p>
            <w:pPr>
              <w:jc w:val="right"/>
              <w:spacing w:after="0" w:line="202" w:lineRule="exact"/>
              <w:rPr>
                <w:sz w:val="20"/>
                <w:szCs w:val="20"/>
                <w:color w:val="auto"/>
              </w:rPr>
            </w:pPr>
            <w:r>
              <w:rPr>
                <w:rFonts w:ascii="Arial" w:cs="Arial" w:eastAsia="Arial" w:hAnsi="Arial"/>
                <w:sz w:val="18"/>
                <w:szCs w:val="18"/>
                <w:color w:val="auto"/>
              </w:rPr>
              <w:t>(5.9 )</w:t>
            </w:r>
          </w:p>
        </w:tc>
      </w:tr>
      <w:tr>
        <w:trPr>
          <w:trHeight w:val="202"/>
        </w:trPr>
        <w:tc>
          <w:tcPr>
            <w:tcW w:w="856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Other long-term liabilities</w:t>
            </w:r>
          </w:p>
        </w:tc>
        <w:tc>
          <w:tcPr>
            <w:tcW w:w="1140" w:type="dxa"/>
            <w:vAlign w:val="bottom"/>
            <w:tcBorders>
              <w:bottom w:val="single" w:sz="8" w:color="auto"/>
            </w:tcBorders>
            <w:shd w:val="clear" w:color="auto" w:fill="CFF0FC"/>
          </w:tcPr>
          <w:p>
            <w:pPr>
              <w:spacing w:after="0"/>
              <w:rPr>
                <w:sz w:val="17"/>
                <w:szCs w:val="17"/>
                <w:color w:val="auto"/>
              </w:rPr>
            </w:pPr>
          </w:p>
        </w:tc>
        <w:tc>
          <w:tcPr>
            <w:tcW w:w="15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(17.8 )</w:t>
            </w:r>
          </w:p>
        </w:tc>
      </w:tr>
      <w:tr>
        <w:trPr>
          <w:trHeight w:val="196"/>
        </w:trPr>
        <w:tc>
          <w:tcPr>
            <w:tcW w:w="8560" w:type="dxa"/>
            <w:vAlign w:val="bottom"/>
          </w:tcPr>
          <w:p>
            <w:pPr>
              <w:ind w:left="120"/>
              <w:spacing w:after="0" w:line="196" w:lineRule="exact"/>
              <w:rPr>
                <w:sz w:val="20"/>
                <w:szCs w:val="20"/>
                <w:color w:val="auto"/>
              </w:rPr>
            </w:pPr>
            <w:r>
              <w:rPr>
                <w:rFonts w:ascii="Arial" w:cs="Arial" w:eastAsia="Arial" w:hAnsi="Arial"/>
                <w:sz w:val="18"/>
                <w:szCs w:val="18"/>
                <w:color w:val="auto"/>
              </w:rPr>
              <w:t>Total assets and liabilities</w:t>
            </w:r>
          </w:p>
        </w:tc>
        <w:tc>
          <w:tcPr>
            <w:tcW w:w="1140" w:type="dxa"/>
            <w:vAlign w:val="bottom"/>
            <w:tcBorders>
              <w:bottom w:val="single" w:sz="8" w:color="auto"/>
            </w:tcBorders>
          </w:tcPr>
          <w:p>
            <w:pPr>
              <w:jc w:val="right"/>
              <w:ind w:right="930"/>
              <w:spacing w:after="0" w:line="196" w:lineRule="exact"/>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930.9</w:t>
            </w:r>
          </w:p>
        </w:tc>
      </w:tr>
      <w:tr>
        <w:trPr>
          <w:trHeight w:val="20"/>
        </w:trPr>
        <w:tc>
          <w:tcPr>
            <w:tcW w:w="85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ind w:right="240"/>
        <w:spacing w:after="0" w:line="288" w:lineRule="auto"/>
        <w:rPr>
          <w:sz w:val="20"/>
          <w:szCs w:val="20"/>
          <w:color w:val="auto"/>
        </w:rPr>
      </w:pPr>
      <w:r>
        <w:rPr>
          <w:rFonts w:ascii="Arial" w:cs="Arial" w:eastAsia="Arial" w:hAnsi="Arial"/>
          <w:sz w:val="18"/>
          <w:szCs w:val="18"/>
          <w:color w:val="auto"/>
        </w:rPr>
        <w:t>The customer relationship intangible asset will be amortized over a 15 year useful life. The customer relationship intangible asset and goodwill from the acquisition are partially deductible for income tax purposes. As of December 31, 2021 and March 31, 2022 the carrying value of intangible assets were $354.0 and $348.0, respectively, and the carrying value of goodwill was $519.6. The goodwill is included within the United States reporting unit and is attributable to the workforce of the acquired business and expected synergies to occur post-acquisition as a result of diversifying the business into higher growth and higher value services.</w:t>
      </w:r>
    </w:p>
    <w:p>
      <w:pPr>
        <w:spacing w:after="0" w:line="149" w:lineRule="exact"/>
        <w:rPr>
          <w:sz w:val="20"/>
          <w:szCs w:val="20"/>
          <w:color w:val="auto"/>
        </w:rPr>
      </w:pPr>
    </w:p>
    <w:p>
      <w:pPr>
        <w:ind w:right="340"/>
        <w:spacing w:after="0" w:line="308" w:lineRule="auto"/>
        <w:rPr>
          <w:sz w:val="20"/>
          <w:szCs w:val="20"/>
          <w:color w:val="auto"/>
        </w:rPr>
      </w:pPr>
      <w:r>
        <w:rPr>
          <w:rFonts w:ascii="Arial" w:cs="Arial" w:eastAsia="Arial" w:hAnsi="Arial"/>
          <w:sz w:val="18"/>
          <w:szCs w:val="18"/>
          <w:color w:val="auto"/>
        </w:rPr>
        <w:t>We expect to finalize our accounting for the acquisition in the second half of 2022, upon finalization of the accounting for income tax related items and working capital adjustments.</w:t>
      </w:r>
    </w:p>
    <w:p>
      <w:pPr>
        <w:spacing w:after="0" w:line="144" w:lineRule="exact"/>
        <w:rPr>
          <w:sz w:val="20"/>
          <w:szCs w:val="20"/>
          <w:color w:val="auto"/>
        </w:rPr>
      </w:pPr>
    </w:p>
    <w:p>
      <w:pPr>
        <w:ind w:left="260" w:hanging="252"/>
        <w:spacing w:after="0"/>
        <w:tabs>
          <w:tab w:leader="none" w:pos="260" w:val="left"/>
        </w:tabs>
        <w:numPr>
          <w:ilvl w:val="0"/>
          <w:numId w:val="8"/>
        </w:numPr>
        <w:rPr>
          <w:rFonts w:ascii="Arial" w:cs="Arial" w:eastAsia="Arial" w:hAnsi="Arial"/>
          <w:sz w:val="18"/>
          <w:szCs w:val="18"/>
          <w:color w:val="auto"/>
        </w:rPr>
      </w:pPr>
      <w:r>
        <w:rPr>
          <w:rFonts w:ascii="Arial" w:cs="Arial" w:eastAsia="Arial" w:hAnsi="Arial"/>
          <w:sz w:val="18"/>
          <w:szCs w:val="18"/>
          <w:u w:val="single" w:color="auto"/>
          <w:color w:val="auto"/>
        </w:rPr>
        <w:t>Restructuring Costs</w:t>
      </w:r>
    </w:p>
    <w:p>
      <w:pPr>
        <w:spacing w:after="0" w:line="212" w:lineRule="exact"/>
        <w:rPr>
          <w:sz w:val="20"/>
          <w:szCs w:val="20"/>
          <w:color w:val="auto"/>
        </w:rPr>
      </w:pPr>
    </w:p>
    <w:p>
      <w:pPr>
        <w:spacing w:after="0" w:line="295" w:lineRule="auto"/>
        <w:rPr>
          <w:sz w:val="20"/>
          <w:szCs w:val="20"/>
          <w:color w:val="auto"/>
        </w:rPr>
      </w:pPr>
      <w:r>
        <w:rPr>
          <w:rFonts w:ascii="Arial" w:cs="Arial" w:eastAsia="Arial" w:hAnsi="Arial"/>
          <w:sz w:val="18"/>
          <w:szCs w:val="18"/>
          <w:color w:val="auto"/>
        </w:rPr>
        <w:t>We did not record any restructuring costs during the three months ended March 31, 2022 or 2021. During the three months ended March 31, 2022, we made payments of $3.2 out of our restructuring reserve, which is used for severance and office closures and consolidations in multiple countries and territories. We expect a majority of the remaining $20.1 reserve will be paid by the end of 2022.</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color w:val="auto"/>
        </w:rPr>
        <w:t>Changes in the restructuring reserve by reportable segment and Corporate are shown below.</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vMerge w:val="restart"/>
          </w:tcPr>
          <w:p>
            <w:pPr>
              <w:jc w:val="right"/>
              <w:ind w:right="130"/>
              <w:spacing w:after="0"/>
              <w:rPr>
                <w:sz w:val="20"/>
                <w:szCs w:val="20"/>
                <w:color w:val="auto"/>
              </w:rPr>
            </w:pPr>
            <w:r>
              <w:rPr>
                <w:rFonts w:ascii="Arial" w:cs="Arial" w:eastAsia="Arial" w:hAnsi="Arial"/>
                <w:sz w:val="18"/>
                <w:szCs w:val="18"/>
                <w:b w:val="1"/>
                <w:bCs w:val="1"/>
                <w:color w:val="auto"/>
                <w:w w:val="85"/>
              </w:rPr>
              <w:t>Americas</w:t>
            </w:r>
            <w:r>
              <w:rPr>
                <w:rFonts w:ascii="Arial" w:cs="Arial" w:eastAsia="Arial" w:hAnsi="Arial"/>
                <w:sz w:val="24"/>
                <w:szCs w:val="24"/>
                <w:b w:val="1"/>
                <w:bCs w:val="1"/>
                <w:color w:val="auto"/>
                <w:w w:val="85"/>
                <w:vertAlign w:val="superscript"/>
              </w:rPr>
              <w:t>(1)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ind w:right="210"/>
              <w:spacing w:after="0"/>
              <w:rPr>
                <w:sz w:val="20"/>
                <w:szCs w:val="20"/>
                <w:color w:val="auto"/>
              </w:rPr>
            </w:pPr>
            <w:r>
              <w:rPr>
                <w:rFonts w:ascii="Arial" w:cs="Arial" w:eastAsia="Arial" w:hAnsi="Arial"/>
                <w:sz w:val="18"/>
                <w:szCs w:val="18"/>
                <w:b w:val="1"/>
                <w:bCs w:val="1"/>
                <w:color w:val="auto"/>
                <w:w w:val="93"/>
              </w:rPr>
              <w:t>Southern</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ind w:right="210"/>
              <w:spacing w:after="0"/>
              <w:rPr>
                <w:sz w:val="20"/>
                <w:szCs w:val="20"/>
                <w:color w:val="auto"/>
              </w:rPr>
            </w:pPr>
            <w:r>
              <w:rPr>
                <w:rFonts w:ascii="Arial" w:cs="Arial" w:eastAsia="Arial" w:hAnsi="Arial"/>
                <w:sz w:val="18"/>
                <w:szCs w:val="18"/>
                <w:b w:val="1"/>
                <w:bCs w:val="1"/>
                <w:color w:val="auto"/>
                <w:w w:val="97"/>
              </w:rPr>
              <w:t>Northern</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vMerge w:val="restart"/>
          </w:tcPr>
          <w:p>
            <w:pPr>
              <w:ind w:left="100"/>
              <w:spacing w:after="0"/>
              <w:rPr>
                <w:sz w:val="20"/>
                <w:szCs w:val="20"/>
                <w:color w:val="auto"/>
              </w:rPr>
            </w:pPr>
            <w:r>
              <w:rPr>
                <w:rFonts w:ascii="Arial" w:cs="Arial" w:eastAsia="Arial" w:hAnsi="Arial"/>
                <w:sz w:val="18"/>
                <w:szCs w:val="18"/>
                <w:b w:val="1"/>
                <w:bCs w:val="1"/>
                <w:color w:val="auto"/>
              </w:rPr>
              <w:t>APME</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Corporate</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vMerge w:val="restart"/>
          </w:tcPr>
          <w:p>
            <w:pPr>
              <w:jc w:val="right"/>
              <w:ind w:right="33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6"/>
        </w:trPr>
        <w:tc>
          <w:tcPr>
            <w:tcW w:w="36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210"/>
              <w:spacing w:after="0" w:line="216" w:lineRule="exact"/>
              <w:rPr>
                <w:sz w:val="20"/>
                <w:szCs w:val="20"/>
                <w:color w:val="auto"/>
              </w:rPr>
            </w:pPr>
            <w:r>
              <w:rPr>
                <w:rFonts w:ascii="Arial" w:cs="Arial" w:eastAsia="Arial" w:hAnsi="Arial"/>
                <w:sz w:val="18"/>
                <w:szCs w:val="18"/>
                <w:b w:val="1"/>
                <w:bCs w:val="1"/>
                <w:color w:val="auto"/>
                <w:w w:val="90"/>
              </w:rPr>
              <w:t>Europe</w:t>
            </w:r>
            <w:r>
              <w:rPr>
                <w:rFonts w:ascii="Arial" w:cs="Arial" w:eastAsia="Arial" w:hAnsi="Arial"/>
                <w:sz w:val="24"/>
                <w:szCs w:val="24"/>
                <w:b w:val="1"/>
                <w:bCs w:val="1"/>
                <w:color w:val="auto"/>
                <w:w w:val="90"/>
                <w:vertAlign w:val="superscript"/>
              </w:rPr>
              <w:t>(2)</w:t>
            </w: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Europe</w:t>
            </w:r>
          </w:p>
        </w:tc>
        <w:tc>
          <w:tcPr>
            <w:tcW w:w="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vMerge w:val="continue"/>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366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Balance, December 31, 2021</w:t>
            </w:r>
          </w:p>
        </w:tc>
        <w:tc>
          <w:tcPr>
            <w:tcW w:w="1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100" w:type="dxa"/>
            <w:vAlign w:val="bottom"/>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rPr>
              <w:t>1.0</w:t>
            </w: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rPr>
              <w:t>0.8</w:t>
            </w: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rPr>
              <w:t>21.5</w:t>
            </w:r>
          </w:p>
        </w:tc>
        <w:tc>
          <w:tcPr>
            <w:tcW w:w="80" w:type="dxa"/>
            <w:vAlign w:val="bottom"/>
            <w:shd w:val="clear" w:color="auto" w:fill="CFF0FC"/>
          </w:tcPr>
          <w:p>
            <w:pPr>
              <w:spacing w:after="0"/>
              <w:rPr>
                <w:sz w:val="17"/>
                <w:szCs w:val="17"/>
                <w:color w:val="auto"/>
              </w:rPr>
            </w:pPr>
          </w:p>
        </w:tc>
        <w:tc>
          <w:tcPr>
            <w:tcW w:w="200" w:type="dxa"/>
            <w:vAlign w:val="bottom"/>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ind w:left="740"/>
              <w:spacing w:after="0" w:line="196" w:lineRule="exact"/>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ind w:left="800"/>
              <w:spacing w:after="0" w:line="196" w:lineRule="exact"/>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7"/>
                <w:szCs w:val="17"/>
                <w:color w:val="auto"/>
              </w:rPr>
            </w:pPr>
          </w:p>
        </w:tc>
        <w:tc>
          <w:tcPr>
            <w:tcW w:w="220" w:type="dxa"/>
            <w:vAlign w:val="bottom"/>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rPr>
              <w:t>23.3</w:t>
            </w:r>
          </w:p>
        </w:tc>
        <w:tc>
          <w:tcPr>
            <w:tcW w:w="0" w:type="dxa"/>
            <w:vAlign w:val="bottom"/>
          </w:tcPr>
          <w:p>
            <w:pPr>
              <w:spacing w:after="0"/>
              <w:rPr>
                <w:sz w:val="1"/>
                <w:szCs w:val="1"/>
                <w:color w:val="auto"/>
              </w:rPr>
            </w:pPr>
          </w:p>
        </w:tc>
      </w:tr>
      <w:tr>
        <w:trPr>
          <w:trHeight w:val="203"/>
        </w:trPr>
        <w:tc>
          <w:tcPr>
            <w:tcW w:w="3660" w:type="dxa"/>
            <w:vAlign w:val="bottom"/>
          </w:tcPr>
          <w:p>
            <w:pPr>
              <w:ind w:left="120"/>
              <w:spacing w:after="0" w:line="202" w:lineRule="exact"/>
              <w:rPr>
                <w:sz w:val="20"/>
                <w:szCs w:val="20"/>
                <w:color w:val="auto"/>
              </w:rPr>
            </w:pPr>
            <w:r>
              <w:rPr>
                <w:rFonts w:ascii="Arial" w:cs="Arial" w:eastAsia="Arial" w:hAnsi="Arial"/>
                <w:sz w:val="18"/>
                <w:szCs w:val="18"/>
                <w:color w:val="auto"/>
              </w:rPr>
              <w:t>Costs paid or utilized</w:t>
            </w:r>
          </w:p>
        </w:tc>
        <w:tc>
          <w:tcPr>
            <w:tcW w:w="1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(0.3 )</w:t>
            </w:r>
          </w:p>
        </w:tc>
        <w:tc>
          <w:tcPr>
            <w:tcW w:w="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(0.4 )</w:t>
            </w:r>
          </w:p>
        </w:tc>
        <w:tc>
          <w:tcPr>
            <w:tcW w:w="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(2.5 )</w:t>
            </w:r>
          </w:p>
        </w:tc>
        <w:tc>
          <w:tcPr>
            <w:tcW w:w="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ind w:left="740"/>
              <w:spacing w:after="0" w:line="20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ind w:left="800"/>
              <w:spacing w:after="0" w:line="20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(3.2 )</w:t>
            </w:r>
          </w:p>
        </w:tc>
        <w:tc>
          <w:tcPr>
            <w:tcW w:w="0" w:type="dxa"/>
            <w:vAlign w:val="bottom"/>
          </w:tcPr>
          <w:p>
            <w:pPr>
              <w:spacing w:after="0"/>
              <w:rPr>
                <w:sz w:val="1"/>
                <w:szCs w:val="1"/>
                <w:color w:val="auto"/>
              </w:rPr>
            </w:pPr>
          </w:p>
        </w:tc>
      </w:tr>
      <w:tr>
        <w:trPr>
          <w:trHeight w:val="236"/>
        </w:trPr>
        <w:tc>
          <w:tcPr>
            <w:tcW w:w="366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Balance, March 31, 2022</w:t>
            </w:r>
          </w:p>
        </w:tc>
        <w:tc>
          <w:tcPr>
            <w:tcW w:w="1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rPr>
              <w:t>0.7</w:t>
            </w:r>
          </w:p>
        </w:tc>
        <w:tc>
          <w:tcPr>
            <w:tcW w:w="8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rPr>
              <w:t>0.4</w:t>
            </w:r>
          </w:p>
        </w:tc>
        <w:tc>
          <w:tcPr>
            <w:tcW w:w="8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rPr>
              <w:t>19.0</w:t>
            </w:r>
          </w:p>
        </w:tc>
        <w:tc>
          <w:tcPr>
            <w:tcW w:w="8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FF0FC"/>
          </w:tcPr>
          <w:p>
            <w:pPr>
              <w:ind w:left="740"/>
              <w:spacing w:after="0" w:line="196" w:lineRule="exact"/>
              <w:rPr>
                <w:sz w:val="20"/>
                <w:szCs w:val="20"/>
                <w:color w:val="auto"/>
              </w:rPr>
            </w:pPr>
            <w:r>
              <w:rPr>
                <w:rFonts w:ascii="Arial" w:cs="Arial" w:eastAsia="Arial" w:hAnsi="Arial"/>
                <w:sz w:val="18"/>
                <w:szCs w:val="18"/>
                <w:color w:val="auto"/>
              </w:rPr>
              <w:t>—</w:t>
            </w:r>
          </w:p>
        </w:tc>
        <w:tc>
          <w:tcPr>
            <w:tcW w:w="8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FF0FC"/>
          </w:tcPr>
          <w:p>
            <w:pPr>
              <w:ind w:left="800"/>
              <w:spacing w:after="0" w:line="196" w:lineRule="exact"/>
              <w:rPr>
                <w:sz w:val="20"/>
                <w:szCs w:val="20"/>
                <w:color w:val="auto"/>
              </w:rPr>
            </w:pPr>
            <w:r>
              <w:rPr>
                <w:rFonts w:ascii="Arial" w:cs="Arial" w:eastAsia="Arial" w:hAnsi="Arial"/>
                <w:sz w:val="18"/>
                <w:szCs w:val="18"/>
                <w:color w:val="auto"/>
              </w:rPr>
              <w:t>—</w:t>
            </w:r>
          </w:p>
        </w:tc>
        <w:tc>
          <w:tcPr>
            <w:tcW w:w="6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3099435</wp:posOffset>
            </wp:positionH>
            <wp:positionV relativeFrom="paragraph">
              <wp:posOffset>-25400</wp:posOffset>
            </wp:positionV>
            <wp:extent cx="5143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3099435</wp:posOffset>
            </wp:positionH>
            <wp:positionV relativeFrom="paragraph">
              <wp:posOffset>-8255</wp:posOffset>
            </wp:positionV>
            <wp:extent cx="5143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-25400</wp:posOffset>
            </wp:positionV>
            <wp:extent cx="5143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-8255</wp:posOffset>
            </wp:positionV>
            <wp:extent cx="5143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-25400</wp:posOffset>
            </wp:positionV>
            <wp:extent cx="5143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-8255</wp:posOffset>
            </wp:positionV>
            <wp:extent cx="5143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-25400</wp:posOffset>
            </wp:positionV>
            <wp:extent cx="5143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-8255</wp:posOffset>
            </wp:positionV>
            <wp:extent cx="5143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6356985</wp:posOffset>
            </wp:positionH>
            <wp:positionV relativeFrom="paragraph">
              <wp:posOffset>-25400</wp:posOffset>
            </wp:positionV>
            <wp:extent cx="4318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6356985</wp:posOffset>
            </wp:positionH>
            <wp:positionV relativeFrom="paragraph">
              <wp:posOffset>-8255</wp:posOffset>
            </wp:positionV>
            <wp:extent cx="4318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43180" cy="8890"/>
                    </a:xfrm>
                    <a:prstGeom prst="rect">
                      <a:avLst/>
                    </a:prstGeom>
                    <a:noFill/>
                  </pic:spPr>
                </pic:pic>
              </a:graphicData>
            </a:graphic>
          </wp:anchor>
        </w:drawing>
      </w:r>
    </w:p>
    <w:p>
      <w:pPr>
        <w:spacing w:after="0" w:line="168" w:lineRule="exact"/>
        <w:rPr>
          <w:sz w:val="20"/>
          <w:szCs w:val="20"/>
          <w:color w:val="auto"/>
        </w:rPr>
      </w:pPr>
    </w:p>
    <w:p>
      <w:pPr>
        <w:ind w:left="260" w:hanging="252"/>
        <w:spacing w:after="0"/>
        <w:tabs>
          <w:tab w:leader="none" w:pos="260" w:val="left"/>
        </w:tabs>
        <w:numPr>
          <w:ilvl w:val="0"/>
          <w:numId w:val="9"/>
        </w:numPr>
        <w:rPr>
          <w:rFonts w:ascii="Arial" w:cs="Arial" w:eastAsia="Arial" w:hAnsi="Arial"/>
          <w:sz w:val="18"/>
          <w:szCs w:val="18"/>
          <w:color w:val="auto"/>
        </w:rPr>
      </w:pPr>
      <w:r>
        <w:rPr>
          <w:rFonts w:ascii="Arial" w:cs="Arial" w:eastAsia="Arial" w:hAnsi="Arial"/>
          <w:sz w:val="18"/>
          <w:szCs w:val="18"/>
          <w:color w:val="auto"/>
        </w:rPr>
        <w:t>Balances related to the United States were $0.2 and zero as of December 31, 2021 and March 31, 2022, respectively.</w:t>
      </w:r>
    </w:p>
    <w:p>
      <w:pPr>
        <w:spacing w:after="0" w:line="11" w:lineRule="exact"/>
        <w:rPr>
          <w:rFonts w:ascii="Arial" w:cs="Arial" w:eastAsia="Arial" w:hAnsi="Arial"/>
          <w:sz w:val="18"/>
          <w:szCs w:val="18"/>
          <w:color w:val="auto"/>
        </w:rPr>
      </w:pPr>
    </w:p>
    <w:p>
      <w:pPr>
        <w:ind w:right="680" w:firstLine="8"/>
        <w:spacing w:after="0" w:line="243" w:lineRule="auto"/>
        <w:tabs>
          <w:tab w:leader="none" w:pos="255" w:val="left"/>
        </w:tabs>
        <w:numPr>
          <w:ilvl w:val="0"/>
          <w:numId w:val="9"/>
        </w:numPr>
        <w:rPr>
          <w:rFonts w:ascii="Arial" w:cs="Arial" w:eastAsia="Arial" w:hAnsi="Arial"/>
          <w:sz w:val="18"/>
          <w:szCs w:val="18"/>
          <w:color w:val="auto"/>
        </w:rPr>
      </w:pPr>
      <w:r>
        <w:rPr>
          <w:rFonts w:ascii="Arial" w:cs="Arial" w:eastAsia="Arial" w:hAnsi="Arial"/>
          <w:sz w:val="18"/>
          <w:szCs w:val="18"/>
          <w:color w:val="auto"/>
        </w:rPr>
        <w:t>Balances related to France were $0.6 and $0.2 as of December 31, 2021 and March 31, 2022. Balances related to Italy were $0.3 and $0.2 as of December 31, 2021 and March 31, 2022, respectively.</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12" w:name="page13"/>
    <w:bookmarkEnd w:id="12"/>
    <w:p>
      <w:pPr>
        <w:ind w:left="260" w:hanging="252"/>
        <w:spacing w:after="0"/>
        <w:tabs>
          <w:tab w:leader="none" w:pos="260"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auto"/>
        </w:rPr>
        <w:t>Income Taxes</w:t>
      </w:r>
    </w:p>
    <w:p>
      <w:pPr>
        <w:spacing w:after="0" w:line="225" w:lineRule="exact"/>
        <w:rPr>
          <w:sz w:val="20"/>
          <w:szCs w:val="20"/>
          <w:color w:val="auto"/>
        </w:rPr>
      </w:pPr>
    </w:p>
    <w:p>
      <w:pPr>
        <w:ind w:right="20"/>
        <w:spacing w:after="0" w:line="309" w:lineRule="auto"/>
        <w:rPr>
          <w:sz w:val="20"/>
          <w:szCs w:val="20"/>
          <w:color w:val="auto"/>
        </w:rPr>
      </w:pPr>
      <w:r>
        <w:rPr>
          <w:rFonts w:ascii="Arial" w:cs="Arial" w:eastAsia="Arial" w:hAnsi="Arial"/>
          <w:sz w:val="17"/>
          <w:szCs w:val="17"/>
          <w:color w:val="auto"/>
        </w:rPr>
        <w:t>We recorded income tax expense at an effective rate of 32.6% for the three months ended March 31, 2022, as compared to an effective rate of 33.3% for the three months ended March 31, 2021. The 2022 rate was favorably impacted by the scheduled reduction in the French corporate tax rate to 25% and a higher level of pre-tax earnings with a more beneficial mix diluting the impact of the French business tax. The 32.6% effective tax rate in the first quarter of 2022 was higher than the United States Federal statutory rate of 21% primarily due to the French business tax, tax losses in certain countries for which we did not recognize a corresponding tax benefit due to valuation allowances, and the overall mix of earnings.</w:t>
      </w:r>
    </w:p>
    <w:p>
      <w:pPr>
        <w:spacing w:after="0" w:line="132" w:lineRule="exact"/>
        <w:rPr>
          <w:sz w:val="20"/>
          <w:szCs w:val="20"/>
          <w:color w:val="auto"/>
        </w:rPr>
      </w:pPr>
    </w:p>
    <w:p>
      <w:pPr>
        <w:jc w:val="both"/>
        <w:ind w:right="60"/>
        <w:spacing w:after="0" w:line="290" w:lineRule="auto"/>
        <w:rPr>
          <w:sz w:val="20"/>
          <w:szCs w:val="20"/>
          <w:color w:val="auto"/>
        </w:rPr>
      </w:pPr>
      <w:r>
        <w:rPr>
          <w:rFonts w:ascii="Arial" w:cs="Arial" w:eastAsia="Arial" w:hAnsi="Arial"/>
          <w:sz w:val="18"/>
          <w:szCs w:val="18"/>
          <w:color w:val="auto"/>
        </w:rPr>
        <w:t>As of March 31, 2022, we had gross unrecognized tax benefits related to various tax jurisdictions, including interest and penalties, of $73.4. If recognized, the entire amount would favorably affect the effective tax rate except for $6.0. As of December 31, 2021, we had gross unrecognized tax benefits related to various tax jurisdictions, including interest and penalties, of $71.8. We do not expect our unrecognized tax benefits to change significantly over the next 12 months.</w:t>
      </w:r>
    </w:p>
    <w:p>
      <w:pPr>
        <w:spacing w:after="0" w:line="147" w:lineRule="exact"/>
        <w:rPr>
          <w:sz w:val="20"/>
          <w:szCs w:val="20"/>
          <w:color w:val="auto"/>
        </w:rPr>
      </w:pPr>
    </w:p>
    <w:p>
      <w:pPr>
        <w:spacing w:after="0" w:line="312" w:lineRule="auto"/>
        <w:rPr>
          <w:sz w:val="20"/>
          <w:szCs w:val="20"/>
          <w:color w:val="auto"/>
        </w:rPr>
      </w:pPr>
      <w:r>
        <w:rPr>
          <w:rFonts w:ascii="Arial" w:cs="Arial" w:eastAsia="Arial" w:hAnsi="Arial"/>
          <w:sz w:val="17"/>
          <w:szCs w:val="17"/>
          <w:color w:val="auto"/>
        </w:rPr>
        <w:t>We conduct business globally in various countries and territories. We are routinely audited by the tax authorities of the various tax jurisdictions in which we operate. Generally, the tax years that could be subject to examination are 2015 through 2022 for our major operations in France, Italy, the United Kingdom and the United States. As of March 31, 2022, we were subject to tax audits in Austria, France, Germany, Israel, Japan, Portugal, Spain and the United States. We believe that the resolution of these audits will not have a material impact on earnings.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700" w:type="dxa"/>
            <w:vAlign w:val="bottom"/>
            <w:gridSpan w:val="3"/>
          </w:tcPr>
          <w:p>
            <w:pPr>
              <w:spacing w:after="0"/>
              <w:rPr>
                <w:sz w:val="20"/>
                <w:szCs w:val="20"/>
                <w:color w:val="auto"/>
              </w:rPr>
            </w:pPr>
            <w:r>
              <w:rPr>
                <w:rFonts w:ascii="Arial" w:cs="Arial" w:eastAsia="Arial" w:hAnsi="Arial"/>
                <w:sz w:val="18"/>
                <w:szCs w:val="18"/>
                <w:color w:val="auto"/>
              </w:rPr>
              <w:t>(8) Net Earnings Per Share</w:t>
            </w:r>
          </w:p>
        </w:tc>
        <w:tc>
          <w:tcPr>
            <w:tcW w:w="1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20"/>
        </w:trPr>
        <w:tc>
          <w:tcPr>
            <w:tcW w:w="260" w:type="dxa"/>
            <w:vAlign w:val="bottom"/>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439"/>
        </w:trPr>
        <w:tc>
          <w:tcPr>
            <w:tcW w:w="7700" w:type="dxa"/>
            <w:vAlign w:val="bottom"/>
            <w:gridSpan w:val="3"/>
          </w:tcPr>
          <w:p>
            <w:pPr>
              <w:spacing w:after="0"/>
              <w:rPr>
                <w:sz w:val="20"/>
                <w:szCs w:val="20"/>
                <w:color w:val="auto"/>
              </w:rPr>
            </w:pPr>
            <w:r>
              <w:rPr>
                <w:rFonts w:ascii="Arial" w:cs="Arial" w:eastAsia="Arial" w:hAnsi="Arial"/>
                <w:sz w:val="18"/>
                <w:szCs w:val="18"/>
                <w:color w:val="auto"/>
                <w:w w:val="94"/>
              </w:rPr>
              <w:t>The calculations of net earnings per share - basic and net earnings per share - diluted were as follows:</w:t>
            </w:r>
          </w:p>
        </w:tc>
        <w:tc>
          <w:tcPr>
            <w:tcW w:w="1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400"/>
        </w:trPr>
        <w:tc>
          <w:tcPr>
            <w:tcW w:w="2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5760" w:type="dxa"/>
            <w:vAlign w:val="bottom"/>
          </w:tcPr>
          <w:p>
            <w:pPr>
              <w:spacing w:after="0"/>
              <w:rPr>
                <w:sz w:val="24"/>
                <w:szCs w:val="24"/>
                <w:color w:val="auto"/>
              </w:rPr>
            </w:pPr>
          </w:p>
        </w:tc>
        <w:tc>
          <w:tcPr>
            <w:tcW w:w="2980" w:type="dxa"/>
            <w:vAlign w:val="bottom"/>
            <w:gridSpan w:val="4"/>
          </w:tcPr>
          <w:p>
            <w:pPr>
              <w:jc w:val="right"/>
              <w:ind w:right="330"/>
              <w:spacing w:after="0"/>
              <w:rPr>
                <w:sz w:val="20"/>
                <w:szCs w:val="20"/>
                <w:color w:val="auto"/>
              </w:rPr>
            </w:pPr>
            <w:r>
              <w:rPr>
                <w:rFonts w:ascii="Arial" w:cs="Arial" w:eastAsia="Arial" w:hAnsi="Arial"/>
                <w:sz w:val="18"/>
                <w:szCs w:val="18"/>
                <w:b w:val="1"/>
                <w:bCs w:val="1"/>
                <w:color w:val="auto"/>
              </w:rPr>
              <w:t>Three Months Ended</w:t>
            </w:r>
          </w:p>
        </w:tc>
        <w:tc>
          <w:tcPr>
            <w:tcW w:w="560" w:type="dxa"/>
            <w:vAlign w:val="bottom"/>
          </w:tcPr>
          <w:p>
            <w:pPr>
              <w:spacing w:after="0"/>
              <w:rPr>
                <w:sz w:val="24"/>
                <w:szCs w:val="24"/>
                <w:color w:val="auto"/>
              </w:rPr>
            </w:pPr>
          </w:p>
        </w:tc>
      </w:tr>
      <w:tr>
        <w:trPr>
          <w:trHeight w:val="221"/>
        </w:trPr>
        <w:tc>
          <w:tcPr>
            <w:tcW w:w="26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5760" w:type="dxa"/>
            <w:vAlign w:val="bottom"/>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gridSpan w:val="3"/>
          </w:tcPr>
          <w:p>
            <w:pPr>
              <w:jc w:val="right"/>
              <w:ind w:right="750"/>
              <w:spacing w:after="0"/>
              <w:rPr>
                <w:sz w:val="20"/>
                <w:szCs w:val="20"/>
                <w:color w:val="auto"/>
              </w:rPr>
            </w:pPr>
            <w:r>
              <w:rPr>
                <w:rFonts w:ascii="Arial" w:cs="Arial" w:eastAsia="Arial" w:hAnsi="Arial"/>
                <w:sz w:val="18"/>
                <w:szCs w:val="18"/>
                <w:b w:val="1"/>
                <w:bCs w:val="1"/>
                <w:color w:val="auto"/>
              </w:rPr>
              <w:t>March 31,</w:t>
            </w:r>
          </w:p>
        </w:tc>
        <w:tc>
          <w:tcPr>
            <w:tcW w:w="560" w:type="dxa"/>
            <w:vAlign w:val="bottom"/>
            <w:tcBorders>
              <w:bottom w:val="single" w:sz="8" w:color="auto"/>
            </w:tcBorders>
          </w:tcPr>
          <w:p>
            <w:pPr>
              <w:spacing w:after="0"/>
              <w:rPr>
                <w:sz w:val="19"/>
                <w:szCs w:val="19"/>
                <w:color w:val="auto"/>
              </w:rPr>
            </w:pPr>
          </w:p>
        </w:tc>
      </w:tr>
      <w:tr>
        <w:trPr>
          <w:trHeight w:val="196"/>
        </w:trPr>
        <w:tc>
          <w:tcPr>
            <w:tcW w:w="2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5760" w:type="dxa"/>
            <w:vAlign w:val="bottom"/>
          </w:tcPr>
          <w:p>
            <w:pPr>
              <w:spacing w:after="0"/>
              <w:rPr>
                <w:sz w:val="17"/>
                <w:szCs w:val="17"/>
                <w:color w:val="auto"/>
              </w:rPr>
            </w:pPr>
          </w:p>
        </w:tc>
        <w:tc>
          <w:tcPr>
            <w:tcW w:w="1180" w:type="dxa"/>
            <w:vAlign w:val="bottom"/>
          </w:tcPr>
          <w:p>
            <w:pPr>
              <w:jc w:val="right"/>
              <w:ind w:right="70"/>
              <w:spacing w:after="0" w:line="196" w:lineRule="exact"/>
              <w:rPr>
                <w:sz w:val="20"/>
                <w:szCs w:val="20"/>
                <w:color w:val="auto"/>
              </w:rPr>
            </w:pPr>
            <w:r>
              <w:rPr>
                <w:rFonts w:ascii="Arial" w:cs="Arial" w:eastAsia="Arial" w:hAnsi="Arial"/>
                <w:sz w:val="18"/>
                <w:szCs w:val="18"/>
                <w:b w:val="1"/>
                <w:bCs w:val="1"/>
                <w:color w:val="auto"/>
              </w:rPr>
              <w:t>2022</w:t>
            </w:r>
          </w:p>
        </w:tc>
        <w:tc>
          <w:tcPr>
            <w:tcW w:w="560" w:type="dxa"/>
            <w:vAlign w:val="bottom"/>
          </w:tcPr>
          <w:p>
            <w:pPr>
              <w:spacing w:after="0"/>
              <w:rPr>
                <w:sz w:val="17"/>
                <w:szCs w:val="17"/>
                <w:color w:val="auto"/>
              </w:rPr>
            </w:pPr>
          </w:p>
        </w:tc>
        <w:tc>
          <w:tcPr>
            <w:tcW w:w="1240" w:type="dxa"/>
            <w:vAlign w:val="bottom"/>
            <w:gridSpan w:val="2"/>
          </w:tcPr>
          <w:p>
            <w:pPr>
              <w:jc w:val="right"/>
              <w:ind w:right="70"/>
              <w:spacing w:after="0" w:line="196" w:lineRule="exact"/>
              <w:rPr>
                <w:sz w:val="20"/>
                <w:szCs w:val="20"/>
                <w:color w:val="auto"/>
              </w:rPr>
            </w:pPr>
            <w:r>
              <w:rPr>
                <w:rFonts w:ascii="Arial" w:cs="Arial" w:eastAsia="Arial" w:hAnsi="Arial"/>
                <w:sz w:val="18"/>
                <w:szCs w:val="18"/>
                <w:b w:val="1"/>
                <w:bCs w:val="1"/>
                <w:color w:val="auto"/>
              </w:rPr>
              <w:t>2021</w:t>
            </w:r>
          </w:p>
        </w:tc>
        <w:tc>
          <w:tcPr>
            <w:tcW w:w="560" w:type="dxa"/>
            <w:vAlign w:val="bottom"/>
          </w:tcPr>
          <w:p>
            <w:pPr>
              <w:spacing w:after="0"/>
              <w:rPr>
                <w:sz w:val="17"/>
                <w:szCs w:val="17"/>
                <w:color w:val="auto"/>
              </w:rPr>
            </w:pPr>
          </w:p>
        </w:tc>
      </w:tr>
      <w:tr>
        <w:trPr>
          <w:trHeight w:val="236"/>
        </w:trPr>
        <w:tc>
          <w:tcPr>
            <w:tcW w:w="7700" w:type="dxa"/>
            <w:vAlign w:val="bottom"/>
            <w:tcBorders>
              <w:bottom w:val="single" w:sz="8" w:color="CFF0FC"/>
            </w:tcBorders>
            <w:gridSpan w:val="3"/>
            <w:shd w:val="clear" w:color="auto" w:fill="CFF0FC"/>
          </w:tcPr>
          <w:p>
            <w:pPr>
              <w:ind w:left="20"/>
              <w:spacing w:after="0" w:line="196" w:lineRule="exact"/>
              <w:rPr>
                <w:sz w:val="20"/>
                <w:szCs w:val="20"/>
                <w:color w:val="auto"/>
              </w:rPr>
            </w:pPr>
            <w:r>
              <w:rPr>
                <w:rFonts w:ascii="Arial" w:cs="Arial" w:eastAsia="Arial" w:hAnsi="Arial"/>
                <w:sz w:val="18"/>
                <w:szCs w:val="18"/>
                <w:color w:val="auto"/>
              </w:rPr>
              <w:t>Net earnings available to common shareholders</w:t>
            </w:r>
          </w:p>
        </w:tc>
        <w:tc>
          <w:tcPr>
            <w:tcW w:w="1180" w:type="dxa"/>
            <w:vAlign w:val="bottom"/>
            <w:tcBorders>
              <w:top w:val="single" w:sz="8" w:color="auto"/>
              <w:bottom w:val="single" w:sz="8" w:color="auto"/>
            </w:tcBorders>
            <w:shd w:val="clear" w:color="auto" w:fill="CFF0FC"/>
          </w:tcPr>
          <w:p>
            <w:pPr>
              <w:jc w:val="right"/>
              <w:ind w:right="990"/>
              <w:spacing w:after="0" w:line="196" w:lineRule="exact"/>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91.6</w:t>
            </w:r>
          </w:p>
        </w:tc>
        <w:tc>
          <w:tcPr>
            <w:tcW w:w="80" w:type="dxa"/>
            <w:vAlign w:val="bottom"/>
            <w:tcBorders>
              <w:bottom w:val="single" w:sz="8" w:color="CFF0FC"/>
            </w:tcBorders>
            <w:shd w:val="clear" w:color="auto" w:fill="CFF0FC"/>
          </w:tcPr>
          <w:p>
            <w:pPr>
              <w:spacing w:after="0"/>
              <w:rPr>
                <w:sz w:val="20"/>
                <w:szCs w:val="20"/>
                <w:color w:val="auto"/>
              </w:rPr>
            </w:pPr>
          </w:p>
        </w:tc>
        <w:tc>
          <w:tcPr>
            <w:tcW w:w="1160" w:type="dxa"/>
            <w:vAlign w:val="bottom"/>
            <w:tcBorders>
              <w:top w:val="single" w:sz="8" w:color="auto"/>
              <w:bottom w:val="single" w:sz="8" w:color="auto"/>
            </w:tcBorders>
            <w:shd w:val="clear" w:color="auto" w:fill="CFF0FC"/>
          </w:tcPr>
          <w:p>
            <w:pPr>
              <w:jc w:val="right"/>
              <w:ind w:right="970"/>
              <w:spacing w:after="0" w:line="196" w:lineRule="exact"/>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62.0</w:t>
            </w:r>
          </w:p>
        </w:tc>
      </w:tr>
      <w:tr>
        <w:trPr>
          <w:trHeight w:val="183"/>
        </w:trPr>
        <w:tc>
          <w:tcPr>
            <w:tcW w:w="7700" w:type="dxa"/>
            <w:vAlign w:val="bottom"/>
            <w:gridSpan w:val="3"/>
          </w:tcPr>
          <w:p>
            <w:pPr>
              <w:ind w:left="20"/>
              <w:spacing w:after="0" w:line="183" w:lineRule="exact"/>
              <w:rPr>
                <w:sz w:val="20"/>
                <w:szCs w:val="20"/>
                <w:color w:val="auto"/>
              </w:rPr>
            </w:pPr>
            <w:r>
              <w:rPr>
                <w:rFonts w:ascii="Arial" w:cs="Arial" w:eastAsia="Arial" w:hAnsi="Arial"/>
                <w:sz w:val="18"/>
                <w:szCs w:val="18"/>
                <w:color w:val="auto"/>
              </w:rPr>
              <w:t>Weighted-average common shares outstanding (in millions)</w:t>
            </w:r>
          </w:p>
        </w:tc>
        <w:tc>
          <w:tcPr>
            <w:tcW w:w="1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560" w:type="dxa"/>
            <w:vAlign w:val="bottom"/>
          </w:tcPr>
          <w:p>
            <w:pPr>
              <w:spacing w:after="0"/>
              <w:rPr>
                <w:sz w:val="15"/>
                <w:szCs w:val="15"/>
                <w:color w:val="auto"/>
              </w:rPr>
            </w:pPr>
          </w:p>
        </w:tc>
      </w:tr>
      <w:tr>
        <w:trPr>
          <w:trHeight w:val="203"/>
        </w:trPr>
        <w:tc>
          <w:tcPr>
            <w:tcW w:w="7700" w:type="dxa"/>
            <w:vAlign w:val="bottom"/>
            <w:gridSpan w:val="3"/>
            <w:shd w:val="clear" w:color="auto" w:fill="CFF0FC"/>
          </w:tcPr>
          <w:p>
            <w:pPr>
              <w:ind w:left="200"/>
              <w:spacing w:after="0" w:line="202" w:lineRule="exact"/>
              <w:rPr>
                <w:sz w:val="20"/>
                <w:szCs w:val="20"/>
                <w:color w:val="auto"/>
              </w:rPr>
            </w:pPr>
            <w:r>
              <w:rPr>
                <w:rFonts w:ascii="Arial" w:cs="Arial" w:eastAsia="Arial" w:hAnsi="Arial"/>
                <w:sz w:val="18"/>
                <w:szCs w:val="18"/>
                <w:color w:val="auto"/>
              </w:rPr>
              <w:t>Weighted-average common shares outstanding - basic</w:t>
            </w:r>
          </w:p>
        </w:tc>
        <w:tc>
          <w:tcPr>
            <w:tcW w:w="1180" w:type="dxa"/>
            <w:vAlign w:val="bottom"/>
            <w:shd w:val="clear" w:color="auto" w:fill="CFF0FC"/>
          </w:tcPr>
          <w:p>
            <w:pPr>
              <w:spacing w:after="0"/>
              <w:rPr>
                <w:sz w:val="17"/>
                <w:szCs w:val="17"/>
                <w:color w:val="auto"/>
              </w:rPr>
            </w:pPr>
          </w:p>
        </w:tc>
        <w:tc>
          <w:tcPr>
            <w:tcW w:w="5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53.6</w:t>
            </w:r>
          </w:p>
        </w:tc>
        <w:tc>
          <w:tcPr>
            <w:tcW w:w="8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5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55.1</w:t>
            </w:r>
          </w:p>
        </w:tc>
      </w:tr>
      <w:tr>
        <w:trPr>
          <w:trHeight w:val="203"/>
        </w:trPr>
        <w:tc>
          <w:tcPr>
            <w:tcW w:w="260" w:type="dxa"/>
            <w:vAlign w:val="bottom"/>
          </w:tcPr>
          <w:p>
            <w:pPr>
              <w:spacing w:after="0"/>
              <w:rPr>
                <w:sz w:val="17"/>
                <w:szCs w:val="17"/>
                <w:color w:val="auto"/>
              </w:rPr>
            </w:pPr>
          </w:p>
        </w:tc>
        <w:tc>
          <w:tcPr>
            <w:tcW w:w="7440" w:type="dxa"/>
            <w:vAlign w:val="bottom"/>
            <w:gridSpan w:val="2"/>
          </w:tcPr>
          <w:p>
            <w:pPr>
              <w:ind w:left="120"/>
              <w:spacing w:after="0" w:line="202" w:lineRule="exact"/>
              <w:rPr>
                <w:sz w:val="20"/>
                <w:szCs w:val="20"/>
                <w:color w:val="auto"/>
              </w:rPr>
            </w:pPr>
            <w:r>
              <w:rPr>
                <w:rFonts w:ascii="Arial" w:cs="Arial" w:eastAsia="Arial" w:hAnsi="Arial"/>
                <w:sz w:val="18"/>
                <w:szCs w:val="18"/>
                <w:color w:val="auto"/>
              </w:rPr>
              <w:t>Effect of dilutive securities - stock options</w:t>
            </w:r>
          </w:p>
        </w:tc>
        <w:tc>
          <w:tcPr>
            <w:tcW w:w="118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0.1</w:t>
            </w:r>
          </w:p>
        </w:tc>
        <w:tc>
          <w:tcPr>
            <w:tcW w:w="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0.1</w:t>
            </w:r>
          </w:p>
        </w:tc>
      </w:tr>
      <w:tr>
        <w:trPr>
          <w:trHeight w:val="203"/>
        </w:trPr>
        <w:tc>
          <w:tcPr>
            <w:tcW w:w="260" w:type="dxa"/>
            <w:vAlign w:val="bottom"/>
            <w:tcBorders>
              <w:bottom w:val="single" w:sz="8" w:color="CFF0FC"/>
            </w:tcBorders>
            <w:shd w:val="clear" w:color="auto" w:fill="CFF0FC"/>
          </w:tcPr>
          <w:p>
            <w:pPr>
              <w:spacing w:after="0"/>
              <w:rPr>
                <w:sz w:val="17"/>
                <w:szCs w:val="17"/>
                <w:color w:val="auto"/>
              </w:rPr>
            </w:pPr>
          </w:p>
        </w:tc>
        <w:tc>
          <w:tcPr>
            <w:tcW w:w="7440" w:type="dxa"/>
            <w:vAlign w:val="bottom"/>
            <w:tcBorders>
              <w:bottom w:val="single" w:sz="8" w:color="CFF0FC"/>
            </w:tcBorders>
            <w:gridSpan w:val="2"/>
            <w:shd w:val="clear" w:color="auto" w:fill="CFF0FC"/>
          </w:tcPr>
          <w:p>
            <w:pPr>
              <w:ind w:left="120"/>
              <w:spacing w:after="0" w:line="202" w:lineRule="exact"/>
              <w:rPr>
                <w:sz w:val="20"/>
                <w:szCs w:val="20"/>
                <w:color w:val="auto"/>
              </w:rPr>
            </w:pPr>
            <w:r>
              <w:rPr>
                <w:rFonts w:ascii="Arial" w:cs="Arial" w:eastAsia="Arial" w:hAnsi="Arial"/>
                <w:sz w:val="18"/>
                <w:szCs w:val="18"/>
                <w:color w:val="auto"/>
              </w:rPr>
              <w:t>Effect of other share-based awards</w:t>
            </w:r>
          </w:p>
        </w:tc>
        <w:tc>
          <w:tcPr>
            <w:tcW w:w="1180" w:type="dxa"/>
            <w:vAlign w:val="bottom"/>
            <w:tcBorders>
              <w:bottom w:val="single" w:sz="8" w:color="auto"/>
            </w:tcBorders>
            <w:shd w:val="clear" w:color="auto" w:fill="CFF0FC"/>
          </w:tcPr>
          <w:p>
            <w:pPr>
              <w:spacing w:after="0"/>
              <w:rPr>
                <w:sz w:val="17"/>
                <w:szCs w:val="17"/>
                <w:color w:val="auto"/>
              </w:rPr>
            </w:pPr>
          </w:p>
        </w:tc>
        <w:tc>
          <w:tcPr>
            <w:tcW w:w="5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0.7</w:t>
            </w:r>
          </w:p>
        </w:tc>
        <w:tc>
          <w:tcPr>
            <w:tcW w:w="80" w:type="dxa"/>
            <w:vAlign w:val="bottom"/>
            <w:tcBorders>
              <w:bottom w:val="single" w:sz="8" w:color="CFF0FC"/>
            </w:tcBorders>
            <w:shd w:val="clear" w:color="auto" w:fill="CFF0FC"/>
          </w:tcPr>
          <w:p>
            <w:pPr>
              <w:spacing w:after="0"/>
              <w:rPr>
                <w:sz w:val="17"/>
                <w:szCs w:val="17"/>
                <w:color w:val="auto"/>
              </w:rPr>
            </w:pPr>
          </w:p>
        </w:tc>
        <w:tc>
          <w:tcPr>
            <w:tcW w:w="1160" w:type="dxa"/>
            <w:vAlign w:val="bottom"/>
            <w:tcBorders>
              <w:bottom w:val="single" w:sz="8" w:color="auto"/>
            </w:tcBorders>
            <w:shd w:val="clear" w:color="auto" w:fill="CFF0FC"/>
          </w:tcPr>
          <w:p>
            <w:pPr>
              <w:spacing w:after="0"/>
              <w:rPr>
                <w:sz w:val="17"/>
                <w:szCs w:val="17"/>
                <w:color w:val="auto"/>
              </w:rPr>
            </w:pPr>
          </w:p>
        </w:tc>
        <w:tc>
          <w:tcPr>
            <w:tcW w:w="5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0.5</w:t>
            </w:r>
          </w:p>
        </w:tc>
      </w:tr>
      <w:tr>
        <w:trPr>
          <w:trHeight w:val="196"/>
        </w:trPr>
        <w:tc>
          <w:tcPr>
            <w:tcW w:w="7700" w:type="dxa"/>
            <w:vAlign w:val="bottom"/>
            <w:gridSpan w:val="3"/>
          </w:tcPr>
          <w:p>
            <w:pPr>
              <w:ind w:left="200"/>
              <w:spacing w:after="0" w:line="196" w:lineRule="exact"/>
              <w:rPr>
                <w:sz w:val="20"/>
                <w:szCs w:val="20"/>
                <w:color w:val="auto"/>
              </w:rPr>
            </w:pPr>
            <w:r>
              <w:rPr>
                <w:rFonts w:ascii="Arial" w:cs="Arial" w:eastAsia="Arial" w:hAnsi="Arial"/>
                <w:sz w:val="18"/>
                <w:szCs w:val="18"/>
                <w:color w:val="auto"/>
              </w:rPr>
              <w:t>Weighted-average common shares outstanding - diluted</w:t>
            </w:r>
          </w:p>
        </w:tc>
        <w:tc>
          <w:tcPr>
            <w:tcW w:w="118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54.4</w:t>
            </w:r>
          </w:p>
        </w:tc>
        <w:tc>
          <w:tcPr>
            <w:tcW w:w="80" w:type="dxa"/>
            <w:vAlign w:val="bottom"/>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55.7</w:t>
            </w:r>
          </w:p>
        </w:tc>
      </w:tr>
      <w:tr>
        <w:trPr>
          <w:trHeight w:val="20"/>
        </w:trPr>
        <w:tc>
          <w:tcPr>
            <w:tcW w:w="2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r>
        <w:trPr>
          <w:trHeight w:val="223"/>
        </w:trPr>
        <w:tc>
          <w:tcPr>
            <w:tcW w:w="7700" w:type="dxa"/>
            <w:vAlign w:val="bottom"/>
            <w:tcBorders>
              <w:bottom w:val="single" w:sz="8" w:color="CFF0FC"/>
            </w:tcBorders>
            <w:gridSpan w:val="3"/>
            <w:shd w:val="clear" w:color="auto" w:fill="CFF0FC"/>
          </w:tcPr>
          <w:p>
            <w:pPr>
              <w:ind w:left="20"/>
              <w:spacing w:after="0" w:line="183" w:lineRule="exact"/>
              <w:rPr>
                <w:sz w:val="20"/>
                <w:szCs w:val="20"/>
                <w:color w:val="auto"/>
              </w:rPr>
            </w:pPr>
            <w:r>
              <w:rPr>
                <w:rFonts w:ascii="Arial" w:cs="Arial" w:eastAsia="Arial" w:hAnsi="Arial"/>
                <w:sz w:val="18"/>
                <w:szCs w:val="18"/>
                <w:color w:val="auto"/>
              </w:rPr>
              <w:t>Net earnings per share - basic</w:t>
            </w:r>
          </w:p>
        </w:tc>
        <w:tc>
          <w:tcPr>
            <w:tcW w:w="1180" w:type="dxa"/>
            <w:vAlign w:val="bottom"/>
            <w:tcBorders>
              <w:bottom w:val="single" w:sz="8" w:color="auto"/>
            </w:tcBorders>
            <w:shd w:val="clear" w:color="auto" w:fill="CFF0FC"/>
          </w:tcPr>
          <w:p>
            <w:pPr>
              <w:jc w:val="right"/>
              <w:ind w:right="990"/>
              <w:spacing w:after="0" w:line="183" w:lineRule="exact"/>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8"/>
                <w:szCs w:val="18"/>
                <w:color w:val="auto"/>
              </w:rPr>
              <w:t>1.71</w:t>
            </w:r>
          </w:p>
        </w:tc>
        <w:tc>
          <w:tcPr>
            <w:tcW w:w="80" w:type="dxa"/>
            <w:vAlign w:val="bottom"/>
            <w:tcBorders>
              <w:bottom w:val="single" w:sz="8" w:color="CFF0FC"/>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ind w:right="970"/>
              <w:spacing w:after="0" w:line="183" w:lineRule="exact"/>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8"/>
                <w:szCs w:val="18"/>
                <w:color w:val="auto"/>
              </w:rPr>
              <w:t>1.12</w:t>
            </w:r>
          </w:p>
        </w:tc>
      </w:tr>
      <w:tr>
        <w:trPr>
          <w:trHeight w:val="183"/>
        </w:trPr>
        <w:tc>
          <w:tcPr>
            <w:tcW w:w="7700" w:type="dxa"/>
            <w:vAlign w:val="bottom"/>
            <w:gridSpan w:val="3"/>
          </w:tcPr>
          <w:p>
            <w:pPr>
              <w:ind w:left="20"/>
              <w:spacing w:after="0" w:line="183" w:lineRule="exact"/>
              <w:rPr>
                <w:sz w:val="20"/>
                <w:szCs w:val="20"/>
                <w:color w:val="auto"/>
              </w:rPr>
            </w:pPr>
            <w:r>
              <w:rPr>
                <w:rFonts w:ascii="Arial" w:cs="Arial" w:eastAsia="Arial" w:hAnsi="Arial"/>
                <w:sz w:val="18"/>
                <w:szCs w:val="18"/>
                <w:color w:val="auto"/>
              </w:rPr>
              <w:t>Net earnings per share - diluted</w:t>
            </w:r>
          </w:p>
        </w:tc>
        <w:tc>
          <w:tcPr>
            <w:tcW w:w="1180" w:type="dxa"/>
            <w:vAlign w:val="bottom"/>
          </w:tcPr>
          <w:p>
            <w:pPr>
              <w:jc w:val="right"/>
              <w:ind w:right="990"/>
              <w:spacing w:after="0" w:line="183" w:lineRule="exact"/>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line="183" w:lineRule="exact"/>
              <w:rPr>
                <w:sz w:val="20"/>
                <w:szCs w:val="20"/>
                <w:color w:val="auto"/>
              </w:rPr>
            </w:pPr>
            <w:r>
              <w:rPr>
                <w:rFonts w:ascii="Arial" w:cs="Arial" w:eastAsia="Arial" w:hAnsi="Arial"/>
                <w:sz w:val="18"/>
                <w:szCs w:val="18"/>
                <w:color w:val="auto"/>
              </w:rPr>
              <w:t>1.68</w:t>
            </w:r>
          </w:p>
        </w:tc>
        <w:tc>
          <w:tcPr>
            <w:tcW w:w="1240" w:type="dxa"/>
            <w:vAlign w:val="bottom"/>
            <w:gridSpan w:val="2"/>
          </w:tcPr>
          <w:p>
            <w:pPr>
              <w:jc w:val="right"/>
              <w:ind w:right="970"/>
              <w:spacing w:after="0" w:line="183" w:lineRule="exact"/>
              <w:rPr>
                <w:sz w:val="20"/>
                <w:szCs w:val="20"/>
                <w:color w:val="auto"/>
              </w:rPr>
            </w:pPr>
            <w:r>
              <w:rPr>
                <w:rFonts w:ascii="Arial" w:cs="Arial" w:eastAsia="Arial" w:hAnsi="Arial"/>
                <w:sz w:val="18"/>
                <w:szCs w:val="18"/>
                <w:color w:val="auto"/>
              </w:rPr>
              <w:t>$</w:t>
            </w:r>
          </w:p>
        </w:tc>
        <w:tc>
          <w:tcPr>
            <w:tcW w:w="560" w:type="dxa"/>
            <w:vAlign w:val="bottom"/>
          </w:tcPr>
          <w:p>
            <w:pPr>
              <w:jc w:val="right"/>
              <w:spacing w:after="0" w:line="183" w:lineRule="exact"/>
              <w:rPr>
                <w:sz w:val="20"/>
                <w:szCs w:val="20"/>
                <w:color w:val="auto"/>
              </w:rPr>
            </w:pPr>
            <w:r>
              <w:rPr>
                <w:rFonts w:ascii="Arial" w:cs="Arial" w:eastAsia="Arial" w:hAnsi="Arial"/>
                <w:sz w:val="18"/>
                <w:szCs w:val="18"/>
                <w:color w:val="auto"/>
              </w:rPr>
              <w:t>1.11</w:t>
            </w:r>
          </w:p>
        </w:tc>
      </w:tr>
      <w:tr>
        <w:trPr>
          <w:trHeight w:val="20"/>
        </w:trPr>
        <w:tc>
          <w:tcPr>
            <w:tcW w:w="2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5988685</wp:posOffset>
            </wp:positionH>
            <wp:positionV relativeFrom="paragraph">
              <wp:posOffset>-1010920</wp:posOffset>
            </wp:positionV>
            <wp:extent cx="5969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-993775</wp:posOffset>
            </wp:positionV>
            <wp:extent cx="5969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-467995</wp:posOffset>
            </wp:positionV>
            <wp:extent cx="59690" cy="571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-179705</wp:posOffset>
            </wp:positionV>
            <wp:extent cx="5969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-162560</wp:posOffset>
            </wp:positionV>
            <wp:extent cx="5969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182" w:lineRule="exact"/>
        <w:rPr>
          <w:sz w:val="20"/>
          <w:szCs w:val="20"/>
          <w:color w:val="auto"/>
        </w:rPr>
      </w:pPr>
    </w:p>
    <w:p>
      <w:pPr>
        <w:ind w:right="200"/>
        <w:spacing w:after="0" w:line="308" w:lineRule="auto"/>
        <w:rPr>
          <w:sz w:val="20"/>
          <w:szCs w:val="20"/>
          <w:color w:val="auto"/>
        </w:rPr>
      </w:pPr>
      <w:r>
        <w:rPr>
          <w:rFonts w:ascii="Arial" w:cs="Arial" w:eastAsia="Arial" w:hAnsi="Arial"/>
          <w:sz w:val="18"/>
          <w:szCs w:val="18"/>
          <w:color w:val="auto"/>
        </w:rPr>
        <w:t>There were 0.2 million and no share-based awards excluded from the calculation of net earnings per share - diluted for the three months ended March 31, 2022 and 2021, respectively, because their impact was anti-dilutive.</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13" w:name="page14"/>
    <w:bookmarkEnd w:id="13"/>
    <w:p>
      <w:pPr>
        <w:ind w:left="260" w:hanging="252"/>
        <w:spacing w:after="0"/>
        <w:tabs>
          <w:tab w:leader="none" w:pos="260"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auto"/>
        </w:rPr>
        <w:t>Goodwill and Other Intangible Assets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have goodwill, finite-lived intangible assets and indefinite-lived intangible assets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34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96"/>
              </w:rPr>
              <w:t>March 31, 2022</w:t>
            </w:r>
          </w:p>
        </w:tc>
        <w:tc>
          <w:tcPr>
            <w:tcW w:w="14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gridSpan w:val="5"/>
          </w:tcPr>
          <w:p>
            <w:pPr>
              <w:ind w:left="20"/>
              <w:spacing w:after="0"/>
              <w:rPr>
                <w:sz w:val="20"/>
                <w:szCs w:val="20"/>
                <w:color w:val="auto"/>
              </w:rPr>
            </w:pPr>
            <w:r>
              <w:rPr>
                <w:rFonts w:ascii="Arial" w:cs="Arial" w:eastAsia="Arial" w:hAnsi="Arial"/>
                <w:sz w:val="18"/>
                <w:szCs w:val="18"/>
                <w:b w:val="1"/>
                <w:bCs w:val="1"/>
                <w:color w:val="auto"/>
                <w:w w:val="92"/>
              </w:rPr>
              <w:t>December 31, 2021</w:t>
            </w: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3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60" w:type="dxa"/>
            <w:vAlign w:val="bottom"/>
            <w:vMerge w:val="restart"/>
          </w:tcPr>
          <w:p>
            <w:pPr>
              <w:jc w:val="right"/>
              <w:ind w:right="310"/>
              <w:spacing w:after="0"/>
              <w:rPr>
                <w:sz w:val="20"/>
                <w:szCs w:val="20"/>
                <w:color w:val="auto"/>
              </w:rPr>
            </w:pPr>
            <w:r>
              <w:rPr>
                <w:rFonts w:ascii="Arial" w:cs="Arial" w:eastAsia="Arial" w:hAnsi="Arial"/>
                <w:sz w:val="18"/>
                <w:szCs w:val="18"/>
                <w:b w:val="1"/>
                <w:bCs w:val="1"/>
                <w:color w:val="auto"/>
              </w:rPr>
              <w:t>Gross</w:t>
            </w:r>
          </w:p>
        </w:tc>
        <w:tc>
          <w:tcPr>
            <w:tcW w:w="140" w:type="dxa"/>
            <w:vAlign w:val="bottom"/>
          </w:tcPr>
          <w:p>
            <w:pPr>
              <w:spacing w:after="0"/>
              <w:rPr>
                <w:sz w:val="13"/>
                <w:szCs w:val="13"/>
                <w:color w:val="auto"/>
              </w:rPr>
            </w:pPr>
          </w:p>
        </w:tc>
        <w:tc>
          <w:tcPr>
            <w:tcW w:w="1260" w:type="dxa"/>
            <w:vAlign w:val="bottom"/>
            <w:gridSpan w:val="2"/>
          </w:tcPr>
          <w:p>
            <w:pPr>
              <w:jc w:val="right"/>
              <w:ind w:right="70"/>
              <w:spacing w:after="0" w:line="156" w:lineRule="exact"/>
              <w:rPr>
                <w:sz w:val="20"/>
                <w:szCs w:val="20"/>
                <w:color w:val="auto"/>
              </w:rPr>
            </w:pPr>
            <w:r>
              <w:rPr>
                <w:rFonts w:ascii="Arial" w:cs="Arial" w:eastAsia="Arial" w:hAnsi="Arial"/>
                <w:sz w:val="18"/>
                <w:szCs w:val="18"/>
                <w:b w:val="1"/>
                <w:bCs w:val="1"/>
                <w:color w:val="auto"/>
                <w:w w:val="95"/>
              </w:rPr>
              <w:t>Accumulated</w:t>
            </w: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vMerge w:val="restart"/>
          </w:tcPr>
          <w:p>
            <w:pPr>
              <w:jc w:val="right"/>
              <w:ind w:right="410"/>
              <w:spacing w:after="0"/>
              <w:rPr>
                <w:sz w:val="20"/>
                <w:szCs w:val="20"/>
                <w:color w:val="auto"/>
              </w:rPr>
            </w:pPr>
            <w:r>
              <w:rPr>
                <w:rFonts w:ascii="Arial" w:cs="Arial" w:eastAsia="Arial" w:hAnsi="Arial"/>
                <w:sz w:val="18"/>
                <w:szCs w:val="18"/>
                <w:b w:val="1"/>
                <w:bCs w:val="1"/>
                <w:color w:val="auto"/>
              </w:rPr>
              <w:t>Net</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vMerge w:val="restart"/>
          </w:tcPr>
          <w:p>
            <w:pPr>
              <w:jc w:val="right"/>
              <w:ind w:right="250"/>
              <w:spacing w:after="0"/>
              <w:rPr>
                <w:sz w:val="20"/>
                <w:szCs w:val="20"/>
                <w:color w:val="auto"/>
              </w:rPr>
            </w:pPr>
            <w:r>
              <w:rPr>
                <w:rFonts w:ascii="Arial" w:cs="Arial" w:eastAsia="Arial" w:hAnsi="Arial"/>
                <w:sz w:val="18"/>
                <w:szCs w:val="18"/>
                <w:b w:val="1"/>
                <w:bCs w:val="1"/>
                <w:color w:val="auto"/>
              </w:rPr>
              <w:t>Gross</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40" w:type="dxa"/>
            <w:vAlign w:val="bottom"/>
            <w:gridSpan w:val="3"/>
          </w:tcPr>
          <w:p>
            <w:pPr>
              <w:ind w:left="80"/>
              <w:spacing w:after="0" w:line="156" w:lineRule="exact"/>
              <w:rPr>
                <w:sz w:val="20"/>
                <w:szCs w:val="20"/>
                <w:color w:val="auto"/>
              </w:rPr>
            </w:pPr>
            <w:r>
              <w:rPr>
                <w:rFonts w:ascii="Arial" w:cs="Arial" w:eastAsia="Arial" w:hAnsi="Arial"/>
                <w:sz w:val="18"/>
                <w:szCs w:val="18"/>
                <w:b w:val="1"/>
                <w:bCs w:val="1"/>
                <w:color w:val="auto"/>
              </w:rPr>
              <w:t>Accumulated</w:t>
            </w:r>
          </w:p>
        </w:tc>
        <w:tc>
          <w:tcPr>
            <w:tcW w:w="260" w:type="dxa"/>
            <w:vAlign w:val="bottom"/>
          </w:tcPr>
          <w:p>
            <w:pPr>
              <w:spacing w:after="0"/>
              <w:rPr>
                <w:sz w:val="13"/>
                <w:szCs w:val="13"/>
                <w:color w:val="auto"/>
              </w:rPr>
            </w:pPr>
          </w:p>
        </w:tc>
        <w:tc>
          <w:tcPr>
            <w:tcW w:w="880" w:type="dxa"/>
            <w:vAlign w:val="bottom"/>
            <w:vMerge w:val="restart"/>
          </w:tcPr>
          <w:p>
            <w:pPr>
              <w:jc w:val="right"/>
              <w:ind w:right="370"/>
              <w:spacing w:after="0"/>
              <w:rPr>
                <w:sz w:val="20"/>
                <w:szCs w:val="20"/>
                <w:color w:val="auto"/>
              </w:rPr>
            </w:pPr>
            <w:r>
              <w:rPr>
                <w:rFonts w:ascii="Arial" w:cs="Arial" w:eastAsia="Arial" w:hAnsi="Arial"/>
                <w:sz w:val="18"/>
                <w:szCs w:val="18"/>
                <w:b w:val="1"/>
                <w:bCs w:val="1"/>
                <w:color w:val="auto"/>
              </w:rPr>
              <w:t>Net</w:t>
            </w:r>
          </w:p>
        </w:tc>
        <w:tc>
          <w:tcPr>
            <w:tcW w:w="0" w:type="dxa"/>
            <w:vAlign w:val="bottom"/>
          </w:tcPr>
          <w:p>
            <w:pPr>
              <w:spacing w:after="0"/>
              <w:rPr>
                <w:sz w:val="1"/>
                <w:szCs w:val="1"/>
                <w:color w:val="auto"/>
              </w:rPr>
            </w:pPr>
          </w:p>
        </w:tc>
      </w:tr>
      <w:tr>
        <w:trPr>
          <w:trHeight w:val="216"/>
        </w:trPr>
        <w:tc>
          <w:tcPr>
            <w:tcW w:w="3420" w:type="dxa"/>
            <w:vAlign w:val="bottom"/>
            <w:vMerge w:val="restart"/>
          </w:tcPr>
          <w:p>
            <w:pPr>
              <w:ind w:left="20"/>
              <w:spacing w:after="0"/>
              <w:rPr>
                <w:sz w:val="20"/>
                <w:szCs w:val="20"/>
                <w:color w:val="auto"/>
              </w:rPr>
            </w:pPr>
            <w:r>
              <w:rPr>
                <w:rFonts w:ascii="Arial" w:cs="Arial" w:eastAsia="Arial" w:hAnsi="Arial"/>
                <w:sz w:val="18"/>
                <w:szCs w:val="18"/>
                <w:color w:val="auto"/>
              </w:rPr>
              <w:t>Goodwill</w:t>
            </w:r>
            <w:r>
              <w:rPr>
                <w:rFonts w:ascii="Arial" w:cs="Arial" w:eastAsia="Arial" w:hAnsi="Arial"/>
                <w:sz w:val="24"/>
                <w:szCs w:val="24"/>
                <w:color w:val="auto"/>
                <w:vertAlign w:val="superscript"/>
              </w:rPr>
              <w:t>(1)</w:t>
            </w:r>
          </w:p>
        </w:tc>
        <w:tc>
          <w:tcPr>
            <w:tcW w:w="22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70"/>
              <w:spacing w:after="0"/>
              <w:rPr>
                <w:sz w:val="20"/>
                <w:szCs w:val="20"/>
                <w:color w:val="auto"/>
              </w:rPr>
            </w:pPr>
            <w:r>
              <w:rPr>
                <w:rFonts w:ascii="Arial" w:cs="Arial" w:eastAsia="Arial" w:hAnsi="Arial"/>
                <w:sz w:val="18"/>
                <w:szCs w:val="18"/>
                <w:b w:val="1"/>
                <w:bCs w:val="1"/>
                <w:color w:val="auto"/>
                <w:w w:val="98"/>
              </w:rPr>
              <w:t>Amortization</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3"/>
          </w:tcPr>
          <w:p>
            <w:pPr>
              <w:ind w:left="60"/>
              <w:spacing w:after="0"/>
              <w:rPr>
                <w:sz w:val="20"/>
                <w:szCs w:val="20"/>
                <w:color w:val="auto"/>
              </w:rPr>
            </w:pPr>
            <w:r>
              <w:rPr>
                <w:rFonts w:ascii="Arial" w:cs="Arial" w:eastAsia="Arial" w:hAnsi="Arial"/>
                <w:sz w:val="18"/>
                <w:szCs w:val="18"/>
                <w:b w:val="1"/>
                <w:bCs w:val="1"/>
                <w:color w:val="auto"/>
              </w:rPr>
              <w:t>Amortization</w:t>
            </w:r>
          </w:p>
        </w:tc>
        <w:tc>
          <w:tcPr>
            <w:tcW w:w="26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3420" w:type="dxa"/>
            <w:vAlign w:val="bottom"/>
            <w:vMerge w:val="continue"/>
          </w:tcPr>
          <w:p>
            <w:pPr>
              <w:spacing w:after="0"/>
              <w:rPr>
                <w:sz w:val="17"/>
                <w:szCs w:val="17"/>
                <w:color w:val="auto"/>
              </w:rPr>
            </w:pPr>
          </w:p>
        </w:tc>
        <w:tc>
          <w:tcPr>
            <w:tcW w:w="220" w:type="dxa"/>
            <w:vAlign w:val="bottom"/>
            <w:tcBorders>
              <w:top w:val="single" w:sz="8" w:color="auto"/>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1,710.0</w:t>
            </w:r>
          </w:p>
        </w:tc>
        <w:tc>
          <w:tcPr>
            <w:tcW w:w="140" w:type="dxa"/>
            <w:vAlign w:val="bottom"/>
          </w:tcPr>
          <w:p>
            <w:pPr>
              <w:spacing w:after="0"/>
              <w:rPr>
                <w:sz w:val="17"/>
                <w:szCs w:val="17"/>
                <w:color w:val="auto"/>
              </w:rPr>
            </w:pPr>
          </w:p>
        </w:tc>
        <w:tc>
          <w:tcPr>
            <w:tcW w:w="440" w:type="dxa"/>
            <w:vAlign w:val="bottom"/>
            <w:tcBorders>
              <w:top w:val="single" w:sz="8" w:color="auto"/>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1,710.0</w:t>
            </w:r>
          </w:p>
        </w:tc>
        <w:tc>
          <w:tcPr>
            <w:tcW w:w="12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1,722.2</w:t>
            </w:r>
          </w:p>
        </w:tc>
        <w:tc>
          <w:tcPr>
            <w:tcW w:w="60" w:type="dxa"/>
            <w:vAlign w:val="bottom"/>
            <w:tcBorders>
              <w:top w:val="single" w:sz="8" w:color="auto"/>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Borders>
              <w:top w:val="single" w:sz="8" w:color="auto"/>
              <w:bottom w:val="single" w:sz="8" w:color="auto"/>
            </w:tcBorders>
          </w:tcPr>
          <w:p>
            <w:pPr>
              <w:jc w:val="right"/>
              <w:ind w:right="230"/>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1,722.2</w:t>
            </w:r>
          </w:p>
        </w:tc>
        <w:tc>
          <w:tcPr>
            <w:tcW w:w="0" w:type="dxa"/>
            <w:vAlign w:val="bottom"/>
          </w:tcPr>
          <w:p>
            <w:pPr>
              <w:spacing w:after="0"/>
              <w:rPr>
                <w:sz w:val="1"/>
                <w:szCs w:val="1"/>
                <w:color w:val="auto"/>
              </w:rPr>
            </w:pPr>
          </w:p>
        </w:tc>
      </w:tr>
      <w:tr>
        <w:trPr>
          <w:trHeight w:val="20"/>
        </w:trPr>
        <w:tc>
          <w:tcPr>
            <w:tcW w:w="3420" w:type="dxa"/>
            <w:vAlign w:val="bottom"/>
            <w:vMerge w:val="restart"/>
          </w:tcPr>
          <w:p>
            <w:pPr>
              <w:ind w:left="20"/>
              <w:spacing w:after="0"/>
              <w:rPr>
                <w:sz w:val="20"/>
                <w:szCs w:val="20"/>
                <w:color w:val="auto"/>
              </w:rPr>
            </w:pPr>
            <w:r>
              <w:rPr>
                <w:rFonts w:ascii="Arial" w:cs="Arial" w:eastAsia="Arial" w:hAnsi="Arial"/>
                <w:sz w:val="18"/>
                <w:szCs w:val="18"/>
                <w:color w:val="auto"/>
              </w:rPr>
              <w:t>Intangible assets:</w:t>
            </w: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42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42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Finite-lived:</w:t>
            </w:r>
          </w:p>
        </w:tc>
        <w:tc>
          <w:tcPr>
            <w:tcW w:w="22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20" w:type="dxa"/>
            <w:vAlign w:val="bottom"/>
          </w:tcPr>
          <w:p>
            <w:pPr>
              <w:ind w:left="380"/>
              <w:spacing w:after="0" w:line="202" w:lineRule="exact"/>
              <w:rPr>
                <w:sz w:val="20"/>
                <w:szCs w:val="20"/>
                <w:color w:val="auto"/>
              </w:rPr>
            </w:pPr>
            <w:r>
              <w:rPr>
                <w:rFonts w:ascii="Arial" w:cs="Arial" w:eastAsia="Arial" w:hAnsi="Arial"/>
                <w:sz w:val="18"/>
                <w:szCs w:val="18"/>
                <w:color w:val="auto"/>
              </w:rPr>
              <w:t>Customer relationships</w:t>
            </w:r>
          </w:p>
        </w:tc>
        <w:tc>
          <w:tcPr>
            <w:tcW w:w="220" w:type="dxa"/>
            <w:vAlign w:val="bottom"/>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820.0</w:t>
            </w:r>
          </w:p>
        </w:tc>
        <w:tc>
          <w:tcPr>
            <w:tcW w:w="580" w:type="dxa"/>
            <w:vAlign w:val="bottom"/>
            <w:gridSpan w:val="2"/>
          </w:tcPr>
          <w:p>
            <w:pPr>
              <w:ind w:left="140"/>
              <w:spacing w:after="0" w:line="202" w:lineRule="exact"/>
              <w:rPr>
                <w:sz w:val="20"/>
                <w:szCs w:val="20"/>
                <w:color w:val="auto"/>
              </w:rPr>
            </w:pPr>
            <w:r>
              <w:rPr>
                <w:rFonts w:ascii="Arial" w:cs="Arial" w:eastAsia="Arial" w:hAnsi="Arial"/>
                <w:sz w:val="18"/>
                <w:szCs w:val="18"/>
                <w:color w:val="auto"/>
              </w:rPr>
              <w:t>$</w:t>
            </w: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427.8</w:t>
            </w:r>
          </w:p>
        </w:tc>
        <w:tc>
          <w:tcPr>
            <w:tcW w:w="400" w:type="dxa"/>
            <w:vAlign w:val="bottom"/>
            <w:gridSpan w:val="2"/>
          </w:tcPr>
          <w:p>
            <w:pPr>
              <w:jc w:val="right"/>
              <w:ind w:right="70"/>
              <w:spacing w:after="0" w:line="202" w:lineRule="exact"/>
              <w:rPr>
                <w:sz w:val="20"/>
                <w:szCs w:val="20"/>
                <w:color w:val="auto"/>
              </w:rPr>
            </w:pPr>
            <w:r>
              <w:rPr>
                <w:rFonts w:ascii="Arial" w:cs="Arial" w:eastAsia="Arial" w:hAnsi="Arial"/>
                <w:sz w:val="18"/>
                <w:szCs w:val="18"/>
                <w:color w:val="auto"/>
              </w:rPr>
              <w:t>$</w:t>
            </w: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392.2</w:t>
            </w:r>
          </w:p>
        </w:tc>
        <w:tc>
          <w:tcPr>
            <w:tcW w:w="340" w:type="dxa"/>
            <w:vAlign w:val="bottom"/>
            <w:gridSpan w:val="2"/>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823.4</w:t>
            </w:r>
          </w:p>
        </w:tc>
        <w:tc>
          <w:tcPr>
            <w:tcW w:w="620" w:type="dxa"/>
            <w:vAlign w:val="bottom"/>
            <w:gridSpan w:val="3"/>
          </w:tcPr>
          <w:p>
            <w:pPr>
              <w:jc w:val="right"/>
              <w:ind w:right="230"/>
              <w:spacing w:after="0" w:line="202" w:lineRule="exact"/>
              <w:rPr>
                <w:sz w:val="20"/>
                <w:szCs w:val="20"/>
                <w:color w:val="auto"/>
              </w:rPr>
            </w:pPr>
            <w:r>
              <w:rPr>
                <w:rFonts w:ascii="Arial" w:cs="Arial" w:eastAsia="Arial" w:hAnsi="Arial"/>
                <w:sz w:val="18"/>
                <w:szCs w:val="18"/>
                <w:color w:val="auto"/>
              </w:rPr>
              <w:t>$</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421.6</w:t>
            </w:r>
          </w:p>
        </w:tc>
        <w:tc>
          <w:tcPr>
            <w:tcW w:w="120" w:type="dxa"/>
            <w:vAlign w:val="bottom"/>
          </w:tcPr>
          <w:p>
            <w:pPr>
              <w:spacing w:after="0"/>
              <w:rPr>
                <w:sz w:val="17"/>
                <w:szCs w:val="17"/>
                <w:color w:val="auto"/>
              </w:rPr>
            </w:pPr>
          </w:p>
        </w:tc>
        <w:tc>
          <w:tcPr>
            <w:tcW w:w="260" w:type="dxa"/>
            <w:vAlign w:val="bottom"/>
          </w:tcPr>
          <w:p>
            <w:pPr>
              <w:jc w:val="right"/>
              <w:ind w:right="70"/>
              <w:spacing w:after="0" w:line="202" w:lineRule="exact"/>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401.8</w:t>
            </w:r>
          </w:p>
        </w:tc>
        <w:tc>
          <w:tcPr>
            <w:tcW w:w="0" w:type="dxa"/>
            <w:vAlign w:val="bottom"/>
          </w:tcPr>
          <w:p>
            <w:pPr>
              <w:spacing w:after="0"/>
              <w:rPr>
                <w:sz w:val="1"/>
                <w:szCs w:val="1"/>
                <w:color w:val="auto"/>
              </w:rPr>
            </w:pPr>
          </w:p>
        </w:tc>
      </w:tr>
      <w:tr>
        <w:trPr>
          <w:trHeight w:val="203"/>
        </w:trPr>
        <w:tc>
          <w:tcPr>
            <w:tcW w:w="3420" w:type="dxa"/>
            <w:vAlign w:val="bottom"/>
            <w:tcBorders>
              <w:bottom w:val="single" w:sz="8" w:color="CFF0FC"/>
            </w:tcBorders>
            <w:shd w:val="clear" w:color="auto" w:fill="CFF0FC"/>
          </w:tcPr>
          <w:p>
            <w:pPr>
              <w:ind w:left="380"/>
              <w:spacing w:after="0" w:line="202" w:lineRule="exact"/>
              <w:rPr>
                <w:sz w:val="20"/>
                <w:szCs w:val="20"/>
                <w:color w:val="auto"/>
              </w:rPr>
            </w:pPr>
            <w:r>
              <w:rPr>
                <w:rFonts w:ascii="Arial" w:cs="Arial" w:eastAsia="Arial" w:hAnsi="Arial"/>
                <w:sz w:val="18"/>
                <w:szCs w:val="18"/>
                <w:color w:val="auto"/>
              </w:rPr>
              <w:t>Other</w:t>
            </w:r>
          </w:p>
        </w:tc>
        <w:tc>
          <w:tcPr>
            <w:tcW w:w="220" w:type="dxa"/>
            <w:vAlign w:val="bottom"/>
            <w:tcBorders>
              <w:bottom w:val="single" w:sz="8" w:color="auto"/>
            </w:tcBorders>
            <w:shd w:val="clear" w:color="auto" w:fill="CFF0FC"/>
          </w:tcPr>
          <w:p>
            <w:pPr>
              <w:spacing w:after="0"/>
              <w:rPr>
                <w:sz w:val="17"/>
                <w:szCs w:val="17"/>
                <w:color w:val="auto"/>
              </w:rPr>
            </w:pPr>
          </w:p>
        </w:tc>
        <w:tc>
          <w:tcPr>
            <w:tcW w:w="9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23.0</w:t>
            </w:r>
          </w:p>
        </w:tc>
        <w:tc>
          <w:tcPr>
            <w:tcW w:w="140" w:type="dxa"/>
            <w:vAlign w:val="bottom"/>
            <w:tcBorders>
              <w:bottom w:val="single" w:sz="8" w:color="CFF0FC"/>
            </w:tcBorders>
            <w:shd w:val="clear" w:color="auto" w:fill="CFF0FC"/>
          </w:tcPr>
          <w:p>
            <w:pPr>
              <w:spacing w:after="0"/>
              <w:rPr>
                <w:sz w:val="17"/>
                <w:szCs w:val="17"/>
                <w:color w:val="auto"/>
              </w:rPr>
            </w:pPr>
          </w:p>
        </w:tc>
        <w:tc>
          <w:tcPr>
            <w:tcW w:w="440" w:type="dxa"/>
            <w:vAlign w:val="bottom"/>
            <w:tcBorders>
              <w:bottom w:val="single" w:sz="8" w:color="auto"/>
            </w:tcBorders>
            <w:shd w:val="clear" w:color="auto" w:fill="CFF0FC"/>
          </w:tcPr>
          <w:p>
            <w:pPr>
              <w:spacing w:after="0"/>
              <w:rPr>
                <w:sz w:val="17"/>
                <w:szCs w:val="17"/>
                <w:color w:val="auto"/>
              </w:rPr>
            </w:pPr>
          </w:p>
        </w:tc>
        <w:tc>
          <w:tcPr>
            <w:tcW w:w="8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20.2</w:t>
            </w:r>
          </w:p>
        </w:tc>
        <w:tc>
          <w:tcPr>
            <w:tcW w:w="14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9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2.8</w:t>
            </w:r>
          </w:p>
        </w:tc>
        <w:tc>
          <w:tcPr>
            <w:tcW w:w="12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9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23.2</w:t>
            </w:r>
          </w:p>
        </w:tc>
        <w:tc>
          <w:tcPr>
            <w:tcW w:w="60" w:type="dxa"/>
            <w:vAlign w:val="bottom"/>
            <w:tcBorders>
              <w:bottom w:val="single" w:sz="8" w:color="auto"/>
            </w:tcBorders>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spacing w:after="0"/>
              <w:rPr>
                <w:sz w:val="17"/>
                <w:szCs w:val="17"/>
                <w:color w:val="auto"/>
              </w:rPr>
            </w:pPr>
          </w:p>
        </w:tc>
        <w:tc>
          <w:tcPr>
            <w:tcW w:w="420" w:type="dxa"/>
            <w:vAlign w:val="bottom"/>
            <w:tcBorders>
              <w:bottom w:val="single" w:sz="8" w:color="auto"/>
            </w:tcBorders>
            <w:shd w:val="clear" w:color="auto" w:fill="CFF0FC"/>
          </w:tcPr>
          <w:p>
            <w:pPr>
              <w:spacing w:after="0"/>
              <w:rPr>
                <w:sz w:val="17"/>
                <w:szCs w:val="17"/>
                <w:color w:val="auto"/>
              </w:rPr>
            </w:pPr>
          </w:p>
        </w:tc>
        <w:tc>
          <w:tcPr>
            <w:tcW w:w="8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19.7</w:t>
            </w:r>
          </w:p>
        </w:tc>
        <w:tc>
          <w:tcPr>
            <w:tcW w:w="12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8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196"/>
        </w:trPr>
        <w:tc>
          <w:tcPr>
            <w:tcW w:w="3420" w:type="dxa"/>
            <w:vAlign w:val="bottom"/>
            <w:vMerge w:val="restart"/>
          </w:tcPr>
          <w:p>
            <w:pPr>
              <w:ind w:left="200"/>
              <w:spacing w:after="0"/>
              <w:rPr>
                <w:sz w:val="20"/>
                <w:szCs w:val="20"/>
                <w:color w:val="auto"/>
              </w:rPr>
            </w:pPr>
            <w:r>
              <w:rPr>
                <w:rFonts w:ascii="Arial" w:cs="Arial" w:eastAsia="Arial" w:hAnsi="Arial"/>
                <w:sz w:val="18"/>
                <w:szCs w:val="18"/>
                <w:color w:val="auto"/>
              </w:rPr>
              <w:t>Indefinite-lived:</w:t>
            </w:r>
          </w:p>
        </w:tc>
        <w:tc>
          <w:tcPr>
            <w:tcW w:w="2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843.0</w:t>
            </w:r>
          </w:p>
        </w:tc>
        <w:tc>
          <w:tcPr>
            <w:tcW w:w="14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448.0</w:t>
            </w:r>
          </w:p>
        </w:tc>
        <w:tc>
          <w:tcPr>
            <w:tcW w:w="1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395.0</w:t>
            </w:r>
          </w:p>
        </w:tc>
        <w:tc>
          <w:tcPr>
            <w:tcW w:w="1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846.6</w:t>
            </w:r>
          </w:p>
        </w:tc>
        <w:tc>
          <w:tcPr>
            <w:tcW w:w="6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441.3</w:t>
            </w:r>
          </w:p>
        </w:tc>
        <w:tc>
          <w:tcPr>
            <w:tcW w:w="1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405.3</w:t>
            </w:r>
          </w:p>
        </w:tc>
        <w:tc>
          <w:tcPr>
            <w:tcW w:w="0" w:type="dxa"/>
            <w:vAlign w:val="bottom"/>
          </w:tcPr>
          <w:p>
            <w:pPr>
              <w:spacing w:after="0"/>
              <w:rPr>
                <w:sz w:val="1"/>
                <w:szCs w:val="1"/>
                <w:color w:val="auto"/>
              </w:rPr>
            </w:pPr>
          </w:p>
        </w:tc>
      </w:tr>
      <w:tr>
        <w:trPr>
          <w:trHeight w:val="155"/>
        </w:trPr>
        <w:tc>
          <w:tcPr>
            <w:tcW w:w="342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3420" w:type="dxa"/>
            <w:vAlign w:val="bottom"/>
          </w:tcPr>
          <w:p>
            <w:pPr>
              <w:ind w:left="380"/>
              <w:spacing w:after="0" w:line="243" w:lineRule="exact"/>
              <w:rPr>
                <w:sz w:val="20"/>
                <w:szCs w:val="20"/>
                <w:color w:val="auto"/>
              </w:rPr>
            </w:pPr>
            <w:r>
              <w:rPr>
                <w:rFonts w:ascii="Arial" w:cs="Arial" w:eastAsia="Arial" w:hAnsi="Arial"/>
                <w:sz w:val="18"/>
                <w:szCs w:val="18"/>
                <w:color w:val="auto"/>
              </w:rPr>
              <w:t>Tradenames</w:t>
            </w:r>
            <w:r>
              <w:rPr>
                <w:rFonts w:ascii="Arial" w:cs="Arial" w:eastAsia="Arial" w:hAnsi="Arial"/>
                <w:sz w:val="24"/>
                <w:szCs w:val="24"/>
                <w:color w:val="auto"/>
                <w:vertAlign w:val="superscript"/>
              </w:rPr>
              <w:t>(2)</w:t>
            </w:r>
          </w:p>
        </w:tc>
        <w:tc>
          <w:tcPr>
            <w:tcW w:w="2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52.0</w:t>
            </w:r>
          </w:p>
        </w:tc>
        <w:tc>
          <w:tcPr>
            <w:tcW w:w="1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52.0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52.0</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52.0</w:t>
            </w:r>
          </w:p>
        </w:tc>
        <w:tc>
          <w:tcPr>
            <w:tcW w:w="0" w:type="dxa"/>
            <w:vAlign w:val="bottom"/>
          </w:tcPr>
          <w:p>
            <w:pPr>
              <w:spacing w:after="0"/>
              <w:rPr>
                <w:sz w:val="1"/>
                <w:szCs w:val="1"/>
                <w:color w:val="auto"/>
              </w:rPr>
            </w:pPr>
          </w:p>
        </w:tc>
      </w:tr>
      <w:tr>
        <w:trPr>
          <w:trHeight w:val="203"/>
        </w:trPr>
        <w:tc>
          <w:tcPr>
            <w:tcW w:w="3420" w:type="dxa"/>
            <w:vAlign w:val="bottom"/>
            <w:tcBorders>
              <w:bottom w:val="single" w:sz="8" w:color="CFF0FC"/>
            </w:tcBorders>
            <w:shd w:val="clear" w:color="auto" w:fill="CFF0FC"/>
          </w:tcPr>
          <w:p>
            <w:pPr>
              <w:ind w:left="380"/>
              <w:spacing w:after="0" w:line="202" w:lineRule="exact"/>
              <w:rPr>
                <w:sz w:val="20"/>
                <w:szCs w:val="20"/>
                <w:color w:val="auto"/>
              </w:rPr>
            </w:pPr>
            <w:r>
              <w:rPr>
                <w:rFonts w:ascii="Arial" w:cs="Arial" w:eastAsia="Arial" w:hAnsi="Arial"/>
                <w:sz w:val="18"/>
                <w:szCs w:val="18"/>
                <w:color w:val="auto"/>
              </w:rPr>
              <w:t>Reacquired franchise rights</w:t>
            </w:r>
          </w:p>
        </w:tc>
        <w:tc>
          <w:tcPr>
            <w:tcW w:w="220" w:type="dxa"/>
            <w:vAlign w:val="bottom"/>
            <w:tcBorders>
              <w:bottom w:val="single" w:sz="8" w:color="auto"/>
            </w:tcBorders>
            <w:shd w:val="clear" w:color="auto" w:fill="CFF0FC"/>
          </w:tcPr>
          <w:p>
            <w:pPr>
              <w:spacing w:after="0"/>
              <w:rPr>
                <w:sz w:val="17"/>
                <w:szCs w:val="17"/>
                <w:color w:val="auto"/>
              </w:rPr>
            </w:pPr>
          </w:p>
        </w:tc>
        <w:tc>
          <w:tcPr>
            <w:tcW w:w="9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126.0</w:t>
            </w:r>
          </w:p>
        </w:tc>
        <w:tc>
          <w:tcPr>
            <w:tcW w:w="140" w:type="dxa"/>
            <w:vAlign w:val="bottom"/>
            <w:tcBorders>
              <w:bottom w:val="single" w:sz="8" w:color="CFF0FC"/>
            </w:tcBorders>
            <w:shd w:val="clear" w:color="auto" w:fill="CFF0FC"/>
          </w:tcPr>
          <w:p>
            <w:pPr>
              <w:spacing w:after="0"/>
              <w:rPr>
                <w:sz w:val="17"/>
                <w:szCs w:val="17"/>
                <w:color w:val="auto"/>
              </w:rPr>
            </w:pPr>
          </w:p>
        </w:tc>
        <w:tc>
          <w:tcPr>
            <w:tcW w:w="440" w:type="dxa"/>
            <w:vAlign w:val="bottom"/>
            <w:tcBorders>
              <w:bottom w:val="single" w:sz="8" w:color="auto"/>
            </w:tcBorders>
            <w:shd w:val="clear" w:color="auto" w:fill="CFF0FC"/>
          </w:tcPr>
          <w:p>
            <w:pPr>
              <w:spacing w:after="0"/>
              <w:rPr>
                <w:sz w:val="17"/>
                <w:szCs w:val="17"/>
                <w:color w:val="auto"/>
              </w:rPr>
            </w:pPr>
          </w:p>
        </w:tc>
        <w:tc>
          <w:tcPr>
            <w:tcW w:w="8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9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126.0</w:t>
            </w:r>
          </w:p>
        </w:tc>
        <w:tc>
          <w:tcPr>
            <w:tcW w:w="12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9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126.3</w:t>
            </w:r>
          </w:p>
        </w:tc>
        <w:tc>
          <w:tcPr>
            <w:tcW w:w="60" w:type="dxa"/>
            <w:vAlign w:val="bottom"/>
            <w:tcBorders>
              <w:bottom w:val="single" w:sz="8" w:color="auto"/>
            </w:tcBorders>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spacing w:after="0"/>
              <w:rPr>
                <w:sz w:val="17"/>
                <w:szCs w:val="17"/>
                <w:color w:val="auto"/>
              </w:rPr>
            </w:pPr>
          </w:p>
        </w:tc>
        <w:tc>
          <w:tcPr>
            <w:tcW w:w="420" w:type="dxa"/>
            <w:vAlign w:val="bottom"/>
            <w:tcBorders>
              <w:bottom w:val="single" w:sz="8" w:color="auto"/>
            </w:tcBorders>
            <w:shd w:val="clear" w:color="auto" w:fill="CFF0FC"/>
          </w:tcPr>
          <w:p>
            <w:pPr>
              <w:spacing w:after="0"/>
              <w:rPr>
                <w:sz w:val="17"/>
                <w:szCs w:val="17"/>
                <w:color w:val="auto"/>
              </w:rPr>
            </w:pPr>
          </w:p>
        </w:tc>
        <w:tc>
          <w:tcPr>
            <w:tcW w:w="8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8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126.3</w:t>
            </w:r>
          </w:p>
        </w:tc>
        <w:tc>
          <w:tcPr>
            <w:tcW w:w="0" w:type="dxa"/>
            <w:vAlign w:val="bottom"/>
          </w:tcPr>
          <w:p>
            <w:pPr>
              <w:spacing w:after="0"/>
              <w:rPr>
                <w:sz w:val="1"/>
                <w:szCs w:val="1"/>
                <w:color w:val="auto"/>
              </w:rPr>
            </w:pPr>
          </w:p>
        </w:tc>
      </w:tr>
      <w:tr>
        <w:trPr>
          <w:trHeight w:val="196"/>
        </w:trPr>
        <w:tc>
          <w:tcPr>
            <w:tcW w:w="3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jc w:val="right"/>
              <w:spacing w:after="0" w:line="196" w:lineRule="exact"/>
              <w:rPr>
                <w:sz w:val="20"/>
                <w:szCs w:val="20"/>
                <w:color w:val="auto"/>
              </w:rPr>
            </w:pPr>
            <w:r>
              <w:rPr>
                <w:rFonts w:ascii="Arial" w:cs="Arial" w:eastAsia="Arial" w:hAnsi="Arial"/>
                <w:sz w:val="18"/>
                <w:szCs w:val="18"/>
                <w:color w:val="auto"/>
              </w:rPr>
              <w:t>178.0</w:t>
            </w: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178.0</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178.3</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20" w:type="dxa"/>
            <w:vAlign w:val="bottom"/>
            <w:gridSpan w:val="2"/>
          </w:tcPr>
          <w:p>
            <w:pPr>
              <w:jc w:val="right"/>
              <w:ind w:right="180"/>
              <w:spacing w:after="0" w:line="196"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880" w:type="dxa"/>
            <w:vAlign w:val="bottom"/>
          </w:tcPr>
          <w:p>
            <w:pPr>
              <w:jc w:val="right"/>
              <w:spacing w:after="0" w:line="196" w:lineRule="exact"/>
              <w:rPr>
                <w:sz w:val="20"/>
                <w:szCs w:val="20"/>
                <w:color w:val="auto"/>
              </w:rPr>
            </w:pPr>
            <w:r>
              <w:rPr>
                <w:rFonts w:ascii="Arial" w:cs="Arial" w:eastAsia="Arial" w:hAnsi="Arial"/>
                <w:sz w:val="18"/>
                <w:szCs w:val="18"/>
                <w:color w:val="auto"/>
              </w:rPr>
              <w:t>178.3</w:t>
            </w:r>
          </w:p>
        </w:tc>
        <w:tc>
          <w:tcPr>
            <w:tcW w:w="0" w:type="dxa"/>
            <w:vAlign w:val="bottom"/>
          </w:tcPr>
          <w:p>
            <w:pPr>
              <w:spacing w:after="0"/>
              <w:rPr>
                <w:sz w:val="1"/>
                <w:szCs w:val="1"/>
                <w:color w:val="auto"/>
              </w:rPr>
            </w:pPr>
          </w:p>
        </w:tc>
      </w:tr>
      <w:tr>
        <w:trPr>
          <w:trHeight w:val="236"/>
        </w:trPr>
        <w:tc>
          <w:tcPr>
            <w:tcW w:w="342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Total intangible assets</w:t>
            </w:r>
          </w:p>
        </w:tc>
        <w:tc>
          <w:tcPr>
            <w:tcW w:w="220" w:type="dxa"/>
            <w:vAlign w:val="bottom"/>
            <w:tcBorders>
              <w:top w:val="single" w:sz="8" w:color="auto"/>
              <w:bottom w:val="single" w:sz="8" w:color="auto"/>
            </w:tcBorders>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1,021.0</w:t>
            </w:r>
          </w:p>
        </w:tc>
        <w:tc>
          <w:tcPr>
            <w:tcW w:w="140" w:type="dxa"/>
            <w:vAlign w:val="bottom"/>
            <w:tcBorders>
              <w:bottom w:val="single" w:sz="8" w:color="CFF0FC"/>
            </w:tcBorders>
            <w:shd w:val="clear" w:color="auto" w:fill="CFF0FC"/>
          </w:tcPr>
          <w:p>
            <w:pPr>
              <w:spacing w:after="0"/>
              <w:rPr>
                <w:sz w:val="20"/>
                <w:szCs w:val="20"/>
                <w:color w:val="auto"/>
              </w:rPr>
            </w:pPr>
          </w:p>
        </w:tc>
        <w:tc>
          <w:tcPr>
            <w:tcW w:w="440" w:type="dxa"/>
            <w:vAlign w:val="bottom"/>
            <w:tcBorders>
              <w:top w:val="single" w:sz="8" w:color="auto"/>
              <w:bottom w:val="single" w:sz="8" w:color="auto"/>
            </w:tcBorders>
            <w:shd w:val="clear" w:color="auto" w:fill="CFF0FC"/>
          </w:tcPr>
          <w:p>
            <w:pPr>
              <w:spacing w:after="0" w:line="196" w:lineRule="exact"/>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448.0</w:t>
            </w:r>
          </w:p>
        </w:tc>
        <w:tc>
          <w:tcPr>
            <w:tcW w:w="14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top w:val="single" w:sz="8" w:color="auto"/>
              <w:bottom w:val="single" w:sz="8" w:color="auto"/>
            </w:tcBorders>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573.0</w:t>
            </w:r>
          </w:p>
        </w:tc>
        <w:tc>
          <w:tcPr>
            <w:tcW w:w="12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top w:val="single" w:sz="8" w:color="auto"/>
              <w:bottom w:val="single" w:sz="8" w:color="auto"/>
            </w:tcBorders>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1,024.9</w:t>
            </w:r>
          </w:p>
        </w:tc>
        <w:tc>
          <w:tcPr>
            <w:tcW w:w="60" w:type="dxa"/>
            <w:vAlign w:val="bottom"/>
            <w:tcBorders>
              <w:top w:val="single" w:sz="8" w:color="auto"/>
              <w:bottom w:val="single" w:sz="8" w:color="auto"/>
            </w:tcBorders>
            <w:shd w:val="clear" w:color="auto" w:fill="CFF0FC"/>
          </w:tcPr>
          <w:p>
            <w:pPr>
              <w:spacing w:after="0"/>
              <w:rPr>
                <w:sz w:val="20"/>
                <w:szCs w:val="20"/>
                <w:color w:val="auto"/>
              </w:rPr>
            </w:pPr>
          </w:p>
        </w:tc>
        <w:tc>
          <w:tcPr>
            <w:tcW w:w="140" w:type="dxa"/>
            <w:vAlign w:val="bottom"/>
            <w:tcBorders>
              <w:bottom w:val="single" w:sz="8" w:color="CFF0FC"/>
            </w:tcBorders>
            <w:shd w:val="clear" w:color="auto" w:fill="CFF0FC"/>
          </w:tcPr>
          <w:p>
            <w:pPr>
              <w:spacing w:after="0"/>
              <w:rPr>
                <w:sz w:val="20"/>
                <w:szCs w:val="20"/>
                <w:color w:val="auto"/>
              </w:rPr>
            </w:pPr>
          </w:p>
        </w:tc>
        <w:tc>
          <w:tcPr>
            <w:tcW w:w="420" w:type="dxa"/>
            <w:vAlign w:val="bottom"/>
            <w:tcBorders>
              <w:top w:val="single" w:sz="8" w:color="auto"/>
              <w:bottom w:val="single" w:sz="8" w:color="auto"/>
            </w:tcBorders>
            <w:shd w:val="clear" w:color="auto" w:fill="CFF0FC"/>
          </w:tcPr>
          <w:p>
            <w:pPr>
              <w:jc w:val="right"/>
              <w:ind w:right="230"/>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441.3</w:t>
            </w:r>
          </w:p>
        </w:tc>
        <w:tc>
          <w:tcPr>
            <w:tcW w:w="12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top w:val="single" w:sz="8" w:color="auto"/>
              <w:bottom w:val="single" w:sz="8" w:color="auto"/>
            </w:tcBorders>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583.6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-1499870</wp:posOffset>
            </wp:positionV>
            <wp:extent cx="7132320" cy="15430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2919730</wp:posOffset>
            </wp:positionH>
            <wp:positionV relativeFrom="paragraph">
              <wp:posOffset>-828040</wp:posOffset>
            </wp:positionV>
            <wp:extent cx="85725" cy="571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85725" cy="5715"/>
                    </a:xfrm>
                    <a:prstGeom prst="rect">
                      <a:avLst/>
                    </a:prstGeom>
                    <a:noFill/>
                  </pic:spPr>
                </pic:pic>
              </a:graphicData>
            </a:graphic>
          </wp:anchor>
        </w:drawing>
        <w:drawing>
          <wp:anchor simplePos="0" relativeHeight="251657728" behindDoc="1" locked="0" layoutInCell="0" allowOverlap="1">
            <wp:simplePos x="0" y="0"/>
            <wp:positionH relativeFrom="column">
              <wp:posOffset>3811270</wp:posOffset>
            </wp:positionH>
            <wp:positionV relativeFrom="paragraph">
              <wp:posOffset>-828040</wp:posOffset>
            </wp:positionV>
            <wp:extent cx="85725" cy="571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85725" cy="5715"/>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-828040</wp:posOffset>
            </wp:positionV>
            <wp:extent cx="85725" cy="571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85725" cy="571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-828040</wp:posOffset>
            </wp:positionV>
            <wp:extent cx="85725" cy="571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85725" cy="5715"/>
                    </a:xfrm>
                    <a:prstGeom prst="rect">
                      <a:avLst/>
                    </a:prstGeom>
                    <a:noFill/>
                  </pic:spPr>
                </pic:pic>
              </a:graphicData>
            </a:graphic>
          </wp:anchor>
        </w:drawing>
        <w:drawing>
          <wp:anchor simplePos="0" relativeHeight="251657728" behindDoc="1" locked="0" layoutInCell="0" allowOverlap="1">
            <wp:simplePos x="0" y="0"/>
            <wp:positionH relativeFrom="column">
              <wp:posOffset>6339840</wp:posOffset>
            </wp:positionH>
            <wp:positionV relativeFrom="paragraph">
              <wp:posOffset>-828040</wp:posOffset>
            </wp:positionV>
            <wp:extent cx="77470" cy="571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-685165</wp:posOffset>
            </wp:positionV>
            <wp:extent cx="7132320" cy="12890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2919730</wp:posOffset>
            </wp:positionH>
            <wp:positionV relativeFrom="paragraph">
              <wp:posOffset>-296545</wp:posOffset>
            </wp:positionV>
            <wp:extent cx="85725" cy="571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85725" cy="5715"/>
                    </a:xfrm>
                    <a:prstGeom prst="rect">
                      <a:avLst/>
                    </a:prstGeom>
                    <a:noFill/>
                  </pic:spPr>
                </pic:pic>
              </a:graphicData>
            </a:graphic>
          </wp:anchor>
        </w:drawing>
        <w:drawing>
          <wp:anchor simplePos="0" relativeHeight="251657728" behindDoc="1" locked="0" layoutInCell="0" allowOverlap="1">
            <wp:simplePos x="0" y="0"/>
            <wp:positionH relativeFrom="column">
              <wp:posOffset>3811270</wp:posOffset>
            </wp:positionH>
            <wp:positionV relativeFrom="paragraph">
              <wp:posOffset>-296545</wp:posOffset>
            </wp:positionV>
            <wp:extent cx="85725" cy="571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85725" cy="5715"/>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-296545</wp:posOffset>
            </wp:positionV>
            <wp:extent cx="85725" cy="571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85725" cy="571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-296545</wp:posOffset>
            </wp:positionV>
            <wp:extent cx="85725" cy="571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85725" cy="5715"/>
                    </a:xfrm>
                    <a:prstGeom prst="rect">
                      <a:avLst/>
                    </a:prstGeom>
                    <a:noFill/>
                  </pic:spPr>
                </pic:pic>
              </a:graphicData>
            </a:graphic>
          </wp:anchor>
        </w:drawing>
        <w:drawing>
          <wp:anchor simplePos="0" relativeHeight="251657728" behindDoc="1" locked="0" layoutInCell="0" allowOverlap="1">
            <wp:simplePos x="0" y="0"/>
            <wp:positionH relativeFrom="column">
              <wp:posOffset>6339840</wp:posOffset>
            </wp:positionH>
            <wp:positionV relativeFrom="paragraph">
              <wp:posOffset>-296545</wp:posOffset>
            </wp:positionV>
            <wp:extent cx="77470" cy="571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2919730</wp:posOffset>
            </wp:positionH>
            <wp:positionV relativeFrom="paragraph">
              <wp:posOffset>-25400</wp:posOffset>
            </wp:positionV>
            <wp:extent cx="8572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2919730</wp:posOffset>
            </wp:positionH>
            <wp:positionV relativeFrom="paragraph">
              <wp:posOffset>-8255</wp:posOffset>
            </wp:positionV>
            <wp:extent cx="85725"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3811270</wp:posOffset>
            </wp:positionH>
            <wp:positionV relativeFrom="paragraph">
              <wp:posOffset>-25400</wp:posOffset>
            </wp:positionV>
            <wp:extent cx="8572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3811270</wp:posOffset>
            </wp:positionH>
            <wp:positionV relativeFrom="paragraph">
              <wp:posOffset>-8255</wp:posOffset>
            </wp:positionV>
            <wp:extent cx="85725"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-25400</wp:posOffset>
            </wp:positionV>
            <wp:extent cx="8572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-8255</wp:posOffset>
            </wp:positionV>
            <wp:extent cx="85725"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-25400</wp:posOffset>
            </wp:positionV>
            <wp:extent cx="8572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-8255</wp:posOffset>
            </wp:positionV>
            <wp:extent cx="85725"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6339840</wp:posOffset>
            </wp:positionH>
            <wp:positionV relativeFrom="paragraph">
              <wp:posOffset>-25400</wp:posOffset>
            </wp:positionV>
            <wp:extent cx="7747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6339840</wp:posOffset>
            </wp:positionH>
            <wp:positionV relativeFrom="paragraph">
              <wp:posOffset>-8255</wp:posOffset>
            </wp:positionV>
            <wp:extent cx="7747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182" w:lineRule="exact"/>
        <w:rPr>
          <w:sz w:val="20"/>
          <w:szCs w:val="20"/>
          <w:color w:val="auto"/>
        </w:rPr>
      </w:pPr>
    </w:p>
    <w:p>
      <w:pPr>
        <w:ind w:left="260" w:hanging="252"/>
        <w:spacing w:after="0"/>
        <w:tabs>
          <w:tab w:leader="none" w:pos="2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Balances were net of accumulated impairment loss of $644.2 as of both March 31, 2022 and December 31, 2021.</w:t>
      </w:r>
    </w:p>
    <w:p>
      <w:pPr>
        <w:spacing w:after="0" w:line="36" w:lineRule="exact"/>
        <w:rPr>
          <w:rFonts w:ascii="Arial" w:cs="Arial" w:eastAsia="Arial" w:hAnsi="Arial"/>
          <w:sz w:val="18"/>
          <w:szCs w:val="18"/>
          <w:color w:val="auto"/>
        </w:rPr>
      </w:pPr>
    </w:p>
    <w:p>
      <w:pPr>
        <w:ind w:left="260" w:hanging="252"/>
        <w:spacing w:after="0"/>
        <w:tabs>
          <w:tab w:leader="none" w:pos="2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Balances were net of accumulated impairment loss of $139.5 as of both March 31, 2022 and December 31, 2021.</w:t>
      </w:r>
    </w:p>
    <w:p>
      <w:pPr>
        <w:spacing w:after="0" w:line="212" w:lineRule="exact"/>
        <w:rPr>
          <w:sz w:val="20"/>
          <w:szCs w:val="20"/>
          <w:color w:val="auto"/>
        </w:rPr>
      </w:pPr>
    </w:p>
    <w:p>
      <w:pPr>
        <w:ind w:right="160"/>
        <w:spacing w:after="0" w:line="308" w:lineRule="auto"/>
        <w:rPr>
          <w:sz w:val="20"/>
          <w:szCs w:val="20"/>
          <w:color w:val="auto"/>
        </w:rPr>
      </w:pPr>
      <w:r>
        <w:rPr>
          <w:rFonts w:ascii="Arial" w:cs="Arial" w:eastAsia="Arial" w:hAnsi="Arial"/>
          <w:sz w:val="18"/>
          <w:szCs w:val="18"/>
          <w:color w:val="auto"/>
        </w:rPr>
        <w:t>Total consolidated amortization expense related to intangible assets for the remainder of 2022 is expected to be $27.9 and in each of the next five years as follows: 2023 - $33.9, 2024 - $31.9, 2025 - $29.9, 2026 - $26.2 and 2027 - $25.5.</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Changes in the carrying value of goodwill by reportable segment and Corporate were as follows:</w:t>
      </w:r>
    </w:p>
    <w:p>
      <w:pPr>
        <w:spacing w:after="0" w:line="194" w:lineRule="exact"/>
        <w:rPr>
          <w:sz w:val="20"/>
          <w:szCs w:val="20"/>
          <w:color w:val="auto"/>
        </w:rPr>
      </w:pPr>
    </w:p>
    <w:tbl>
      <w:tblPr>
        <w:tblLayout w:type="fixed"/>
        <w:tblInd w:w="240" w:type="dxa"/>
        <w:tblCellMar>
          <w:top w:w="0" w:type="dxa"/>
          <w:left w:w="0" w:type="dxa"/>
          <w:bottom w:w="0" w:type="dxa"/>
          <w:right w:w="0" w:type="dxa"/>
        </w:tblCellMar>
      </w:tblPr>
      <w:tr>
        <w:trPr>
          <w:trHeight w:val="207"/>
        </w:trPr>
        <w:tc>
          <w:tcPr>
            <w:tcW w:w="2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vMerge w:val="restart"/>
          </w:tcPr>
          <w:p>
            <w:pPr>
              <w:jc w:val="right"/>
              <w:ind w:right="70"/>
              <w:spacing w:after="0"/>
              <w:rPr>
                <w:sz w:val="20"/>
                <w:szCs w:val="20"/>
                <w:color w:val="auto"/>
              </w:rPr>
            </w:pPr>
            <w:r>
              <w:rPr>
                <w:rFonts w:ascii="Arial" w:cs="Arial" w:eastAsia="Arial" w:hAnsi="Arial"/>
                <w:sz w:val="18"/>
                <w:szCs w:val="18"/>
                <w:b w:val="1"/>
                <w:bCs w:val="1"/>
                <w:color w:val="auto"/>
                <w:w w:val="85"/>
              </w:rPr>
              <w:t>Americas</w:t>
            </w:r>
            <w:r>
              <w:rPr>
                <w:rFonts w:ascii="Arial" w:cs="Arial" w:eastAsia="Arial" w:hAnsi="Arial"/>
                <w:sz w:val="24"/>
                <w:szCs w:val="24"/>
                <w:b w:val="1"/>
                <w:bCs w:val="1"/>
                <w:color w:val="auto"/>
                <w:w w:val="85"/>
                <w:vertAlign w:val="superscript"/>
              </w:rPr>
              <w:t>(1)</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ind w:right="190"/>
              <w:spacing w:after="0"/>
              <w:rPr>
                <w:sz w:val="20"/>
                <w:szCs w:val="20"/>
                <w:color w:val="auto"/>
              </w:rPr>
            </w:pPr>
            <w:r>
              <w:rPr>
                <w:rFonts w:ascii="Arial" w:cs="Arial" w:eastAsia="Arial" w:hAnsi="Arial"/>
                <w:sz w:val="18"/>
                <w:szCs w:val="18"/>
                <w:b w:val="1"/>
                <w:bCs w:val="1"/>
                <w:color w:val="auto"/>
                <w:w w:val="91"/>
              </w:rPr>
              <w:t>Southern</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ind w:right="170"/>
              <w:spacing w:after="0"/>
              <w:rPr>
                <w:sz w:val="20"/>
                <w:szCs w:val="20"/>
                <w:color w:val="auto"/>
              </w:rPr>
            </w:pPr>
            <w:r>
              <w:rPr>
                <w:rFonts w:ascii="Arial" w:cs="Arial" w:eastAsia="Arial" w:hAnsi="Arial"/>
                <w:sz w:val="18"/>
                <w:szCs w:val="18"/>
                <w:b w:val="1"/>
                <w:bCs w:val="1"/>
                <w:color w:val="auto"/>
                <w:w w:val="97"/>
              </w:rPr>
              <w:t>Northern</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vMerge w:val="restart"/>
          </w:tcPr>
          <w:p>
            <w:pPr>
              <w:jc w:val="right"/>
              <w:ind w:right="230"/>
              <w:spacing w:after="0"/>
              <w:rPr>
                <w:sz w:val="20"/>
                <w:szCs w:val="20"/>
                <w:color w:val="auto"/>
              </w:rPr>
            </w:pPr>
            <w:r>
              <w:rPr>
                <w:rFonts w:ascii="Arial" w:cs="Arial" w:eastAsia="Arial" w:hAnsi="Arial"/>
                <w:sz w:val="18"/>
                <w:szCs w:val="18"/>
                <w:b w:val="1"/>
                <w:bCs w:val="1"/>
                <w:color w:val="auto"/>
              </w:rPr>
              <w:t>APME</w:t>
            </w:r>
          </w:p>
        </w:tc>
        <w:tc>
          <w:tcPr>
            <w:tcW w:w="200" w:type="dxa"/>
            <w:vAlign w:val="bottom"/>
          </w:tcPr>
          <w:p>
            <w:pPr>
              <w:spacing w:after="0"/>
              <w:rPr>
                <w:sz w:val="17"/>
                <w:szCs w:val="17"/>
                <w:color w:val="auto"/>
              </w:rPr>
            </w:pPr>
          </w:p>
        </w:tc>
        <w:tc>
          <w:tcPr>
            <w:tcW w:w="1140" w:type="dxa"/>
            <w:vAlign w:val="bottom"/>
            <w:gridSpan w:val="2"/>
            <w:vMerge w:val="restart"/>
          </w:tcPr>
          <w:p>
            <w:pPr>
              <w:jc w:val="right"/>
              <w:ind w:right="30"/>
              <w:spacing w:after="0"/>
              <w:rPr>
                <w:sz w:val="20"/>
                <w:szCs w:val="20"/>
                <w:color w:val="auto"/>
              </w:rPr>
            </w:pPr>
            <w:r>
              <w:rPr>
                <w:rFonts w:ascii="Arial" w:cs="Arial" w:eastAsia="Arial" w:hAnsi="Arial"/>
                <w:sz w:val="18"/>
                <w:szCs w:val="18"/>
                <w:b w:val="1"/>
                <w:bCs w:val="1"/>
                <w:color w:val="auto"/>
                <w:w w:val="94"/>
              </w:rPr>
              <w:t>Corporate</w:t>
            </w:r>
            <w:r>
              <w:rPr>
                <w:rFonts w:ascii="Arial" w:cs="Arial" w:eastAsia="Arial" w:hAnsi="Arial"/>
                <w:sz w:val="24"/>
                <w:szCs w:val="24"/>
                <w:b w:val="1"/>
                <w:bCs w:val="1"/>
                <w:color w:val="auto"/>
                <w:w w:val="94"/>
                <w:vertAlign w:val="superscript"/>
              </w:rPr>
              <w:t>(3)</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vMerge w:val="restart"/>
          </w:tcPr>
          <w:p>
            <w:pPr>
              <w:jc w:val="right"/>
              <w:ind w:right="31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6"/>
        </w:trPr>
        <w:tc>
          <w:tcPr>
            <w:tcW w:w="29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vMerge w:val="continue"/>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90"/>
              <w:spacing w:after="0" w:line="216" w:lineRule="exact"/>
              <w:rPr>
                <w:sz w:val="20"/>
                <w:szCs w:val="20"/>
                <w:color w:val="auto"/>
              </w:rPr>
            </w:pPr>
            <w:r>
              <w:rPr>
                <w:rFonts w:ascii="Arial" w:cs="Arial" w:eastAsia="Arial" w:hAnsi="Arial"/>
                <w:sz w:val="18"/>
                <w:szCs w:val="18"/>
                <w:b w:val="1"/>
                <w:bCs w:val="1"/>
                <w:color w:val="auto"/>
                <w:w w:val="88"/>
              </w:rPr>
              <w:t>Europe</w:t>
            </w:r>
            <w:r>
              <w:rPr>
                <w:rFonts w:ascii="Arial" w:cs="Arial" w:eastAsia="Arial" w:hAnsi="Arial"/>
                <w:sz w:val="24"/>
                <w:szCs w:val="24"/>
                <w:b w:val="1"/>
                <w:bCs w:val="1"/>
                <w:color w:val="auto"/>
                <w:w w:val="88"/>
                <w:vertAlign w:val="superscript"/>
              </w:rPr>
              <w:t>(2)</w:t>
            </w:r>
          </w:p>
        </w:tc>
        <w:tc>
          <w:tcPr>
            <w:tcW w:w="2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Europe</w:t>
            </w:r>
          </w:p>
        </w:tc>
        <w:tc>
          <w:tcPr>
            <w:tcW w:w="2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Borders>
              <w:bottom w:val="single" w:sz="8" w:color="auto"/>
            </w:tcBorders>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9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Balance, December 31, 2021</w:t>
            </w:r>
          </w:p>
        </w:tc>
        <w:tc>
          <w:tcPr>
            <w:tcW w:w="1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1,058.9</w:t>
            </w: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rPr>
              <w:t>146.7</w:t>
            </w: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020" w:type="dxa"/>
            <w:vAlign w:val="bottom"/>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rPr>
              <w:t>313.7</w:t>
            </w: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rPr>
              <w:t>76.9</w:t>
            </w:r>
          </w:p>
        </w:tc>
        <w:tc>
          <w:tcPr>
            <w:tcW w:w="200" w:type="dxa"/>
            <w:vAlign w:val="bottom"/>
            <w:shd w:val="clear" w:color="auto" w:fill="CFF0FC"/>
          </w:tcPr>
          <w:p>
            <w:pPr>
              <w:spacing w:after="0"/>
              <w:rPr>
                <w:sz w:val="17"/>
                <w:szCs w:val="17"/>
                <w:color w:val="auto"/>
              </w:rPr>
            </w:pPr>
          </w:p>
        </w:tc>
        <w:tc>
          <w:tcPr>
            <w:tcW w:w="380" w:type="dxa"/>
            <w:vAlign w:val="bottom"/>
            <w:shd w:val="clear" w:color="auto" w:fill="CFF0FC"/>
          </w:tcPr>
          <w:p>
            <w:pPr>
              <w:jc w:val="right"/>
              <w:ind w:right="190"/>
              <w:spacing w:after="0" w:line="196" w:lineRule="exact"/>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126.0</w:t>
            </w:r>
          </w:p>
        </w:tc>
        <w:tc>
          <w:tcPr>
            <w:tcW w:w="200" w:type="dxa"/>
            <w:vAlign w:val="bottom"/>
            <w:shd w:val="clear" w:color="auto" w:fill="CFF0FC"/>
          </w:tcPr>
          <w:p>
            <w:pPr>
              <w:spacing w:after="0"/>
              <w:rPr>
                <w:sz w:val="17"/>
                <w:szCs w:val="17"/>
                <w:color w:val="auto"/>
              </w:rPr>
            </w:pPr>
          </w:p>
        </w:tc>
        <w:tc>
          <w:tcPr>
            <w:tcW w:w="200" w:type="dxa"/>
            <w:vAlign w:val="bottom"/>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rPr>
              <w:t>1,722.2</w:t>
            </w:r>
          </w:p>
        </w:tc>
        <w:tc>
          <w:tcPr>
            <w:tcW w:w="0" w:type="dxa"/>
            <w:vAlign w:val="bottom"/>
          </w:tcPr>
          <w:p>
            <w:pPr>
              <w:spacing w:after="0"/>
              <w:rPr>
                <w:sz w:val="1"/>
                <w:szCs w:val="1"/>
                <w:color w:val="auto"/>
              </w:rPr>
            </w:pPr>
          </w:p>
        </w:tc>
      </w:tr>
      <w:tr>
        <w:trPr>
          <w:trHeight w:val="203"/>
        </w:trPr>
        <w:tc>
          <w:tcPr>
            <w:tcW w:w="2980" w:type="dxa"/>
            <w:vAlign w:val="bottom"/>
          </w:tcPr>
          <w:p>
            <w:pPr>
              <w:ind w:left="200"/>
              <w:spacing w:after="0" w:line="202" w:lineRule="exact"/>
              <w:rPr>
                <w:sz w:val="20"/>
                <w:szCs w:val="20"/>
                <w:color w:val="auto"/>
              </w:rPr>
            </w:pPr>
            <w:r>
              <w:rPr>
                <w:rFonts w:ascii="Arial" w:cs="Arial" w:eastAsia="Arial" w:hAnsi="Arial"/>
                <w:sz w:val="18"/>
                <w:szCs w:val="18"/>
                <w:color w:val="auto"/>
              </w:rPr>
              <w:t>Currency impact</w:t>
            </w:r>
          </w:p>
        </w:tc>
        <w:tc>
          <w:tcPr>
            <w:tcW w:w="10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0.8</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(3.3 )</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(8.3 )</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(1.4 )</w:t>
            </w: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(12.2 )</w:t>
            </w:r>
          </w:p>
        </w:tc>
        <w:tc>
          <w:tcPr>
            <w:tcW w:w="0" w:type="dxa"/>
            <w:vAlign w:val="bottom"/>
          </w:tcPr>
          <w:p>
            <w:pPr>
              <w:spacing w:after="0"/>
              <w:rPr>
                <w:sz w:val="1"/>
                <w:szCs w:val="1"/>
                <w:color w:val="auto"/>
              </w:rPr>
            </w:pPr>
          </w:p>
        </w:tc>
      </w:tr>
      <w:tr>
        <w:trPr>
          <w:trHeight w:val="243"/>
        </w:trPr>
        <w:tc>
          <w:tcPr>
            <w:tcW w:w="298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Balance, March 31, 2022</w:t>
            </w:r>
          </w:p>
        </w:tc>
        <w:tc>
          <w:tcPr>
            <w:tcW w:w="1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1,059.7</w:t>
            </w:r>
          </w:p>
        </w:tc>
        <w:tc>
          <w:tcPr>
            <w:tcW w:w="2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143.4</w:t>
            </w:r>
          </w:p>
        </w:tc>
        <w:tc>
          <w:tcPr>
            <w:tcW w:w="2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305.4</w:t>
            </w:r>
          </w:p>
        </w:tc>
        <w:tc>
          <w:tcPr>
            <w:tcW w:w="22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75.5</w:t>
            </w:r>
          </w:p>
        </w:tc>
        <w:tc>
          <w:tcPr>
            <w:tcW w:w="20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auto"/>
            </w:tcBorders>
            <w:shd w:val="clear" w:color="auto" w:fill="CFF0FC"/>
          </w:tcPr>
          <w:p>
            <w:pPr>
              <w:jc w:val="right"/>
              <w:ind w:right="190"/>
              <w:spacing w:after="0" w:line="202" w:lineRule="exact"/>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126.0</w:t>
            </w:r>
          </w:p>
        </w:tc>
        <w:tc>
          <w:tcPr>
            <w:tcW w:w="20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1,710.0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2773680</wp:posOffset>
            </wp:positionH>
            <wp:positionV relativeFrom="paragraph">
              <wp:posOffset>-24765</wp:posOffset>
            </wp:positionV>
            <wp:extent cx="13716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2773680</wp:posOffset>
            </wp:positionH>
            <wp:positionV relativeFrom="paragraph">
              <wp:posOffset>-7620</wp:posOffset>
            </wp:positionV>
            <wp:extent cx="13716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-24765</wp:posOffset>
            </wp:positionV>
            <wp:extent cx="13716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-7620</wp:posOffset>
            </wp:positionV>
            <wp:extent cx="13716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-24765</wp:posOffset>
            </wp:positionV>
            <wp:extent cx="12890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-7620</wp:posOffset>
            </wp:positionV>
            <wp:extent cx="12890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-24765</wp:posOffset>
            </wp:positionV>
            <wp:extent cx="12890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-7620</wp:posOffset>
            </wp:positionV>
            <wp:extent cx="12890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-24765</wp:posOffset>
            </wp:positionV>
            <wp:extent cx="12890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-7620</wp:posOffset>
            </wp:positionV>
            <wp:extent cx="12890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28905" cy="8255"/>
                    </a:xfrm>
                    <a:prstGeom prst="rect">
                      <a:avLst/>
                    </a:prstGeom>
                    <a:noFill/>
                  </pic:spPr>
                </pic:pic>
              </a:graphicData>
            </a:graphic>
          </wp:anchor>
        </w:drawing>
      </w:r>
    </w:p>
    <w:p>
      <w:pPr>
        <w:spacing w:after="0" w:line="168" w:lineRule="exact"/>
        <w:rPr>
          <w:sz w:val="20"/>
          <w:szCs w:val="20"/>
          <w:color w:val="auto"/>
        </w:rPr>
      </w:pPr>
    </w:p>
    <w:p>
      <w:pPr>
        <w:ind w:left="260" w:hanging="252"/>
        <w:spacing w:after="0"/>
        <w:tabs>
          <w:tab w:leader="none" w:pos="2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Balances related to the United States were $1,013.0 as of both December 31, 2021 and March 31, 2022, respectively.</w:t>
      </w:r>
    </w:p>
    <w:p>
      <w:pPr>
        <w:spacing w:after="0" w:line="11" w:lineRule="exact"/>
        <w:rPr>
          <w:rFonts w:ascii="Arial" w:cs="Arial" w:eastAsia="Arial" w:hAnsi="Arial"/>
          <w:sz w:val="18"/>
          <w:szCs w:val="18"/>
          <w:color w:val="auto"/>
        </w:rPr>
      </w:pPr>
    </w:p>
    <w:p>
      <w:pPr>
        <w:ind w:right="300" w:firstLine="8"/>
        <w:spacing w:after="0" w:line="234" w:lineRule="auto"/>
        <w:tabs>
          <w:tab w:leader="none" w:pos="2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Balances related to France were $68.2 and $66.4 as of December 31, 2021 and March 31, 2022, respectively. Balances related to Italy were $3.9 and $3.8 as of December 31, 2021 and March 31, 2022, respectively.</w:t>
      </w:r>
    </w:p>
    <w:p>
      <w:pPr>
        <w:spacing w:after="0" w:line="1" w:lineRule="exact"/>
        <w:rPr>
          <w:rFonts w:ascii="Arial" w:cs="Arial" w:eastAsia="Arial" w:hAnsi="Arial"/>
          <w:sz w:val="18"/>
          <w:szCs w:val="18"/>
          <w:color w:val="auto"/>
        </w:rPr>
      </w:pPr>
    </w:p>
    <w:p>
      <w:pPr>
        <w:ind w:right="100" w:firstLine="8"/>
        <w:spacing w:after="0" w:line="254" w:lineRule="auto"/>
        <w:tabs>
          <w:tab w:leader="none" w:pos="255"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majority of the Corporate balance relates to goodwill attributable to our acquisitions of Right Management ($62.1) and Jefferson Wells ($55.5). Jefferson Wells is part of the United States reporting unit. Right Management is allocated to the reporting units of the countries in which Right Management operates. For purposes of monitoring our total assets by segment, we do not allocate the Corporate balances to the respective reportable segments as this is commensurate with how we operate our business. We do, however, include these balances within the appropriate reporting units for our goodwill impairment testing. See table below for the breakout of goodwill balances by reporting unit.</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680" w:type="dxa"/>
            <w:vAlign w:val="bottom"/>
          </w:tcPr>
          <w:p>
            <w:pPr>
              <w:spacing w:after="0"/>
              <w:rPr>
                <w:sz w:val="20"/>
                <w:szCs w:val="20"/>
                <w:color w:val="auto"/>
              </w:rPr>
            </w:pPr>
            <w:r>
              <w:rPr>
                <w:rFonts w:ascii="Arial" w:cs="Arial" w:eastAsia="Arial" w:hAnsi="Arial"/>
                <w:sz w:val="18"/>
                <w:szCs w:val="18"/>
                <w:color w:val="auto"/>
              </w:rPr>
              <w:t>Goodwill balances by reporting unit were as follows:</w:t>
            </w:r>
          </w:p>
        </w:tc>
        <w:tc>
          <w:tcPr>
            <w:tcW w:w="27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80" w:type="dxa"/>
            <w:vAlign w:val="bottom"/>
          </w:tcPr>
          <w:p>
            <w:pPr>
              <w:spacing w:after="0"/>
              <w:rPr>
                <w:sz w:val="20"/>
                <w:szCs w:val="20"/>
                <w:color w:val="auto"/>
              </w:rPr>
            </w:pPr>
          </w:p>
        </w:tc>
      </w:tr>
      <w:tr>
        <w:trPr>
          <w:trHeight w:val="373"/>
        </w:trPr>
        <w:tc>
          <w:tcPr>
            <w:tcW w:w="468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40" w:type="dxa"/>
            <w:vAlign w:val="bottom"/>
          </w:tcPr>
          <w:p>
            <w:pPr>
              <w:jc w:val="right"/>
              <w:ind w:right="470"/>
              <w:spacing w:after="0"/>
              <w:rPr>
                <w:sz w:val="20"/>
                <w:szCs w:val="20"/>
                <w:color w:val="auto"/>
              </w:rPr>
            </w:pPr>
            <w:r>
              <w:rPr>
                <w:rFonts w:ascii="Arial" w:cs="Arial" w:eastAsia="Arial" w:hAnsi="Arial"/>
                <w:sz w:val="18"/>
                <w:szCs w:val="18"/>
                <w:b w:val="1"/>
                <w:bCs w:val="1"/>
                <w:color w:val="auto"/>
              </w:rPr>
              <w:t>March 31,</w:t>
            </w: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80" w:type="dxa"/>
            <w:vAlign w:val="bottom"/>
          </w:tcPr>
          <w:p>
            <w:pPr>
              <w:jc w:val="right"/>
              <w:ind w:right="310"/>
              <w:spacing w:after="0"/>
              <w:rPr>
                <w:sz w:val="20"/>
                <w:szCs w:val="20"/>
                <w:color w:val="auto"/>
              </w:rPr>
            </w:pPr>
            <w:r>
              <w:rPr>
                <w:rFonts w:ascii="Arial" w:cs="Arial" w:eastAsia="Arial" w:hAnsi="Arial"/>
                <w:sz w:val="18"/>
                <w:szCs w:val="18"/>
                <w:b w:val="1"/>
                <w:bCs w:val="1"/>
                <w:color w:val="auto"/>
                <w:w w:val="99"/>
              </w:rPr>
              <w:t>December 31,</w:t>
            </w:r>
          </w:p>
        </w:tc>
      </w:tr>
      <w:tr>
        <w:trPr>
          <w:trHeight w:val="221"/>
        </w:trPr>
        <w:tc>
          <w:tcPr>
            <w:tcW w:w="4680" w:type="dxa"/>
            <w:vAlign w:val="bottom"/>
          </w:tcPr>
          <w:p>
            <w:pPr>
              <w:spacing w:after="0"/>
              <w:rPr>
                <w:sz w:val="19"/>
                <w:szCs w:val="19"/>
                <w:color w:val="auto"/>
              </w:rPr>
            </w:pPr>
          </w:p>
        </w:tc>
        <w:tc>
          <w:tcPr>
            <w:tcW w:w="27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ind w:right="670"/>
              <w:spacing w:after="0"/>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ind w:right="670"/>
              <w:spacing w:after="0"/>
              <w:rPr>
                <w:sz w:val="20"/>
                <w:szCs w:val="20"/>
                <w:color w:val="auto"/>
              </w:rPr>
            </w:pPr>
            <w:r>
              <w:rPr>
                <w:rFonts w:ascii="Arial" w:cs="Arial" w:eastAsia="Arial" w:hAnsi="Arial"/>
                <w:sz w:val="18"/>
                <w:szCs w:val="18"/>
                <w:b w:val="1"/>
                <w:bCs w:val="1"/>
                <w:color w:val="auto"/>
              </w:rPr>
              <w:t>2021</w:t>
            </w:r>
          </w:p>
        </w:tc>
      </w:tr>
      <w:tr>
        <w:trPr>
          <w:trHeight w:val="196"/>
        </w:trPr>
        <w:tc>
          <w:tcPr>
            <w:tcW w:w="46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United States</w:t>
            </w:r>
          </w:p>
        </w:tc>
        <w:tc>
          <w:tcPr>
            <w:tcW w:w="2720" w:type="dxa"/>
            <w:vAlign w:val="bottom"/>
            <w:shd w:val="clear" w:color="auto" w:fill="CFF0FC"/>
          </w:tcPr>
          <w:p>
            <w:pPr>
              <w:spacing w:after="0"/>
              <w:rPr>
                <w:sz w:val="17"/>
                <w:szCs w:val="17"/>
                <w:color w:val="auto"/>
              </w:rPr>
            </w:pPr>
          </w:p>
        </w:tc>
        <w:tc>
          <w:tcPr>
            <w:tcW w:w="280" w:type="dxa"/>
            <w:vAlign w:val="bottom"/>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5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1,091.7</w:t>
            </w:r>
          </w:p>
        </w:tc>
        <w:tc>
          <w:tcPr>
            <w:tcW w:w="220" w:type="dxa"/>
            <w:vAlign w:val="bottom"/>
            <w:shd w:val="clear" w:color="auto" w:fill="CFF0FC"/>
          </w:tcPr>
          <w:p>
            <w:pPr>
              <w:spacing w:after="0"/>
              <w:rPr>
                <w:sz w:val="17"/>
                <w:szCs w:val="17"/>
                <w:color w:val="auto"/>
              </w:rPr>
            </w:pPr>
          </w:p>
        </w:tc>
        <w:tc>
          <w:tcPr>
            <w:tcW w:w="220" w:type="dxa"/>
            <w:vAlign w:val="bottom"/>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5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1,091.7</w:t>
            </w:r>
          </w:p>
        </w:tc>
      </w:tr>
      <w:tr>
        <w:trPr>
          <w:trHeight w:val="203"/>
        </w:trPr>
        <w:tc>
          <w:tcPr>
            <w:tcW w:w="4680" w:type="dxa"/>
            <w:vAlign w:val="bottom"/>
          </w:tcPr>
          <w:p>
            <w:pPr>
              <w:ind w:left="20"/>
              <w:spacing w:after="0" w:line="202" w:lineRule="exact"/>
              <w:rPr>
                <w:sz w:val="20"/>
                <w:szCs w:val="20"/>
                <w:color w:val="auto"/>
              </w:rPr>
            </w:pPr>
            <w:r>
              <w:rPr>
                <w:rFonts w:ascii="Arial" w:cs="Arial" w:eastAsia="Arial" w:hAnsi="Arial"/>
                <w:sz w:val="18"/>
                <w:szCs w:val="18"/>
                <w:color w:val="auto"/>
              </w:rPr>
              <w:t>Netherlands</w:t>
            </w:r>
          </w:p>
        </w:tc>
        <w:tc>
          <w:tcPr>
            <w:tcW w:w="2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40" w:type="dxa"/>
            <w:vAlign w:val="bottom"/>
          </w:tcPr>
          <w:p>
            <w:pPr>
              <w:jc w:val="right"/>
              <w:spacing w:after="0" w:line="202" w:lineRule="exact"/>
              <w:rPr>
                <w:sz w:val="20"/>
                <w:szCs w:val="20"/>
                <w:color w:val="auto"/>
              </w:rPr>
            </w:pPr>
            <w:r>
              <w:rPr>
                <w:rFonts w:ascii="Arial" w:cs="Arial" w:eastAsia="Arial" w:hAnsi="Arial"/>
                <w:sz w:val="18"/>
                <w:szCs w:val="18"/>
                <w:color w:val="auto"/>
              </w:rPr>
              <w:t>109.2</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80" w:type="dxa"/>
            <w:vAlign w:val="bottom"/>
          </w:tcPr>
          <w:p>
            <w:pPr>
              <w:jc w:val="right"/>
              <w:spacing w:after="0" w:line="202" w:lineRule="exact"/>
              <w:rPr>
                <w:sz w:val="20"/>
                <w:szCs w:val="20"/>
                <w:color w:val="auto"/>
              </w:rPr>
            </w:pPr>
            <w:r>
              <w:rPr>
                <w:rFonts w:ascii="Arial" w:cs="Arial" w:eastAsia="Arial" w:hAnsi="Arial"/>
                <w:sz w:val="18"/>
                <w:szCs w:val="18"/>
                <w:color w:val="auto"/>
              </w:rPr>
              <w:t>112.2</w:t>
            </w:r>
          </w:p>
        </w:tc>
      </w:tr>
      <w:tr>
        <w:trPr>
          <w:trHeight w:val="203"/>
        </w:trPr>
        <w:tc>
          <w:tcPr>
            <w:tcW w:w="46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United Kingdom</w:t>
            </w:r>
          </w:p>
        </w:tc>
        <w:tc>
          <w:tcPr>
            <w:tcW w:w="27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5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107.8</w:t>
            </w:r>
          </w:p>
        </w:tc>
        <w:tc>
          <w:tcPr>
            <w:tcW w:w="2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5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110.7</w:t>
            </w:r>
          </w:p>
        </w:tc>
      </w:tr>
      <w:tr>
        <w:trPr>
          <w:trHeight w:val="203"/>
        </w:trPr>
        <w:tc>
          <w:tcPr>
            <w:tcW w:w="4680" w:type="dxa"/>
            <w:vAlign w:val="bottom"/>
          </w:tcPr>
          <w:p>
            <w:pPr>
              <w:ind w:left="20"/>
              <w:spacing w:after="0" w:line="202" w:lineRule="exact"/>
              <w:rPr>
                <w:sz w:val="20"/>
                <w:szCs w:val="20"/>
                <w:color w:val="auto"/>
              </w:rPr>
            </w:pPr>
            <w:r>
              <w:rPr>
                <w:rFonts w:ascii="Arial" w:cs="Arial" w:eastAsia="Arial" w:hAnsi="Arial"/>
                <w:sz w:val="18"/>
                <w:szCs w:val="18"/>
                <w:color w:val="auto"/>
              </w:rPr>
              <w:t>France</w:t>
            </w:r>
          </w:p>
        </w:tc>
        <w:tc>
          <w:tcPr>
            <w:tcW w:w="2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40" w:type="dxa"/>
            <w:vAlign w:val="bottom"/>
          </w:tcPr>
          <w:p>
            <w:pPr>
              <w:jc w:val="right"/>
              <w:spacing w:after="0" w:line="202" w:lineRule="exact"/>
              <w:rPr>
                <w:sz w:val="20"/>
                <w:szCs w:val="20"/>
                <w:color w:val="auto"/>
              </w:rPr>
            </w:pPr>
            <w:r>
              <w:rPr>
                <w:rFonts w:ascii="Arial" w:cs="Arial" w:eastAsia="Arial" w:hAnsi="Arial"/>
                <w:sz w:val="18"/>
                <w:szCs w:val="18"/>
                <w:color w:val="auto"/>
              </w:rPr>
              <w:t>72.5</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80" w:type="dxa"/>
            <w:vAlign w:val="bottom"/>
          </w:tcPr>
          <w:p>
            <w:pPr>
              <w:jc w:val="right"/>
              <w:spacing w:after="0" w:line="202" w:lineRule="exact"/>
              <w:rPr>
                <w:sz w:val="20"/>
                <w:szCs w:val="20"/>
                <w:color w:val="auto"/>
              </w:rPr>
            </w:pPr>
            <w:r>
              <w:rPr>
                <w:rFonts w:ascii="Arial" w:cs="Arial" w:eastAsia="Arial" w:hAnsi="Arial"/>
                <w:sz w:val="18"/>
                <w:szCs w:val="18"/>
                <w:color w:val="auto"/>
              </w:rPr>
              <w:t>74.3</w:t>
            </w:r>
          </w:p>
        </w:tc>
      </w:tr>
      <w:tr>
        <w:trPr>
          <w:trHeight w:val="203"/>
        </w:trPr>
        <w:tc>
          <w:tcPr>
            <w:tcW w:w="46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Sweden</w:t>
            </w:r>
          </w:p>
        </w:tc>
        <w:tc>
          <w:tcPr>
            <w:tcW w:w="27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5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40.0</w:t>
            </w:r>
          </w:p>
        </w:tc>
        <w:tc>
          <w:tcPr>
            <w:tcW w:w="2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5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41.4</w:t>
            </w:r>
          </w:p>
        </w:tc>
      </w:tr>
      <w:tr>
        <w:trPr>
          <w:trHeight w:val="203"/>
        </w:trPr>
        <w:tc>
          <w:tcPr>
            <w:tcW w:w="4680" w:type="dxa"/>
            <w:vAlign w:val="bottom"/>
          </w:tcPr>
          <w:p>
            <w:pPr>
              <w:ind w:left="20"/>
              <w:spacing w:after="0" w:line="202" w:lineRule="exact"/>
              <w:rPr>
                <w:sz w:val="20"/>
                <w:szCs w:val="20"/>
                <w:color w:val="auto"/>
              </w:rPr>
            </w:pPr>
            <w:r>
              <w:rPr>
                <w:rFonts w:ascii="Arial" w:cs="Arial" w:eastAsia="Arial" w:hAnsi="Arial"/>
                <w:sz w:val="18"/>
                <w:szCs w:val="18"/>
                <w:color w:val="auto"/>
              </w:rPr>
              <w:t>Other reporting units</w:t>
            </w:r>
          </w:p>
        </w:tc>
        <w:tc>
          <w:tcPr>
            <w:tcW w:w="27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288.8</w:t>
            </w:r>
          </w:p>
        </w:tc>
        <w:tc>
          <w:tcPr>
            <w:tcW w:w="2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291.9</w:t>
            </w:r>
          </w:p>
        </w:tc>
      </w:tr>
      <w:tr>
        <w:trPr>
          <w:trHeight w:val="236"/>
        </w:trPr>
        <w:tc>
          <w:tcPr>
            <w:tcW w:w="4680" w:type="dxa"/>
            <w:vAlign w:val="bottom"/>
            <w:tcBorders>
              <w:bottom w:val="single" w:sz="8" w:color="CFF0FC"/>
            </w:tcBorders>
            <w:shd w:val="clear" w:color="auto" w:fill="CFF0FC"/>
          </w:tcPr>
          <w:p>
            <w:pPr>
              <w:ind w:left="200"/>
              <w:spacing w:after="0" w:line="196" w:lineRule="exact"/>
              <w:rPr>
                <w:sz w:val="20"/>
                <w:szCs w:val="20"/>
                <w:color w:val="auto"/>
              </w:rPr>
            </w:pPr>
            <w:r>
              <w:rPr>
                <w:rFonts w:ascii="Arial" w:cs="Arial" w:eastAsia="Arial" w:hAnsi="Arial"/>
                <w:sz w:val="18"/>
                <w:szCs w:val="18"/>
                <w:color w:val="auto"/>
              </w:rPr>
              <w:t>Total goodwill</w:t>
            </w:r>
          </w:p>
        </w:tc>
        <w:tc>
          <w:tcPr>
            <w:tcW w:w="272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1,710.0</w:t>
            </w:r>
          </w:p>
        </w:tc>
        <w:tc>
          <w:tcPr>
            <w:tcW w:w="22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1,722.2</w:t>
            </w:r>
          </w:p>
        </w:tc>
      </w:tr>
      <w:tr>
        <w:trPr>
          <w:trHeight w:val="818"/>
        </w:trPr>
        <w:tc>
          <w:tcPr>
            <w:tcW w:w="4680" w:type="dxa"/>
            <w:vAlign w:val="bottom"/>
          </w:tcPr>
          <w:p>
            <w:pPr>
              <w:spacing w:after="0"/>
              <w:rPr>
                <w:sz w:val="24"/>
                <w:szCs w:val="24"/>
                <w:color w:val="auto"/>
              </w:rPr>
            </w:pPr>
          </w:p>
        </w:tc>
        <w:tc>
          <w:tcPr>
            <w:tcW w:w="2720" w:type="dxa"/>
            <w:vAlign w:val="bottom"/>
          </w:tcPr>
          <w:p>
            <w:pPr>
              <w:jc w:val="right"/>
              <w:ind w:right="1590"/>
              <w:spacing w:after="0"/>
              <w:rPr>
                <w:sz w:val="20"/>
                <w:szCs w:val="20"/>
                <w:color w:val="auto"/>
              </w:rPr>
            </w:pPr>
            <w:r>
              <w:rPr>
                <w:rFonts w:ascii="Arial" w:cs="Arial" w:eastAsia="Arial" w:hAnsi="Arial"/>
                <w:sz w:val="18"/>
                <w:szCs w:val="18"/>
                <w:color w:val="auto"/>
              </w:rPr>
              <w:t>14</w:t>
            </w:r>
          </w:p>
        </w:tc>
        <w:tc>
          <w:tcPr>
            <w:tcW w:w="2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101"/>
        </w:trPr>
        <w:tc>
          <w:tcPr>
            <w:tcW w:w="4680" w:type="dxa"/>
            <w:vAlign w:val="bottom"/>
            <w:tcBorders>
              <w:bottom w:val="single" w:sz="8" w:color="9A9A9A"/>
            </w:tcBorders>
          </w:tcPr>
          <w:p>
            <w:pPr>
              <w:spacing w:after="0"/>
              <w:rPr>
                <w:sz w:val="8"/>
                <w:szCs w:val="8"/>
                <w:color w:val="auto"/>
              </w:rPr>
            </w:pPr>
          </w:p>
        </w:tc>
        <w:tc>
          <w:tcPr>
            <w:tcW w:w="272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154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58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5859780</wp:posOffset>
            </wp:positionH>
            <wp:positionV relativeFrom="paragraph">
              <wp:posOffset>-633730</wp:posOffset>
            </wp:positionV>
            <wp:extent cx="13716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-616585</wp:posOffset>
            </wp:positionV>
            <wp:extent cx="13716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14" w:name="page15"/>
    <w:bookmarkEnd w:id="14"/>
    <w:p>
      <w:pPr>
        <w:ind w:left="360" w:hanging="352"/>
        <w:spacing w:after="0"/>
        <w:tabs>
          <w:tab w:leader="none" w:pos="360" w:val="left"/>
        </w:tabs>
        <w:numPr>
          <w:ilvl w:val="0"/>
          <w:numId w:val="14"/>
        </w:numPr>
        <w:rPr>
          <w:rFonts w:ascii="Arial" w:cs="Arial" w:eastAsia="Arial" w:hAnsi="Arial"/>
          <w:sz w:val="18"/>
          <w:szCs w:val="18"/>
          <w:color w:val="auto"/>
        </w:rPr>
      </w:pPr>
      <w:r>
        <w:rPr>
          <w:rFonts w:ascii="Arial" w:cs="Arial" w:eastAsia="Arial" w:hAnsi="Arial"/>
          <w:sz w:val="18"/>
          <w:szCs w:val="18"/>
          <w:u w:val="single" w:color="auto"/>
          <w:color w:val="auto"/>
        </w:rPr>
        <w:t>Retirement Plans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the net periodic benefit cost (credit) for our plans were as follows: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5700" w:type="dxa"/>
            <w:vAlign w:val="bottom"/>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720" w:type="dxa"/>
            <w:vAlign w:val="bottom"/>
            <w:tcBorders>
              <w:bottom w:val="single" w:sz="8" w:color="auto"/>
            </w:tcBorders>
            <w:gridSpan w:val="5"/>
          </w:tcPr>
          <w:p>
            <w:pPr>
              <w:jc w:val="right"/>
              <w:ind w:right="110"/>
              <w:spacing w:after="0"/>
              <w:rPr>
                <w:sz w:val="20"/>
                <w:szCs w:val="20"/>
                <w:color w:val="auto"/>
              </w:rPr>
            </w:pPr>
            <w:r>
              <w:rPr>
                <w:rFonts w:ascii="Arial" w:cs="Arial" w:eastAsia="Arial" w:hAnsi="Arial"/>
                <w:sz w:val="18"/>
                <w:szCs w:val="18"/>
                <w:b w:val="1"/>
                <w:bCs w:val="1"/>
                <w:color w:val="auto"/>
                <w:w w:val="93"/>
              </w:rPr>
              <w:t>Three Months Ended March 31,</w:t>
            </w:r>
          </w:p>
        </w:tc>
        <w:tc>
          <w:tcPr>
            <w:tcW w:w="14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5700" w:type="dxa"/>
            <w:vAlign w:val="bottom"/>
          </w:tcPr>
          <w:p>
            <w:pPr>
              <w:spacing w:after="0"/>
              <w:rPr>
                <w:sz w:val="13"/>
                <w:szCs w:val="13"/>
                <w:color w:val="auto"/>
              </w:rPr>
            </w:pPr>
          </w:p>
        </w:tc>
        <w:tc>
          <w:tcPr>
            <w:tcW w:w="2300" w:type="dxa"/>
            <w:vAlign w:val="bottom"/>
            <w:gridSpan w:val="4"/>
          </w:tcPr>
          <w:p>
            <w:pPr>
              <w:jc w:val="right"/>
              <w:spacing w:after="0" w:line="156" w:lineRule="exact"/>
              <w:rPr>
                <w:sz w:val="20"/>
                <w:szCs w:val="20"/>
                <w:color w:val="auto"/>
              </w:rPr>
            </w:pPr>
            <w:r>
              <w:rPr>
                <w:rFonts w:ascii="Arial" w:cs="Arial" w:eastAsia="Arial" w:hAnsi="Arial"/>
                <w:sz w:val="18"/>
                <w:szCs w:val="18"/>
                <w:b w:val="1"/>
                <w:bCs w:val="1"/>
                <w:color w:val="auto"/>
              </w:rPr>
              <w:t>Defined Benefit Pension</w:t>
            </w:r>
          </w:p>
        </w:tc>
        <w:tc>
          <w:tcPr>
            <w:tcW w:w="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40" w:type="dxa"/>
            <w:vAlign w:val="bottom"/>
            <w:gridSpan w:val="4"/>
            <w:vMerge w:val="restart"/>
          </w:tcPr>
          <w:p>
            <w:pPr>
              <w:jc w:val="right"/>
              <w:ind w:right="310"/>
              <w:spacing w:after="0"/>
              <w:rPr>
                <w:sz w:val="20"/>
                <w:szCs w:val="20"/>
                <w:color w:val="auto"/>
              </w:rPr>
            </w:pPr>
            <w:r>
              <w:rPr>
                <w:rFonts w:ascii="Arial" w:cs="Arial" w:eastAsia="Arial" w:hAnsi="Arial"/>
                <w:sz w:val="18"/>
                <w:szCs w:val="18"/>
                <w:b w:val="1"/>
                <w:bCs w:val="1"/>
                <w:color w:val="auto"/>
                <w:w w:val="96"/>
              </w:rPr>
              <w:t>Retiree Health Care Plan</w:t>
            </w:r>
          </w:p>
        </w:tc>
        <w:tc>
          <w:tcPr>
            <w:tcW w:w="0" w:type="dxa"/>
            <w:vAlign w:val="bottom"/>
          </w:tcPr>
          <w:p>
            <w:pPr>
              <w:spacing w:after="0"/>
              <w:rPr>
                <w:sz w:val="1"/>
                <w:szCs w:val="1"/>
                <w:color w:val="auto"/>
              </w:rPr>
            </w:pPr>
          </w:p>
        </w:tc>
      </w:tr>
      <w:tr>
        <w:trPr>
          <w:trHeight w:val="216"/>
        </w:trPr>
        <w:tc>
          <w:tcPr>
            <w:tcW w:w="5700" w:type="dxa"/>
            <w:vAlign w:val="bottom"/>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3"/>
          </w:tcPr>
          <w:p>
            <w:pPr>
              <w:jc w:val="right"/>
              <w:ind w:right="670"/>
              <w:spacing w:after="0"/>
              <w:rPr>
                <w:sz w:val="20"/>
                <w:szCs w:val="20"/>
                <w:color w:val="auto"/>
              </w:rPr>
            </w:pPr>
            <w:r>
              <w:rPr>
                <w:rFonts w:ascii="Arial" w:cs="Arial" w:eastAsia="Arial" w:hAnsi="Arial"/>
                <w:sz w:val="18"/>
                <w:szCs w:val="18"/>
                <w:b w:val="1"/>
                <w:bCs w:val="1"/>
                <w:color w:val="auto"/>
              </w:rPr>
              <w:t>Plans</w:t>
            </w:r>
          </w:p>
        </w:tc>
        <w:tc>
          <w:tcPr>
            <w:tcW w:w="44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440" w:type="dxa"/>
            <w:vAlign w:val="bottom"/>
            <w:tcBorders>
              <w:bottom w:val="single" w:sz="8" w:color="auto"/>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5700" w:type="dxa"/>
            <w:vAlign w:val="bottom"/>
          </w:tcPr>
          <w:p>
            <w:pPr>
              <w:spacing w:after="0"/>
              <w:rPr>
                <w:sz w:val="17"/>
                <w:szCs w:val="17"/>
                <w:color w:val="auto"/>
              </w:rPr>
            </w:pPr>
          </w:p>
        </w:tc>
        <w:tc>
          <w:tcPr>
            <w:tcW w:w="84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2022</w:t>
            </w:r>
          </w:p>
        </w:tc>
        <w:tc>
          <w:tcPr>
            <w:tcW w:w="460" w:type="dxa"/>
            <w:vAlign w:val="bottom"/>
          </w:tcPr>
          <w:p>
            <w:pPr>
              <w:spacing w:after="0"/>
              <w:rPr>
                <w:sz w:val="17"/>
                <w:szCs w:val="17"/>
                <w:color w:val="auto"/>
              </w:rPr>
            </w:pPr>
          </w:p>
        </w:tc>
        <w:tc>
          <w:tcPr>
            <w:tcW w:w="1000" w:type="dxa"/>
            <w:vAlign w:val="bottom"/>
            <w:gridSpan w:val="2"/>
          </w:tcPr>
          <w:p>
            <w:pPr>
              <w:jc w:val="right"/>
              <w:spacing w:after="0" w:line="196" w:lineRule="exact"/>
              <w:rPr>
                <w:sz w:val="20"/>
                <w:szCs w:val="20"/>
                <w:color w:val="auto"/>
              </w:rPr>
            </w:pPr>
            <w:r>
              <w:rPr>
                <w:rFonts w:ascii="Arial" w:cs="Arial" w:eastAsia="Arial" w:hAnsi="Arial"/>
                <w:sz w:val="18"/>
                <w:szCs w:val="18"/>
                <w:b w:val="1"/>
                <w:bCs w:val="1"/>
                <w:color w:val="auto"/>
              </w:rPr>
              <w:t>2021</w:t>
            </w: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jc w:val="right"/>
              <w:ind w:right="410"/>
              <w:spacing w:after="0" w:line="196" w:lineRule="exact"/>
              <w:rPr>
                <w:sz w:val="20"/>
                <w:szCs w:val="20"/>
                <w:color w:val="auto"/>
              </w:rPr>
            </w:pPr>
            <w:r>
              <w:rPr>
                <w:rFonts w:ascii="Arial" w:cs="Arial" w:eastAsia="Arial" w:hAnsi="Arial"/>
                <w:sz w:val="18"/>
                <w:szCs w:val="18"/>
                <w:b w:val="1"/>
                <w:bCs w:val="1"/>
                <w:color w:val="auto"/>
              </w:rPr>
              <w:t>2022</w:t>
            </w: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jc w:val="right"/>
              <w:ind w:right="390"/>
              <w:spacing w:after="0" w:line="196" w:lineRule="exact"/>
              <w:rPr>
                <w:sz w:val="20"/>
                <w:szCs w:val="20"/>
                <w:color w:val="auto"/>
              </w:rPr>
            </w:pPr>
            <w:r>
              <w:rPr>
                <w:rFonts w:ascii="Arial" w:cs="Arial" w:eastAsia="Arial" w:hAnsi="Arial"/>
                <w:sz w:val="18"/>
                <w:szCs w:val="18"/>
                <w:b w:val="1"/>
                <w:bCs w:val="1"/>
                <w:color w:val="auto"/>
              </w:rPr>
              <w:t>2021</w:t>
            </w:r>
          </w:p>
        </w:tc>
        <w:tc>
          <w:tcPr>
            <w:tcW w:w="0" w:type="dxa"/>
            <w:vAlign w:val="bottom"/>
          </w:tcPr>
          <w:p>
            <w:pPr>
              <w:spacing w:after="0"/>
              <w:rPr>
                <w:sz w:val="1"/>
                <w:szCs w:val="1"/>
                <w:color w:val="auto"/>
              </w:rPr>
            </w:pPr>
          </w:p>
        </w:tc>
      </w:tr>
      <w:tr>
        <w:trPr>
          <w:trHeight w:val="196"/>
        </w:trPr>
        <w:tc>
          <w:tcPr>
            <w:tcW w:w="570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Service cost</w:t>
            </w:r>
          </w:p>
        </w:tc>
        <w:tc>
          <w:tcPr>
            <w:tcW w:w="840" w:type="dxa"/>
            <w:vAlign w:val="bottom"/>
            <w:tcBorders>
              <w:top w:val="single" w:sz="8" w:color="auto"/>
            </w:tcBorders>
            <w:shd w:val="clear" w:color="auto" w:fill="CFF0FC"/>
          </w:tcPr>
          <w:p>
            <w:pPr>
              <w:jc w:val="right"/>
              <w:ind w:right="650"/>
              <w:spacing w:after="0" w:line="196" w:lineRule="exact"/>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tcBorders>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rPr>
              <w:t>5.1</w:t>
            </w:r>
          </w:p>
        </w:tc>
        <w:tc>
          <w:tcPr>
            <w:tcW w:w="140" w:type="dxa"/>
            <w:vAlign w:val="bottom"/>
            <w:shd w:val="clear" w:color="auto" w:fill="CFF0FC"/>
          </w:tcPr>
          <w:p>
            <w:pPr>
              <w:spacing w:after="0"/>
              <w:rPr>
                <w:sz w:val="17"/>
                <w:szCs w:val="17"/>
                <w:color w:val="auto"/>
              </w:rPr>
            </w:pPr>
          </w:p>
        </w:tc>
        <w:tc>
          <w:tcPr>
            <w:tcW w:w="860" w:type="dxa"/>
            <w:vAlign w:val="bottom"/>
            <w:tcBorders>
              <w:top w:val="single" w:sz="8" w:color="auto"/>
            </w:tcBorders>
            <w:shd w:val="clear" w:color="auto" w:fill="CFF0FC"/>
          </w:tcPr>
          <w:p>
            <w:pPr>
              <w:jc w:val="right"/>
              <w:ind w:right="650"/>
              <w:spacing w:after="0" w:line="196" w:lineRule="exact"/>
              <w:rPr>
                <w:sz w:val="20"/>
                <w:szCs w:val="20"/>
                <w:color w:val="auto"/>
              </w:rPr>
            </w:pPr>
            <w:r>
              <w:rPr>
                <w:rFonts w:ascii="Arial" w:cs="Arial" w:eastAsia="Arial" w:hAnsi="Arial"/>
                <w:sz w:val="18"/>
                <w:szCs w:val="18"/>
                <w:color w:val="auto"/>
                <w:w w:val="99"/>
              </w:rPr>
              <w:t>$</w:t>
            </w:r>
          </w:p>
        </w:tc>
        <w:tc>
          <w:tcPr>
            <w:tcW w:w="440" w:type="dxa"/>
            <w:vAlign w:val="bottom"/>
            <w:tcBorders>
              <w:top w:val="single" w:sz="8" w:color="auto"/>
            </w:tcBorders>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rPr>
              <w:t>5.6</w:t>
            </w:r>
          </w:p>
        </w:tc>
        <w:tc>
          <w:tcPr>
            <w:tcW w:w="140" w:type="dxa"/>
            <w:vAlign w:val="bottom"/>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5700" w:type="dxa"/>
            <w:vAlign w:val="bottom"/>
          </w:tcPr>
          <w:p>
            <w:pPr>
              <w:ind w:left="20"/>
              <w:spacing w:after="0" w:line="202" w:lineRule="exact"/>
              <w:rPr>
                <w:sz w:val="20"/>
                <w:szCs w:val="20"/>
                <w:color w:val="auto"/>
              </w:rPr>
            </w:pPr>
            <w:r>
              <w:rPr>
                <w:rFonts w:ascii="Arial" w:cs="Arial" w:eastAsia="Arial" w:hAnsi="Arial"/>
                <w:sz w:val="18"/>
                <w:szCs w:val="18"/>
                <w:color w:val="auto"/>
              </w:rPr>
              <w:t>Interest cost</w:t>
            </w:r>
          </w:p>
        </w:tc>
        <w:tc>
          <w:tcPr>
            <w:tcW w:w="840" w:type="dxa"/>
            <w:vAlign w:val="bottom"/>
          </w:tcPr>
          <w:p>
            <w:pPr>
              <w:spacing w:after="0"/>
              <w:rPr>
                <w:sz w:val="17"/>
                <w:szCs w:val="17"/>
                <w:color w:val="auto"/>
              </w:rPr>
            </w:pPr>
          </w:p>
        </w:tc>
        <w:tc>
          <w:tcPr>
            <w:tcW w:w="4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2.3</w:t>
            </w: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40" w:type="dxa"/>
            <w:vAlign w:val="bottom"/>
          </w:tcPr>
          <w:p>
            <w:pPr>
              <w:jc w:val="right"/>
              <w:ind w:right="30"/>
              <w:spacing w:after="0" w:line="202" w:lineRule="exact"/>
              <w:rPr>
                <w:sz w:val="20"/>
                <w:szCs w:val="20"/>
                <w:color w:val="auto"/>
              </w:rPr>
            </w:pPr>
            <w:r>
              <w:rPr>
                <w:rFonts w:ascii="Arial" w:cs="Arial" w:eastAsia="Arial" w:hAnsi="Arial"/>
                <w:sz w:val="18"/>
                <w:szCs w:val="18"/>
                <w:color w:val="auto"/>
              </w:rPr>
              <w:t>1.5</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0.1</w:t>
            </w: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03"/>
        </w:trPr>
        <w:tc>
          <w:tcPr>
            <w:tcW w:w="57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Expected return on assets</w:t>
            </w:r>
          </w:p>
        </w:tc>
        <w:tc>
          <w:tcPr>
            <w:tcW w:w="840" w:type="dxa"/>
            <w:vAlign w:val="bottom"/>
            <w:shd w:val="clear" w:color="auto" w:fill="CFF0FC"/>
          </w:tcPr>
          <w:p>
            <w:pPr>
              <w:spacing w:after="0"/>
              <w:rPr>
                <w:sz w:val="17"/>
                <w:szCs w:val="17"/>
                <w:color w:val="auto"/>
              </w:rPr>
            </w:pPr>
          </w:p>
        </w:tc>
        <w:tc>
          <w:tcPr>
            <w:tcW w:w="4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99"/>
              </w:rPr>
              <w:t>(3.9 )</w:t>
            </w:r>
          </w:p>
        </w:tc>
        <w:tc>
          <w:tcPr>
            <w:tcW w:w="14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4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95"/>
              </w:rPr>
              <w:t>(3.1 )</w:t>
            </w:r>
          </w:p>
        </w:tc>
        <w:tc>
          <w:tcPr>
            <w:tcW w:w="1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60" w:type="dxa"/>
            <w:vAlign w:val="bottom"/>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80" w:type="dxa"/>
            <w:vAlign w:val="bottom"/>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5700" w:type="dxa"/>
            <w:vAlign w:val="bottom"/>
          </w:tcPr>
          <w:p>
            <w:pPr>
              <w:ind w:left="20"/>
              <w:spacing w:after="0" w:line="202" w:lineRule="exact"/>
              <w:rPr>
                <w:sz w:val="20"/>
                <w:szCs w:val="20"/>
                <w:color w:val="auto"/>
              </w:rPr>
            </w:pPr>
            <w:r>
              <w:rPr>
                <w:rFonts w:ascii="Arial" w:cs="Arial" w:eastAsia="Arial" w:hAnsi="Arial"/>
                <w:sz w:val="18"/>
                <w:szCs w:val="18"/>
                <w:color w:val="auto"/>
              </w:rPr>
              <w:t>Net loss</w:t>
            </w:r>
          </w:p>
        </w:tc>
        <w:tc>
          <w:tcPr>
            <w:tcW w:w="840" w:type="dxa"/>
            <w:vAlign w:val="bottom"/>
          </w:tcPr>
          <w:p>
            <w:pPr>
              <w:spacing w:after="0"/>
              <w:rPr>
                <w:sz w:val="17"/>
                <w:szCs w:val="17"/>
                <w:color w:val="auto"/>
              </w:rPr>
            </w:pPr>
          </w:p>
        </w:tc>
        <w:tc>
          <w:tcPr>
            <w:tcW w:w="4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0.5</w:t>
            </w: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40" w:type="dxa"/>
            <w:vAlign w:val="bottom"/>
          </w:tcPr>
          <w:p>
            <w:pPr>
              <w:jc w:val="right"/>
              <w:ind w:right="30"/>
              <w:spacing w:after="0" w:line="202" w:lineRule="exact"/>
              <w:rPr>
                <w:sz w:val="20"/>
                <w:szCs w:val="20"/>
                <w:color w:val="auto"/>
              </w:rPr>
            </w:pPr>
            <w:r>
              <w:rPr>
                <w:rFonts w:ascii="Arial" w:cs="Arial" w:eastAsia="Arial" w:hAnsi="Arial"/>
                <w:sz w:val="18"/>
                <w:szCs w:val="18"/>
                <w:color w:val="auto"/>
              </w:rPr>
              <w:t>1.2</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570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Prior service cost (credit)</w:t>
            </w:r>
          </w:p>
        </w:tc>
        <w:tc>
          <w:tcPr>
            <w:tcW w:w="840" w:type="dxa"/>
            <w:vAlign w:val="bottom"/>
            <w:tcBorders>
              <w:bottom w:val="single" w:sz="8" w:color="auto"/>
            </w:tcBorders>
            <w:shd w:val="clear" w:color="auto" w:fill="CFF0FC"/>
          </w:tcPr>
          <w:p>
            <w:pPr>
              <w:spacing w:after="0"/>
              <w:rPr>
                <w:sz w:val="17"/>
                <w:szCs w:val="17"/>
                <w:color w:val="auto"/>
              </w:rPr>
            </w:pPr>
          </w:p>
        </w:tc>
        <w:tc>
          <w:tcPr>
            <w:tcW w:w="460" w:type="dxa"/>
            <w:vAlign w:val="bottom"/>
            <w:tcBorders>
              <w:bottom w:val="single" w:sz="8" w:color="auto"/>
            </w:tcBorders>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0.2</w:t>
            </w:r>
          </w:p>
        </w:tc>
        <w:tc>
          <w:tcPr>
            <w:tcW w:w="140" w:type="dxa"/>
            <w:vAlign w:val="bottom"/>
            <w:tcBorders>
              <w:bottom w:val="single" w:sz="8" w:color="CFF0FC"/>
            </w:tcBorders>
            <w:shd w:val="clear" w:color="auto" w:fill="CFF0FC"/>
          </w:tcPr>
          <w:p>
            <w:pPr>
              <w:spacing w:after="0"/>
              <w:rPr>
                <w:sz w:val="17"/>
                <w:szCs w:val="17"/>
                <w:color w:val="auto"/>
              </w:rPr>
            </w:pPr>
          </w:p>
        </w:tc>
        <w:tc>
          <w:tcPr>
            <w:tcW w:w="860" w:type="dxa"/>
            <w:vAlign w:val="bottom"/>
            <w:tcBorders>
              <w:bottom w:val="single" w:sz="8" w:color="auto"/>
            </w:tcBorders>
            <w:shd w:val="clear" w:color="auto" w:fill="CFF0FC"/>
          </w:tcPr>
          <w:p>
            <w:pPr>
              <w:spacing w:after="0"/>
              <w:rPr>
                <w:sz w:val="17"/>
                <w:szCs w:val="17"/>
                <w:color w:val="auto"/>
              </w:rPr>
            </w:pPr>
          </w:p>
        </w:tc>
        <w:tc>
          <w:tcPr>
            <w:tcW w:w="440" w:type="dxa"/>
            <w:vAlign w:val="bottom"/>
            <w:tcBorders>
              <w:bottom w:val="single" w:sz="8" w:color="auto"/>
            </w:tcBorders>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0.2</w:t>
            </w:r>
          </w:p>
        </w:tc>
        <w:tc>
          <w:tcPr>
            <w:tcW w:w="14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10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(0.2 )</w:t>
            </w:r>
          </w:p>
        </w:tc>
        <w:tc>
          <w:tcPr>
            <w:tcW w:w="14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9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(0.2 )</w:t>
            </w:r>
          </w:p>
        </w:tc>
        <w:tc>
          <w:tcPr>
            <w:tcW w:w="0" w:type="dxa"/>
            <w:vAlign w:val="bottom"/>
          </w:tcPr>
          <w:p>
            <w:pPr>
              <w:spacing w:after="0"/>
              <w:rPr>
                <w:sz w:val="1"/>
                <w:szCs w:val="1"/>
                <w:color w:val="auto"/>
              </w:rPr>
            </w:pPr>
          </w:p>
        </w:tc>
      </w:tr>
      <w:tr>
        <w:trPr>
          <w:trHeight w:val="196"/>
        </w:trPr>
        <w:tc>
          <w:tcPr>
            <w:tcW w:w="5700" w:type="dxa"/>
            <w:vAlign w:val="bottom"/>
          </w:tcPr>
          <w:p>
            <w:pPr>
              <w:ind w:left="200"/>
              <w:spacing w:after="0" w:line="196" w:lineRule="exact"/>
              <w:rPr>
                <w:sz w:val="20"/>
                <w:szCs w:val="20"/>
                <w:color w:val="auto"/>
              </w:rPr>
            </w:pPr>
            <w:r>
              <w:rPr>
                <w:rFonts w:ascii="Arial" w:cs="Arial" w:eastAsia="Arial" w:hAnsi="Arial"/>
                <w:sz w:val="18"/>
                <w:szCs w:val="18"/>
                <w:color w:val="auto"/>
              </w:rPr>
              <w:t>Total benefit cost (credit)</w:t>
            </w:r>
          </w:p>
        </w:tc>
        <w:tc>
          <w:tcPr>
            <w:tcW w:w="840" w:type="dxa"/>
            <w:vAlign w:val="bottom"/>
          </w:tcPr>
          <w:p>
            <w:pPr>
              <w:jc w:val="right"/>
              <w:ind w:right="650"/>
              <w:spacing w:after="0" w:line="196" w:lineRule="exact"/>
              <w:rPr>
                <w:sz w:val="20"/>
                <w:szCs w:val="20"/>
                <w:color w:val="auto"/>
              </w:rPr>
            </w:pPr>
            <w:r>
              <w:rPr>
                <w:rFonts w:ascii="Arial" w:cs="Arial" w:eastAsia="Arial" w:hAnsi="Arial"/>
                <w:sz w:val="18"/>
                <w:szCs w:val="18"/>
                <w:color w:val="auto"/>
                <w:w w:val="79"/>
              </w:rPr>
              <w:t>$</w:t>
            </w:r>
          </w:p>
        </w:tc>
        <w:tc>
          <w:tcPr>
            <w:tcW w:w="460" w:type="dxa"/>
            <w:vAlign w:val="bottom"/>
          </w:tcPr>
          <w:p>
            <w:pPr>
              <w:jc w:val="right"/>
              <w:ind w:right="10"/>
              <w:spacing w:after="0" w:line="196" w:lineRule="exact"/>
              <w:rPr>
                <w:sz w:val="20"/>
                <w:szCs w:val="20"/>
                <w:color w:val="auto"/>
              </w:rPr>
            </w:pPr>
            <w:r>
              <w:rPr>
                <w:rFonts w:ascii="Arial" w:cs="Arial" w:eastAsia="Arial" w:hAnsi="Arial"/>
                <w:sz w:val="18"/>
                <w:szCs w:val="18"/>
                <w:color w:val="auto"/>
              </w:rPr>
              <w:t>4.2</w:t>
            </w:r>
          </w:p>
        </w:tc>
        <w:tc>
          <w:tcPr>
            <w:tcW w:w="1000" w:type="dxa"/>
            <w:vAlign w:val="bottom"/>
            <w:gridSpan w:val="2"/>
          </w:tcPr>
          <w:p>
            <w:pPr>
              <w:jc w:val="right"/>
              <w:ind w:right="650"/>
              <w:spacing w:after="0" w:line="196" w:lineRule="exact"/>
              <w:rPr>
                <w:sz w:val="20"/>
                <w:szCs w:val="20"/>
                <w:color w:val="auto"/>
              </w:rPr>
            </w:pPr>
            <w:r>
              <w:rPr>
                <w:rFonts w:ascii="Arial" w:cs="Arial" w:eastAsia="Arial" w:hAnsi="Arial"/>
                <w:sz w:val="18"/>
                <w:szCs w:val="18"/>
                <w:color w:val="auto"/>
              </w:rPr>
              <w:t>$</w:t>
            </w:r>
          </w:p>
        </w:tc>
        <w:tc>
          <w:tcPr>
            <w:tcW w:w="440" w:type="dxa"/>
            <w:vAlign w:val="bottom"/>
          </w:tcPr>
          <w:p>
            <w:pPr>
              <w:jc w:val="right"/>
              <w:ind w:right="30"/>
              <w:spacing w:after="0" w:line="196" w:lineRule="exact"/>
              <w:rPr>
                <w:sz w:val="20"/>
                <w:szCs w:val="20"/>
                <w:color w:val="auto"/>
              </w:rPr>
            </w:pPr>
            <w:r>
              <w:rPr>
                <w:rFonts w:ascii="Arial" w:cs="Arial" w:eastAsia="Arial" w:hAnsi="Arial"/>
                <w:sz w:val="18"/>
                <w:szCs w:val="18"/>
                <w:color w:val="auto"/>
              </w:rPr>
              <w:t>5.4</w:t>
            </w:r>
          </w:p>
        </w:tc>
        <w:tc>
          <w:tcPr>
            <w:tcW w:w="360" w:type="dxa"/>
            <w:vAlign w:val="bottom"/>
            <w:gridSpan w:val="2"/>
          </w:tcPr>
          <w:p>
            <w:pPr>
              <w:jc w:val="right"/>
              <w:ind w:right="30"/>
              <w:spacing w:after="0" w:line="196" w:lineRule="exact"/>
              <w:rPr>
                <w:sz w:val="20"/>
                <w:szCs w:val="20"/>
                <w:color w:val="auto"/>
              </w:rPr>
            </w:pPr>
            <w:r>
              <w:rPr>
                <w:rFonts w:ascii="Arial" w:cs="Arial" w:eastAsia="Arial" w:hAnsi="Arial"/>
                <w:sz w:val="18"/>
                <w:szCs w:val="18"/>
                <w:color w:val="auto"/>
              </w:rPr>
              <w:t>$</w:t>
            </w:r>
          </w:p>
        </w:tc>
        <w:tc>
          <w:tcPr>
            <w:tcW w:w="1060" w:type="dxa"/>
            <w:vAlign w:val="bottom"/>
          </w:tcPr>
          <w:p>
            <w:pPr>
              <w:jc w:val="right"/>
              <w:spacing w:after="0" w:line="196" w:lineRule="exact"/>
              <w:rPr>
                <w:sz w:val="20"/>
                <w:szCs w:val="20"/>
                <w:color w:val="auto"/>
              </w:rPr>
            </w:pPr>
            <w:r>
              <w:rPr>
                <w:rFonts w:ascii="Arial" w:cs="Arial" w:eastAsia="Arial" w:hAnsi="Arial"/>
                <w:sz w:val="18"/>
                <w:szCs w:val="18"/>
                <w:color w:val="auto"/>
              </w:rPr>
              <w:t>(0.1 )</w:t>
            </w:r>
          </w:p>
        </w:tc>
        <w:tc>
          <w:tcPr>
            <w:tcW w:w="400" w:type="dxa"/>
            <w:vAlign w:val="bottom"/>
            <w:gridSpan w:val="2"/>
          </w:tcPr>
          <w:p>
            <w:pPr>
              <w:jc w:val="right"/>
              <w:ind w:right="70"/>
              <w:spacing w:after="0" w:line="196" w:lineRule="exact"/>
              <w:rPr>
                <w:sz w:val="20"/>
                <w:szCs w:val="20"/>
                <w:color w:val="auto"/>
              </w:rPr>
            </w:pPr>
            <w:r>
              <w:rPr>
                <w:rFonts w:ascii="Arial" w:cs="Arial" w:eastAsia="Arial" w:hAnsi="Arial"/>
                <w:sz w:val="18"/>
                <w:szCs w:val="18"/>
                <w:color w:val="auto"/>
              </w:rPr>
              <w:t>$</w:t>
            </w:r>
          </w:p>
        </w:tc>
        <w:tc>
          <w:tcPr>
            <w:tcW w:w="980" w:type="dxa"/>
            <w:vAlign w:val="bottom"/>
          </w:tcPr>
          <w:p>
            <w:pPr>
              <w:jc w:val="right"/>
              <w:spacing w:after="0" w:line="196" w:lineRule="exact"/>
              <w:rPr>
                <w:sz w:val="20"/>
                <w:szCs w:val="20"/>
                <w:color w:val="auto"/>
              </w:rPr>
            </w:pPr>
            <w:r>
              <w:rPr>
                <w:rFonts w:ascii="Arial" w:cs="Arial" w:eastAsia="Arial" w:hAnsi="Arial"/>
                <w:sz w:val="18"/>
                <w:szCs w:val="18"/>
                <w:color w:val="auto"/>
              </w:rPr>
              <w:t>(0.1 )</w:t>
            </w:r>
          </w:p>
        </w:tc>
        <w:tc>
          <w:tcPr>
            <w:tcW w:w="0" w:type="dxa"/>
            <w:vAlign w:val="bottom"/>
          </w:tcPr>
          <w:p>
            <w:pPr>
              <w:spacing w:after="0"/>
              <w:rPr>
                <w:sz w:val="1"/>
                <w:szCs w:val="1"/>
                <w:color w:val="auto"/>
              </w:rPr>
            </w:pPr>
          </w:p>
        </w:tc>
      </w:tr>
      <w:tr>
        <w:trPr>
          <w:trHeight w:val="20"/>
        </w:trPr>
        <w:tc>
          <w:tcPr>
            <w:tcW w:w="57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4445635</wp:posOffset>
            </wp:positionH>
            <wp:positionV relativeFrom="paragraph">
              <wp:posOffset>-159385</wp:posOffset>
            </wp:positionV>
            <wp:extent cx="93980" cy="571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93980" cy="571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-159385</wp:posOffset>
            </wp:positionV>
            <wp:extent cx="94615" cy="571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94615" cy="571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-159385</wp:posOffset>
            </wp:positionV>
            <wp:extent cx="85725" cy="571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85725" cy="5715"/>
                    </a:xfrm>
                    <a:prstGeom prst="rect">
                      <a:avLst/>
                    </a:prstGeom>
                    <a:noFill/>
                  </pic:spPr>
                </pic:pic>
              </a:graphicData>
            </a:graphic>
          </wp:anchor>
        </w:drawing>
      </w:r>
    </w:p>
    <w:p>
      <w:pPr>
        <w:spacing w:after="0" w:line="222" w:lineRule="exact"/>
        <w:rPr>
          <w:sz w:val="20"/>
          <w:szCs w:val="20"/>
          <w:color w:val="auto"/>
        </w:rPr>
      </w:pPr>
    </w:p>
    <w:p>
      <w:pPr>
        <w:spacing w:after="0"/>
        <w:rPr>
          <w:sz w:val="20"/>
          <w:szCs w:val="20"/>
          <w:color w:val="auto"/>
        </w:rPr>
      </w:pPr>
      <w:r>
        <w:rPr>
          <w:rFonts w:ascii="Arial" w:cs="Arial" w:eastAsia="Arial" w:hAnsi="Arial"/>
          <w:sz w:val="16"/>
          <w:szCs w:val="16"/>
          <w:color w:val="auto"/>
        </w:rPr>
        <w:t>During the three months ended March 31, 2022, contributions made to our pension plans and retiree health care plan were $2.1 and $0.3, respectively.</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During 2022, we expect to make total contributions of approximately $15.0 to our pension plans and to fund our retiree health care payments as incurred.</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160" w:type="dxa"/>
            <w:vAlign w:val="bottom"/>
            <w:gridSpan w:val="4"/>
          </w:tcPr>
          <w:p>
            <w:pPr>
              <w:spacing w:after="0"/>
              <w:rPr>
                <w:sz w:val="20"/>
                <w:szCs w:val="20"/>
                <w:color w:val="auto"/>
              </w:rPr>
            </w:pPr>
            <w:r>
              <w:rPr>
                <w:rFonts w:ascii="Arial" w:cs="Arial" w:eastAsia="Arial" w:hAnsi="Arial"/>
                <w:sz w:val="18"/>
                <w:szCs w:val="18"/>
                <w:color w:val="auto"/>
              </w:rPr>
              <w:t>(11) Shareholders’ Equity</w:t>
            </w:r>
          </w:p>
        </w:tc>
        <w:tc>
          <w:tcPr>
            <w:tcW w:w="2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0"/>
        </w:trPr>
        <w:tc>
          <w:tcPr>
            <w:tcW w:w="340" w:type="dxa"/>
            <w:vAlign w:val="bottom"/>
            <w:gridSpan w:val="2"/>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439"/>
        </w:trPr>
        <w:tc>
          <w:tcPr>
            <w:tcW w:w="8160" w:type="dxa"/>
            <w:vAlign w:val="bottom"/>
            <w:gridSpan w:val="4"/>
          </w:tcPr>
          <w:p>
            <w:pPr>
              <w:spacing w:after="0"/>
              <w:rPr>
                <w:sz w:val="20"/>
                <w:szCs w:val="20"/>
                <w:color w:val="auto"/>
              </w:rPr>
            </w:pPr>
            <w:r>
              <w:rPr>
                <w:rFonts w:ascii="Arial" w:cs="Arial" w:eastAsia="Arial" w:hAnsi="Arial"/>
                <w:sz w:val="18"/>
                <w:szCs w:val="18"/>
                <w:color w:val="auto"/>
              </w:rPr>
              <w:t>The components of accumulated other comprehensive loss, net of tax, were as follows:</w:t>
            </w: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400"/>
        </w:trPr>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6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jc w:val="right"/>
              <w:ind w:right="330"/>
              <w:spacing w:after="0"/>
              <w:rPr>
                <w:sz w:val="20"/>
                <w:szCs w:val="20"/>
                <w:color w:val="auto"/>
              </w:rPr>
            </w:pPr>
            <w:r>
              <w:rPr>
                <w:rFonts w:ascii="Arial" w:cs="Arial" w:eastAsia="Arial" w:hAnsi="Arial"/>
                <w:sz w:val="18"/>
                <w:szCs w:val="18"/>
                <w:b w:val="1"/>
                <w:bCs w:val="1"/>
                <w:color w:val="auto"/>
              </w:rPr>
              <w:t>March 31,</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jc w:val="right"/>
              <w:ind w:right="150"/>
              <w:spacing w:after="0"/>
              <w:rPr>
                <w:sz w:val="20"/>
                <w:szCs w:val="20"/>
                <w:color w:val="auto"/>
              </w:rPr>
            </w:pPr>
            <w:r>
              <w:rPr>
                <w:rFonts w:ascii="Arial" w:cs="Arial" w:eastAsia="Arial" w:hAnsi="Arial"/>
                <w:sz w:val="18"/>
                <w:szCs w:val="18"/>
                <w:b w:val="1"/>
                <w:bCs w:val="1"/>
                <w:color w:val="auto"/>
                <w:w w:val="88"/>
              </w:rPr>
              <w:t>December 31,</w:t>
            </w:r>
          </w:p>
        </w:tc>
      </w:tr>
      <w:tr>
        <w:trPr>
          <w:trHeight w:val="221"/>
        </w:trPr>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62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2021</w:t>
            </w:r>
          </w:p>
        </w:tc>
      </w:tr>
      <w:tr>
        <w:trPr>
          <w:trHeight w:val="196"/>
        </w:trPr>
        <w:tc>
          <w:tcPr>
            <w:tcW w:w="80" w:type="dxa"/>
            <w:vAlign w:val="bottom"/>
          </w:tcPr>
          <w:p>
            <w:pPr>
              <w:spacing w:after="0"/>
              <w:rPr>
                <w:sz w:val="17"/>
                <w:szCs w:val="17"/>
                <w:color w:val="auto"/>
              </w:rPr>
            </w:pPr>
          </w:p>
        </w:tc>
        <w:tc>
          <w:tcPr>
            <w:tcW w:w="8080" w:type="dxa"/>
            <w:vAlign w:val="bottom"/>
            <w:gridSpan w:val="3"/>
            <w:shd w:val="clear" w:color="auto" w:fill="CFF0FC"/>
          </w:tcPr>
          <w:p>
            <w:pPr>
              <w:spacing w:after="0" w:line="196" w:lineRule="exact"/>
              <w:rPr>
                <w:sz w:val="20"/>
                <w:szCs w:val="20"/>
                <w:color w:val="auto"/>
              </w:rPr>
            </w:pPr>
            <w:r>
              <w:rPr>
                <w:rFonts w:ascii="Arial" w:cs="Arial" w:eastAsia="Arial" w:hAnsi="Arial"/>
                <w:sz w:val="18"/>
                <w:szCs w:val="18"/>
                <w:color w:val="auto"/>
              </w:rPr>
              <w:t>Foreign currency translation</w:t>
            </w:r>
          </w:p>
        </w:tc>
        <w:tc>
          <w:tcPr>
            <w:tcW w:w="200" w:type="dxa"/>
            <w:vAlign w:val="bottom"/>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3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(216.7 )</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3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(180.8 )</w:t>
            </w:r>
          </w:p>
        </w:tc>
      </w:tr>
      <w:tr>
        <w:trPr>
          <w:trHeight w:val="202"/>
        </w:trPr>
        <w:tc>
          <w:tcPr>
            <w:tcW w:w="80" w:type="dxa"/>
            <w:vAlign w:val="bottom"/>
          </w:tcPr>
          <w:p>
            <w:pPr>
              <w:spacing w:after="0"/>
              <w:rPr>
                <w:sz w:val="17"/>
                <w:szCs w:val="17"/>
                <w:color w:val="auto"/>
              </w:rPr>
            </w:pPr>
          </w:p>
        </w:tc>
        <w:tc>
          <w:tcPr>
            <w:tcW w:w="8080" w:type="dxa"/>
            <w:vAlign w:val="bottom"/>
            <w:gridSpan w:val="3"/>
          </w:tcPr>
          <w:p>
            <w:pPr>
              <w:spacing w:after="0" w:line="202" w:lineRule="exact"/>
              <w:rPr>
                <w:sz w:val="20"/>
                <w:szCs w:val="20"/>
                <w:color w:val="auto"/>
              </w:rPr>
            </w:pPr>
            <w:r>
              <w:rPr>
                <w:rFonts w:ascii="Arial" w:cs="Arial" w:eastAsia="Arial" w:hAnsi="Arial"/>
                <w:sz w:val="18"/>
                <w:szCs w:val="18"/>
                <w:color w:val="auto"/>
                <w:w w:val="99"/>
              </w:rPr>
              <w:t>Translation loss on derivative instruments, net of income tax benefit of $(9.8) and $(16.4), respectively</w:t>
            </w:r>
          </w:p>
        </w:tc>
        <w:tc>
          <w:tcPr>
            <w:tcW w:w="200" w:type="dxa"/>
            <w:vAlign w:val="bottom"/>
          </w:tcPr>
          <w:p>
            <w:pPr>
              <w:spacing w:after="0"/>
              <w:rPr>
                <w:sz w:val="17"/>
                <w:szCs w:val="17"/>
                <w:color w:val="auto"/>
              </w:rPr>
            </w:pPr>
          </w:p>
        </w:tc>
        <w:tc>
          <w:tcPr>
            <w:tcW w:w="1300" w:type="dxa"/>
            <w:vAlign w:val="bottom"/>
          </w:tcPr>
          <w:p>
            <w:pPr>
              <w:jc w:val="right"/>
              <w:ind w:right="30"/>
              <w:spacing w:after="0" w:line="202" w:lineRule="exact"/>
              <w:rPr>
                <w:sz w:val="20"/>
                <w:szCs w:val="20"/>
                <w:color w:val="auto"/>
              </w:rPr>
            </w:pPr>
            <w:r>
              <w:rPr>
                <w:rFonts w:ascii="Arial" w:cs="Arial" w:eastAsia="Arial" w:hAnsi="Arial"/>
                <w:sz w:val="18"/>
                <w:szCs w:val="18"/>
                <w:color w:val="auto"/>
              </w:rPr>
              <w:t>4.5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(18.4 )</w:t>
            </w:r>
          </w:p>
        </w:tc>
      </w:tr>
      <w:tr>
        <w:trPr>
          <w:trHeight w:val="203"/>
        </w:trPr>
        <w:tc>
          <w:tcPr>
            <w:tcW w:w="80" w:type="dxa"/>
            <w:vAlign w:val="bottom"/>
          </w:tcPr>
          <w:p>
            <w:pPr>
              <w:spacing w:after="0"/>
              <w:rPr>
                <w:sz w:val="17"/>
                <w:szCs w:val="17"/>
                <w:color w:val="auto"/>
              </w:rPr>
            </w:pPr>
          </w:p>
        </w:tc>
        <w:tc>
          <w:tcPr>
            <w:tcW w:w="8080" w:type="dxa"/>
            <w:vAlign w:val="bottom"/>
            <w:gridSpan w:val="3"/>
            <w:shd w:val="clear" w:color="auto" w:fill="CFF0FC"/>
          </w:tcPr>
          <w:p>
            <w:pPr>
              <w:spacing w:after="0" w:line="202" w:lineRule="exact"/>
              <w:rPr>
                <w:sz w:val="20"/>
                <w:szCs w:val="20"/>
                <w:color w:val="auto"/>
              </w:rPr>
            </w:pPr>
            <w:r>
              <w:rPr>
                <w:rFonts w:ascii="Arial" w:cs="Arial" w:eastAsia="Arial" w:hAnsi="Arial"/>
                <w:sz w:val="18"/>
                <w:szCs w:val="18"/>
                <w:color w:val="auto"/>
              </w:rPr>
              <w:t>Translation loss on long-term intercompany loans</w:t>
            </w:r>
          </w:p>
        </w:tc>
        <w:tc>
          <w:tcPr>
            <w:tcW w:w="200" w:type="dxa"/>
            <w:vAlign w:val="bottom"/>
            <w:shd w:val="clear" w:color="auto" w:fill="CFF0FC"/>
          </w:tcPr>
          <w:p>
            <w:pPr>
              <w:spacing w:after="0"/>
              <w:rPr>
                <w:sz w:val="17"/>
                <w:szCs w:val="17"/>
                <w:color w:val="auto"/>
              </w:rPr>
            </w:pPr>
          </w:p>
        </w:tc>
        <w:tc>
          <w:tcPr>
            <w:tcW w:w="13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(131.1 )</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3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(133.6 )</w:t>
            </w:r>
          </w:p>
        </w:tc>
      </w:tr>
      <w:tr>
        <w:trPr>
          <w:trHeight w:val="203"/>
        </w:trPr>
        <w:tc>
          <w:tcPr>
            <w:tcW w:w="80" w:type="dxa"/>
            <w:vAlign w:val="bottom"/>
          </w:tcPr>
          <w:p>
            <w:pPr>
              <w:spacing w:after="0"/>
              <w:rPr>
                <w:sz w:val="17"/>
                <w:szCs w:val="17"/>
                <w:color w:val="auto"/>
              </w:rPr>
            </w:pPr>
          </w:p>
        </w:tc>
        <w:tc>
          <w:tcPr>
            <w:tcW w:w="8080" w:type="dxa"/>
            <w:vAlign w:val="bottom"/>
            <w:gridSpan w:val="3"/>
          </w:tcPr>
          <w:p>
            <w:pPr>
              <w:spacing w:after="0" w:line="202" w:lineRule="exact"/>
              <w:rPr>
                <w:sz w:val="20"/>
                <w:szCs w:val="20"/>
                <w:color w:val="auto"/>
              </w:rPr>
            </w:pPr>
            <w:r>
              <w:rPr>
                <w:rFonts w:ascii="Arial" w:cs="Arial" w:eastAsia="Arial" w:hAnsi="Arial"/>
                <w:sz w:val="18"/>
                <w:szCs w:val="18"/>
                <w:color w:val="auto"/>
              </w:rPr>
              <w:t>Defined benefit pension plans, net of income tax benefit of $(22.7) and $(22.8), respectively</w:t>
            </w:r>
          </w:p>
        </w:tc>
        <w:tc>
          <w:tcPr>
            <w:tcW w:w="200" w:type="dxa"/>
            <w:vAlign w:val="bottom"/>
          </w:tcPr>
          <w:p>
            <w:pPr>
              <w:spacing w:after="0"/>
              <w:rPr>
                <w:sz w:val="17"/>
                <w:szCs w:val="17"/>
                <w:color w:val="auto"/>
              </w:rPr>
            </w:pP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(56.2 )</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(56.7 )</w:t>
            </w:r>
          </w:p>
        </w:tc>
      </w:tr>
      <w:tr>
        <w:trPr>
          <w:trHeight w:val="203"/>
        </w:trPr>
        <w:tc>
          <w:tcPr>
            <w:tcW w:w="80" w:type="dxa"/>
            <w:vAlign w:val="bottom"/>
          </w:tcPr>
          <w:p>
            <w:pPr>
              <w:spacing w:after="0"/>
              <w:rPr>
                <w:sz w:val="17"/>
                <w:szCs w:val="17"/>
                <w:color w:val="auto"/>
              </w:rPr>
            </w:pPr>
          </w:p>
        </w:tc>
        <w:tc>
          <w:tcPr>
            <w:tcW w:w="8080" w:type="dxa"/>
            <w:vAlign w:val="bottom"/>
            <w:tcBorders>
              <w:bottom w:val="single" w:sz="8" w:color="CFF0FC"/>
            </w:tcBorders>
            <w:gridSpan w:val="3"/>
            <w:shd w:val="clear" w:color="auto" w:fill="CFF0FC"/>
          </w:tcPr>
          <w:p>
            <w:pPr>
              <w:spacing w:after="0" w:line="202" w:lineRule="exact"/>
              <w:rPr>
                <w:sz w:val="20"/>
                <w:szCs w:val="20"/>
                <w:color w:val="auto"/>
              </w:rPr>
            </w:pPr>
            <w:r>
              <w:rPr>
                <w:rFonts w:ascii="Arial" w:cs="Arial" w:eastAsia="Arial" w:hAnsi="Arial"/>
                <w:sz w:val="18"/>
                <w:szCs w:val="18"/>
                <w:color w:val="auto"/>
              </w:rPr>
              <w:t>Retiree health care plan, net of income taxes of $1.6 on both dates</w:t>
            </w:r>
          </w:p>
        </w:tc>
        <w:tc>
          <w:tcPr>
            <w:tcW w:w="200" w:type="dxa"/>
            <w:vAlign w:val="bottom"/>
            <w:tcBorders>
              <w:bottom w:val="single" w:sz="8" w:color="auto"/>
            </w:tcBorders>
            <w:shd w:val="clear" w:color="auto" w:fill="CFF0FC"/>
          </w:tcPr>
          <w:p>
            <w:pPr>
              <w:spacing w:after="0"/>
              <w:rPr>
                <w:sz w:val="17"/>
                <w:szCs w:val="17"/>
                <w:color w:val="auto"/>
              </w:rPr>
            </w:pPr>
          </w:p>
        </w:tc>
        <w:tc>
          <w:tcPr>
            <w:tcW w:w="13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(0.1 )</w:t>
            </w:r>
          </w:p>
        </w:tc>
        <w:tc>
          <w:tcPr>
            <w:tcW w:w="10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300" w:type="dxa"/>
            <w:vAlign w:val="bottom"/>
            <w:tcBorders>
              <w:bottom w:val="single" w:sz="8" w:color="auto"/>
            </w:tcBorders>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0.1</w:t>
            </w:r>
          </w:p>
        </w:tc>
      </w:tr>
      <w:tr>
        <w:trPr>
          <w:trHeight w:val="196"/>
        </w:trPr>
        <w:tc>
          <w:tcPr>
            <w:tcW w:w="80" w:type="dxa"/>
            <w:vAlign w:val="bottom"/>
          </w:tcPr>
          <w:p>
            <w:pPr>
              <w:spacing w:after="0"/>
              <w:rPr>
                <w:sz w:val="17"/>
                <w:szCs w:val="17"/>
                <w:color w:val="auto"/>
              </w:rPr>
            </w:pPr>
          </w:p>
        </w:tc>
        <w:tc>
          <w:tcPr>
            <w:tcW w:w="8080" w:type="dxa"/>
            <w:vAlign w:val="bottom"/>
            <w:gridSpan w:val="3"/>
          </w:tcPr>
          <w:p>
            <w:pPr>
              <w:ind w:left="180"/>
              <w:spacing w:after="0" w:line="196" w:lineRule="exact"/>
              <w:rPr>
                <w:sz w:val="20"/>
                <w:szCs w:val="20"/>
                <w:color w:val="auto"/>
              </w:rPr>
            </w:pPr>
            <w:r>
              <w:rPr>
                <w:rFonts w:ascii="Arial" w:cs="Arial" w:eastAsia="Arial" w:hAnsi="Arial"/>
                <w:sz w:val="18"/>
                <w:szCs w:val="18"/>
                <w:color w:val="auto"/>
              </w:rPr>
              <w:t>Accumulated other comprehensive loss</w:t>
            </w:r>
          </w:p>
        </w:tc>
        <w:tc>
          <w:tcPr>
            <w:tcW w:w="200" w:type="dxa"/>
            <w:vAlign w:val="bottom"/>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line="196" w:lineRule="exact"/>
              <w:rPr>
                <w:sz w:val="20"/>
                <w:szCs w:val="20"/>
                <w:color w:val="auto"/>
              </w:rPr>
            </w:pPr>
            <w:r>
              <w:rPr>
                <w:rFonts w:ascii="Arial" w:cs="Arial" w:eastAsia="Arial" w:hAnsi="Arial"/>
                <w:sz w:val="18"/>
                <w:szCs w:val="18"/>
                <w:color w:val="auto"/>
              </w:rPr>
              <w:t>(399.6 )</w:t>
            </w:r>
          </w:p>
        </w:tc>
        <w:tc>
          <w:tcPr>
            <w:tcW w:w="2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1300" w:type="dxa"/>
            <w:vAlign w:val="bottom"/>
          </w:tcPr>
          <w:p>
            <w:pPr>
              <w:jc w:val="right"/>
              <w:spacing w:after="0" w:line="196" w:lineRule="exact"/>
              <w:rPr>
                <w:sz w:val="20"/>
                <w:szCs w:val="20"/>
                <w:color w:val="auto"/>
              </w:rPr>
            </w:pPr>
            <w:r>
              <w:rPr>
                <w:rFonts w:ascii="Arial" w:cs="Arial" w:eastAsia="Arial" w:hAnsi="Arial"/>
                <w:sz w:val="18"/>
                <w:szCs w:val="18"/>
                <w:color w:val="auto"/>
              </w:rPr>
              <w:t>(389.4 )</w:t>
            </w:r>
          </w:p>
        </w:tc>
      </w:tr>
      <w:tr>
        <w:trPr>
          <w:trHeight w:val="20"/>
        </w:trPr>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6134100</wp:posOffset>
            </wp:positionH>
            <wp:positionV relativeFrom="paragraph">
              <wp:posOffset>-159385</wp:posOffset>
            </wp:positionV>
            <wp:extent cx="68580" cy="571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Noncontrolling Interests</w:t>
      </w:r>
    </w:p>
    <w:p>
      <w:pPr>
        <w:spacing w:after="0" w:line="198" w:lineRule="exact"/>
        <w:rPr>
          <w:sz w:val="20"/>
          <w:szCs w:val="20"/>
          <w:color w:val="auto"/>
        </w:rPr>
      </w:pPr>
    </w:p>
    <w:p>
      <w:pPr>
        <w:ind w:right="160"/>
        <w:spacing w:after="0" w:line="290" w:lineRule="auto"/>
        <w:rPr>
          <w:sz w:val="20"/>
          <w:szCs w:val="20"/>
          <w:color w:val="auto"/>
        </w:rPr>
      </w:pPr>
      <w:r>
        <w:rPr>
          <w:rFonts w:ascii="Arial" w:cs="Arial" w:eastAsia="Arial" w:hAnsi="Arial"/>
          <w:sz w:val="18"/>
          <w:szCs w:val="18"/>
          <w:color w:val="auto"/>
        </w:rPr>
        <w:t>Noncontrolling interests, reported in total shareholders' equity in our Consolidated Balance Sheets, represent amounts related to majority-owned subsidiaries in which we have a controlling financial interest. Net earnings attributable to these noncontrolling interests are recorded in interest and other expenses, net in our Consolidated Statements of Operations. We recorded expenses of $0.5 and income of $0.9 in the three months ended March 31, 2022 and 2021, respectively.</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45085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i w:val="1"/>
          <w:iCs w:val="1"/>
          <w:color w:val="auto"/>
        </w:rPr>
        <w:t>Dividends</w:t>
      </w:r>
    </w:p>
    <w:p>
      <w:pPr>
        <w:spacing w:after="0" w:line="198" w:lineRule="exact"/>
        <w:rPr>
          <w:sz w:val="20"/>
          <w:szCs w:val="20"/>
          <w:color w:val="auto"/>
        </w:rPr>
      </w:pPr>
    </w:p>
    <w:p>
      <w:pPr>
        <w:jc w:val="both"/>
        <w:ind w:right="120"/>
        <w:spacing w:after="0" w:line="295" w:lineRule="auto"/>
        <w:rPr>
          <w:sz w:val="20"/>
          <w:szCs w:val="20"/>
          <w:color w:val="auto"/>
        </w:rPr>
      </w:pPr>
      <w:r>
        <w:rPr>
          <w:rFonts w:ascii="Arial" w:cs="Arial" w:eastAsia="Arial" w:hAnsi="Arial"/>
          <w:sz w:val="18"/>
          <w:szCs w:val="18"/>
          <w:color w:val="auto"/>
        </w:rPr>
        <w:t>The Board of Directors declared a semi-annual dividend of $1.36 and $1.26 per share on May 6, 2022 and May 7, 2021, respectively. The 2022 dividends are payable on June 15, 2022 to shareholders of record as of June 1, 2022. The 2021 dividends were paid on June 15, 2021 to shareholders of record as of June 1, 2021.</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 Repurchases</w:t>
      </w:r>
    </w:p>
    <w:p>
      <w:pPr>
        <w:spacing w:after="0" w:line="185" w:lineRule="exact"/>
        <w:rPr>
          <w:sz w:val="20"/>
          <w:szCs w:val="20"/>
          <w:color w:val="auto"/>
        </w:rPr>
      </w:pPr>
    </w:p>
    <w:p>
      <w:pPr>
        <w:ind w:right="40"/>
        <w:spacing w:after="0" w:line="306" w:lineRule="auto"/>
        <w:rPr>
          <w:sz w:val="20"/>
          <w:szCs w:val="20"/>
          <w:color w:val="auto"/>
        </w:rPr>
      </w:pPr>
      <w:r>
        <w:rPr>
          <w:rFonts w:ascii="Arial" w:cs="Arial" w:eastAsia="Arial" w:hAnsi="Arial"/>
          <w:sz w:val="17"/>
          <w:szCs w:val="17"/>
          <w:color w:val="auto"/>
        </w:rPr>
        <w:t>In August 2021, the Board of Directors authorized the repurchase of 4.0 million shares of our common stock, with terms consistent with the previous authorizations. This authorization was in addition to the August 2019 Board authorizations to purchase 6.0 million shares of our common stock each. Share repurchases may be made from time to time through a variety of methods, including open market purchases, block transactions, privately negotiated transactions or similar facilities. During the first quarter of 2022, we repurchased 0.6 million shares under the 2019 authorization at a cost of $59.9. During the first quarter of 2021, we repurchased 1.1 million shares under the 2019 authorization at a cost of $100.1. As of March 31, 2022, there were 4.0 million and 0.6 million shares remaining authorized for repurchase under the 2021 authorization and 2019 authorization, respectively.</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860" w:type="dxa"/>
            <w:vAlign w:val="bottom"/>
            <w:gridSpan w:val="3"/>
          </w:tcPr>
          <w:p>
            <w:pPr>
              <w:spacing w:after="0"/>
              <w:rPr>
                <w:sz w:val="20"/>
                <w:szCs w:val="20"/>
                <w:color w:val="auto"/>
              </w:rPr>
            </w:pPr>
            <w:r>
              <w:rPr>
                <w:rFonts w:ascii="Arial" w:cs="Arial" w:eastAsia="Arial" w:hAnsi="Arial"/>
                <w:sz w:val="18"/>
                <w:szCs w:val="18"/>
                <w:color w:val="auto"/>
              </w:rPr>
              <w:t>(12) Interest and Other Expenses, Net</w:t>
            </w:r>
          </w:p>
        </w:tc>
        <w:tc>
          <w:tcPr>
            <w:tcW w:w="1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540" w:type="dxa"/>
            <w:vAlign w:val="bottom"/>
          </w:tcPr>
          <w:p>
            <w:pPr>
              <w:spacing w:after="0"/>
              <w:rPr>
                <w:sz w:val="17"/>
                <w:szCs w:val="17"/>
                <w:color w:val="auto"/>
              </w:rPr>
            </w:pPr>
          </w:p>
        </w:tc>
      </w:tr>
      <w:tr>
        <w:trPr>
          <w:trHeight w:val="20"/>
        </w:trPr>
        <w:tc>
          <w:tcPr>
            <w:tcW w:w="360" w:type="dxa"/>
            <w:vAlign w:val="bottom"/>
          </w:tcPr>
          <w:p>
            <w:pPr>
              <w:spacing w:after="0" w:line="20" w:lineRule="exact"/>
              <w:rPr>
                <w:sz w:val="1"/>
                <w:szCs w:val="1"/>
                <w:color w:val="auto"/>
              </w:rPr>
            </w:pPr>
          </w:p>
        </w:tc>
        <w:tc>
          <w:tcPr>
            <w:tcW w:w="2360" w:type="dxa"/>
            <w:vAlign w:val="bottom"/>
            <w:shd w:val="clear" w:color="auto" w:fill="000000"/>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439"/>
        </w:trPr>
        <w:tc>
          <w:tcPr>
            <w:tcW w:w="7860" w:type="dxa"/>
            <w:vAlign w:val="bottom"/>
            <w:gridSpan w:val="3"/>
          </w:tcPr>
          <w:p>
            <w:pPr>
              <w:spacing w:after="0"/>
              <w:rPr>
                <w:sz w:val="20"/>
                <w:szCs w:val="20"/>
                <w:color w:val="auto"/>
              </w:rPr>
            </w:pPr>
            <w:r>
              <w:rPr>
                <w:rFonts w:ascii="Arial" w:cs="Arial" w:eastAsia="Arial" w:hAnsi="Arial"/>
                <w:sz w:val="18"/>
                <w:szCs w:val="18"/>
                <w:color w:val="auto"/>
              </w:rPr>
              <w:t>Interest and other expenses, net consisted of the following:</w:t>
            </w:r>
          </w:p>
        </w:tc>
        <w:tc>
          <w:tcPr>
            <w:tcW w:w="1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400"/>
        </w:trPr>
        <w:tc>
          <w:tcPr>
            <w:tcW w:w="36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5140" w:type="dxa"/>
            <w:vAlign w:val="bottom"/>
          </w:tcPr>
          <w:p>
            <w:pPr>
              <w:spacing w:after="0"/>
              <w:rPr>
                <w:sz w:val="24"/>
                <w:szCs w:val="24"/>
                <w:color w:val="auto"/>
              </w:rPr>
            </w:pPr>
          </w:p>
        </w:tc>
        <w:tc>
          <w:tcPr>
            <w:tcW w:w="2840" w:type="dxa"/>
            <w:vAlign w:val="bottom"/>
            <w:gridSpan w:val="4"/>
          </w:tcPr>
          <w:p>
            <w:pPr>
              <w:jc w:val="right"/>
              <w:ind w:right="270"/>
              <w:spacing w:after="0"/>
              <w:rPr>
                <w:sz w:val="20"/>
                <w:szCs w:val="20"/>
                <w:color w:val="auto"/>
              </w:rPr>
            </w:pPr>
            <w:r>
              <w:rPr>
                <w:rFonts w:ascii="Arial" w:cs="Arial" w:eastAsia="Arial" w:hAnsi="Arial"/>
                <w:sz w:val="18"/>
                <w:szCs w:val="18"/>
                <w:b w:val="1"/>
                <w:bCs w:val="1"/>
                <w:color w:val="auto"/>
              </w:rPr>
              <w:t>Three Months Ended</w:t>
            </w:r>
          </w:p>
        </w:tc>
        <w:tc>
          <w:tcPr>
            <w:tcW w:w="540" w:type="dxa"/>
            <w:vAlign w:val="bottom"/>
          </w:tcPr>
          <w:p>
            <w:pPr>
              <w:spacing w:after="0"/>
              <w:rPr>
                <w:sz w:val="24"/>
                <w:szCs w:val="24"/>
                <w:color w:val="auto"/>
              </w:rPr>
            </w:pPr>
          </w:p>
        </w:tc>
      </w:tr>
      <w:tr>
        <w:trPr>
          <w:trHeight w:val="221"/>
        </w:trPr>
        <w:tc>
          <w:tcPr>
            <w:tcW w:w="36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5140" w:type="dxa"/>
            <w:vAlign w:val="bottom"/>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gridSpan w:val="3"/>
          </w:tcPr>
          <w:p>
            <w:pPr>
              <w:jc w:val="right"/>
              <w:ind w:right="710"/>
              <w:spacing w:after="0"/>
              <w:rPr>
                <w:sz w:val="20"/>
                <w:szCs w:val="20"/>
                <w:color w:val="auto"/>
              </w:rPr>
            </w:pPr>
            <w:r>
              <w:rPr>
                <w:rFonts w:ascii="Arial" w:cs="Arial" w:eastAsia="Arial" w:hAnsi="Arial"/>
                <w:sz w:val="18"/>
                <w:szCs w:val="18"/>
                <w:b w:val="1"/>
                <w:bCs w:val="1"/>
                <w:color w:val="auto"/>
              </w:rPr>
              <w:t>March 31,</w:t>
            </w:r>
          </w:p>
        </w:tc>
        <w:tc>
          <w:tcPr>
            <w:tcW w:w="540" w:type="dxa"/>
            <w:vAlign w:val="bottom"/>
            <w:tcBorders>
              <w:bottom w:val="single" w:sz="8" w:color="auto"/>
            </w:tcBorders>
          </w:tcPr>
          <w:p>
            <w:pPr>
              <w:spacing w:after="0"/>
              <w:rPr>
                <w:sz w:val="19"/>
                <w:szCs w:val="19"/>
                <w:color w:val="auto"/>
              </w:rPr>
            </w:pPr>
          </w:p>
        </w:tc>
      </w:tr>
      <w:tr>
        <w:trPr>
          <w:trHeight w:val="196"/>
        </w:trPr>
        <w:tc>
          <w:tcPr>
            <w:tcW w:w="36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5140" w:type="dxa"/>
            <w:vAlign w:val="bottom"/>
          </w:tcPr>
          <w:p>
            <w:pPr>
              <w:spacing w:after="0"/>
              <w:rPr>
                <w:sz w:val="17"/>
                <w:szCs w:val="17"/>
                <w:color w:val="auto"/>
              </w:rPr>
            </w:pPr>
          </w:p>
        </w:tc>
        <w:tc>
          <w:tcPr>
            <w:tcW w:w="1100" w:type="dxa"/>
            <w:vAlign w:val="bottom"/>
          </w:tcPr>
          <w:p>
            <w:pPr>
              <w:jc w:val="right"/>
              <w:ind w:right="50"/>
              <w:spacing w:after="0" w:line="196" w:lineRule="exact"/>
              <w:rPr>
                <w:sz w:val="20"/>
                <w:szCs w:val="20"/>
                <w:color w:val="auto"/>
              </w:rPr>
            </w:pPr>
            <w:r>
              <w:rPr>
                <w:rFonts w:ascii="Arial" w:cs="Arial" w:eastAsia="Arial" w:hAnsi="Arial"/>
                <w:sz w:val="18"/>
                <w:szCs w:val="18"/>
                <w:b w:val="1"/>
                <w:bCs w:val="1"/>
                <w:color w:val="auto"/>
              </w:rPr>
              <w:t>2022</w:t>
            </w:r>
          </w:p>
        </w:tc>
        <w:tc>
          <w:tcPr>
            <w:tcW w:w="540" w:type="dxa"/>
            <w:vAlign w:val="bottom"/>
          </w:tcPr>
          <w:p>
            <w:pPr>
              <w:spacing w:after="0"/>
              <w:rPr>
                <w:sz w:val="17"/>
                <w:szCs w:val="17"/>
                <w:color w:val="auto"/>
              </w:rPr>
            </w:pPr>
          </w:p>
        </w:tc>
        <w:tc>
          <w:tcPr>
            <w:tcW w:w="1200" w:type="dxa"/>
            <w:vAlign w:val="bottom"/>
            <w:gridSpan w:val="2"/>
          </w:tcPr>
          <w:p>
            <w:pPr>
              <w:jc w:val="right"/>
              <w:ind w:right="50"/>
              <w:spacing w:after="0" w:line="196" w:lineRule="exact"/>
              <w:rPr>
                <w:sz w:val="20"/>
                <w:szCs w:val="20"/>
                <w:color w:val="auto"/>
              </w:rPr>
            </w:pPr>
            <w:r>
              <w:rPr>
                <w:rFonts w:ascii="Arial" w:cs="Arial" w:eastAsia="Arial" w:hAnsi="Arial"/>
                <w:sz w:val="18"/>
                <w:szCs w:val="18"/>
                <w:b w:val="1"/>
                <w:bCs w:val="1"/>
                <w:color w:val="auto"/>
              </w:rPr>
              <w:t>2021</w:t>
            </w:r>
          </w:p>
        </w:tc>
        <w:tc>
          <w:tcPr>
            <w:tcW w:w="540" w:type="dxa"/>
            <w:vAlign w:val="bottom"/>
          </w:tcPr>
          <w:p>
            <w:pPr>
              <w:spacing w:after="0"/>
              <w:rPr>
                <w:sz w:val="17"/>
                <w:szCs w:val="17"/>
                <w:color w:val="auto"/>
              </w:rPr>
            </w:pPr>
          </w:p>
        </w:tc>
      </w:tr>
      <w:tr>
        <w:trPr>
          <w:trHeight w:val="196"/>
        </w:trPr>
        <w:tc>
          <w:tcPr>
            <w:tcW w:w="7860" w:type="dxa"/>
            <w:vAlign w:val="bottom"/>
            <w:gridSpan w:val="3"/>
            <w:shd w:val="clear" w:color="auto" w:fill="CFF0FC"/>
          </w:tcPr>
          <w:p>
            <w:pPr>
              <w:ind w:left="20"/>
              <w:spacing w:after="0" w:line="196" w:lineRule="exact"/>
              <w:rPr>
                <w:sz w:val="20"/>
                <w:szCs w:val="20"/>
                <w:color w:val="auto"/>
              </w:rPr>
            </w:pPr>
            <w:r>
              <w:rPr>
                <w:rFonts w:ascii="Arial" w:cs="Arial" w:eastAsia="Arial" w:hAnsi="Arial"/>
                <w:sz w:val="18"/>
                <w:szCs w:val="18"/>
                <w:color w:val="auto"/>
              </w:rPr>
              <w:t>Interest expense</w:t>
            </w:r>
          </w:p>
        </w:tc>
        <w:tc>
          <w:tcPr>
            <w:tcW w:w="1100" w:type="dxa"/>
            <w:vAlign w:val="bottom"/>
            <w:tcBorders>
              <w:top w:val="single" w:sz="8" w:color="auto"/>
            </w:tcBorders>
            <w:shd w:val="clear" w:color="auto" w:fill="CFF0FC"/>
          </w:tcPr>
          <w:p>
            <w:pPr>
              <w:jc w:val="right"/>
              <w:ind w:right="910"/>
              <w:spacing w:after="0" w:line="196" w:lineRule="exact"/>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rPr>
              <w:t>10.4</w:t>
            </w:r>
          </w:p>
        </w:tc>
        <w:tc>
          <w:tcPr>
            <w:tcW w:w="100" w:type="dxa"/>
            <w:vAlign w:val="bottom"/>
            <w:shd w:val="clear" w:color="auto" w:fill="CFF0FC"/>
          </w:tcPr>
          <w:p>
            <w:pPr>
              <w:spacing w:after="0"/>
              <w:rPr>
                <w:sz w:val="17"/>
                <w:szCs w:val="17"/>
                <w:color w:val="auto"/>
              </w:rPr>
            </w:pPr>
          </w:p>
        </w:tc>
        <w:tc>
          <w:tcPr>
            <w:tcW w:w="1100" w:type="dxa"/>
            <w:vAlign w:val="bottom"/>
            <w:tcBorders>
              <w:top w:val="single" w:sz="8" w:color="auto"/>
            </w:tcBorders>
            <w:shd w:val="clear" w:color="auto" w:fill="CFF0FC"/>
          </w:tcPr>
          <w:p>
            <w:pPr>
              <w:jc w:val="right"/>
              <w:ind w:right="890"/>
              <w:spacing w:after="0" w:line="196" w:lineRule="exact"/>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tcBorders>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rPr>
              <w:t>10.2</w:t>
            </w:r>
          </w:p>
        </w:tc>
      </w:tr>
      <w:tr>
        <w:trPr>
          <w:trHeight w:val="203"/>
        </w:trPr>
        <w:tc>
          <w:tcPr>
            <w:tcW w:w="7860" w:type="dxa"/>
            <w:vAlign w:val="bottom"/>
            <w:gridSpan w:val="3"/>
          </w:tcPr>
          <w:p>
            <w:pPr>
              <w:ind w:left="20"/>
              <w:spacing w:after="0" w:line="202" w:lineRule="exact"/>
              <w:rPr>
                <w:sz w:val="20"/>
                <w:szCs w:val="20"/>
                <w:color w:val="auto"/>
              </w:rPr>
            </w:pPr>
            <w:r>
              <w:rPr>
                <w:rFonts w:ascii="Arial" w:cs="Arial" w:eastAsia="Arial" w:hAnsi="Arial"/>
                <w:sz w:val="18"/>
                <w:szCs w:val="18"/>
                <w:color w:val="auto"/>
              </w:rPr>
              <w:t>Interest income</w:t>
            </w:r>
          </w:p>
        </w:tc>
        <w:tc>
          <w:tcPr>
            <w:tcW w:w="1100" w:type="dxa"/>
            <w:vAlign w:val="bottom"/>
          </w:tcPr>
          <w:p>
            <w:pPr>
              <w:spacing w:after="0"/>
              <w:rPr>
                <w:sz w:val="17"/>
                <w:szCs w:val="17"/>
                <w:color w:val="auto"/>
              </w:rPr>
            </w:pPr>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rPr>
              <w:t>(2.8 )</w:t>
            </w: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rPr>
              <w:t>(3.1 )</w:t>
            </w:r>
          </w:p>
        </w:tc>
      </w:tr>
      <w:tr>
        <w:trPr>
          <w:trHeight w:val="203"/>
        </w:trPr>
        <w:tc>
          <w:tcPr>
            <w:tcW w:w="7860" w:type="dxa"/>
            <w:vAlign w:val="bottom"/>
            <w:gridSpan w:val="3"/>
            <w:shd w:val="clear" w:color="auto" w:fill="CFF0FC"/>
          </w:tcPr>
          <w:p>
            <w:pPr>
              <w:ind w:left="20"/>
              <w:spacing w:after="0" w:line="202" w:lineRule="exact"/>
              <w:rPr>
                <w:sz w:val="20"/>
                <w:szCs w:val="20"/>
                <w:color w:val="auto"/>
              </w:rPr>
            </w:pPr>
            <w:r>
              <w:rPr>
                <w:rFonts w:ascii="Arial" w:cs="Arial" w:eastAsia="Arial" w:hAnsi="Arial"/>
                <w:sz w:val="18"/>
                <w:szCs w:val="18"/>
                <w:color w:val="auto"/>
              </w:rPr>
              <w:t>Foreign exchange loss</w:t>
            </w:r>
          </w:p>
        </w:tc>
        <w:tc>
          <w:tcPr>
            <w:tcW w:w="1100" w:type="dxa"/>
            <w:vAlign w:val="bottom"/>
            <w:shd w:val="clear" w:color="auto" w:fill="CFF0FC"/>
          </w:tcPr>
          <w:p>
            <w:pPr>
              <w:spacing w:after="0"/>
              <w:rPr>
                <w:sz w:val="17"/>
                <w:szCs w:val="17"/>
                <w:color w:val="auto"/>
              </w:rPr>
            </w:pPr>
          </w:p>
        </w:tc>
        <w:tc>
          <w:tcPr>
            <w:tcW w:w="540" w:type="dxa"/>
            <w:vAlign w:val="bottom"/>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1.8</w:t>
            </w:r>
          </w:p>
        </w:tc>
        <w:tc>
          <w:tcPr>
            <w:tcW w:w="10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540" w:type="dxa"/>
            <w:vAlign w:val="bottom"/>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2.5</w:t>
            </w:r>
          </w:p>
        </w:tc>
      </w:tr>
      <w:tr>
        <w:trPr>
          <w:trHeight w:val="203"/>
        </w:trPr>
        <w:tc>
          <w:tcPr>
            <w:tcW w:w="7860" w:type="dxa"/>
            <w:vAlign w:val="bottom"/>
            <w:gridSpan w:val="3"/>
          </w:tcPr>
          <w:p>
            <w:pPr>
              <w:ind w:left="20"/>
              <w:spacing w:after="0" w:line="202" w:lineRule="exact"/>
              <w:rPr>
                <w:sz w:val="20"/>
                <w:szCs w:val="20"/>
                <w:color w:val="auto"/>
              </w:rPr>
            </w:pPr>
            <w:r>
              <w:rPr>
                <w:rFonts w:ascii="Arial" w:cs="Arial" w:eastAsia="Arial" w:hAnsi="Arial"/>
                <w:sz w:val="18"/>
                <w:szCs w:val="18"/>
                <w:color w:val="auto"/>
              </w:rPr>
              <w:t>Miscellaneous income, net</w:t>
            </w:r>
          </w:p>
        </w:tc>
        <w:tc>
          <w:tcPr>
            <w:tcW w:w="110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(6.7 )</w:t>
            </w:r>
          </w:p>
        </w:tc>
        <w:tc>
          <w:tcPr>
            <w:tcW w:w="100" w:type="dxa"/>
            <w:vAlign w:val="bottom"/>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(4.2 )</w:t>
            </w:r>
          </w:p>
        </w:tc>
      </w:tr>
      <w:tr>
        <w:trPr>
          <w:trHeight w:val="236"/>
        </w:trPr>
        <w:tc>
          <w:tcPr>
            <w:tcW w:w="7860" w:type="dxa"/>
            <w:vAlign w:val="bottom"/>
            <w:tcBorders>
              <w:bottom w:val="single" w:sz="8" w:color="CFF0FC"/>
            </w:tcBorders>
            <w:gridSpan w:val="3"/>
            <w:shd w:val="clear" w:color="auto" w:fill="CFF0FC"/>
          </w:tcPr>
          <w:p>
            <w:pPr>
              <w:ind w:left="200"/>
              <w:spacing w:after="0" w:line="196" w:lineRule="exact"/>
              <w:rPr>
                <w:sz w:val="20"/>
                <w:szCs w:val="20"/>
                <w:color w:val="auto"/>
              </w:rPr>
            </w:pPr>
            <w:r>
              <w:rPr>
                <w:rFonts w:ascii="Arial" w:cs="Arial" w:eastAsia="Arial" w:hAnsi="Arial"/>
                <w:sz w:val="18"/>
                <w:szCs w:val="18"/>
                <w:color w:val="auto"/>
              </w:rPr>
              <w:t>Interest and other expenses, net</w:t>
            </w:r>
          </w:p>
        </w:tc>
        <w:tc>
          <w:tcPr>
            <w:tcW w:w="1100" w:type="dxa"/>
            <w:vAlign w:val="bottom"/>
            <w:tcBorders>
              <w:bottom w:val="single" w:sz="8" w:color="auto"/>
            </w:tcBorders>
            <w:shd w:val="clear" w:color="auto" w:fill="CFF0FC"/>
          </w:tcPr>
          <w:p>
            <w:pPr>
              <w:jc w:val="right"/>
              <w:ind w:right="910"/>
              <w:spacing w:after="0" w:line="196" w:lineRule="exact"/>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rPr>
              <w:t>2.7</w:t>
            </w:r>
          </w:p>
        </w:tc>
        <w:tc>
          <w:tcPr>
            <w:tcW w:w="100" w:type="dxa"/>
            <w:vAlign w:val="bottom"/>
            <w:tcBorders>
              <w:bottom w:val="single" w:sz="8" w:color="CFF0FC"/>
            </w:tcBorders>
            <w:shd w:val="clear" w:color="auto" w:fill="CFF0FC"/>
          </w:tcPr>
          <w:p>
            <w:pPr>
              <w:spacing w:after="0"/>
              <w:rPr>
                <w:sz w:val="20"/>
                <w:szCs w:val="20"/>
                <w:color w:val="auto"/>
              </w:rPr>
            </w:pPr>
          </w:p>
        </w:tc>
        <w:tc>
          <w:tcPr>
            <w:tcW w:w="1100" w:type="dxa"/>
            <w:vAlign w:val="bottom"/>
            <w:tcBorders>
              <w:bottom w:val="single" w:sz="8" w:color="auto"/>
            </w:tcBorders>
            <w:shd w:val="clear" w:color="auto" w:fill="CFF0FC"/>
          </w:tcPr>
          <w:p>
            <w:pPr>
              <w:jc w:val="right"/>
              <w:ind w:right="890"/>
              <w:spacing w:after="0" w:line="196" w:lineRule="exact"/>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rPr>
              <w:t>5.4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6031230</wp:posOffset>
            </wp:positionH>
            <wp:positionV relativeFrom="paragraph">
              <wp:posOffset>-25400</wp:posOffset>
            </wp:positionV>
            <wp:extent cx="6858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-7620</wp:posOffset>
            </wp:positionV>
            <wp:extent cx="6858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2" w:lineRule="exact"/>
        <w:rPr>
          <w:sz w:val="20"/>
          <w:szCs w:val="20"/>
          <w:color w:val="auto"/>
        </w:rPr>
      </w:pPr>
    </w:p>
    <w:p>
      <w:pPr>
        <w:ind w:left="360" w:hanging="352"/>
        <w:spacing w:after="0"/>
        <w:tabs>
          <w:tab w:leader="none" w:pos="360" w:val="left"/>
        </w:tabs>
        <w:numPr>
          <w:ilvl w:val="0"/>
          <w:numId w:val="15"/>
        </w:numPr>
        <w:rPr>
          <w:rFonts w:ascii="Arial" w:cs="Arial" w:eastAsia="Arial" w:hAnsi="Arial"/>
          <w:sz w:val="18"/>
          <w:szCs w:val="18"/>
          <w:color w:val="auto"/>
        </w:rPr>
      </w:pPr>
      <w:r>
        <w:rPr>
          <w:rFonts w:ascii="Arial" w:cs="Arial" w:eastAsia="Arial" w:hAnsi="Arial"/>
          <w:sz w:val="18"/>
          <w:szCs w:val="18"/>
          <w:u w:val="single" w:color="auto"/>
          <w:color w:val="auto"/>
        </w:rPr>
        <w:t>Derivative Financial Instruments and Fair Value Measurements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Derivative Financial Instruments</w:t>
      </w:r>
    </w:p>
    <w:p>
      <w:pPr>
        <w:spacing w:after="0" w:line="225" w:lineRule="exact"/>
        <w:rPr>
          <w:sz w:val="20"/>
          <w:szCs w:val="20"/>
          <w:color w:val="auto"/>
        </w:rPr>
      </w:pPr>
    </w:p>
    <w:p>
      <w:pPr>
        <w:ind w:right="440"/>
        <w:spacing w:after="0" w:line="309" w:lineRule="auto"/>
        <w:rPr>
          <w:sz w:val="20"/>
          <w:szCs w:val="20"/>
          <w:color w:val="auto"/>
        </w:rPr>
      </w:pPr>
      <w:r>
        <w:rPr>
          <w:rFonts w:ascii="Arial" w:cs="Arial" w:eastAsia="Arial" w:hAnsi="Arial"/>
          <w:sz w:val="17"/>
          <w:szCs w:val="17"/>
          <w:color w:val="auto"/>
        </w:rPr>
        <w:t>We are exposed to various market risks relating to our ongoing business operations. The primary market risks, which are managed using derivative instruments, are foreign currency exchange rate risk and interest rate risk. In certain circumstances, we enter into foreign currency forward exchange contracts and cross-currency swaps to reduce the effects of fluctuating foreign currency exchange rates on our cash flows denominated in foreign currencies. Our exposure to market risk for changes in interest rates relates primarily to our long-term debt obligations. We have historically managed interest rate risk through the use of a combination of fixed and variable rate borrowings.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Investment Hedges</w:t>
      </w:r>
    </w:p>
    <w:p>
      <w:pPr>
        <w:spacing w:after="0" w:line="212" w:lineRule="exact"/>
        <w:rPr>
          <w:sz w:val="20"/>
          <w:szCs w:val="20"/>
          <w:color w:val="auto"/>
        </w:rPr>
      </w:pPr>
    </w:p>
    <w:p>
      <w:pPr>
        <w:ind w:right="60"/>
        <w:spacing w:after="0" w:line="329" w:lineRule="auto"/>
        <w:rPr>
          <w:sz w:val="20"/>
          <w:szCs w:val="20"/>
          <w:color w:val="auto"/>
        </w:rPr>
      </w:pPr>
      <w:r>
        <w:rPr>
          <w:rFonts w:ascii="Arial" w:cs="Arial" w:eastAsia="Arial" w:hAnsi="Arial"/>
          <w:sz w:val="16"/>
          <w:szCs w:val="16"/>
          <w:color w:val="auto"/>
        </w:rPr>
        <w:t>We use cross-currency swaps, forward contracts and a portion of our foreign currency denominated debt, a non-derivative financial instrument, to protect the value of our net investments in certain of our foreign subsidiaries. For derivative instruments that are designated and qualify as hedges of our net investments in foreign operations, the changes in fair values of the derivative instruments are recognized in foreign currency translation, a component of accumulated other comprehensive income (“AOCI”), to offset the changes in the values of the net investments being hedged. For non-derivative financial instruments that are designated and qualify as hedges of net investments in foreign operations, the change in the carrying value of the designated portion of the non-derivative financial instrument due to changes in foreign currency exchange rates is recorded in foreign currency translation adjustments.</w:t>
      </w:r>
    </w:p>
    <w:p>
      <w:pPr>
        <w:spacing w:after="0" w:line="134" w:lineRule="exact"/>
        <w:rPr>
          <w:sz w:val="20"/>
          <w:szCs w:val="20"/>
          <w:color w:val="auto"/>
        </w:rPr>
      </w:pPr>
    </w:p>
    <w:p>
      <w:pPr>
        <w:ind w:right="480"/>
        <w:spacing w:after="0" w:line="308" w:lineRule="auto"/>
        <w:rPr>
          <w:sz w:val="20"/>
          <w:szCs w:val="20"/>
          <w:color w:val="auto"/>
        </w:rPr>
      </w:pPr>
      <w:r>
        <w:rPr>
          <w:rFonts w:ascii="Arial" w:cs="Arial" w:eastAsia="Arial" w:hAnsi="Arial"/>
          <w:sz w:val="18"/>
          <w:szCs w:val="18"/>
          <w:color w:val="auto"/>
        </w:rPr>
        <w:t>The €400.0 ($442.5) notes due September 2022 and the €500.0 ($550.2) notes due June 2026 were designated as a hedge of our net investment in our foreign subsidiaries with a Euro-functional currency as of March 31, 2022.</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16" w:name="page17"/>
    <w:bookmarkEnd w:id="16"/>
    <w:p>
      <w:pPr>
        <w:ind w:right="20"/>
        <w:spacing w:after="0" w:line="341" w:lineRule="auto"/>
        <w:rPr>
          <w:sz w:val="20"/>
          <w:szCs w:val="20"/>
          <w:color w:val="auto"/>
        </w:rPr>
      </w:pPr>
      <w:r>
        <w:rPr>
          <w:rFonts w:ascii="Arial" w:cs="Arial" w:eastAsia="Arial" w:hAnsi="Arial"/>
          <w:sz w:val="17"/>
          <w:szCs w:val="17"/>
          <w:color w:val="auto"/>
        </w:rPr>
        <w:t>In September 2019, we entered into a cross-currency swap agreement that net converts fixed-rate Swiss franc (“CHF”) payments to fixed-rate United States dollar payments. This swap was designated as a net investment hedge of our foreign subsidiary with CHF functional currency.</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The effect of our net investment hedges on AOCI for the three months ended March 31, 2022 and 2021 was as follows: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4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5700" w:type="dxa"/>
            <w:vAlign w:val="bottom"/>
            <w:tcBorders>
              <w:bottom w:val="single" w:sz="8" w:color="auto"/>
            </w:tcBorders>
            <w:gridSpan w:val="4"/>
          </w:tcPr>
          <w:p>
            <w:pPr>
              <w:jc w:val="center"/>
              <w:ind w:right="630"/>
              <w:spacing w:after="0"/>
              <w:rPr>
                <w:sz w:val="20"/>
                <w:szCs w:val="20"/>
                <w:color w:val="auto"/>
              </w:rPr>
            </w:pPr>
            <w:r>
              <w:rPr>
                <w:rFonts w:ascii="Arial" w:cs="Arial" w:eastAsia="Arial" w:hAnsi="Arial"/>
                <w:sz w:val="18"/>
                <w:szCs w:val="18"/>
                <w:b w:val="1"/>
                <w:bCs w:val="1"/>
                <w:color w:val="auto"/>
                <w:w w:val="90"/>
              </w:rPr>
              <w:t>Gain Recognized in Other Comprehensive Income</w:t>
            </w:r>
          </w:p>
        </w:tc>
        <w:tc>
          <w:tcPr>
            <w:tcW w:w="0" w:type="dxa"/>
            <w:vAlign w:val="bottom"/>
          </w:tcPr>
          <w:p>
            <w:pPr>
              <w:spacing w:after="0"/>
              <w:rPr>
                <w:sz w:val="1"/>
                <w:szCs w:val="1"/>
                <w:color w:val="auto"/>
              </w:rPr>
            </w:pPr>
          </w:p>
        </w:tc>
      </w:tr>
      <w:tr>
        <w:trPr>
          <w:trHeight w:val="196"/>
        </w:trPr>
        <w:tc>
          <w:tcPr>
            <w:tcW w:w="4860" w:type="dxa"/>
            <w:vAlign w:val="bottom"/>
            <w:gridSpan w:val="2"/>
            <w:vMerge w:val="restart"/>
          </w:tcPr>
          <w:p>
            <w:pPr>
              <w:ind w:left="1900"/>
              <w:spacing w:after="0"/>
              <w:rPr>
                <w:sz w:val="20"/>
                <w:szCs w:val="20"/>
                <w:color w:val="auto"/>
              </w:rPr>
            </w:pPr>
            <w:r>
              <w:rPr>
                <w:rFonts w:ascii="Arial" w:cs="Arial" w:eastAsia="Arial" w:hAnsi="Arial"/>
                <w:sz w:val="18"/>
                <w:szCs w:val="18"/>
                <w:b w:val="1"/>
                <w:bCs w:val="1"/>
                <w:color w:val="auto"/>
              </w:rPr>
              <w:t>Instrument</w:t>
            </w:r>
          </w:p>
        </w:tc>
        <w:tc>
          <w:tcPr>
            <w:tcW w:w="680" w:type="dxa"/>
            <w:vAlign w:val="bottom"/>
            <w:tcBorders>
              <w:bottom w:val="single" w:sz="8" w:color="auto"/>
            </w:tcBorders>
          </w:tcPr>
          <w:p>
            <w:pPr>
              <w:spacing w:after="0"/>
              <w:rPr>
                <w:sz w:val="17"/>
                <w:szCs w:val="17"/>
                <w:color w:val="auto"/>
              </w:rPr>
            </w:pPr>
          </w:p>
        </w:tc>
        <w:tc>
          <w:tcPr>
            <w:tcW w:w="3820" w:type="dxa"/>
            <w:vAlign w:val="bottom"/>
            <w:tcBorders>
              <w:bottom w:val="single" w:sz="8" w:color="auto"/>
            </w:tcBorders>
            <w:gridSpan w:val="3"/>
          </w:tcPr>
          <w:p>
            <w:pPr>
              <w:jc w:val="center"/>
              <w:ind w:left="1050"/>
              <w:spacing w:after="0" w:line="196" w:lineRule="exact"/>
              <w:rPr>
                <w:sz w:val="20"/>
                <w:szCs w:val="20"/>
                <w:color w:val="auto"/>
              </w:rPr>
            </w:pPr>
            <w:r>
              <w:rPr>
                <w:rFonts w:ascii="Arial" w:cs="Arial" w:eastAsia="Arial" w:hAnsi="Arial"/>
                <w:sz w:val="18"/>
                <w:szCs w:val="18"/>
                <w:b w:val="1"/>
                <w:bCs w:val="1"/>
                <w:color w:val="auto"/>
                <w:w w:val="93"/>
              </w:rPr>
              <w:t>Three Months Ended March 31,</w:t>
            </w:r>
          </w:p>
        </w:tc>
        <w:tc>
          <w:tcPr>
            <w:tcW w:w="18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860" w:type="dxa"/>
            <w:vAlign w:val="bottom"/>
            <w:gridSpan w:val="2"/>
            <w:vMerge w:val="continue"/>
          </w:tcPr>
          <w:p>
            <w:pPr>
              <w:spacing w:after="0"/>
              <w:rPr>
                <w:sz w:val="17"/>
                <w:szCs w:val="17"/>
                <w:color w:val="auto"/>
              </w:rPr>
            </w:pPr>
          </w:p>
        </w:tc>
        <w:tc>
          <w:tcPr>
            <w:tcW w:w="680" w:type="dxa"/>
            <w:vAlign w:val="bottom"/>
          </w:tcPr>
          <w:p>
            <w:pPr>
              <w:spacing w:after="0"/>
              <w:rPr>
                <w:sz w:val="17"/>
                <w:szCs w:val="17"/>
                <w:color w:val="auto"/>
              </w:rPr>
            </w:pPr>
          </w:p>
        </w:tc>
        <w:tc>
          <w:tcPr>
            <w:tcW w:w="2440" w:type="dxa"/>
            <w:vAlign w:val="bottom"/>
          </w:tcPr>
          <w:p>
            <w:pPr>
              <w:jc w:val="right"/>
              <w:ind w:right="1330"/>
              <w:spacing w:after="0" w:line="196" w:lineRule="exact"/>
              <w:rPr>
                <w:sz w:val="20"/>
                <w:szCs w:val="20"/>
                <w:color w:val="auto"/>
              </w:rPr>
            </w:pPr>
            <w:r>
              <w:rPr>
                <w:rFonts w:ascii="Arial" w:cs="Arial" w:eastAsia="Arial" w:hAnsi="Arial"/>
                <w:sz w:val="18"/>
                <w:szCs w:val="18"/>
                <w:b w:val="1"/>
                <w:bCs w:val="1"/>
                <w:color w:val="auto"/>
              </w:rPr>
              <w:t>2022</w:t>
            </w: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880" w:type="dxa"/>
            <w:vAlign w:val="bottom"/>
          </w:tcPr>
          <w:p>
            <w:pPr>
              <w:jc w:val="right"/>
              <w:ind w:right="1310"/>
              <w:spacing w:after="0" w:line="196" w:lineRule="exact"/>
              <w:rPr>
                <w:sz w:val="20"/>
                <w:szCs w:val="20"/>
                <w:color w:val="auto"/>
              </w:rPr>
            </w:pPr>
            <w:r>
              <w:rPr>
                <w:rFonts w:ascii="Arial" w:cs="Arial" w:eastAsia="Arial" w:hAnsi="Arial"/>
                <w:sz w:val="18"/>
                <w:szCs w:val="18"/>
                <w:b w:val="1"/>
                <w:bCs w:val="1"/>
                <w:color w:val="auto"/>
              </w:rPr>
              <w:t>2021</w:t>
            </w:r>
          </w:p>
        </w:tc>
        <w:tc>
          <w:tcPr>
            <w:tcW w:w="0" w:type="dxa"/>
            <w:vAlign w:val="bottom"/>
          </w:tcPr>
          <w:p>
            <w:pPr>
              <w:spacing w:after="0"/>
              <w:rPr>
                <w:sz w:val="1"/>
                <w:szCs w:val="1"/>
                <w:color w:val="auto"/>
              </w:rPr>
            </w:pPr>
          </w:p>
        </w:tc>
      </w:tr>
      <w:tr>
        <w:trPr>
          <w:trHeight w:val="196"/>
        </w:trPr>
        <w:tc>
          <w:tcPr>
            <w:tcW w:w="4680" w:type="dxa"/>
            <w:vAlign w:val="bottom"/>
            <w:tcBorders>
              <w:top w:val="single" w:sz="8" w:color="auto"/>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Euro Notes</w:t>
            </w:r>
          </w:p>
        </w:tc>
        <w:tc>
          <w:tcPr>
            <w:tcW w:w="180" w:type="dxa"/>
            <w:vAlign w:val="bottom"/>
            <w:shd w:val="clear" w:color="auto" w:fill="CFF0FC"/>
          </w:tcPr>
          <w:p>
            <w:pPr>
              <w:spacing w:after="0"/>
              <w:rPr>
                <w:sz w:val="17"/>
                <w:szCs w:val="17"/>
                <w:color w:val="auto"/>
              </w:rPr>
            </w:pPr>
          </w:p>
        </w:tc>
        <w:tc>
          <w:tcPr>
            <w:tcW w:w="680" w:type="dxa"/>
            <w:vAlign w:val="bottom"/>
            <w:tcBorders>
              <w:top w:val="single" w:sz="8" w:color="auto"/>
            </w:tcBorders>
            <w:shd w:val="clear" w:color="auto" w:fill="CFF0FC"/>
          </w:tcPr>
          <w:p>
            <w:pPr>
              <w:jc w:val="right"/>
              <w:ind w:right="470"/>
              <w:spacing w:after="0" w:line="196" w:lineRule="exact"/>
              <w:rPr>
                <w:sz w:val="20"/>
                <w:szCs w:val="20"/>
                <w:color w:val="auto"/>
              </w:rPr>
            </w:pPr>
            <w:r>
              <w:rPr>
                <w:rFonts w:ascii="Arial" w:cs="Arial" w:eastAsia="Arial" w:hAnsi="Arial"/>
                <w:sz w:val="18"/>
                <w:szCs w:val="18"/>
                <w:color w:val="auto"/>
                <w:w w:val="99"/>
              </w:rPr>
              <w:t>$</w:t>
            </w:r>
          </w:p>
        </w:tc>
        <w:tc>
          <w:tcPr>
            <w:tcW w:w="24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27.3</w:t>
            </w:r>
          </w:p>
        </w:tc>
        <w:tc>
          <w:tcPr>
            <w:tcW w:w="160" w:type="dxa"/>
            <w:vAlign w:val="bottom"/>
            <w:shd w:val="clear" w:color="auto" w:fill="CFF0FC"/>
          </w:tcPr>
          <w:p>
            <w:pPr>
              <w:spacing w:after="0"/>
              <w:rPr>
                <w:sz w:val="17"/>
                <w:szCs w:val="17"/>
                <w:color w:val="auto"/>
              </w:rPr>
            </w:pPr>
          </w:p>
        </w:tc>
        <w:tc>
          <w:tcPr>
            <w:tcW w:w="1220" w:type="dxa"/>
            <w:vAlign w:val="bottom"/>
            <w:tcBorders>
              <w:top w:val="single" w:sz="8" w:color="auto"/>
            </w:tcBorders>
            <w:shd w:val="clear" w:color="auto" w:fill="CFF0FC"/>
          </w:tcPr>
          <w:p>
            <w:pPr>
              <w:jc w:val="right"/>
              <w:ind w:right="1010"/>
              <w:spacing w:after="0" w:line="196" w:lineRule="exact"/>
              <w:rPr>
                <w:sz w:val="20"/>
                <w:szCs w:val="20"/>
                <w:color w:val="auto"/>
              </w:rPr>
            </w:pPr>
            <w:r>
              <w:rPr>
                <w:rFonts w:ascii="Arial" w:cs="Arial" w:eastAsia="Arial" w:hAnsi="Arial"/>
                <w:sz w:val="18"/>
                <w:szCs w:val="18"/>
                <w:color w:val="auto"/>
                <w:w w:val="99"/>
              </w:rPr>
              <w:t>$</w:t>
            </w:r>
          </w:p>
        </w:tc>
        <w:tc>
          <w:tcPr>
            <w:tcW w:w="18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43.7</w:t>
            </w:r>
          </w:p>
        </w:tc>
        <w:tc>
          <w:tcPr>
            <w:tcW w:w="0" w:type="dxa"/>
            <w:vAlign w:val="bottom"/>
          </w:tcPr>
          <w:p>
            <w:pPr>
              <w:spacing w:after="0"/>
              <w:rPr>
                <w:sz w:val="1"/>
                <w:szCs w:val="1"/>
                <w:color w:val="auto"/>
              </w:rPr>
            </w:pPr>
          </w:p>
        </w:tc>
      </w:tr>
      <w:tr>
        <w:trPr>
          <w:trHeight w:val="230"/>
        </w:trPr>
        <w:tc>
          <w:tcPr>
            <w:tcW w:w="4860" w:type="dxa"/>
            <w:vAlign w:val="bottom"/>
            <w:gridSpan w:val="2"/>
          </w:tcPr>
          <w:p>
            <w:pPr>
              <w:ind w:left="20"/>
              <w:spacing w:after="0"/>
              <w:rPr>
                <w:sz w:val="20"/>
                <w:szCs w:val="20"/>
                <w:color w:val="auto"/>
              </w:rPr>
            </w:pPr>
            <w:r>
              <w:rPr>
                <w:rFonts w:ascii="Arial" w:cs="Arial" w:eastAsia="Arial" w:hAnsi="Arial"/>
                <w:sz w:val="18"/>
                <w:szCs w:val="18"/>
                <w:color w:val="auto"/>
              </w:rPr>
              <w:t>Cross-currency swaps</w:t>
            </w:r>
          </w:p>
        </w:tc>
        <w:tc>
          <w:tcPr>
            <w:tcW w:w="680" w:type="dxa"/>
            <w:vAlign w:val="bottom"/>
          </w:tcPr>
          <w:p>
            <w:pPr>
              <w:spacing w:after="0"/>
              <w:rPr>
                <w:sz w:val="20"/>
                <w:szCs w:val="20"/>
                <w:color w:val="auto"/>
              </w:rPr>
            </w:pPr>
          </w:p>
        </w:tc>
        <w:tc>
          <w:tcPr>
            <w:tcW w:w="2440" w:type="dxa"/>
            <w:vAlign w:val="bottom"/>
          </w:tcPr>
          <w:p>
            <w:pPr>
              <w:jc w:val="right"/>
              <w:spacing w:after="0"/>
              <w:rPr>
                <w:sz w:val="20"/>
                <w:szCs w:val="20"/>
                <w:color w:val="auto"/>
              </w:rPr>
            </w:pPr>
            <w:r>
              <w:rPr>
                <w:rFonts w:ascii="Arial" w:cs="Arial" w:eastAsia="Arial" w:hAnsi="Arial"/>
                <w:sz w:val="18"/>
                <w:szCs w:val="18"/>
                <w:color w:val="auto"/>
              </w:rPr>
              <w:t>2.9</w:t>
            </w:r>
          </w:p>
        </w:tc>
        <w:tc>
          <w:tcPr>
            <w:tcW w:w="1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20.5</w:t>
            </w:r>
          </w:p>
        </w:tc>
        <w:tc>
          <w:tcPr>
            <w:tcW w:w="0" w:type="dxa"/>
            <w:vAlign w:val="bottom"/>
          </w:tcPr>
          <w:p>
            <w:pPr>
              <w:spacing w:after="0"/>
              <w:rPr>
                <w:sz w:val="1"/>
                <w:szCs w:val="1"/>
                <w:color w:val="auto"/>
              </w:rPr>
            </w:pPr>
          </w:p>
        </w:tc>
      </w:tr>
    </w:tbl>
    <w:p>
      <w:pPr>
        <w:spacing w:after="0" w:line="1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 Hedges</w:t>
      </w:r>
    </w:p>
    <w:p>
      <w:pPr>
        <w:spacing w:after="0" w:line="185" w:lineRule="exact"/>
        <w:rPr>
          <w:sz w:val="20"/>
          <w:szCs w:val="20"/>
          <w:color w:val="auto"/>
        </w:rPr>
      </w:pPr>
    </w:p>
    <w:p>
      <w:pPr>
        <w:ind w:right="20"/>
        <w:spacing w:after="0" w:line="312" w:lineRule="auto"/>
        <w:rPr>
          <w:sz w:val="20"/>
          <w:szCs w:val="20"/>
          <w:color w:val="auto"/>
        </w:rPr>
      </w:pPr>
      <w:r>
        <w:rPr>
          <w:rFonts w:ascii="Arial" w:cs="Arial" w:eastAsia="Arial" w:hAnsi="Arial"/>
          <w:sz w:val="17"/>
          <w:szCs w:val="17"/>
          <w:color w:val="auto"/>
        </w:rPr>
        <w:t>We use cross-currency swaps to hedge the changes in cash flows of certain of our foreign currency denominated debt due to changes in foreign currency exchange rates. For our cross-currency swaps, we record the change in carrying value of the foreign currency denominated debt due to changes in exchange rates into earnings each period. The changes in fair value of the cross-currency swap derivatives are recorded in AOCI with an immediate reclassification into earnings for the change in fair value attributable to fluctuations in foreign currency exchange rates.</w:t>
      </w:r>
    </w:p>
    <w:p>
      <w:pPr>
        <w:spacing w:after="0" w:line="131" w:lineRule="exact"/>
        <w:rPr>
          <w:sz w:val="20"/>
          <w:szCs w:val="20"/>
          <w:color w:val="auto"/>
        </w:rPr>
      </w:pPr>
    </w:p>
    <w:p>
      <w:pPr>
        <w:ind w:right="20"/>
        <w:spacing w:after="0" w:line="303" w:lineRule="auto"/>
        <w:rPr>
          <w:sz w:val="20"/>
          <w:szCs w:val="20"/>
          <w:color w:val="auto"/>
        </w:rPr>
      </w:pPr>
      <w:r>
        <w:rPr>
          <w:rFonts w:ascii="Arial" w:cs="Arial" w:eastAsia="Arial" w:hAnsi="Arial"/>
          <w:sz w:val="17"/>
          <w:szCs w:val="17"/>
          <w:color w:val="auto"/>
        </w:rPr>
        <w:t>In April 2019, we entered into a cross-currency swap agreement to convert our intercompany fixed-rate, CHF denominated note, including the annual interest payment and the payment of remaining principal at maturity, to a fixed-rate Euro denominated note. The economic effect of the swap agreement is to eliminate the uncertainty of cash flows in CHF associated with the note by fixing the principal at €202.3 with a fixed annual interest rate of 1.256%. This hedging arrangement has been designated as a cash flow hedge. The swap had an original maturity of April 2022, which aligned to the term of the intercompany note. On March 17, 2022, we settled the swap ahead of its maturity date, resulting in a net cash inflow of $19.2. We simultaneously entered into new cross currency swaps, which we account for as fair value hedges, with maturity dates of April 2024. Refer to the "Fair Value Hedge" section below for additional detail. In September 2019, we entered into a cross-currency swap agreement to convert an additional intercompany fixed-rate CHF note, including the annual interest payment and the payment of remaining principal at maturity, to a fixed-rate Euro denominated note. The economic effect of the swap is identical to the original April 2019 swap, and fixes the principal of €55.4 with a fixed interest rate of 1.143%. The swap matures in September 2022, which aligns to term of the intercompany note.</w:t>
      </w:r>
    </w:p>
    <w:p>
      <w:pPr>
        <w:spacing w:after="0" w:line="151" w:lineRule="exact"/>
        <w:rPr>
          <w:sz w:val="20"/>
          <w:szCs w:val="20"/>
          <w:color w:val="auto"/>
        </w:rPr>
      </w:pPr>
    </w:p>
    <w:p>
      <w:pPr>
        <w:jc w:val="both"/>
        <w:ind w:right="300"/>
        <w:spacing w:after="0" w:line="295" w:lineRule="auto"/>
        <w:rPr>
          <w:sz w:val="20"/>
          <w:szCs w:val="20"/>
          <w:color w:val="auto"/>
        </w:rPr>
      </w:pPr>
      <w:r>
        <w:rPr>
          <w:rFonts w:ascii="Arial" w:cs="Arial" w:eastAsia="Arial" w:hAnsi="Arial"/>
          <w:sz w:val="18"/>
          <w:szCs w:val="18"/>
          <w:color w:val="auto"/>
        </w:rPr>
        <w:t>We use forward currency exchange contracts to hedge the changes in cash flows of certain operational expenses denominated in foreign currency due to changes in foreign currency exchange rates. The changes in fair value of the forward currency exchange contracts derivatives are recorded in AOCI and reclassified into earnings when the underlying operating expense is recognized in earnings.</w:t>
      </w:r>
    </w:p>
    <w:p>
      <w:pPr>
        <w:spacing w:after="0" w:line="141" w:lineRule="exact"/>
        <w:rPr>
          <w:sz w:val="20"/>
          <w:szCs w:val="20"/>
          <w:color w:val="auto"/>
        </w:rPr>
      </w:pPr>
    </w:p>
    <w:p>
      <w:pPr>
        <w:ind w:right="280"/>
        <w:spacing w:after="0" w:line="295" w:lineRule="auto"/>
        <w:rPr>
          <w:sz w:val="20"/>
          <w:szCs w:val="20"/>
          <w:color w:val="auto"/>
        </w:rPr>
      </w:pPr>
      <w:r>
        <w:rPr>
          <w:rFonts w:ascii="Arial" w:cs="Arial" w:eastAsia="Arial" w:hAnsi="Arial"/>
          <w:sz w:val="18"/>
          <w:szCs w:val="18"/>
          <w:color w:val="auto"/>
        </w:rPr>
        <w:t>In September 2021, we entered into a series of forward currency exchange contracts denominated in GBP. The economic effect of the forward is to eliminate the uncertainty in cash flows in GBP associated with a portion of our forecasted IT contract spend in 2022 by fixing the amount at £6.0. Gains and losses from the hedge offset the foreign currency exchange impact of the contracts.</w:t>
      </w:r>
    </w:p>
    <w:p>
      <w:pPr>
        <w:spacing w:after="0" w:line="141" w:lineRule="exact"/>
        <w:rPr>
          <w:sz w:val="20"/>
          <w:szCs w:val="20"/>
          <w:color w:val="auto"/>
        </w:rPr>
      </w:pPr>
    </w:p>
    <w:p>
      <w:pPr>
        <w:spacing w:after="0" w:line="290" w:lineRule="auto"/>
        <w:rPr>
          <w:sz w:val="20"/>
          <w:szCs w:val="20"/>
          <w:color w:val="auto"/>
        </w:rPr>
      </w:pPr>
      <w:r>
        <w:rPr>
          <w:rFonts w:ascii="Arial" w:cs="Arial" w:eastAsia="Arial" w:hAnsi="Arial"/>
          <w:sz w:val="18"/>
          <w:szCs w:val="18"/>
          <w:color w:val="auto"/>
        </w:rPr>
        <w:t>We assessed the hedging relationship at the inception of the hedges in order to determine whether the derivatives that are used in the hedging transaction are highly effective in offsetting the cash flows of the hedged item and will continue to assess the relationship on an ongoing basis. We use the hypothetical derivative method in conjunction with regression analysis using a third-party valuation to measure effectiveness of our cross-currency swap agreements and our forward currency exchange contracts.</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17" w:name="page18"/>
    <w:bookmarkEnd w:id="17"/>
    <w:p>
      <w:pPr>
        <w:ind w:right="220"/>
        <w:spacing w:after="0" w:line="308" w:lineRule="auto"/>
        <w:rPr>
          <w:sz w:val="20"/>
          <w:szCs w:val="20"/>
          <w:color w:val="auto"/>
        </w:rPr>
      </w:pPr>
      <w:r>
        <w:rPr>
          <w:rFonts w:ascii="Arial" w:cs="Arial" w:eastAsia="Arial" w:hAnsi="Arial"/>
          <w:sz w:val="18"/>
          <w:szCs w:val="18"/>
          <w:color w:val="auto"/>
        </w:rPr>
        <w:t>The following tables present the impact that changes in the fair values of derivatives designated as cash flow hedges had on other comprehensive income (“OCI”), AOCI and earnings for the three months ended March 31, 2022 and 2021:</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0" w:type="dxa"/>
            <w:vAlign w:val="bottom"/>
            <w:gridSpan w:val="4"/>
            <w:vMerge w:val="restart"/>
          </w:tcPr>
          <w:p>
            <w:pPr>
              <w:ind w:left="320"/>
              <w:spacing w:after="0"/>
              <w:rPr>
                <w:sz w:val="20"/>
                <w:szCs w:val="20"/>
                <w:color w:val="auto"/>
              </w:rPr>
            </w:pPr>
            <w:r>
              <w:rPr>
                <w:rFonts w:ascii="Arial" w:cs="Arial" w:eastAsia="Arial" w:hAnsi="Arial"/>
                <w:sz w:val="18"/>
                <w:szCs w:val="18"/>
                <w:b w:val="1"/>
                <w:bCs w:val="1"/>
                <w:color w:val="auto"/>
                <w:w w:val="90"/>
              </w:rPr>
              <w:t>Loss Recognized in OCI</w:t>
            </w: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520" w:type="dxa"/>
            <w:vAlign w:val="bottom"/>
            <w:gridSpan w:val="5"/>
          </w:tcPr>
          <w:p>
            <w:pPr>
              <w:jc w:val="center"/>
              <w:ind w:right="10"/>
              <w:spacing w:after="0"/>
              <w:rPr>
                <w:sz w:val="20"/>
                <w:szCs w:val="20"/>
                <w:color w:val="auto"/>
              </w:rPr>
            </w:pPr>
            <w:r>
              <w:rPr>
                <w:rFonts w:ascii="Arial" w:cs="Arial" w:eastAsia="Arial" w:hAnsi="Arial"/>
                <w:sz w:val="18"/>
                <w:szCs w:val="18"/>
                <w:b w:val="1"/>
                <w:bCs w:val="1"/>
                <w:color w:val="auto"/>
                <w:w w:val="92"/>
              </w:rPr>
              <w:t>Gain Reclassified from AOCI</w:t>
            </w:r>
          </w:p>
        </w:tc>
        <w:tc>
          <w:tcPr>
            <w:tcW w:w="0" w:type="dxa"/>
            <w:vAlign w:val="bottom"/>
          </w:tcPr>
          <w:p>
            <w:pPr>
              <w:spacing w:after="0"/>
              <w:rPr>
                <w:sz w:val="1"/>
                <w:szCs w:val="1"/>
                <w:color w:val="auto"/>
              </w:rPr>
            </w:pPr>
          </w:p>
        </w:tc>
      </w:tr>
      <w:tr>
        <w:trPr>
          <w:trHeight w:val="234"/>
        </w:trPr>
        <w:tc>
          <w:tcPr>
            <w:tcW w:w="2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0" w:type="dxa"/>
            <w:vAlign w:val="bottom"/>
            <w:gridSpan w:val="4"/>
            <w:vMerge w:val="continue"/>
          </w:tcPr>
          <w:p>
            <w:pPr>
              <w:spacing w:after="0"/>
              <w:rPr>
                <w:sz w:val="20"/>
                <w:szCs w:val="20"/>
                <w:color w:val="auto"/>
              </w:rPr>
            </w:pP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gridSpan w:val="3"/>
          </w:tcPr>
          <w:p>
            <w:pPr>
              <w:jc w:val="right"/>
              <w:spacing w:after="0"/>
              <w:rPr>
                <w:sz w:val="20"/>
                <w:szCs w:val="20"/>
                <w:color w:val="auto"/>
              </w:rPr>
            </w:pPr>
            <w:r>
              <w:rPr>
                <w:rFonts w:ascii="Arial" w:cs="Arial" w:eastAsia="Arial" w:hAnsi="Arial"/>
                <w:sz w:val="18"/>
                <w:szCs w:val="18"/>
                <w:b w:val="1"/>
                <w:bCs w:val="1"/>
                <w:color w:val="auto"/>
                <w:w w:val="87"/>
              </w:rPr>
              <w:t>into Income</w:t>
            </w: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4"/>
        </w:trPr>
        <w:tc>
          <w:tcPr>
            <w:tcW w:w="2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40" w:type="dxa"/>
            <w:vAlign w:val="bottom"/>
            <w:tcBorders>
              <w:bottom w:val="single" w:sz="8" w:color="auto"/>
            </w:tcBorders>
            <w:gridSpan w:val="2"/>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2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520" w:type="dxa"/>
            <w:vAlign w:val="bottom"/>
            <w:gridSpan w:val="5"/>
          </w:tcPr>
          <w:p>
            <w:pPr>
              <w:jc w:val="center"/>
              <w:ind w:right="30"/>
              <w:spacing w:after="0" w:line="156" w:lineRule="exact"/>
              <w:rPr>
                <w:sz w:val="20"/>
                <w:szCs w:val="20"/>
                <w:color w:val="auto"/>
              </w:rPr>
            </w:pPr>
            <w:r>
              <w:rPr>
                <w:rFonts w:ascii="Arial" w:cs="Arial" w:eastAsia="Arial" w:hAnsi="Arial"/>
                <w:sz w:val="18"/>
                <w:szCs w:val="18"/>
                <w:b w:val="1"/>
                <w:bCs w:val="1"/>
                <w:color w:val="auto"/>
                <w:w w:val="93"/>
              </w:rPr>
              <w:t>Three Months Ended March</w:t>
            </w:r>
          </w:p>
        </w:tc>
        <w:tc>
          <w:tcPr>
            <w:tcW w:w="0" w:type="dxa"/>
            <w:vAlign w:val="bottom"/>
          </w:tcPr>
          <w:p>
            <w:pPr>
              <w:spacing w:after="0"/>
              <w:rPr>
                <w:sz w:val="1"/>
                <w:szCs w:val="1"/>
                <w:color w:val="auto"/>
              </w:rPr>
            </w:pPr>
          </w:p>
        </w:tc>
      </w:tr>
      <w:tr>
        <w:trPr>
          <w:trHeight w:val="216"/>
        </w:trPr>
        <w:tc>
          <w:tcPr>
            <w:tcW w:w="2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0" w:type="dxa"/>
            <w:vAlign w:val="bottom"/>
            <w:tcBorders>
              <w:bottom w:val="single" w:sz="8" w:color="auto"/>
            </w:tcBorders>
            <w:gridSpan w:val="5"/>
          </w:tcPr>
          <w:p>
            <w:pPr>
              <w:ind w:left="20"/>
              <w:spacing w:after="0"/>
              <w:rPr>
                <w:sz w:val="20"/>
                <w:szCs w:val="20"/>
                <w:color w:val="auto"/>
              </w:rPr>
            </w:pPr>
            <w:r>
              <w:rPr>
                <w:rFonts w:ascii="Arial" w:cs="Arial" w:eastAsia="Arial" w:hAnsi="Arial"/>
                <w:sz w:val="18"/>
                <w:szCs w:val="18"/>
                <w:b w:val="1"/>
                <w:bCs w:val="1"/>
                <w:color w:val="auto"/>
                <w:w w:val="96"/>
              </w:rPr>
              <w:t>Three Months Ended March 31,</w:t>
            </w:r>
          </w:p>
        </w:tc>
        <w:tc>
          <w:tcPr>
            <w:tcW w:w="80" w:type="dxa"/>
            <w:vAlign w:val="bottom"/>
          </w:tcPr>
          <w:p>
            <w:pPr>
              <w:spacing w:after="0"/>
              <w:rPr>
                <w:sz w:val="18"/>
                <w:szCs w:val="18"/>
                <w:color w:val="auto"/>
              </w:rPr>
            </w:pPr>
          </w:p>
        </w:tc>
        <w:tc>
          <w:tcPr>
            <w:tcW w:w="302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9"/>
              </w:rPr>
              <w:t>Location of Gain Reclassified</w:t>
            </w:r>
          </w:p>
        </w:tc>
        <w:tc>
          <w:tcPr>
            <w:tcW w:w="7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87"/>
              </w:rPr>
              <w:t>31,</w:t>
            </w:r>
          </w:p>
        </w:tc>
        <w:tc>
          <w:tcPr>
            <w:tcW w:w="8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3020" w:type="dxa"/>
            <w:vAlign w:val="bottom"/>
            <w:gridSpan w:val="2"/>
          </w:tcPr>
          <w:p>
            <w:pPr>
              <w:ind w:left="1040"/>
              <w:spacing w:after="0" w:line="196" w:lineRule="exact"/>
              <w:rPr>
                <w:sz w:val="20"/>
                <w:szCs w:val="20"/>
                <w:color w:val="auto"/>
              </w:rPr>
            </w:pPr>
            <w:r>
              <w:rPr>
                <w:rFonts w:ascii="Arial" w:cs="Arial" w:eastAsia="Arial" w:hAnsi="Arial"/>
                <w:sz w:val="18"/>
                <w:szCs w:val="18"/>
                <w:b w:val="1"/>
                <w:bCs w:val="1"/>
                <w:color w:val="auto"/>
              </w:rPr>
              <w:t>Instrument</w:t>
            </w:r>
          </w:p>
        </w:tc>
        <w:tc>
          <w:tcPr>
            <w:tcW w:w="82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2022</w:t>
            </w:r>
          </w:p>
        </w:tc>
        <w:tc>
          <w:tcPr>
            <w:tcW w:w="1380" w:type="dxa"/>
            <w:vAlign w:val="bottom"/>
            <w:gridSpan w:val="3"/>
          </w:tcPr>
          <w:p>
            <w:pPr>
              <w:jc w:val="right"/>
              <w:ind w:right="10"/>
              <w:spacing w:after="0" w:line="196" w:lineRule="exact"/>
              <w:rPr>
                <w:sz w:val="20"/>
                <w:szCs w:val="20"/>
                <w:color w:val="auto"/>
              </w:rPr>
            </w:pPr>
            <w:r>
              <w:rPr>
                <w:rFonts w:ascii="Arial" w:cs="Arial" w:eastAsia="Arial" w:hAnsi="Arial"/>
                <w:sz w:val="18"/>
                <w:szCs w:val="18"/>
                <w:b w:val="1"/>
                <w:bCs w:val="1"/>
                <w:color w:val="auto"/>
              </w:rPr>
              <w:t>2021</w:t>
            </w: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20" w:type="dxa"/>
            <w:vAlign w:val="bottom"/>
            <w:gridSpan w:val="2"/>
          </w:tcPr>
          <w:p>
            <w:pPr>
              <w:jc w:val="center"/>
              <w:ind w:right="80"/>
              <w:spacing w:after="0" w:line="196" w:lineRule="exact"/>
              <w:rPr>
                <w:sz w:val="20"/>
                <w:szCs w:val="20"/>
                <w:color w:val="auto"/>
              </w:rPr>
            </w:pPr>
            <w:r>
              <w:rPr>
                <w:rFonts w:ascii="Arial" w:cs="Arial" w:eastAsia="Arial" w:hAnsi="Arial"/>
                <w:sz w:val="18"/>
                <w:szCs w:val="18"/>
                <w:b w:val="1"/>
                <w:bCs w:val="1"/>
                <w:color w:val="auto"/>
                <w:w w:val="94"/>
              </w:rPr>
              <w:t>from AOCI into Income</w:t>
            </w:r>
          </w:p>
        </w:tc>
        <w:tc>
          <w:tcPr>
            <w:tcW w:w="78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2022</w:t>
            </w:r>
          </w:p>
        </w:tc>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20" w:type="dxa"/>
            <w:vAlign w:val="bottom"/>
          </w:tcPr>
          <w:p>
            <w:pPr>
              <w:jc w:val="right"/>
              <w:ind w:right="370"/>
              <w:spacing w:after="0" w:line="196" w:lineRule="exact"/>
              <w:rPr>
                <w:sz w:val="20"/>
                <w:szCs w:val="20"/>
                <w:color w:val="auto"/>
              </w:rPr>
            </w:pPr>
            <w:r>
              <w:rPr>
                <w:rFonts w:ascii="Arial" w:cs="Arial" w:eastAsia="Arial" w:hAnsi="Arial"/>
                <w:sz w:val="18"/>
                <w:szCs w:val="18"/>
                <w:b w:val="1"/>
                <w:bCs w:val="1"/>
                <w:color w:val="auto"/>
                <w:w w:val="84"/>
              </w:rPr>
              <w:t>2021</w:t>
            </w:r>
          </w:p>
        </w:tc>
        <w:tc>
          <w:tcPr>
            <w:tcW w:w="0" w:type="dxa"/>
            <w:vAlign w:val="bottom"/>
          </w:tcPr>
          <w:p>
            <w:pPr>
              <w:spacing w:after="0"/>
              <w:rPr>
                <w:sz w:val="1"/>
                <w:szCs w:val="1"/>
                <w:color w:val="auto"/>
              </w:rPr>
            </w:pPr>
          </w:p>
        </w:tc>
      </w:tr>
      <w:tr>
        <w:trPr>
          <w:trHeight w:val="196"/>
        </w:trPr>
        <w:tc>
          <w:tcPr>
            <w:tcW w:w="2940" w:type="dxa"/>
            <w:vAlign w:val="bottom"/>
            <w:tcBorders>
              <w:top w:val="single" w:sz="8" w:color="auto"/>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Cross-currency swaps</w:t>
            </w:r>
          </w:p>
        </w:tc>
        <w:tc>
          <w:tcPr>
            <w:tcW w:w="80" w:type="dxa"/>
            <w:vAlign w:val="bottom"/>
            <w:shd w:val="clear" w:color="auto" w:fill="CFF0FC"/>
          </w:tcPr>
          <w:p>
            <w:pPr>
              <w:spacing w:after="0"/>
              <w:rPr>
                <w:sz w:val="17"/>
                <w:szCs w:val="17"/>
                <w:color w:val="auto"/>
              </w:rPr>
            </w:pPr>
          </w:p>
        </w:tc>
        <w:tc>
          <w:tcPr>
            <w:tcW w:w="820" w:type="dxa"/>
            <w:vAlign w:val="bottom"/>
            <w:tcBorders>
              <w:top w:val="single" w:sz="8" w:color="auto"/>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w:t>
            </w:r>
          </w:p>
        </w:tc>
        <w:tc>
          <w:tcPr>
            <w:tcW w:w="4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5"/>
              </w:rPr>
              <w:t>(1.0 )</w:t>
            </w:r>
          </w:p>
        </w:tc>
        <w:tc>
          <w:tcPr>
            <w:tcW w:w="80" w:type="dxa"/>
            <w:vAlign w:val="bottom"/>
            <w:shd w:val="clear" w:color="auto" w:fill="CFF0FC"/>
          </w:tcPr>
          <w:p>
            <w:pPr>
              <w:spacing w:after="0"/>
              <w:rPr>
                <w:sz w:val="17"/>
                <w:szCs w:val="17"/>
                <w:color w:val="auto"/>
              </w:rPr>
            </w:pPr>
          </w:p>
        </w:tc>
        <w:tc>
          <w:tcPr>
            <w:tcW w:w="860" w:type="dxa"/>
            <w:vAlign w:val="bottom"/>
            <w:tcBorders>
              <w:top w:val="single" w:sz="8" w:color="auto"/>
            </w:tcBorders>
            <w:shd w:val="clear" w:color="auto" w:fill="CFF0FC"/>
          </w:tcPr>
          <w:p>
            <w:pPr>
              <w:jc w:val="right"/>
              <w:ind w:right="650"/>
              <w:spacing w:after="0" w:line="196" w:lineRule="exact"/>
              <w:rPr>
                <w:sz w:val="20"/>
                <w:szCs w:val="20"/>
                <w:color w:val="auto"/>
              </w:rPr>
            </w:pPr>
            <w:r>
              <w:rPr>
                <w:rFonts w:ascii="Arial" w:cs="Arial" w:eastAsia="Arial" w:hAnsi="Arial"/>
                <w:sz w:val="18"/>
                <w:szCs w:val="18"/>
                <w:color w:val="auto"/>
                <w:w w:val="99"/>
              </w:rPr>
              <w:t>$</w:t>
            </w:r>
          </w:p>
        </w:tc>
        <w:tc>
          <w:tcPr>
            <w:tcW w:w="4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85"/>
              </w:rPr>
              <w:t>(5.3 )</w:t>
            </w:r>
          </w:p>
        </w:tc>
        <w:tc>
          <w:tcPr>
            <w:tcW w:w="80" w:type="dxa"/>
            <w:vAlign w:val="bottom"/>
            <w:shd w:val="clear" w:color="auto" w:fill="CFF0FC"/>
          </w:tcPr>
          <w:p>
            <w:pPr>
              <w:spacing w:after="0"/>
              <w:rPr>
                <w:sz w:val="17"/>
                <w:szCs w:val="17"/>
                <w:color w:val="auto"/>
              </w:rPr>
            </w:pPr>
          </w:p>
        </w:tc>
        <w:tc>
          <w:tcPr>
            <w:tcW w:w="2940" w:type="dxa"/>
            <w:vAlign w:val="bottom"/>
            <w:tcBorders>
              <w:top w:val="single" w:sz="8" w:color="auto"/>
            </w:tcBorders>
            <w:shd w:val="clear" w:color="auto" w:fill="CFF0FC"/>
          </w:tcPr>
          <w:p>
            <w:pPr>
              <w:ind w:left="60"/>
              <w:spacing w:after="0" w:line="196" w:lineRule="exact"/>
              <w:rPr>
                <w:sz w:val="20"/>
                <w:szCs w:val="20"/>
                <w:color w:val="auto"/>
              </w:rPr>
            </w:pPr>
            <w:r>
              <w:rPr>
                <w:rFonts w:ascii="Arial" w:cs="Arial" w:eastAsia="Arial" w:hAnsi="Arial"/>
                <w:sz w:val="18"/>
                <w:szCs w:val="18"/>
                <w:color w:val="auto"/>
              </w:rPr>
              <w:t>Interest and other expenses, net</w:t>
            </w:r>
          </w:p>
        </w:tc>
        <w:tc>
          <w:tcPr>
            <w:tcW w:w="80" w:type="dxa"/>
            <w:vAlign w:val="bottom"/>
            <w:shd w:val="clear" w:color="auto" w:fill="CFF0FC"/>
          </w:tcPr>
          <w:p>
            <w:pPr>
              <w:spacing w:after="0"/>
              <w:rPr>
                <w:sz w:val="17"/>
                <w:szCs w:val="17"/>
                <w:color w:val="auto"/>
              </w:rPr>
            </w:pPr>
          </w:p>
        </w:tc>
        <w:tc>
          <w:tcPr>
            <w:tcW w:w="780" w:type="dxa"/>
            <w:vAlign w:val="bottom"/>
            <w:tcBorders>
              <w:top w:val="single" w:sz="8" w:color="auto"/>
            </w:tcBorders>
            <w:shd w:val="clear" w:color="auto" w:fill="CFF0FC"/>
          </w:tcPr>
          <w:p>
            <w:pPr>
              <w:jc w:val="right"/>
              <w:ind w:right="590"/>
              <w:spacing w:after="0" w:line="196" w:lineRule="exact"/>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0.9</w:t>
            </w:r>
          </w:p>
        </w:tc>
        <w:tc>
          <w:tcPr>
            <w:tcW w:w="60" w:type="dxa"/>
            <w:vAlign w:val="bottom"/>
            <w:shd w:val="clear" w:color="auto" w:fill="CFF0FC"/>
          </w:tcPr>
          <w:p>
            <w:pPr>
              <w:spacing w:after="0"/>
              <w:rPr>
                <w:sz w:val="17"/>
                <w:szCs w:val="17"/>
                <w:color w:val="auto"/>
              </w:rPr>
            </w:pPr>
          </w:p>
        </w:tc>
        <w:tc>
          <w:tcPr>
            <w:tcW w:w="400" w:type="dxa"/>
            <w:vAlign w:val="bottom"/>
            <w:tcBorders>
              <w:top w:val="single" w:sz="8" w:color="auto"/>
            </w:tcBorders>
            <w:shd w:val="clear" w:color="auto" w:fill="CFF0FC"/>
          </w:tcPr>
          <w:p>
            <w:pPr>
              <w:jc w:val="right"/>
              <w:ind w:right="210"/>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40"/>
        <w:spacing w:after="0" w:line="377" w:lineRule="auto"/>
        <w:rPr>
          <w:sz w:val="20"/>
          <w:szCs w:val="20"/>
          <w:color w:val="auto"/>
        </w:rPr>
      </w:pPr>
      <w:r>
        <w:rPr>
          <w:rFonts w:ascii="Arial" w:cs="Arial" w:eastAsia="Arial" w:hAnsi="Arial"/>
          <w:sz w:val="16"/>
          <w:szCs w:val="16"/>
          <w:color w:val="auto"/>
        </w:rPr>
        <w:t>We expect the net amount of pre-tax derivative gains included in AOCI at March 31, 2022 to be reclassified into earnings within the next 12 months will not be significant. The actual amount that will be reclassified to earnings over the next 12 months will vary due to future currency exchange rates.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Hedges</w:t>
      </w:r>
    </w:p>
    <w:p>
      <w:pPr>
        <w:spacing w:after="0" w:line="212" w:lineRule="exact"/>
        <w:rPr>
          <w:sz w:val="20"/>
          <w:szCs w:val="20"/>
          <w:color w:val="auto"/>
        </w:rPr>
      </w:pPr>
    </w:p>
    <w:p>
      <w:pPr>
        <w:ind w:right="40"/>
        <w:spacing w:after="0" w:line="312" w:lineRule="auto"/>
        <w:rPr>
          <w:sz w:val="20"/>
          <w:szCs w:val="20"/>
          <w:color w:val="auto"/>
        </w:rPr>
      </w:pPr>
      <w:r>
        <w:rPr>
          <w:rFonts w:ascii="Arial" w:cs="Arial" w:eastAsia="Arial" w:hAnsi="Arial"/>
          <w:sz w:val="17"/>
          <w:szCs w:val="17"/>
          <w:color w:val="auto"/>
        </w:rPr>
        <w:t>We account for derivatives as fair value hedges when the hedged item is a recognized asset, liability, or firm commitment. We use fair value hedges to hedge the changes in cash flows of certain of our foreign currency intercompany denominated notes due to changes in foreign currency exchange rates. We record the change in carrying value of the foreign currency denominated notes due to changes in exchange rates into earnings each period. Gains and losses on the fair value hedges are recorded in earnings, offsetting gains and losses on the hedged item.</w:t>
      </w:r>
    </w:p>
    <w:p>
      <w:pPr>
        <w:spacing w:after="0" w:line="199" w:lineRule="exact"/>
        <w:rPr>
          <w:sz w:val="20"/>
          <w:szCs w:val="20"/>
          <w:color w:val="auto"/>
        </w:rPr>
      </w:pPr>
    </w:p>
    <w:p>
      <w:pPr>
        <w:spacing w:after="0" w:line="309" w:lineRule="auto"/>
        <w:rPr>
          <w:sz w:val="20"/>
          <w:szCs w:val="20"/>
          <w:color w:val="auto"/>
        </w:rPr>
      </w:pPr>
      <w:r>
        <w:rPr>
          <w:rFonts w:ascii="Arial" w:cs="Arial" w:eastAsia="Arial" w:hAnsi="Arial"/>
          <w:sz w:val="17"/>
          <w:szCs w:val="17"/>
          <w:color w:val="auto"/>
        </w:rPr>
        <w:t>In March 2022, we entered into a cross-currency swap agreement to hedge our intercompany fixed-rate, CHF denominated note. The economic effect of the swap agreement is to eliminate the uncertainty of cash flows in CHF associated with the note due to changes in foreign currency exchange rates against our Euro functional subsidiary entity. The cross-currency swap matures in April 2024, which aligns the term of the intercompany note and has a fixed interest rate of 1.05973%. The cross-currency swaps are accounted for as fair value hedges. Gains and losses from the hedge offset the changes in the value of principal on the note because of changes in foreign exchange rates.</w:t>
      </w:r>
    </w:p>
    <w:p>
      <w:pPr>
        <w:spacing w:after="0" w:line="200" w:lineRule="exact"/>
        <w:rPr>
          <w:sz w:val="20"/>
          <w:szCs w:val="20"/>
          <w:color w:val="auto"/>
        </w:rPr>
      </w:pPr>
    </w:p>
    <w:p>
      <w:pPr>
        <w:spacing w:after="0" w:line="308" w:lineRule="auto"/>
        <w:rPr>
          <w:sz w:val="20"/>
          <w:szCs w:val="20"/>
          <w:color w:val="auto"/>
        </w:rPr>
      </w:pPr>
      <w:r>
        <w:rPr>
          <w:rFonts w:ascii="Arial" w:cs="Arial" w:eastAsia="Arial" w:hAnsi="Arial"/>
          <w:sz w:val="18"/>
          <w:szCs w:val="18"/>
          <w:color w:val="auto"/>
        </w:rPr>
        <w:t>The following tables present the impact that the fair value hedges had on our Consolidated Statement of Income for the three months ended March 31, 2022 and 2021:</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3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5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Location of Gain (Loss)</w:t>
            </w:r>
          </w:p>
        </w:tc>
        <w:tc>
          <w:tcPr>
            <w:tcW w:w="3760" w:type="dxa"/>
            <w:vAlign w:val="bottom"/>
            <w:tcBorders>
              <w:bottom w:val="single" w:sz="8" w:color="auto"/>
            </w:tcBorders>
            <w:gridSpan w:val="5"/>
          </w:tcPr>
          <w:p>
            <w:pPr>
              <w:jc w:val="center"/>
              <w:spacing w:after="0"/>
              <w:rPr>
                <w:sz w:val="20"/>
                <w:szCs w:val="20"/>
                <w:color w:val="auto"/>
              </w:rPr>
            </w:pPr>
            <w:r>
              <w:rPr>
                <w:rFonts w:ascii="Arial" w:cs="Arial" w:eastAsia="Arial" w:hAnsi="Arial"/>
                <w:sz w:val="18"/>
                <w:szCs w:val="18"/>
                <w:b w:val="1"/>
                <w:bCs w:val="1"/>
                <w:color w:val="auto"/>
                <w:w w:val="89"/>
              </w:rPr>
              <w:t>Amount of Gain (Loss) Recognized in Income</w:t>
            </w:r>
          </w:p>
        </w:tc>
      </w:tr>
      <w:tr>
        <w:trPr>
          <w:trHeight w:val="196"/>
        </w:trPr>
        <w:tc>
          <w:tcPr>
            <w:tcW w:w="3820" w:type="dxa"/>
            <w:vAlign w:val="bottom"/>
          </w:tcPr>
          <w:p>
            <w:pPr>
              <w:ind w:left="1480"/>
              <w:spacing w:after="0" w:line="196" w:lineRule="exact"/>
              <w:rPr>
                <w:sz w:val="20"/>
                <w:szCs w:val="20"/>
                <w:color w:val="auto"/>
              </w:rPr>
            </w:pPr>
            <w:r>
              <w:rPr>
                <w:rFonts w:ascii="Arial" w:cs="Arial" w:eastAsia="Arial" w:hAnsi="Arial"/>
                <w:sz w:val="18"/>
                <w:szCs w:val="18"/>
                <w:b w:val="1"/>
                <w:bCs w:val="1"/>
                <w:color w:val="auto"/>
              </w:rPr>
              <w:t>Instrument</w:t>
            </w:r>
          </w:p>
        </w:tc>
        <w:tc>
          <w:tcPr>
            <w:tcW w:w="120" w:type="dxa"/>
            <w:vAlign w:val="bottom"/>
          </w:tcPr>
          <w:p>
            <w:pPr>
              <w:spacing w:after="0"/>
              <w:rPr>
                <w:sz w:val="17"/>
                <w:szCs w:val="17"/>
                <w:color w:val="auto"/>
              </w:rPr>
            </w:pPr>
          </w:p>
        </w:tc>
        <w:tc>
          <w:tcPr>
            <w:tcW w:w="3540" w:type="dxa"/>
            <w:vAlign w:val="bottom"/>
            <w:gridSpan w:val="2"/>
          </w:tcPr>
          <w:p>
            <w:pPr>
              <w:jc w:val="center"/>
              <w:ind w:right="100"/>
              <w:spacing w:after="0" w:line="196" w:lineRule="exact"/>
              <w:rPr>
                <w:sz w:val="20"/>
                <w:szCs w:val="20"/>
                <w:color w:val="auto"/>
              </w:rPr>
            </w:pPr>
            <w:r>
              <w:rPr>
                <w:rFonts w:ascii="Arial" w:cs="Arial" w:eastAsia="Arial" w:hAnsi="Arial"/>
                <w:sz w:val="18"/>
                <w:szCs w:val="18"/>
                <w:b w:val="1"/>
                <w:bCs w:val="1"/>
                <w:color w:val="auto"/>
                <w:w w:val="88"/>
              </w:rPr>
              <w:t>Recognized in Income</w:t>
            </w:r>
          </w:p>
        </w:tc>
        <w:tc>
          <w:tcPr>
            <w:tcW w:w="360" w:type="dxa"/>
            <w:vAlign w:val="bottom"/>
          </w:tcPr>
          <w:p>
            <w:pPr>
              <w:spacing w:after="0"/>
              <w:rPr>
                <w:sz w:val="17"/>
                <w:szCs w:val="17"/>
                <w:color w:val="auto"/>
              </w:rPr>
            </w:pPr>
          </w:p>
        </w:tc>
        <w:tc>
          <w:tcPr>
            <w:tcW w:w="3400" w:type="dxa"/>
            <w:vAlign w:val="bottom"/>
            <w:gridSpan w:val="4"/>
          </w:tcPr>
          <w:p>
            <w:pPr>
              <w:jc w:val="center"/>
              <w:ind w:right="330"/>
              <w:spacing w:after="0" w:line="196" w:lineRule="exact"/>
              <w:rPr>
                <w:sz w:val="20"/>
                <w:szCs w:val="20"/>
                <w:color w:val="auto"/>
              </w:rPr>
            </w:pPr>
            <w:r>
              <w:rPr>
                <w:rFonts w:ascii="Arial" w:cs="Arial" w:eastAsia="Arial" w:hAnsi="Arial"/>
                <w:sz w:val="18"/>
                <w:szCs w:val="18"/>
                <w:b w:val="1"/>
                <w:bCs w:val="1"/>
                <w:color w:val="auto"/>
                <w:w w:val="92"/>
              </w:rPr>
              <w:t>Three Months Ended March 31,</w:t>
            </w:r>
          </w:p>
        </w:tc>
      </w:tr>
      <w:tr>
        <w:trPr>
          <w:trHeight w:val="196"/>
        </w:trPr>
        <w:tc>
          <w:tcPr>
            <w:tcW w:w="38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4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460" w:type="dxa"/>
            <w:vAlign w:val="bottom"/>
            <w:tcBorders>
              <w:top w:val="single" w:sz="8" w:color="auto"/>
              <w:bottom w:val="single" w:sz="8" w:color="auto"/>
            </w:tcBorders>
          </w:tcPr>
          <w:p>
            <w:pPr>
              <w:jc w:val="right"/>
              <w:ind w:right="670"/>
              <w:spacing w:after="0" w:line="196" w:lineRule="exact"/>
              <w:rPr>
                <w:sz w:val="20"/>
                <w:szCs w:val="20"/>
                <w:color w:val="auto"/>
              </w:rPr>
            </w:pPr>
            <w:r>
              <w:rPr>
                <w:rFonts w:ascii="Arial" w:cs="Arial" w:eastAsia="Arial" w:hAnsi="Arial"/>
                <w:sz w:val="18"/>
                <w:szCs w:val="18"/>
                <w:b w:val="1"/>
                <w:bCs w:val="1"/>
                <w:color w:val="auto"/>
              </w:rPr>
              <w:t>2022</w:t>
            </w:r>
          </w:p>
        </w:tc>
        <w:tc>
          <w:tcPr>
            <w:tcW w:w="120" w:type="dxa"/>
            <w:vAlign w:val="bottom"/>
            <w:tcBorders>
              <w:top w:val="single" w:sz="8" w:color="auto"/>
            </w:tcBorders>
          </w:tcPr>
          <w:p>
            <w:pPr>
              <w:spacing w:after="0"/>
              <w:rPr>
                <w:sz w:val="17"/>
                <w:szCs w:val="17"/>
                <w:color w:val="auto"/>
              </w:rPr>
            </w:pPr>
          </w:p>
        </w:tc>
        <w:tc>
          <w:tcPr>
            <w:tcW w:w="400" w:type="dxa"/>
            <w:vAlign w:val="bottom"/>
            <w:tcBorders>
              <w:top w:val="single" w:sz="8" w:color="auto"/>
              <w:bottom w:val="single" w:sz="8" w:color="auto"/>
            </w:tcBorders>
          </w:tcPr>
          <w:p>
            <w:pPr>
              <w:spacing w:after="0"/>
              <w:rPr>
                <w:sz w:val="17"/>
                <w:szCs w:val="17"/>
                <w:color w:val="auto"/>
              </w:rPr>
            </w:pPr>
          </w:p>
        </w:tc>
        <w:tc>
          <w:tcPr>
            <w:tcW w:w="1420" w:type="dxa"/>
            <w:vAlign w:val="bottom"/>
            <w:tcBorders>
              <w:top w:val="single" w:sz="8" w:color="auto"/>
              <w:bottom w:val="single" w:sz="8" w:color="auto"/>
            </w:tcBorders>
          </w:tcPr>
          <w:p>
            <w:pPr>
              <w:jc w:val="right"/>
              <w:ind w:right="670"/>
              <w:spacing w:after="0" w:line="196" w:lineRule="exact"/>
              <w:rPr>
                <w:sz w:val="20"/>
                <w:szCs w:val="20"/>
                <w:color w:val="auto"/>
              </w:rPr>
            </w:pPr>
            <w:r>
              <w:rPr>
                <w:rFonts w:ascii="Arial" w:cs="Arial" w:eastAsia="Arial" w:hAnsi="Arial"/>
                <w:sz w:val="18"/>
                <w:szCs w:val="18"/>
                <w:b w:val="1"/>
                <w:bCs w:val="1"/>
                <w:color w:val="auto"/>
              </w:rPr>
              <w:t>2021</w:t>
            </w:r>
          </w:p>
        </w:tc>
      </w:tr>
      <w:tr>
        <w:trPr>
          <w:trHeight w:val="196"/>
        </w:trPr>
        <w:tc>
          <w:tcPr>
            <w:tcW w:w="382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Intercompany CHF note</w:t>
            </w:r>
          </w:p>
        </w:tc>
        <w:tc>
          <w:tcPr>
            <w:tcW w:w="120" w:type="dxa"/>
            <w:vAlign w:val="bottom"/>
            <w:shd w:val="clear" w:color="auto" w:fill="CFF0FC"/>
          </w:tcPr>
          <w:p>
            <w:pPr>
              <w:spacing w:after="0"/>
              <w:rPr>
                <w:sz w:val="17"/>
                <w:szCs w:val="17"/>
                <w:color w:val="auto"/>
              </w:rPr>
            </w:pPr>
          </w:p>
        </w:tc>
        <w:tc>
          <w:tcPr>
            <w:tcW w:w="3540" w:type="dxa"/>
            <w:vAlign w:val="bottom"/>
            <w:gridSpan w:val="2"/>
            <w:shd w:val="clear" w:color="auto" w:fill="CFF0FC"/>
          </w:tcPr>
          <w:p>
            <w:pPr>
              <w:ind w:left="60"/>
              <w:spacing w:after="0" w:line="196" w:lineRule="exact"/>
              <w:rPr>
                <w:sz w:val="20"/>
                <w:szCs w:val="20"/>
                <w:color w:val="auto"/>
              </w:rPr>
            </w:pPr>
            <w:r>
              <w:rPr>
                <w:rFonts w:ascii="Arial" w:cs="Arial" w:eastAsia="Arial" w:hAnsi="Arial"/>
                <w:sz w:val="18"/>
                <w:szCs w:val="18"/>
                <w:color w:val="auto"/>
              </w:rPr>
              <w:t>Interest and other expenses, net</w:t>
            </w:r>
          </w:p>
        </w:tc>
        <w:tc>
          <w:tcPr>
            <w:tcW w:w="360" w:type="dxa"/>
            <w:vAlign w:val="bottom"/>
            <w:shd w:val="clear" w:color="auto" w:fill="CFF0FC"/>
          </w:tcPr>
          <w:p>
            <w:pPr>
              <w:jc w:val="right"/>
              <w:ind w:right="150"/>
              <w:spacing w:after="0" w:line="196" w:lineRule="exact"/>
              <w:rPr>
                <w:sz w:val="20"/>
                <w:szCs w:val="20"/>
                <w:color w:val="auto"/>
              </w:rPr>
            </w:pPr>
            <w:r>
              <w:rPr>
                <w:rFonts w:ascii="Arial" w:cs="Arial" w:eastAsia="Arial" w:hAnsi="Arial"/>
                <w:sz w:val="18"/>
                <w:szCs w:val="18"/>
                <w:color w:val="auto"/>
                <w:w w:val="99"/>
              </w:rPr>
              <w:t>$</w:t>
            </w:r>
          </w:p>
        </w:tc>
        <w:tc>
          <w:tcPr>
            <w:tcW w:w="14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(2.6 )</w:t>
            </w:r>
          </w:p>
        </w:tc>
        <w:tc>
          <w:tcPr>
            <w:tcW w:w="120" w:type="dxa"/>
            <w:vAlign w:val="bottom"/>
            <w:shd w:val="clear" w:color="auto" w:fill="CFF0FC"/>
          </w:tcPr>
          <w:p>
            <w:pPr>
              <w:spacing w:after="0"/>
              <w:rPr>
                <w:sz w:val="17"/>
                <w:szCs w:val="17"/>
                <w:color w:val="auto"/>
              </w:rPr>
            </w:pPr>
          </w:p>
        </w:tc>
        <w:tc>
          <w:tcPr>
            <w:tcW w:w="400" w:type="dxa"/>
            <w:vAlign w:val="bottom"/>
            <w:shd w:val="clear" w:color="auto" w:fill="CFF0FC"/>
          </w:tcPr>
          <w:p>
            <w:pPr>
              <w:jc w:val="right"/>
              <w:ind w:right="210"/>
              <w:spacing w:after="0" w:line="196" w:lineRule="exact"/>
              <w:rPr>
                <w:sz w:val="20"/>
                <w:szCs w:val="20"/>
                <w:color w:val="auto"/>
              </w:rPr>
            </w:pPr>
            <w:r>
              <w:rPr>
                <w:rFonts w:ascii="Arial" w:cs="Arial" w:eastAsia="Arial" w:hAnsi="Arial"/>
                <w:sz w:val="18"/>
                <w:szCs w:val="18"/>
                <w:color w:val="auto"/>
                <w:w w:val="79"/>
              </w:rPr>
              <w:t>$</w:t>
            </w:r>
          </w:p>
        </w:tc>
        <w:tc>
          <w:tcPr>
            <w:tcW w:w="1420" w:type="dxa"/>
            <w:vAlign w:val="bottom"/>
            <w:shd w:val="clear" w:color="auto" w:fill="CFF0FC"/>
          </w:tcPr>
          <w:p>
            <w:pPr>
              <w:ind w:left="1160"/>
              <w:spacing w:after="0" w:line="196" w:lineRule="exact"/>
              <w:rPr>
                <w:sz w:val="20"/>
                <w:szCs w:val="20"/>
                <w:color w:val="auto"/>
              </w:rPr>
            </w:pPr>
            <w:r>
              <w:rPr>
                <w:rFonts w:ascii="Arial" w:cs="Arial" w:eastAsia="Arial" w:hAnsi="Arial"/>
                <w:sz w:val="18"/>
                <w:szCs w:val="18"/>
                <w:color w:val="auto"/>
              </w:rPr>
              <w:t>—</w:t>
            </w:r>
          </w:p>
        </w:tc>
      </w:tr>
      <w:tr>
        <w:trPr>
          <w:trHeight w:val="230"/>
        </w:trPr>
        <w:tc>
          <w:tcPr>
            <w:tcW w:w="3820" w:type="dxa"/>
            <w:vAlign w:val="bottom"/>
          </w:tcPr>
          <w:p>
            <w:pPr>
              <w:ind w:left="20"/>
              <w:spacing w:after="0"/>
              <w:rPr>
                <w:sz w:val="20"/>
                <w:szCs w:val="20"/>
                <w:color w:val="auto"/>
              </w:rPr>
            </w:pPr>
            <w:r>
              <w:rPr>
                <w:rFonts w:ascii="Arial" w:cs="Arial" w:eastAsia="Arial" w:hAnsi="Arial"/>
                <w:sz w:val="18"/>
                <w:szCs w:val="18"/>
                <w:color w:val="auto"/>
              </w:rPr>
              <w:t>Cross-currency swaps</w:t>
            </w:r>
          </w:p>
        </w:tc>
        <w:tc>
          <w:tcPr>
            <w:tcW w:w="120" w:type="dxa"/>
            <w:vAlign w:val="bottom"/>
          </w:tcPr>
          <w:p>
            <w:pPr>
              <w:spacing w:after="0"/>
              <w:rPr>
                <w:sz w:val="20"/>
                <w:szCs w:val="20"/>
                <w:color w:val="auto"/>
              </w:rPr>
            </w:pPr>
          </w:p>
        </w:tc>
        <w:tc>
          <w:tcPr>
            <w:tcW w:w="3540" w:type="dxa"/>
            <w:vAlign w:val="bottom"/>
            <w:gridSpan w:val="2"/>
          </w:tcPr>
          <w:p>
            <w:pPr>
              <w:ind w:left="60"/>
              <w:spacing w:after="0"/>
              <w:rPr>
                <w:sz w:val="20"/>
                <w:szCs w:val="20"/>
                <w:color w:val="auto"/>
              </w:rPr>
            </w:pPr>
            <w:r>
              <w:rPr>
                <w:rFonts w:ascii="Arial" w:cs="Arial" w:eastAsia="Arial" w:hAnsi="Arial"/>
                <w:sz w:val="18"/>
                <w:szCs w:val="18"/>
                <w:color w:val="auto"/>
              </w:rPr>
              <w:t>Interest and other expenses, net</w:t>
            </w:r>
          </w:p>
        </w:tc>
        <w:tc>
          <w:tcPr>
            <w:tcW w:w="36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20" w:type="dxa"/>
            <w:vAlign w:val="bottom"/>
          </w:tcPr>
          <w:p>
            <w:pPr>
              <w:ind w:left="1160"/>
              <w:spacing w:after="0"/>
              <w:rPr>
                <w:sz w:val="20"/>
                <w:szCs w:val="20"/>
                <w:color w:val="auto"/>
              </w:rPr>
            </w:pPr>
            <w:r>
              <w:rPr>
                <w:rFonts w:ascii="Arial" w:cs="Arial" w:eastAsia="Arial" w:hAnsi="Arial"/>
                <w:sz w:val="18"/>
                <w:szCs w:val="18"/>
                <w:color w:val="auto"/>
              </w:rPr>
              <w:t>—</w:t>
            </w:r>
          </w:p>
        </w:tc>
      </w:tr>
    </w:tbl>
    <w:p>
      <w:pPr>
        <w:spacing w:after="0" w:line="1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Non-designated instruments</w:t>
      </w:r>
    </w:p>
    <w:p>
      <w:pPr>
        <w:spacing w:after="0" w:line="212" w:lineRule="exact"/>
        <w:rPr>
          <w:sz w:val="20"/>
          <w:szCs w:val="20"/>
          <w:color w:val="auto"/>
        </w:rPr>
      </w:pPr>
    </w:p>
    <w:p>
      <w:pPr>
        <w:ind w:right="20"/>
        <w:spacing w:after="0" w:line="309" w:lineRule="auto"/>
        <w:rPr>
          <w:sz w:val="20"/>
          <w:szCs w:val="20"/>
          <w:color w:val="auto"/>
        </w:rPr>
      </w:pPr>
      <w:r>
        <w:rPr>
          <w:rFonts w:ascii="Arial" w:cs="Arial" w:eastAsia="Arial" w:hAnsi="Arial"/>
          <w:sz w:val="17"/>
          <w:szCs w:val="17"/>
          <w:color w:val="auto"/>
        </w:rPr>
        <w:t>We also use certain derivatives, which are not designated as hedging instruments, as economic hedges of foreign currency and interest rate exposure. For our forward contracts that are not designated as hedges, any gain or loss resulting from the change in fair value is recognized in current period earnings. These gains or losses are offset by the exposure related to receivables and payables with our foreign subsidiaries and to interest due on our Euro-denominated notes, which is paid annually in June and September. The effect of our forward contracts that are not designated as hedging instruments on the consolidated statements of operations for the three months ended March 31, 2022 was as follows: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3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54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8"/>
              </w:rPr>
              <w:t>Location of Loss</w:t>
            </w:r>
          </w:p>
        </w:tc>
        <w:tc>
          <w:tcPr>
            <w:tcW w:w="220" w:type="dxa"/>
            <w:vAlign w:val="bottom"/>
            <w:tcBorders>
              <w:bottom w:val="single" w:sz="8" w:color="auto"/>
            </w:tcBorders>
          </w:tcPr>
          <w:p>
            <w:pPr>
              <w:spacing w:after="0"/>
              <w:rPr>
                <w:sz w:val="19"/>
                <w:szCs w:val="19"/>
                <w:color w:val="auto"/>
              </w:rPr>
            </w:pPr>
          </w:p>
        </w:tc>
        <w:tc>
          <w:tcPr>
            <w:tcW w:w="3540" w:type="dxa"/>
            <w:vAlign w:val="bottom"/>
            <w:tcBorders>
              <w:bottom w:val="single" w:sz="8" w:color="auto"/>
            </w:tcBorders>
            <w:gridSpan w:val="4"/>
          </w:tcPr>
          <w:p>
            <w:pPr>
              <w:jc w:val="center"/>
              <w:ind w:right="210"/>
              <w:spacing w:after="0"/>
              <w:rPr>
                <w:sz w:val="20"/>
                <w:szCs w:val="20"/>
                <w:color w:val="auto"/>
              </w:rPr>
            </w:pPr>
            <w:r>
              <w:rPr>
                <w:rFonts w:ascii="Arial" w:cs="Arial" w:eastAsia="Arial" w:hAnsi="Arial"/>
                <w:sz w:val="18"/>
                <w:szCs w:val="18"/>
                <w:b w:val="1"/>
                <w:bCs w:val="1"/>
                <w:color w:val="auto"/>
                <w:w w:val="89"/>
              </w:rPr>
              <w:t>Amount of Loss Recognized in Income</w:t>
            </w:r>
          </w:p>
        </w:tc>
      </w:tr>
      <w:tr>
        <w:trPr>
          <w:trHeight w:val="196"/>
        </w:trPr>
        <w:tc>
          <w:tcPr>
            <w:tcW w:w="3820" w:type="dxa"/>
            <w:vAlign w:val="bottom"/>
          </w:tcPr>
          <w:p>
            <w:pPr>
              <w:ind w:left="1480"/>
              <w:spacing w:after="0" w:line="196" w:lineRule="exact"/>
              <w:rPr>
                <w:sz w:val="20"/>
                <w:szCs w:val="20"/>
                <w:color w:val="auto"/>
              </w:rPr>
            </w:pPr>
            <w:r>
              <w:rPr>
                <w:rFonts w:ascii="Arial" w:cs="Arial" w:eastAsia="Arial" w:hAnsi="Arial"/>
                <w:sz w:val="18"/>
                <w:szCs w:val="18"/>
                <w:b w:val="1"/>
                <w:bCs w:val="1"/>
                <w:color w:val="auto"/>
              </w:rPr>
              <w:t>Instrument</w:t>
            </w:r>
          </w:p>
        </w:tc>
        <w:tc>
          <w:tcPr>
            <w:tcW w:w="120" w:type="dxa"/>
            <w:vAlign w:val="bottom"/>
          </w:tcPr>
          <w:p>
            <w:pPr>
              <w:spacing w:after="0"/>
              <w:rPr>
                <w:sz w:val="17"/>
                <w:szCs w:val="17"/>
                <w:color w:val="auto"/>
              </w:rPr>
            </w:pPr>
          </w:p>
        </w:tc>
        <w:tc>
          <w:tcPr>
            <w:tcW w:w="3540" w:type="dxa"/>
            <w:vAlign w:val="bottom"/>
            <w:gridSpan w:val="2"/>
          </w:tcPr>
          <w:p>
            <w:pPr>
              <w:jc w:val="center"/>
              <w:ind w:right="140"/>
              <w:spacing w:after="0" w:line="196" w:lineRule="exact"/>
              <w:rPr>
                <w:sz w:val="20"/>
                <w:szCs w:val="20"/>
                <w:color w:val="auto"/>
              </w:rPr>
            </w:pPr>
            <w:r>
              <w:rPr>
                <w:rFonts w:ascii="Arial" w:cs="Arial" w:eastAsia="Arial" w:hAnsi="Arial"/>
                <w:sz w:val="18"/>
                <w:szCs w:val="18"/>
                <w:b w:val="1"/>
                <w:bCs w:val="1"/>
                <w:color w:val="auto"/>
                <w:w w:val="88"/>
              </w:rPr>
              <w:t>Recognized in Income</w:t>
            </w:r>
          </w:p>
        </w:tc>
        <w:tc>
          <w:tcPr>
            <w:tcW w:w="220" w:type="dxa"/>
            <w:vAlign w:val="bottom"/>
          </w:tcPr>
          <w:p>
            <w:pPr>
              <w:spacing w:after="0"/>
              <w:rPr>
                <w:sz w:val="17"/>
                <w:szCs w:val="17"/>
                <w:color w:val="auto"/>
              </w:rPr>
            </w:pPr>
          </w:p>
        </w:tc>
        <w:tc>
          <w:tcPr>
            <w:tcW w:w="3540" w:type="dxa"/>
            <w:vAlign w:val="bottom"/>
            <w:gridSpan w:val="4"/>
          </w:tcPr>
          <w:p>
            <w:pPr>
              <w:jc w:val="center"/>
              <w:ind w:right="210"/>
              <w:spacing w:after="0" w:line="196" w:lineRule="exact"/>
              <w:rPr>
                <w:sz w:val="20"/>
                <w:szCs w:val="20"/>
                <w:color w:val="auto"/>
              </w:rPr>
            </w:pPr>
            <w:r>
              <w:rPr>
                <w:rFonts w:ascii="Arial" w:cs="Arial" w:eastAsia="Arial" w:hAnsi="Arial"/>
                <w:sz w:val="18"/>
                <w:szCs w:val="18"/>
                <w:b w:val="1"/>
                <w:bCs w:val="1"/>
                <w:color w:val="auto"/>
                <w:w w:val="93"/>
              </w:rPr>
              <w:t>Three Months Ended March 31,</w:t>
            </w:r>
          </w:p>
        </w:tc>
      </w:tr>
      <w:tr>
        <w:trPr>
          <w:trHeight w:val="196"/>
        </w:trPr>
        <w:tc>
          <w:tcPr>
            <w:tcW w:w="38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4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1600" w:type="dxa"/>
            <w:vAlign w:val="bottom"/>
            <w:tcBorders>
              <w:top w:val="single" w:sz="8" w:color="auto"/>
              <w:bottom w:val="single" w:sz="8" w:color="auto"/>
            </w:tcBorders>
          </w:tcPr>
          <w:p>
            <w:pPr>
              <w:jc w:val="right"/>
              <w:ind w:right="690"/>
              <w:spacing w:after="0" w:line="196" w:lineRule="exact"/>
              <w:rPr>
                <w:sz w:val="20"/>
                <w:szCs w:val="20"/>
                <w:color w:val="auto"/>
              </w:rPr>
            </w:pPr>
            <w:r>
              <w:rPr>
                <w:rFonts w:ascii="Arial" w:cs="Arial" w:eastAsia="Arial" w:hAnsi="Arial"/>
                <w:sz w:val="18"/>
                <w:szCs w:val="18"/>
                <w:b w:val="1"/>
                <w:bCs w:val="1"/>
                <w:color w:val="auto"/>
              </w:rPr>
              <w:t>2022</w:t>
            </w:r>
          </w:p>
        </w:tc>
        <w:tc>
          <w:tcPr>
            <w:tcW w:w="100" w:type="dxa"/>
            <w:vAlign w:val="bottom"/>
            <w:tcBorders>
              <w:top w:val="single" w:sz="8" w:color="auto"/>
            </w:tcBorders>
          </w:tcPr>
          <w:p>
            <w:pPr>
              <w:spacing w:after="0"/>
              <w:rPr>
                <w:sz w:val="17"/>
                <w:szCs w:val="17"/>
                <w:color w:val="auto"/>
              </w:rPr>
            </w:pPr>
          </w:p>
        </w:tc>
        <w:tc>
          <w:tcPr>
            <w:tcW w:w="400" w:type="dxa"/>
            <w:vAlign w:val="bottom"/>
            <w:tcBorders>
              <w:top w:val="single" w:sz="8" w:color="auto"/>
              <w:bottom w:val="single" w:sz="8" w:color="auto"/>
            </w:tcBorders>
          </w:tcPr>
          <w:p>
            <w:pPr>
              <w:spacing w:after="0"/>
              <w:rPr>
                <w:sz w:val="17"/>
                <w:szCs w:val="17"/>
                <w:color w:val="auto"/>
              </w:rPr>
            </w:pPr>
          </w:p>
        </w:tc>
        <w:tc>
          <w:tcPr>
            <w:tcW w:w="1440" w:type="dxa"/>
            <w:vAlign w:val="bottom"/>
            <w:tcBorders>
              <w:top w:val="single" w:sz="8" w:color="auto"/>
              <w:bottom w:val="single" w:sz="8" w:color="auto"/>
            </w:tcBorders>
          </w:tcPr>
          <w:p>
            <w:pPr>
              <w:jc w:val="right"/>
              <w:ind w:right="690"/>
              <w:spacing w:after="0" w:line="196" w:lineRule="exact"/>
              <w:rPr>
                <w:sz w:val="20"/>
                <w:szCs w:val="20"/>
                <w:color w:val="auto"/>
              </w:rPr>
            </w:pPr>
            <w:r>
              <w:rPr>
                <w:rFonts w:ascii="Arial" w:cs="Arial" w:eastAsia="Arial" w:hAnsi="Arial"/>
                <w:sz w:val="18"/>
                <w:szCs w:val="18"/>
                <w:b w:val="1"/>
                <w:bCs w:val="1"/>
                <w:color w:val="auto"/>
              </w:rPr>
              <w:t>2021</w:t>
            </w:r>
          </w:p>
        </w:tc>
      </w:tr>
      <w:tr>
        <w:trPr>
          <w:trHeight w:val="196"/>
        </w:trPr>
        <w:tc>
          <w:tcPr>
            <w:tcW w:w="382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Foreign currency forward contracts</w:t>
            </w:r>
          </w:p>
        </w:tc>
        <w:tc>
          <w:tcPr>
            <w:tcW w:w="120" w:type="dxa"/>
            <w:vAlign w:val="bottom"/>
            <w:shd w:val="clear" w:color="auto" w:fill="CFF0FC"/>
          </w:tcPr>
          <w:p>
            <w:pPr>
              <w:spacing w:after="0"/>
              <w:rPr>
                <w:sz w:val="17"/>
                <w:szCs w:val="17"/>
                <w:color w:val="auto"/>
              </w:rPr>
            </w:pPr>
          </w:p>
        </w:tc>
        <w:tc>
          <w:tcPr>
            <w:tcW w:w="3540" w:type="dxa"/>
            <w:vAlign w:val="bottom"/>
            <w:gridSpan w:val="2"/>
            <w:shd w:val="clear" w:color="auto" w:fill="CFF0FC"/>
          </w:tcPr>
          <w:p>
            <w:pPr>
              <w:ind w:left="60"/>
              <w:spacing w:after="0" w:line="196" w:lineRule="exact"/>
              <w:rPr>
                <w:sz w:val="20"/>
                <w:szCs w:val="20"/>
                <w:color w:val="auto"/>
              </w:rPr>
            </w:pPr>
            <w:r>
              <w:rPr>
                <w:rFonts w:ascii="Arial" w:cs="Arial" w:eastAsia="Arial" w:hAnsi="Arial"/>
                <w:sz w:val="18"/>
                <w:szCs w:val="18"/>
                <w:color w:val="auto"/>
              </w:rPr>
              <w:t>Interest and other expenses, net</w:t>
            </w:r>
          </w:p>
        </w:tc>
        <w:tc>
          <w:tcPr>
            <w:tcW w:w="220" w:type="dxa"/>
            <w:vAlign w:val="bottom"/>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6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(4.8 )</w:t>
            </w:r>
          </w:p>
        </w:tc>
        <w:tc>
          <w:tcPr>
            <w:tcW w:w="100" w:type="dxa"/>
            <w:vAlign w:val="bottom"/>
            <w:shd w:val="clear" w:color="auto" w:fill="CFF0FC"/>
          </w:tcPr>
          <w:p>
            <w:pPr>
              <w:spacing w:after="0"/>
              <w:rPr>
                <w:sz w:val="17"/>
                <w:szCs w:val="17"/>
                <w:color w:val="auto"/>
              </w:rPr>
            </w:pPr>
          </w:p>
        </w:tc>
        <w:tc>
          <w:tcPr>
            <w:tcW w:w="400" w:type="dxa"/>
            <w:vAlign w:val="bottom"/>
            <w:shd w:val="clear" w:color="auto" w:fill="CFF0FC"/>
          </w:tcPr>
          <w:p>
            <w:pPr>
              <w:jc w:val="right"/>
              <w:ind w:right="210"/>
              <w:spacing w:after="0" w:line="196" w:lineRule="exact"/>
              <w:rPr>
                <w:sz w:val="20"/>
                <w:szCs w:val="20"/>
                <w:color w:val="auto"/>
              </w:rPr>
            </w:pPr>
            <w:r>
              <w:rPr>
                <w:rFonts w:ascii="Arial" w:cs="Arial" w:eastAsia="Arial" w:hAnsi="Arial"/>
                <w:sz w:val="18"/>
                <w:szCs w:val="18"/>
                <w:color w:val="auto"/>
                <w:w w:val="79"/>
              </w:rPr>
              <w:t>$</w:t>
            </w:r>
          </w:p>
        </w:tc>
        <w:tc>
          <w:tcPr>
            <w:tcW w:w="14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(6.9 )</w:t>
            </w:r>
          </w:p>
        </w:tc>
      </w:tr>
      <w:tr>
        <w:trPr>
          <w:trHeight w:val="635"/>
        </w:trPr>
        <w:tc>
          <w:tcPr>
            <w:tcW w:w="3820" w:type="dxa"/>
            <w:vAlign w:val="bottom"/>
          </w:tcPr>
          <w:p>
            <w:pPr>
              <w:spacing w:after="0"/>
              <w:rPr>
                <w:sz w:val="24"/>
                <w:szCs w:val="24"/>
                <w:color w:val="auto"/>
              </w:rPr>
            </w:pPr>
          </w:p>
        </w:tc>
        <w:tc>
          <w:tcPr>
            <w:tcW w:w="3540" w:type="dxa"/>
            <w:vAlign w:val="bottom"/>
            <w:gridSpan w:val="2"/>
          </w:tcPr>
          <w:p>
            <w:pPr>
              <w:jc w:val="center"/>
              <w:spacing w:after="0"/>
              <w:rPr>
                <w:sz w:val="20"/>
                <w:szCs w:val="20"/>
                <w:color w:val="auto"/>
              </w:rPr>
            </w:pPr>
            <w:r>
              <w:rPr>
                <w:rFonts w:ascii="Arial" w:cs="Arial" w:eastAsia="Arial" w:hAnsi="Arial"/>
                <w:sz w:val="18"/>
                <w:szCs w:val="18"/>
                <w:color w:val="auto"/>
                <w:w w:val="89"/>
              </w:rPr>
              <w:t>18</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88"/>
        </w:trPr>
        <w:tc>
          <w:tcPr>
            <w:tcW w:w="382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342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160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400" w:type="dxa"/>
            <w:vAlign w:val="bottom"/>
            <w:tcBorders>
              <w:bottom w:val="single" w:sz="8" w:color="9A9A9A"/>
            </w:tcBorders>
          </w:tcPr>
          <w:p>
            <w:pPr>
              <w:spacing w:after="0"/>
              <w:rPr>
                <w:sz w:val="7"/>
                <w:szCs w:val="7"/>
                <w:color w:val="auto"/>
              </w:rPr>
            </w:pPr>
          </w:p>
        </w:tc>
        <w:tc>
          <w:tcPr>
            <w:tcW w:w="144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18" w:name="page19"/>
    <w:bookmarkEnd w:id="18"/>
    <w:p>
      <w:pPr>
        <w:ind w:right="140"/>
        <w:spacing w:after="0" w:line="308" w:lineRule="auto"/>
        <w:rPr>
          <w:sz w:val="20"/>
          <w:szCs w:val="20"/>
          <w:color w:val="auto"/>
        </w:rPr>
      </w:pPr>
      <w:r>
        <w:rPr>
          <w:rFonts w:ascii="Arial" w:cs="Arial" w:eastAsia="Arial" w:hAnsi="Arial"/>
          <w:sz w:val="18"/>
          <w:szCs w:val="18"/>
          <w:color w:val="auto"/>
        </w:rPr>
        <w:t>The following tables present the fair value of derivative and non-derivative assets and liabilities on the Consolidated Balance Sheets as of March 31, 2022 and December 31, 2021:</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4940" w:type="dxa"/>
            <w:vAlign w:val="bottom"/>
          </w:tcPr>
          <w:p>
            <w:pPr>
              <w:spacing w:after="0"/>
              <w:rPr>
                <w:sz w:val="19"/>
                <w:szCs w:val="19"/>
                <w:color w:val="auto"/>
              </w:rPr>
            </w:pPr>
          </w:p>
        </w:tc>
        <w:tc>
          <w:tcPr>
            <w:tcW w:w="264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gridSpan w:val="3"/>
          </w:tcPr>
          <w:p>
            <w:pPr>
              <w:jc w:val="right"/>
              <w:ind w:right="850"/>
              <w:spacing w:after="0"/>
              <w:rPr>
                <w:sz w:val="20"/>
                <w:szCs w:val="20"/>
                <w:color w:val="auto"/>
              </w:rPr>
            </w:pPr>
            <w:r>
              <w:rPr>
                <w:rFonts w:ascii="Arial" w:cs="Arial" w:eastAsia="Arial" w:hAnsi="Arial"/>
                <w:sz w:val="18"/>
                <w:szCs w:val="18"/>
                <w:b w:val="1"/>
                <w:bCs w:val="1"/>
                <w:color w:val="auto"/>
              </w:rPr>
              <w:t>Assets</w:t>
            </w:r>
          </w:p>
        </w:tc>
        <w:tc>
          <w:tcPr>
            <w:tcW w:w="3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spacing w:after="0"/>
              <w:rPr>
                <w:sz w:val="19"/>
                <w:szCs w:val="19"/>
                <w:color w:val="auto"/>
              </w:rPr>
            </w:pPr>
          </w:p>
        </w:tc>
      </w:tr>
      <w:tr>
        <w:trPr>
          <w:trHeight w:val="178"/>
        </w:trPr>
        <w:tc>
          <w:tcPr>
            <w:tcW w:w="4940" w:type="dxa"/>
            <w:vAlign w:val="bottom"/>
          </w:tcPr>
          <w:p>
            <w:pPr>
              <w:spacing w:after="0"/>
              <w:rPr>
                <w:sz w:val="15"/>
                <w:szCs w:val="15"/>
                <w:color w:val="auto"/>
              </w:rPr>
            </w:pPr>
          </w:p>
        </w:tc>
        <w:tc>
          <w:tcPr>
            <w:tcW w:w="26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jc w:val="right"/>
              <w:spacing w:after="0" w:line="177" w:lineRule="exact"/>
              <w:rPr>
                <w:sz w:val="20"/>
                <w:szCs w:val="20"/>
                <w:color w:val="auto"/>
              </w:rPr>
            </w:pPr>
            <w:r>
              <w:rPr>
                <w:rFonts w:ascii="Arial" w:cs="Arial" w:eastAsia="Arial" w:hAnsi="Arial"/>
                <w:sz w:val="18"/>
                <w:szCs w:val="18"/>
                <w:b w:val="1"/>
                <w:bCs w:val="1"/>
                <w:color w:val="auto"/>
              </w:rPr>
              <w:t>March 31,</w:t>
            </w:r>
          </w:p>
        </w:tc>
        <w:tc>
          <w:tcPr>
            <w:tcW w:w="3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tcPr>
          <w:p>
            <w:pPr>
              <w:jc w:val="right"/>
              <w:ind w:right="190"/>
              <w:spacing w:after="0" w:line="177" w:lineRule="exact"/>
              <w:rPr>
                <w:sz w:val="20"/>
                <w:szCs w:val="20"/>
                <w:color w:val="auto"/>
              </w:rPr>
            </w:pPr>
            <w:r>
              <w:rPr>
                <w:rFonts w:ascii="Arial" w:cs="Arial" w:eastAsia="Arial" w:hAnsi="Arial"/>
                <w:sz w:val="18"/>
                <w:szCs w:val="18"/>
                <w:b w:val="1"/>
                <w:bCs w:val="1"/>
                <w:color w:val="auto"/>
                <w:w w:val="90"/>
              </w:rPr>
              <w:t>December 31,</w:t>
            </w:r>
          </w:p>
        </w:tc>
      </w:tr>
      <w:tr>
        <w:trPr>
          <w:trHeight w:val="221"/>
        </w:trPr>
        <w:tc>
          <w:tcPr>
            <w:tcW w:w="4940" w:type="dxa"/>
            <w:vAlign w:val="bottom"/>
          </w:tcPr>
          <w:p>
            <w:pPr>
              <w:spacing w:after="0"/>
              <w:rPr>
                <w:sz w:val="19"/>
                <w:szCs w:val="19"/>
                <w:color w:val="auto"/>
              </w:rPr>
            </w:pPr>
          </w:p>
        </w:tc>
        <w:tc>
          <w:tcPr>
            <w:tcW w:w="2640" w:type="dxa"/>
            <w:vAlign w:val="bottom"/>
          </w:tcPr>
          <w:p>
            <w:pPr>
              <w:ind w:left="580"/>
              <w:spacing w:after="0"/>
              <w:rPr>
                <w:sz w:val="20"/>
                <w:szCs w:val="20"/>
                <w:color w:val="auto"/>
              </w:rPr>
            </w:pPr>
            <w:r>
              <w:rPr>
                <w:rFonts w:ascii="Arial" w:cs="Arial" w:eastAsia="Arial" w:hAnsi="Arial"/>
                <w:sz w:val="18"/>
                <w:szCs w:val="18"/>
                <w:b w:val="1"/>
                <w:bCs w:val="1"/>
                <w:color w:val="auto"/>
              </w:rPr>
              <w:t>Balance Sheet Location</w:t>
            </w:r>
          </w:p>
        </w:tc>
        <w:tc>
          <w:tcPr>
            <w:tcW w:w="1640" w:type="dxa"/>
            <w:vAlign w:val="bottom"/>
            <w:gridSpan w:val="3"/>
          </w:tcPr>
          <w:p>
            <w:pPr>
              <w:jc w:val="right"/>
              <w:ind w:right="170"/>
              <w:spacing w:after="0"/>
              <w:rPr>
                <w:sz w:val="20"/>
                <w:szCs w:val="20"/>
                <w:color w:val="auto"/>
              </w:rPr>
            </w:pPr>
            <w:r>
              <w:rPr>
                <w:rFonts w:ascii="Arial" w:cs="Arial" w:eastAsia="Arial" w:hAnsi="Arial"/>
                <w:sz w:val="18"/>
                <w:szCs w:val="18"/>
                <w:b w:val="1"/>
                <w:bCs w:val="1"/>
                <w:color w:val="auto"/>
              </w:rPr>
              <w:t>2022</w:t>
            </w: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jc w:val="right"/>
              <w:ind w:right="530"/>
              <w:spacing w:after="0"/>
              <w:rPr>
                <w:sz w:val="20"/>
                <w:szCs w:val="20"/>
                <w:color w:val="auto"/>
              </w:rPr>
            </w:pPr>
            <w:r>
              <w:rPr>
                <w:rFonts w:ascii="Arial" w:cs="Arial" w:eastAsia="Arial" w:hAnsi="Arial"/>
                <w:sz w:val="18"/>
                <w:szCs w:val="18"/>
                <w:b w:val="1"/>
                <w:bCs w:val="1"/>
                <w:color w:val="auto"/>
              </w:rPr>
              <w:t>2021</w:t>
            </w:r>
          </w:p>
        </w:tc>
      </w:tr>
      <w:tr>
        <w:trPr>
          <w:trHeight w:val="196"/>
        </w:trPr>
        <w:tc>
          <w:tcPr>
            <w:tcW w:w="494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Instruments designated as cash flow hedges:</w:t>
            </w:r>
          </w:p>
        </w:tc>
        <w:tc>
          <w:tcPr>
            <w:tcW w:w="2640" w:type="dxa"/>
            <w:vAlign w:val="bottom"/>
            <w:tcBorders>
              <w:top w:val="single" w:sz="8" w:color="auto"/>
            </w:tcBorders>
            <w:shd w:val="clear" w:color="auto" w:fill="CFF0FC"/>
          </w:tcPr>
          <w:p>
            <w:pPr>
              <w:spacing w:after="0"/>
              <w:rPr>
                <w:sz w:val="17"/>
                <w:szCs w:val="17"/>
                <w:color w:val="auto"/>
              </w:rPr>
            </w:pPr>
          </w:p>
        </w:tc>
        <w:tc>
          <w:tcPr>
            <w:tcW w:w="340" w:type="dxa"/>
            <w:vAlign w:val="bottom"/>
            <w:tcBorders>
              <w:top w:val="single" w:sz="8" w:color="auto"/>
            </w:tcBorders>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120" w:type="dxa"/>
            <w:vAlign w:val="bottom"/>
            <w:tcBorders>
              <w:top w:val="single" w:sz="8" w:color="auto"/>
            </w:tcBorders>
            <w:shd w:val="clear" w:color="auto" w:fill="CFF0FC"/>
          </w:tcPr>
          <w:p>
            <w:pPr>
              <w:spacing w:after="0"/>
              <w:rPr>
                <w:sz w:val="17"/>
                <w:szCs w:val="17"/>
                <w:color w:val="auto"/>
              </w:rPr>
            </w:pPr>
          </w:p>
        </w:tc>
        <w:tc>
          <w:tcPr>
            <w:tcW w:w="380" w:type="dxa"/>
            <w:vAlign w:val="bottom"/>
            <w:tcBorders>
              <w:top w:val="single" w:sz="8" w:color="auto"/>
            </w:tcBorders>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1360" w:type="dxa"/>
            <w:vAlign w:val="bottom"/>
            <w:tcBorders>
              <w:top w:val="single" w:sz="8" w:color="auto"/>
            </w:tcBorders>
            <w:shd w:val="clear" w:color="auto" w:fill="CFF0FC"/>
          </w:tcPr>
          <w:p>
            <w:pPr>
              <w:spacing w:after="0"/>
              <w:rPr>
                <w:sz w:val="17"/>
                <w:szCs w:val="17"/>
                <w:color w:val="auto"/>
              </w:rPr>
            </w:pPr>
          </w:p>
        </w:tc>
      </w:tr>
      <w:tr>
        <w:trPr>
          <w:trHeight w:val="203"/>
        </w:trPr>
        <w:tc>
          <w:tcPr>
            <w:tcW w:w="4940" w:type="dxa"/>
            <w:vAlign w:val="bottom"/>
          </w:tcPr>
          <w:p>
            <w:pPr>
              <w:jc w:val="center"/>
              <w:ind w:right="2870"/>
              <w:spacing w:after="0" w:line="202" w:lineRule="exact"/>
              <w:rPr>
                <w:sz w:val="20"/>
                <w:szCs w:val="20"/>
                <w:color w:val="auto"/>
              </w:rPr>
            </w:pPr>
            <w:r>
              <w:rPr>
                <w:rFonts w:ascii="Arial" w:cs="Arial" w:eastAsia="Arial" w:hAnsi="Arial"/>
                <w:sz w:val="18"/>
                <w:szCs w:val="18"/>
                <w:color w:val="auto"/>
                <w:w w:val="88"/>
              </w:rPr>
              <w:t>Cross-currency swaps</w:t>
            </w:r>
          </w:p>
        </w:tc>
        <w:tc>
          <w:tcPr>
            <w:tcW w:w="2640" w:type="dxa"/>
            <w:vAlign w:val="bottom"/>
          </w:tcPr>
          <w:p>
            <w:pPr>
              <w:spacing w:after="0" w:line="202" w:lineRule="exact"/>
              <w:rPr>
                <w:sz w:val="20"/>
                <w:szCs w:val="20"/>
                <w:color w:val="auto"/>
              </w:rPr>
            </w:pPr>
            <w:r>
              <w:rPr>
                <w:rFonts w:ascii="Arial" w:cs="Arial" w:eastAsia="Arial" w:hAnsi="Arial"/>
                <w:sz w:val="18"/>
                <w:szCs w:val="18"/>
                <w:color w:val="auto"/>
                <w:w w:val="92"/>
              </w:rPr>
              <w:t>Prepaid expenses and other assets</w:t>
            </w:r>
          </w:p>
        </w:tc>
        <w:tc>
          <w:tcPr>
            <w:tcW w:w="1640" w:type="dxa"/>
            <w:vAlign w:val="bottom"/>
            <w:gridSpan w:val="3"/>
          </w:tcPr>
          <w:p>
            <w:pPr>
              <w:jc w:val="right"/>
              <w:ind w:right="930"/>
              <w:spacing w:after="0" w:line="202" w:lineRule="exact"/>
              <w:rPr>
                <w:sz w:val="20"/>
                <w:szCs w:val="20"/>
                <w:color w:val="auto"/>
              </w:rPr>
            </w:pPr>
            <w:r>
              <w:rPr>
                <w:rFonts w:ascii="Arial" w:cs="Arial" w:eastAsia="Arial" w:hAnsi="Arial"/>
                <w:sz w:val="18"/>
                <w:szCs w:val="18"/>
                <w:color w:val="auto"/>
              </w:rPr>
              <w:t>$</w:t>
            </w:r>
          </w:p>
        </w:tc>
        <w:tc>
          <w:tcPr>
            <w:tcW w:w="380" w:type="dxa"/>
            <w:vAlign w:val="bottom"/>
          </w:tcPr>
          <w:p>
            <w:pPr>
              <w:jc w:val="right"/>
              <w:ind w:right="30"/>
              <w:spacing w:after="0" w:line="202" w:lineRule="exact"/>
              <w:rPr>
                <w:sz w:val="20"/>
                <w:szCs w:val="20"/>
                <w:color w:val="auto"/>
              </w:rPr>
            </w:pPr>
            <w:r>
              <w:rPr>
                <w:rFonts w:ascii="Arial" w:cs="Arial" w:eastAsia="Arial" w:hAnsi="Arial"/>
                <w:sz w:val="18"/>
                <w:szCs w:val="18"/>
                <w:color w:val="auto"/>
                <w:w w:val="95"/>
              </w:rPr>
              <w:t>3.7</w:t>
            </w:r>
          </w:p>
        </w:tc>
        <w:tc>
          <w:tcPr>
            <w:tcW w:w="2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360" w:type="dxa"/>
            <w:vAlign w:val="bottom"/>
          </w:tcPr>
          <w:p>
            <w:pPr>
              <w:jc w:val="right"/>
              <w:ind w:right="30"/>
              <w:spacing w:after="0" w:line="202" w:lineRule="exact"/>
              <w:rPr>
                <w:sz w:val="20"/>
                <w:szCs w:val="20"/>
                <w:color w:val="auto"/>
              </w:rPr>
            </w:pPr>
            <w:r>
              <w:rPr>
                <w:rFonts w:ascii="Arial" w:cs="Arial" w:eastAsia="Arial" w:hAnsi="Arial"/>
                <w:sz w:val="18"/>
                <w:szCs w:val="18"/>
                <w:color w:val="auto"/>
              </w:rPr>
              <w:t>24.7</w:t>
            </w:r>
          </w:p>
        </w:tc>
      </w:tr>
      <w:tr>
        <w:trPr>
          <w:trHeight w:val="203"/>
        </w:trPr>
        <w:tc>
          <w:tcPr>
            <w:tcW w:w="49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Instruments designated as fair value hedges:</w:t>
            </w:r>
          </w:p>
        </w:tc>
        <w:tc>
          <w:tcPr>
            <w:tcW w:w="264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r>
      <w:tr>
        <w:trPr>
          <w:trHeight w:val="203"/>
        </w:trPr>
        <w:tc>
          <w:tcPr>
            <w:tcW w:w="4940" w:type="dxa"/>
            <w:vAlign w:val="bottom"/>
            <w:tcBorders>
              <w:bottom w:val="single" w:sz="8" w:color="CFF0FC"/>
            </w:tcBorders>
          </w:tcPr>
          <w:p>
            <w:pPr>
              <w:jc w:val="center"/>
              <w:ind w:right="2870"/>
              <w:spacing w:after="0" w:line="202" w:lineRule="exact"/>
              <w:rPr>
                <w:sz w:val="20"/>
                <w:szCs w:val="20"/>
                <w:color w:val="auto"/>
              </w:rPr>
            </w:pPr>
            <w:r>
              <w:rPr>
                <w:rFonts w:ascii="Arial" w:cs="Arial" w:eastAsia="Arial" w:hAnsi="Arial"/>
                <w:sz w:val="18"/>
                <w:szCs w:val="18"/>
                <w:color w:val="auto"/>
                <w:w w:val="88"/>
              </w:rPr>
              <w:t>Cross-currency swaps</w:t>
            </w:r>
          </w:p>
        </w:tc>
        <w:tc>
          <w:tcPr>
            <w:tcW w:w="2640" w:type="dxa"/>
            <w:vAlign w:val="bottom"/>
            <w:tcBorders>
              <w:bottom w:val="single" w:sz="8" w:color="CFF0FC"/>
            </w:tcBorders>
          </w:tcPr>
          <w:p>
            <w:pPr>
              <w:spacing w:after="0" w:line="202" w:lineRule="exact"/>
              <w:rPr>
                <w:sz w:val="20"/>
                <w:szCs w:val="20"/>
                <w:color w:val="auto"/>
              </w:rPr>
            </w:pPr>
            <w:r>
              <w:rPr>
                <w:rFonts w:ascii="Arial" w:cs="Arial" w:eastAsia="Arial" w:hAnsi="Arial"/>
                <w:sz w:val="18"/>
                <w:szCs w:val="18"/>
                <w:color w:val="auto"/>
                <w:w w:val="92"/>
              </w:rPr>
              <w:t>Prepaid expenses and other assets</w:t>
            </w:r>
          </w:p>
        </w:tc>
        <w:tc>
          <w:tcPr>
            <w:tcW w:w="340" w:type="dxa"/>
            <w:vAlign w:val="bottom"/>
            <w:tcBorders>
              <w:bottom w:val="single" w:sz="8" w:color="CFF0FC"/>
            </w:tcBorders>
          </w:tcPr>
          <w:p>
            <w:pPr>
              <w:spacing w:after="0"/>
              <w:rPr>
                <w:sz w:val="17"/>
                <w:szCs w:val="17"/>
                <w:color w:val="auto"/>
              </w:rPr>
            </w:pPr>
          </w:p>
        </w:tc>
        <w:tc>
          <w:tcPr>
            <w:tcW w:w="180" w:type="dxa"/>
            <w:vAlign w:val="bottom"/>
            <w:tcBorders>
              <w:bottom w:val="single" w:sz="8" w:color="CFF0FC"/>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jc w:val="right"/>
              <w:ind w:right="30"/>
              <w:spacing w:after="0" w:line="202" w:lineRule="exact"/>
              <w:rPr>
                <w:sz w:val="20"/>
                <w:szCs w:val="20"/>
                <w:color w:val="auto"/>
              </w:rPr>
            </w:pPr>
            <w:r>
              <w:rPr>
                <w:rFonts w:ascii="Arial" w:cs="Arial" w:eastAsia="Arial" w:hAnsi="Arial"/>
                <w:sz w:val="18"/>
                <w:szCs w:val="18"/>
                <w:color w:val="auto"/>
                <w:w w:val="95"/>
              </w:rPr>
              <w:t>2.5</w:t>
            </w:r>
          </w:p>
        </w:tc>
        <w:tc>
          <w:tcPr>
            <w:tcW w:w="160" w:type="dxa"/>
            <w:vAlign w:val="bottom"/>
            <w:tcBorders>
              <w:bottom w:val="single" w:sz="8" w:color="CFF0FC"/>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30"/>
              <w:spacing w:after="0" w:line="202" w:lineRule="exact"/>
              <w:rPr>
                <w:sz w:val="20"/>
                <w:szCs w:val="20"/>
                <w:color w:val="auto"/>
              </w:rPr>
            </w:pPr>
            <w:r>
              <w:rPr>
                <w:rFonts w:ascii="Arial" w:cs="Arial" w:eastAsia="Arial" w:hAnsi="Arial"/>
                <w:sz w:val="18"/>
                <w:szCs w:val="18"/>
                <w:color w:val="auto"/>
              </w:rPr>
              <w:t>—</w:t>
            </w:r>
          </w:p>
        </w:tc>
      </w:tr>
      <w:tr>
        <w:trPr>
          <w:trHeight w:val="236"/>
        </w:trPr>
        <w:tc>
          <w:tcPr>
            <w:tcW w:w="4940" w:type="dxa"/>
            <w:vAlign w:val="bottom"/>
            <w:tcBorders>
              <w:bottom w:val="single" w:sz="8" w:color="CFF0FC"/>
            </w:tcBorders>
            <w:shd w:val="clear" w:color="auto" w:fill="CFF0FC"/>
          </w:tcPr>
          <w:p>
            <w:pPr>
              <w:jc w:val="center"/>
              <w:ind w:right="2830"/>
              <w:spacing w:after="0" w:line="196" w:lineRule="exact"/>
              <w:rPr>
                <w:sz w:val="20"/>
                <w:szCs w:val="20"/>
                <w:color w:val="auto"/>
              </w:rPr>
            </w:pPr>
            <w:r>
              <w:rPr>
                <w:rFonts w:ascii="Arial" w:cs="Arial" w:eastAsia="Arial" w:hAnsi="Arial"/>
                <w:sz w:val="18"/>
                <w:szCs w:val="18"/>
                <w:color w:val="auto"/>
                <w:w w:val="91"/>
              </w:rPr>
              <w:t>Total instruments</w:t>
            </w:r>
          </w:p>
        </w:tc>
        <w:tc>
          <w:tcPr>
            <w:tcW w:w="2640" w:type="dxa"/>
            <w:vAlign w:val="bottom"/>
            <w:tcBorders>
              <w:bottom w:val="single" w:sz="8" w:color="CFF0FC"/>
            </w:tcBorders>
            <w:shd w:val="clear" w:color="auto" w:fill="CFF0FC"/>
          </w:tcPr>
          <w:p>
            <w:pPr>
              <w:spacing w:after="0"/>
              <w:rPr>
                <w:sz w:val="20"/>
                <w:szCs w:val="20"/>
                <w:color w:val="auto"/>
              </w:rPr>
            </w:pPr>
          </w:p>
        </w:tc>
        <w:tc>
          <w:tcPr>
            <w:tcW w:w="520" w:type="dxa"/>
            <w:vAlign w:val="bottom"/>
            <w:tcBorders>
              <w:bottom w:val="single" w:sz="8" w:color="CFF0FC"/>
            </w:tcBorders>
            <w:gridSpan w:val="2"/>
            <w:shd w:val="clear" w:color="auto" w:fill="CFF0FC"/>
          </w:tcPr>
          <w:p>
            <w:pPr>
              <w:spacing w:after="0"/>
              <w:rPr>
                <w:sz w:val="20"/>
                <w:szCs w:val="20"/>
                <w:color w:val="auto"/>
              </w:rPr>
            </w:pPr>
          </w:p>
        </w:tc>
        <w:tc>
          <w:tcPr>
            <w:tcW w:w="1120" w:type="dxa"/>
            <w:vAlign w:val="bottom"/>
            <w:tcBorders>
              <w:bottom w:val="single" w:sz="8" w:color="auto"/>
            </w:tcBorders>
            <w:shd w:val="clear" w:color="auto" w:fill="CFF0FC"/>
          </w:tcPr>
          <w:p>
            <w:pPr>
              <w:jc w:val="right"/>
              <w:ind w:right="930"/>
              <w:spacing w:after="0" w:line="196" w:lineRule="exact"/>
              <w:rPr>
                <w:sz w:val="20"/>
                <w:szCs w:val="20"/>
                <w:color w:val="auto"/>
              </w:rPr>
            </w:pPr>
            <w:r>
              <w:rPr>
                <w:rFonts w:ascii="Arial" w:cs="Arial" w:eastAsia="Arial" w:hAnsi="Arial"/>
                <w:sz w:val="18"/>
                <w:szCs w:val="18"/>
                <w:color w:val="auto"/>
                <w:w w:val="79"/>
              </w:rPr>
              <w:t>$</w:t>
            </w:r>
          </w:p>
        </w:tc>
        <w:tc>
          <w:tcPr>
            <w:tcW w:w="380" w:type="dxa"/>
            <w:vAlign w:val="bottom"/>
            <w:tcBorders>
              <w:bottom w:val="single" w:sz="8" w:color="auto"/>
            </w:tcBorders>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w w:val="95"/>
              </w:rPr>
              <w:t>6.2</w:t>
            </w:r>
          </w:p>
        </w:tc>
        <w:tc>
          <w:tcPr>
            <w:tcW w:w="16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rPr>
              <w:t>24.7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6091555</wp:posOffset>
            </wp:positionH>
            <wp:positionV relativeFrom="paragraph">
              <wp:posOffset>-24765</wp:posOffset>
            </wp:positionV>
            <wp:extent cx="10287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-7620</wp:posOffset>
            </wp:positionV>
            <wp:extent cx="10287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-161925</wp:posOffset>
            </wp:positionV>
            <wp:extent cx="10287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4960" w:type="dxa"/>
            <w:vAlign w:val="bottom"/>
          </w:tcPr>
          <w:p>
            <w:pPr>
              <w:spacing w:after="0"/>
              <w:rPr>
                <w:sz w:val="19"/>
                <w:szCs w:val="19"/>
                <w:color w:val="auto"/>
              </w:rPr>
            </w:pPr>
          </w:p>
        </w:tc>
        <w:tc>
          <w:tcPr>
            <w:tcW w:w="2620" w:type="dxa"/>
            <w:vAlign w:val="bottom"/>
            <w:tcBorders>
              <w:bottom w:val="single" w:sz="8" w:color="auto"/>
            </w:tcBorders>
          </w:tcPr>
          <w:p>
            <w:pPr>
              <w:spacing w:after="0"/>
              <w:rPr>
                <w:sz w:val="19"/>
                <w:szCs w:val="19"/>
                <w:color w:val="auto"/>
              </w:rPr>
            </w:pPr>
          </w:p>
        </w:tc>
        <w:tc>
          <w:tcPr>
            <w:tcW w:w="2040" w:type="dxa"/>
            <w:vAlign w:val="bottom"/>
            <w:tcBorders>
              <w:bottom w:val="single" w:sz="8" w:color="auto"/>
            </w:tcBorders>
            <w:gridSpan w:val="4"/>
          </w:tcPr>
          <w:p>
            <w:pPr>
              <w:jc w:val="right"/>
              <w:ind w:right="1070"/>
              <w:spacing w:after="0"/>
              <w:rPr>
                <w:sz w:val="20"/>
                <w:szCs w:val="20"/>
                <w:color w:val="auto"/>
              </w:rPr>
            </w:pPr>
            <w:r>
              <w:rPr>
                <w:rFonts w:ascii="Arial" w:cs="Arial" w:eastAsia="Arial" w:hAnsi="Arial"/>
                <w:sz w:val="18"/>
                <w:szCs w:val="18"/>
                <w:b w:val="1"/>
                <w:bCs w:val="1"/>
                <w:color w:val="auto"/>
              </w:rPr>
              <w:t>Liabilities</w:t>
            </w: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496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00" w:type="dxa"/>
            <w:vAlign w:val="bottom"/>
          </w:tcPr>
          <w:p>
            <w:pPr>
              <w:jc w:val="right"/>
              <w:ind w:right="310"/>
              <w:spacing w:after="0" w:line="177" w:lineRule="exact"/>
              <w:rPr>
                <w:sz w:val="20"/>
                <w:szCs w:val="20"/>
                <w:color w:val="auto"/>
              </w:rPr>
            </w:pPr>
            <w:r>
              <w:rPr>
                <w:rFonts w:ascii="Arial" w:cs="Arial" w:eastAsia="Arial" w:hAnsi="Arial"/>
                <w:sz w:val="18"/>
                <w:szCs w:val="18"/>
                <w:b w:val="1"/>
                <w:bCs w:val="1"/>
                <w:color w:val="auto"/>
              </w:rPr>
              <w:t>March 31,</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80" w:type="dxa"/>
            <w:vAlign w:val="bottom"/>
          </w:tcPr>
          <w:p>
            <w:pPr>
              <w:jc w:val="right"/>
              <w:ind w:right="190"/>
              <w:spacing w:after="0" w:line="177" w:lineRule="exact"/>
              <w:rPr>
                <w:sz w:val="20"/>
                <w:szCs w:val="20"/>
                <w:color w:val="auto"/>
              </w:rPr>
            </w:pPr>
            <w:r>
              <w:rPr>
                <w:rFonts w:ascii="Arial" w:cs="Arial" w:eastAsia="Arial" w:hAnsi="Arial"/>
                <w:sz w:val="18"/>
                <w:szCs w:val="18"/>
                <w:b w:val="1"/>
                <w:bCs w:val="1"/>
                <w:color w:val="auto"/>
                <w:w w:val="92"/>
              </w:rPr>
              <w:t>December 31,</w:t>
            </w:r>
          </w:p>
        </w:tc>
        <w:tc>
          <w:tcPr>
            <w:tcW w:w="0" w:type="dxa"/>
            <w:vAlign w:val="bottom"/>
          </w:tcPr>
          <w:p>
            <w:pPr>
              <w:spacing w:after="0"/>
              <w:rPr>
                <w:sz w:val="1"/>
                <w:szCs w:val="1"/>
                <w:color w:val="auto"/>
              </w:rPr>
            </w:pPr>
          </w:p>
        </w:tc>
      </w:tr>
      <w:tr>
        <w:trPr>
          <w:trHeight w:val="221"/>
        </w:trPr>
        <w:tc>
          <w:tcPr>
            <w:tcW w:w="4960" w:type="dxa"/>
            <w:vAlign w:val="bottom"/>
          </w:tcPr>
          <w:p>
            <w:pPr>
              <w:spacing w:after="0"/>
              <w:rPr>
                <w:sz w:val="19"/>
                <w:szCs w:val="19"/>
                <w:color w:val="auto"/>
              </w:rPr>
            </w:pPr>
          </w:p>
        </w:tc>
        <w:tc>
          <w:tcPr>
            <w:tcW w:w="2620" w:type="dxa"/>
            <w:vAlign w:val="bottom"/>
            <w:tcBorders>
              <w:bottom w:val="single" w:sz="8" w:color="auto"/>
            </w:tcBorders>
          </w:tcPr>
          <w:p>
            <w:pPr>
              <w:ind w:left="620"/>
              <w:spacing w:after="0"/>
              <w:rPr>
                <w:sz w:val="20"/>
                <w:szCs w:val="20"/>
                <w:color w:val="auto"/>
              </w:rPr>
            </w:pPr>
            <w:r>
              <w:rPr>
                <w:rFonts w:ascii="Arial" w:cs="Arial" w:eastAsia="Arial" w:hAnsi="Arial"/>
                <w:sz w:val="18"/>
                <w:szCs w:val="18"/>
                <w:b w:val="1"/>
                <w:bCs w:val="1"/>
                <w:color w:val="auto"/>
                <w:w w:val="97"/>
              </w:rPr>
              <w:t>Balance Sheet Location</w:t>
            </w:r>
          </w:p>
        </w:tc>
        <w:tc>
          <w:tcPr>
            <w:tcW w:w="4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2021</w:t>
            </w:r>
          </w:p>
        </w:tc>
        <w:tc>
          <w:tcPr>
            <w:tcW w:w="0" w:type="dxa"/>
            <w:vAlign w:val="bottom"/>
          </w:tcPr>
          <w:p>
            <w:pPr>
              <w:spacing w:after="0"/>
              <w:rPr>
                <w:sz w:val="1"/>
                <w:szCs w:val="1"/>
                <w:color w:val="auto"/>
              </w:rPr>
            </w:pPr>
          </w:p>
        </w:tc>
      </w:tr>
      <w:tr>
        <w:trPr>
          <w:trHeight w:val="196"/>
        </w:trPr>
        <w:tc>
          <w:tcPr>
            <w:tcW w:w="496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Instruments designated as net investment hedges:</w:t>
            </w:r>
          </w:p>
        </w:tc>
        <w:tc>
          <w:tcPr>
            <w:tcW w:w="262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4960" w:type="dxa"/>
            <w:vAlign w:val="bottom"/>
          </w:tcPr>
          <w:p>
            <w:pPr>
              <w:ind w:left="200"/>
              <w:spacing w:after="0" w:line="162" w:lineRule="exact"/>
              <w:rPr>
                <w:sz w:val="20"/>
                <w:szCs w:val="20"/>
                <w:color w:val="auto"/>
              </w:rPr>
            </w:pPr>
            <w:r>
              <w:rPr>
                <w:rFonts w:ascii="Arial" w:cs="Arial" w:eastAsia="Arial" w:hAnsi="Arial"/>
                <w:sz w:val="18"/>
                <w:szCs w:val="18"/>
                <w:color w:val="auto"/>
              </w:rPr>
              <w:t>Euro Notes due in 2022</w:t>
            </w:r>
          </w:p>
        </w:tc>
        <w:tc>
          <w:tcPr>
            <w:tcW w:w="2620" w:type="dxa"/>
            <w:vAlign w:val="bottom"/>
          </w:tcPr>
          <w:p>
            <w:pPr>
              <w:ind w:left="20"/>
              <w:spacing w:after="0" w:line="162" w:lineRule="exact"/>
              <w:rPr>
                <w:sz w:val="20"/>
                <w:szCs w:val="20"/>
                <w:color w:val="auto"/>
              </w:rPr>
            </w:pPr>
            <w:r>
              <w:rPr>
                <w:rFonts w:ascii="Arial" w:cs="Arial" w:eastAsia="Arial" w:hAnsi="Arial"/>
                <w:sz w:val="18"/>
                <w:szCs w:val="18"/>
                <w:color w:val="auto"/>
                <w:w w:val="94"/>
              </w:rPr>
              <w:t>Short-term borrowings and current</w:t>
            </w:r>
          </w:p>
        </w:tc>
        <w:tc>
          <w:tcPr>
            <w:tcW w:w="740" w:type="dxa"/>
            <w:vAlign w:val="bottom"/>
            <w:gridSpan w:val="3"/>
            <w:vMerge w:val="restart"/>
          </w:tcPr>
          <w:p>
            <w:pPr>
              <w:jc w:val="right"/>
              <w:ind w:right="30"/>
              <w:spacing w:after="0"/>
              <w:rPr>
                <w:sz w:val="20"/>
                <w:szCs w:val="20"/>
                <w:color w:val="auto"/>
              </w:rPr>
            </w:pPr>
            <w:r>
              <w:rPr>
                <w:rFonts w:ascii="Arial" w:cs="Arial" w:eastAsia="Arial" w:hAnsi="Arial"/>
                <w:sz w:val="18"/>
                <w:szCs w:val="18"/>
                <w:color w:val="auto"/>
              </w:rPr>
              <w:t>$</w:t>
            </w:r>
          </w:p>
        </w:tc>
        <w:tc>
          <w:tcPr>
            <w:tcW w:w="1300" w:type="dxa"/>
            <w:vAlign w:val="bottom"/>
            <w:vMerge w:val="restart"/>
          </w:tcPr>
          <w:p>
            <w:pPr>
              <w:jc w:val="right"/>
              <w:spacing w:after="0"/>
              <w:rPr>
                <w:sz w:val="20"/>
                <w:szCs w:val="20"/>
                <w:color w:val="auto"/>
              </w:rPr>
            </w:pPr>
            <w:r>
              <w:rPr>
                <w:rFonts w:ascii="Arial" w:cs="Arial" w:eastAsia="Arial" w:hAnsi="Arial"/>
                <w:sz w:val="18"/>
                <w:szCs w:val="18"/>
                <w:color w:val="auto"/>
              </w:rPr>
              <w:t>442.5</w:t>
            </w:r>
          </w:p>
        </w:tc>
        <w:tc>
          <w:tcPr>
            <w:tcW w:w="24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1380" w:type="dxa"/>
            <w:vAlign w:val="bottom"/>
            <w:vMerge w:val="restart"/>
          </w:tcPr>
          <w:p>
            <w:pPr>
              <w:jc w:val="right"/>
              <w:spacing w:after="0"/>
              <w:rPr>
                <w:sz w:val="20"/>
                <w:szCs w:val="20"/>
                <w:color w:val="auto"/>
              </w:rPr>
            </w:pPr>
            <w:r>
              <w:rPr>
                <w:rFonts w:ascii="Arial" w:cs="Arial" w:eastAsia="Arial" w:hAnsi="Arial"/>
                <w:sz w:val="18"/>
                <w:szCs w:val="18"/>
                <w:color w:val="auto"/>
              </w:rPr>
              <w:t>454.4</w:t>
            </w:r>
          </w:p>
        </w:tc>
        <w:tc>
          <w:tcPr>
            <w:tcW w:w="0" w:type="dxa"/>
            <w:vAlign w:val="bottom"/>
          </w:tcPr>
          <w:p>
            <w:pPr>
              <w:spacing w:after="0"/>
              <w:rPr>
                <w:sz w:val="1"/>
                <w:szCs w:val="1"/>
                <w:color w:val="auto"/>
              </w:rPr>
            </w:pPr>
          </w:p>
        </w:tc>
      </w:tr>
      <w:tr>
        <w:trPr>
          <w:trHeight w:val="216"/>
        </w:trPr>
        <w:tc>
          <w:tcPr>
            <w:tcW w:w="4960" w:type="dxa"/>
            <w:vAlign w:val="bottom"/>
          </w:tcPr>
          <w:p>
            <w:pPr>
              <w:spacing w:after="0"/>
              <w:rPr>
                <w:sz w:val="18"/>
                <w:szCs w:val="18"/>
                <w:color w:val="auto"/>
              </w:rPr>
            </w:pPr>
          </w:p>
        </w:tc>
        <w:tc>
          <w:tcPr>
            <w:tcW w:w="2620" w:type="dxa"/>
            <w:vAlign w:val="bottom"/>
          </w:tcPr>
          <w:p>
            <w:pPr>
              <w:ind w:left="20"/>
              <w:spacing w:after="0"/>
              <w:rPr>
                <w:sz w:val="20"/>
                <w:szCs w:val="20"/>
                <w:color w:val="auto"/>
              </w:rPr>
            </w:pPr>
            <w:r>
              <w:rPr>
                <w:rFonts w:ascii="Arial" w:cs="Arial" w:eastAsia="Arial" w:hAnsi="Arial"/>
                <w:sz w:val="18"/>
                <w:szCs w:val="18"/>
                <w:color w:val="auto"/>
              </w:rPr>
              <w:t>maturities of long-term debt</w:t>
            </w:r>
          </w:p>
        </w:tc>
        <w:tc>
          <w:tcPr>
            <w:tcW w:w="740" w:type="dxa"/>
            <w:vAlign w:val="bottom"/>
            <w:gridSpan w:val="3"/>
            <w:vMerge w:val="continue"/>
          </w:tcPr>
          <w:p>
            <w:pPr>
              <w:spacing w:after="0"/>
              <w:rPr>
                <w:sz w:val="18"/>
                <w:szCs w:val="18"/>
                <w:color w:val="auto"/>
              </w:rPr>
            </w:pPr>
          </w:p>
        </w:tc>
        <w:tc>
          <w:tcPr>
            <w:tcW w:w="1300" w:type="dxa"/>
            <w:vAlign w:val="bottom"/>
            <w:vMerge w:val="continue"/>
          </w:tcPr>
          <w:p>
            <w:pPr>
              <w:spacing w:after="0"/>
              <w:rPr>
                <w:sz w:val="18"/>
                <w:szCs w:val="18"/>
                <w:color w:val="auto"/>
              </w:rPr>
            </w:pPr>
          </w:p>
        </w:tc>
        <w:tc>
          <w:tcPr>
            <w:tcW w:w="240" w:type="dxa"/>
            <w:vAlign w:val="bottom"/>
            <w:gridSpan w:val="2"/>
            <w:vMerge w:val="continue"/>
          </w:tcPr>
          <w:p>
            <w:pPr>
              <w:spacing w:after="0"/>
              <w:rPr>
                <w:sz w:val="18"/>
                <w:szCs w:val="18"/>
                <w:color w:val="auto"/>
              </w:rPr>
            </w:pPr>
          </w:p>
        </w:tc>
        <w:tc>
          <w:tcPr>
            <w:tcW w:w="13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96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Euro Notes due in 2026</w:t>
            </w:r>
          </w:p>
        </w:tc>
        <w:tc>
          <w:tcPr>
            <w:tcW w:w="26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Long-term debt</w:t>
            </w:r>
          </w:p>
        </w:tc>
        <w:tc>
          <w:tcPr>
            <w:tcW w:w="4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550.2</w:t>
            </w: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565.2</w:t>
            </w:r>
          </w:p>
        </w:tc>
        <w:tc>
          <w:tcPr>
            <w:tcW w:w="0" w:type="dxa"/>
            <w:vAlign w:val="bottom"/>
          </w:tcPr>
          <w:p>
            <w:pPr>
              <w:spacing w:after="0"/>
              <w:rPr>
                <w:sz w:val="1"/>
                <w:szCs w:val="1"/>
                <w:color w:val="auto"/>
              </w:rPr>
            </w:pPr>
          </w:p>
        </w:tc>
      </w:tr>
      <w:tr>
        <w:trPr>
          <w:trHeight w:val="203"/>
        </w:trPr>
        <w:tc>
          <w:tcPr>
            <w:tcW w:w="4960" w:type="dxa"/>
            <w:vAlign w:val="bottom"/>
          </w:tcPr>
          <w:p>
            <w:pPr>
              <w:ind w:left="200"/>
              <w:spacing w:after="0" w:line="202" w:lineRule="exact"/>
              <w:rPr>
                <w:sz w:val="20"/>
                <w:szCs w:val="20"/>
                <w:color w:val="auto"/>
              </w:rPr>
            </w:pPr>
            <w:r>
              <w:rPr>
                <w:rFonts w:ascii="Arial" w:cs="Arial" w:eastAsia="Arial" w:hAnsi="Arial"/>
                <w:sz w:val="18"/>
                <w:szCs w:val="18"/>
                <w:color w:val="auto"/>
              </w:rPr>
              <w:t>Cross-currency swaps</w:t>
            </w:r>
          </w:p>
        </w:tc>
        <w:tc>
          <w:tcPr>
            <w:tcW w:w="2620" w:type="dxa"/>
            <w:vAlign w:val="bottom"/>
          </w:tcPr>
          <w:p>
            <w:pPr>
              <w:ind w:left="20"/>
              <w:spacing w:after="0" w:line="202" w:lineRule="exact"/>
              <w:rPr>
                <w:sz w:val="20"/>
                <w:szCs w:val="20"/>
                <w:color w:val="auto"/>
              </w:rPr>
            </w:pPr>
            <w:r>
              <w:rPr>
                <w:rFonts w:ascii="Arial" w:cs="Arial" w:eastAsia="Arial" w:hAnsi="Arial"/>
                <w:sz w:val="18"/>
                <w:szCs w:val="18"/>
                <w:color w:val="auto"/>
              </w:rPr>
              <w:t>Accrued liabilities</w:t>
            </w: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22.6</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tcPr>
          <w:p>
            <w:pPr>
              <w:jc w:val="right"/>
              <w:spacing w:after="0" w:line="202" w:lineRule="exact"/>
              <w:rPr>
                <w:sz w:val="20"/>
                <w:szCs w:val="20"/>
                <w:color w:val="auto"/>
              </w:rPr>
            </w:pPr>
            <w:r>
              <w:rPr>
                <w:rFonts w:ascii="Arial" w:cs="Arial" w:eastAsia="Arial" w:hAnsi="Arial"/>
                <w:sz w:val="18"/>
                <w:szCs w:val="18"/>
                <w:color w:val="auto"/>
              </w:rPr>
              <w:t>24.2</w:t>
            </w:r>
          </w:p>
        </w:tc>
        <w:tc>
          <w:tcPr>
            <w:tcW w:w="0" w:type="dxa"/>
            <w:vAlign w:val="bottom"/>
          </w:tcPr>
          <w:p>
            <w:pPr>
              <w:spacing w:after="0"/>
              <w:rPr>
                <w:sz w:val="1"/>
                <w:szCs w:val="1"/>
                <w:color w:val="auto"/>
              </w:rPr>
            </w:pPr>
          </w:p>
        </w:tc>
      </w:tr>
      <w:tr>
        <w:trPr>
          <w:trHeight w:val="203"/>
        </w:trPr>
        <w:tc>
          <w:tcPr>
            <w:tcW w:w="49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Instruments not designated as hedges:</w:t>
            </w:r>
          </w:p>
        </w:tc>
        <w:tc>
          <w:tcPr>
            <w:tcW w:w="262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60" w:type="dxa"/>
            <w:vAlign w:val="bottom"/>
          </w:tcPr>
          <w:p>
            <w:pPr>
              <w:ind w:left="200"/>
              <w:spacing w:after="0" w:line="202" w:lineRule="exact"/>
              <w:rPr>
                <w:sz w:val="20"/>
                <w:szCs w:val="20"/>
                <w:color w:val="auto"/>
              </w:rPr>
            </w:pPr>
            <w:r>
              <w:rPr>
                <w:rFonts w:ascii="Arial" w:cs="Arial" w:eastAsia="Arial" w:hAnsi="Arial"/>
                <w:sz w:val="18"/>
                <w:szCs w:val="18"/>
                <w:color w:val="auto"/>
              </w:rPr>
              <w:t>Foreign currency forward contracts</w:t>
            </w:r>
          </w:p>
        </w:tc>
        <w:tc>
          <w:tcPr>
            <w:tcW w:w="2620" w:type="dxa"/>
            <w:vAlign w:val="bottom"/>
          </w:tcPr>
          <w:p>
            <w:pPr>
              <w:ind w:left="20"/>
              <w:spacing w:after="0" w:line="202" w:lineRule="exact"/>
              <w:rPr>
                <w:sz w:val="20"/>
                <w:szCs w:val="20"/>
                <w:color w:val="auto"/>
              </w:rPr>
            </w:pPr>
            <w:r>
              <w:rPr>
                <w:rFonts w:ascii="Arial" w:cs="Arial" w:eastAsia="Arial" w:hAnsi="Arial"/>
                <w:sz w:val="18"/>
                <w:szCs w:val="18"/>
                <w:color w:val="auto"/>
              </w:rPr>
              <w:t>Accrued liabilities</w:t>
            </w: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10.2</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36"/>
        </w:trPr>
        <w:tc>
          <w:tcPr>
            <w:tcW w:w="4960" w:type="dxa"/>
            <w:vAlign w:val="bottom"/>
            <w:tcBorders>
              <w:bottom w:val="single" w:sz="8" w:color="CFF0FC"/>
            </w:tcBorders>
            <w:shd w:val="clear" w:color="auto" w:fill="CFF0FC"/>
          </w:tcPr>
          <w:p>
            <w:pPr>
              <w:ind w:left="380"/>
              <w:spacing w:after="0" w:line="196" w:lineRule="exact"/>
              <w:rPr>
                <w:sz w:val="20"/>
                <w:szCs w:val="20"/>
                <w:color w:val="auto"/>
              </w:rPr>
            </w:pPr>
            <w:r>
              <w:rPr>
                <w:rFonts w:ascii="Arial" w:cs="Arial" w:eastAsia="Arial" w:hAnsi="Arial"/>
                <w:sz w:val="18"/>
                <w:szCs w:val="18"/>
                <w:color w:val="auto"/>
              </w:rPr>
              <w:t>Total instruments</w:t>
            </w:r>
          </w:p>
        </w:tc>
        <w:tc>
          <w:tcPr>
            <w:tcW w:w="2620" w:type="dxa"/>
            <w:vAlign w:val="bottom"/>
            <w:tcBorders>
              <w:bottom w:val="single" w:sz="8" w:color="CFF0FC"/>
            </w:tcBorders>
            <w:shd w:val="clear" w:color="auto" w:fill="CFF0FC"/>
          </w:tcPr>
          <w:p>
            <w:pPr>
              <w:spacing w:after="0"/>
              <w:rPr>
                <w:sz w:val="20"/>
                <w:szCs w:val="20"/>
                <w:color w:val="auto"/>
              </w:rPr>
            </w:pPr>
          </w:p>
        </w:tc>
        <w:tc>
          <w:tcPr>
            <w:tcW w:w="520" w:type="dxa"/>
            <w:vAlign w:val="bottom"/>
            <w:tcBorders>
              <w:bottom w:val="single" w:sz="8" w:color="CFF0FC"/>
            </w:tcBorders>
            <w:gridSpan w:val="2"/>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1,025.5</w:t>
            </w:r>
          </w:p>
        </w:tc>
        <w:tc>
          <w:tcPr>
            <w:tcW w:w="10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1,049.3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6108700</wp:posOffset>
            </wp:positionH>
            <wp:positionV relativeFrom="paragraph">
              <wp:posOffset>-25400</wp:posOffset>
            </wp:positionV>
            <wp:extent cx="6032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-8255</wp:posOffset>
            </wp:positionV>
            <wp:extent cx="60325"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Measurements</w:t>
      </w:r>
    </w:p>
    <w:p>
      <w:pPr>
        <w:spacing w:after="0" w:line="212" w:lineRule="exact"/>
        <w:rPr>
          <w:sz w:val="20"/>
          <w:szCs w:val="20"/>
          <w:color w:val="auto"/>
        </w:rPr>
      </w:pPr>
    </w:p>
    <w:p>
      <w:pPr>
        <w:ind w:right="100"/>
        <w:spacing w:after="0" w:line="347" w:lineRule="auto"/>
        <w:rPr>
          <w:sz w:val="20"/>
          <w:szCs w:val="20"/>
          <w:color w:val="auto"/>
        </w:rPr>
      </w:pPr>
      <w:r>
        <w:rPr>
          <w:rFonts w:ascii="Arial" w:cs="Arial" w:eastAsia="Arial" w:hAnsi="Arial"/>
          <w:sz w:val="16"/>
          <w:szCs w:val="16"/>
          <w:color w:val="auto"/>
        </w:rPr>
        <w:t>The carrying value of the long-term debt approximates fair value, except for the Euro-denominated notes, because the interest rates are variable and reflect current market rates. The fair value of the Euro-denominated notes, as observable at commonly quoted intervals (Level 2 inputs), was $1,009.4 and $1,064.0 as of March 31, 2022 and December 31, 2021, respectively, compared to a carrying value of $992.7 and $1,019.6, respectively.</w:t>
      </w:r>
    </w:p>
    <w:p>
      <w:pPr>
        <w:spacing w:after="0" w:line="120" w:lineRule="exact"/>
        <w:rPr>
          <w:sz w:val="20"/>
          <w:szCs w:val="20"/>
          <w:color w:val="auto"/>
        </w:rPr>
      </w:pPr>
    </w:p>
    <w:p>
      <w:pPr>
        <w:ind w:right="100"/>
        <w:spacing w:after="0" w:line="341" w:lineRule="auto"/>
        <w:rPr>
          <w:sz w:val="20"/>
          <w:szCs w:val="20"/>
          <w:color w:val="auto"/>
        </w:rPr>
      </w:pPr>
      <w:r>
        <w:rPr>
          <w:rFonts w:ascii="Arial" w:cs="Arial" w:eastAsia="Arial" w:hAnsi="Arial"/>
          <w:sz w:val="17"/>
          <w:szCs w:val="17"/>
          <w:color w:val="auto"/>
        </w:rPr>
        <w:t>Our deferred compensation plan assets were $132.2 and $138.0 as of March 31, 2022 and December 31, 2021, respectively. We determine the fair value of these assets, comprised of publicly traded securities, by using market quotes as of the last day of the period (Level 1 inputs).</w:t>
      </w:r>
    </w:p>
    <w:p>
      <w:pPr>
        <w:spacing w:after="0" w:line="106" w:lineRule="exact"/>
        <w:rPr>
          <w:sz w:val="20"/>
          <w:szCs w:val="20"/>
          <w:color w:val="auto"/>
        </w:rPr>
      </w:pPr>
    </w:p>
    <w:p>
      <w:pPr>
        <w:ind w:right="100"/>
        <w:spacing w:after="0" w:line="308" w:lineRule="auto"/>
        <w:rPr>
          <w:sz w:val="20"/>
          <w:szCs w:val="20"/>
          <w:color w:val="auto"/>
        </w:rPr>
      </w:pPr>
      <w:r>
        <w:rPr>
          <w:rFonts w:ascii="Arial" w:cs="Arial" w:eastAsia="Arial" w:hAnsi="Arial"/>
          <w:sz w:val="18"/>
          <w:szCs w:val="18"/>
          <w:color w:val="auto"/>
        </w:rPr>
        <w:t>We measure the fair value of the foreign currency forward contracts and cross-currency swaps at the value based on either directly or indirectly observable inputs from third parties (Level 2 inputs).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207"/>
        </w:trPr>
        <w:tc>
          <w:tcPr>
            <w:tcW w:w="7160" w:type="dxa"/>
            <w:vAlign w:val="bottom"/>
            <w:gridSpan w:val="3"/>
          </w:tcPr>
          <w:p>
            <w:pPr>
              <w:spacing w:after="0"/>
              <w:rPr>
                <w:sz w:val="20"/>
                <w:szCs w:val="20"/>
                <w:color w:val="auto"/>
              </w:rPr>
            </w:pPr>
            <w:r>
              <w:rPr>
                <w:rFonts w:ascii="Arial" w:cs="Arial" w:eastAsia="Arial" w:hAnsi="Arial"/>
                <w:sz w:val="18"/>
                <w:szCs w:val="18"/>
                <w:color w:val="auto"/>
              </w:rPr>
              <w:t>(14) Leases</w:t>
            </w:r>
          </w:p>
        </w:tc>
        <w:tc>
          <w:tcPr>
            <w:tcW w:w="13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20"/>
        </w:trPr>
        <w:tc>
          <w:tcPr>
            <w:tcW w:w="3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439"/>
        </w:trPr>
        <w:tc>
          <w:tcPr>
            <w:tcW w:w="7160" w:type="dxa"/>
            <w:vAlign w:val="bottom"/>
            <w:gridSpan w:val="3"/>
          </w:tcPr>
          <w:p>
            <w:pPr>
              <w:spacing w:after="0"/>
              <w:rPr>
                <w:sz w:val="20"/>
                <w:szCs w:val="20"/>
                <w:color w:val="auto"/>
              </w:rPr>
            </w:pPr>
            <w:r>
              <w:rPr>
                <w:rFonts w:ascii="Arial" w:cs="Arial" w:eastAsia="Arial" w:hAnsi="Arial"/>
                <w:sz w:val="18"/>
                <w:szCs w:val="18"/>
                <w:color w:val="auto"/>
              </w:rPr>
              <w:t>The components of lease expense were as follows:</w:t>
            </w:r>
          </w:p>
        </w:tc>
        <w:tc>
          <w:tcPr>
            <w:tcW w:w="13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392"/>
        </w:trPr>
        <w:tc>
          <w:tcPr>
            <w:tcW w:w="3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320" w:type="dxa"/>
            <w:vAlign w:val="bottom"/>
          </w:tcPr>
          <w:p>
            <w:pPr>
              <w:spacing w:after="0"/>
              <w:rPr>
                <w:sz w:val="24"/>
                <w:szCs w:val="24"/>
                <w:color w:val="auto"/>
              </w:rPr>
            </w:pPr>
          </w:p>
        </w:tc>
        <w:tc>
          <w:tcPr>
            <w:tcW w:w="3460" w:type="dxa"/>
            <w:vAlign w:val="bottom"/>
            <w:tcBorders>
              <w:bottom w:val="single" w:sz="8" w:color="auto"/>
            </w:tcBorders>
            <w:gridSpan w:val="4"/>
          </w:tcPr>
          <w:p>
            <w:pPr>
              <w:jc w:val="right"/>
              <w:ind w:right="130"/>
              <w:spacing w:after="0"/>
              <w:rPr>
                <w:sz w:val="20"/>
                <w:szCs w:val="20"/>
                <w:color w:val="auto"/>
              </w:rPr>
            </w:pPr>
            <w:r>
              <w:rPr>
                <w:rFonts w:ascii="Arial" w:cs="Arial" w:eastAsia="Arial" w:hAnsi="Arial"/>
                <w:sz w:val="18"/>
                <w:szCs w:val="18"/>
                <w:b w:val="1"/>
                <w:bCs w:val="1"/>
                <w:color w:val="auto"/>
              </w:rPr>
              <w:t>Three Months Ended March 31,</w:t>
            </w:r>
          </w:p>
        </w:tc>
        <w:tc>
          <w:tcPr>
            <w:tcW w:w="620" w:type="dxa"/>
            <w:vAlign w:val="bottom"/>
            <w:tcBorders>
              <w:bottom w:val="single" w:sz="8" w:color="auto"/>
            </w:tcBorders>
          </w:tcPr>
          <w:p>
            <w:pPr>
              <w:spacing w:after="0"/>
              <w:rPr>
                <w:sz w:val="24"/>
                <w:szCs w:val="24"/>
                <w:color w:val="auto"/>
              </w:rPr>
            </w:pPr>
          </w:p>
        </w:tc>
      </w:tr>
      <w:tr>
        <w:trPr>
          <w:trHeight w:val="196"/>
        </w:trPr>
        <w:tc>
          <w:tcPr>
            <w:tcW w:w="3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320" w:type="dxa"/>
            <w:vAlign w:val="bottom"/>
          </w:tcPr>
          <w:p>
            <w:pPr>
              <w:spacing w:after="0"/>
              <w:rPr>
                <w:sz w:val="17"/>
                <w:szCs w:val="17"/>
                <w:color w:val="auto"/>
              </w:rPr>
            </w:pPr>
          </w:p>
        </w:tc>
        <w:tc>
          <w:tcPr>
            <w:tcW w:w="1360" w:type="dxa"/>
            <w:vAlign w:val="bottom"/>
          </w:tcPr>
          <w:p>
            <w:pPr>
              <w:jc w:val="right"/>
              <w:ind w:right="130"/>
              <w:spacing w:after="0" w:line="196" w:lineRule="exact"/>
              <w:rPr>
                <w:sz w:val="20"/>
                <w:szCs w:val="20"/>
                <w:color w:val="auto"/>
              </w:rPr>
            </w:pPr>
            <w:r>
              <w:rPr>
                <w:rFonts w:ascii="Arial" w:cs="Arial" w:eastAsia="Arial" w:hAnsi="Arial"/>
                <w:sz w:val="18"/>
                <w:szCs w:val="18"/>
                <w:b w:val="1"/>
                <w:bCs w:val="1"/>
                <w:color w:val="auto"/>
              </w:rPr>
              <w:t>2022</w:t>
            </w:r>
          </w:p>
        </w:tc>
        <w:tc>
          <w:tcPr>
            <w:tcW w:w="620" w:type="dxa"/>
            <w:vAlign w:val="bottom"/>
          </w:tcPr>
          <w:p>
            <w:pPr>
              <w:spacing w:after="0"/>
              <w:rPr>
                <w:sz w:val="17"/>
                <w:szCs w:val="17"/>
                <w:color w:val="auto"/>
              </w:rPr>
            </w:pPr>
          </w:p>
        </w:tc>
        <w:tc>
          <w:tcPr>
            <w:tcW w:w="1480" w:type="dxa"/>
            <w:vAlign w:val="bottom"/>
            <w:gridSpan w:val="2"/>
          </w:tcPr>
          <w:p>
            <w:pPr>
              <w:jc w:val="right"/>
              <w:ind w:right="130"/>
              <w:spacing w:after="0" w:line="196" w:lineRule="exact"/>
              <w:rPr>
                <w:sz w:val="20"/>
                <w:szCs w:val="20"/>
                <w:color w:val="auto"/>
              </w:rPr>
            </w:pPr>
            <w:r>
              <w:rPr>
                <w:rFonts w:ascii="Arial" w:cs="Arial" w:eastAsia="Arial" w:hAnsi="Arial"/>
                <w:sz w:val="18"/>
                <w:szCs w:val="18"/>
                <w:b w:val="1"/>
                <w:bCs w:val="1"/>
                <w:color w:val="auto"/>
              </w:rPr>
              <w:t>2021</w:t>
            </w:r>
          </w:p>
        </w:tc>
        <w:tc>
          <w:tcPr>
            <w:tcW w:w="620" w:type="dxa"/>
            <w:vAlign w:val="bottom"/>
          </w:tcPr>
          <w:p>
            <w:pPr>
              <w:spacing w:after="0"/>
              <w:rPr>
                <w:sz w:val="17"/>
                <w:szCs w:val="17"/>
                <w:color w:val="auto"/>
              </w:rPr>
            </w:pPr>
          </w:p>
        </w:tc>
      </w:tr>
      <w:tr>
        <w:trPr>
          <w:trHeight w:val="196"/>
        </w:trPr>
        <w:tc>
          <w:tcPr>
            <w:tcW w:w="7160" w:type="dxa"/>
            <w:vAlign w:val="bottom"/>
            <w:gridSpan w:val="3"/>
            <w:shd w:val="clear" w:color="auto" w:fill="CFF0FC"/>
          </w:tcPr>
          <w:p>
            <w:pPr>
              <w:ind w:left="20"/>
              <w:spacing w:after="0" w:line="196" w:lineRule="exact"/>
              <w:rPr>
                <w:sz w:val="20"/>
                <w:szCs w:val="20"/>
                <w:color w:val="auto"/>
              </w:rPr>
            </w:pPr>
            <w:r>
              <w:rPr>
                <w:rFonts w:ascii="Arial" w:cs="Arial" w:eastAsia="Arial" w:hAnsi="Arial"/>
                <w:sz w:val="18"/>
                <w:szCs w:val="18"/>
                <w:color w:val="auto"/>
              </w:rPr>
              <w:t>Operating lease expense</w:t>
            </w:r>
          </w:p>
        </w:tc>
        <w:tc>
          <w:tcPr>
            <w:tcW w:w="1360" w:type="dxa"/>
            <w:vAlign w:val="bottom"/>
            <w:tcBorders>
              <w:top w:val="single" w:sz="8" w:color="auto"/>
            </w:tcBorders>
            <w:shd w:val="clear" w:color="auto" w:fill="CFF0FC"/>
          </w:tcPr>
          <w:p>
            <w:pPr>
              <w:jc w:val="right"/>
              <w:ind w:right="1170"/>
              <w:spacing w:after="0" w:line="196" w:lineRule="exact"/>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32.9</w:t>
            </w:r>
          </w:p>
        </w:tc>
        <w:tc>
          <w:tcPr>
            <w:tcW w:w="120" w:type="dxa"/>
            <w:vAlign w:val="bottom"/>
            <w:shd w:val="clear" w:color="auto" w:fill="CFF0FC"/>
          </w:tcPr>
          <w:p>
            <w:pPr>
              <w:spacing w:after="0"/>
              <w:rPr>
                <w:sz w:val="17"/>
                <w:szCs w:val="17"/>
                <w:color w:val="auto"/>
              </w:rPr>
            </w:pPr>
          </w:p>
        </w:tc>
        <w:tc>
          <w:tcPr>
            <w:tcW w:w="1360" w:type="dxa"/>
            <w:vAlign w:val="bottom"/>
            <w:tcBorders>
              <w:top w:val="single" w:sz="8" w:color="auto"/>
            </w:tcBorders>
            <w:shd w:val="clear" w:color="auto" w:fill="CFF0FC"/>
          </w:tcPr>
          <w:p>
            <w:pPr>
              <w:jc w:val="right"/>
              <w:ind w:right="1170"/>
              <w:spacing w:after="0" w:line="196" w:lineRule="exact"/>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35.5</w:t>
            </w:r>
          </w:p>
        </w:tc>
      </w:tr>
      <w:tr>
        <w:trPr>
          <w:trHeight w:val="162"/>
        </w:trPr>
        <w:tc>
          <w:tcPr>
            <w:tcW w:w="7160" w:type="dxa"/>
            <w:vAlign w:val="bottom"/>
            <w:gridSpan w:val="3"/>
          </w:tcPr>
          <w:p>
            <w:pPr>
              <w:ind w:left="20"/>
              <w:spacing w:after="0" w:line="162" w:lineRule="exact"/>
              <w:rPr>
                <w:sz w:val="20"/>
                <w:szCs w:val="20"/>
                <w:color w:val="auto"/>
              </w:rPr>
            </w:pPr>
            <w:r>
              <w:rPr>
                <w:rFonts w:ascii="Arial" w:cs="Arial" w:eastAsia="Arial" w:hAnsi="Arial"/>
                <w:sz w:val="18"/>
                <w:szCs w:val="18"/>
                <w:color w:val="auto"/>
              </w:rPr>
              <w:t>Short-term lease expense</w:t>
            </w:r>
          </w:p>
        </w:tc>
        <w:tc>
          <w:tcPr>
            <w:tcW w:w="1360" w:type="dxa"/>
            <w:vAlign w:val="bottom"/>
          </w:tcPr>
          <w:p>
            <w:pPr>
              <w:spacing w:after="0"/>
              <w:rPr>
                <w:sz w:val="14"/>
                <w:szCs w:val="14"/>
                <w:color w:val="auto"/>
              </w:rPr>
            </w:pPr>
          </w:p>
        </w:tc>
        <w:tc>
          <w:tcPr>
            <w:tcW w:w="620" w:type="dxa"/>
            <w:vAlign w:val="bottom"/>
          </w:tcPr>
          <w:p>
            <w:pPr>
              <w:jc w:val="right"/>
              <w:spacing w:after="0" w:line="162" w:lineRule="exact"/>
              <w:rPr>
                <w:sz w:val="20"/>
                <w:szCs w:val="20"/>
                <w:color w:val="auto"/>
              </w:rPr>
            </w:pPr>
            <w:r>
              <w:rPr>
                <w:rFonts w:ascii="Arial" w:cs="Arial" w:eastAsia="Arial" w:hAnsi="Arial"/>
                <w:sz w:val="18"/>
                <w:szCs w:val="18"/>
                <w:color w:val="auto"/>
              </w:rPr>
              <w:t>1.2</w:t>
            </w:r>
          </w:p>
        </w:tc>
        <w:tc>
          <w:tcPr>
            <w:tcW w:w="1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620" w:type="dxa"/>
            <w:vAlign w:val="bottom"/>
          </w:tcPr>
          <w:p>
            <w:pPr>
              <w:jc w:val="right"/>
              <w:spacing w:after="0" w:line="162" w:lineRule="exact"/>
              <w:rPr>
                <w:sz w:val="20"/>
                <w:szCs w:val="20"/>
                <w:color w:val="auto"/>
              </w:rPr>
            </w:pPr>
            <w:r>
              <w:rPr>
                <w:rFonts w:ascii="Arial" w:cs="Arial" w:eastAsia="Arial" w:hAnsi="Arial"/>
                <w:sz w:val="18"/>
                <w:szCs w:val="18"/>
                <w:color w:val="auto"/>
              </w:rPr>
              <w:t>1.5</w:t>
            </w:r>
          </w:p>
        </w:tc>
      </w:tr>
      <w:tr>
        <w:trPr>
          <w:trHeight w:val="243"/>
        </w:trPr>
        <w:tc>
          <w:tcPr>
            <w:tcW w:w="7160" w:type="dxa"/>
            <w:vAlign w:val="bottom"/>
            <w:gridSpan w:val="3"/>
          </w:tcPr>
          <w:p>
            <w:pPr>
              <w:ind w:left="20"/>
              <w:spacing w:after="0" w:line="243" w:lineRule="exact"/>
              <w:rPr>
                <w:sz w:val="20"/>
                <w:szCs w:val="20"/>
                <w:color w:val="auto"/>
              </w:rPr>
            </w:pPr>
            <w:r>
              <w:rPr>
                <w:rFonts w:ascii="Arial" w:cs="Arial" w:eastAsia="Arial" w:hAnsi="Arial"/>
                <w:sz w:val="18"/>
                <w:szCs w:val="18"/>
                <w:color w:val="auto"/>
              </w:rPr>
              <w:t>Other lease expense</w:t>
            </w:r>
            <w:r>
              <w:rPr>
                <w:rFonts w:ascii="Arial" w:cs="Arial" w:eastAsia="Arial" w:hAnsi="Arial"/>
                <w:sz w:val="24"/>
                <w:szCs w:val="24"/>
                <w:color w:val="auto"/>
                <w:vertAlign w:val="superscript"/>
              </w:rPr>
              <w:t>(1)</w:t>
            </w:r>
          </w:p>
        </w:tc>
        <w:tc>
          <w:tcPr>
            <w:tcW w:w="1360" w:type="dxa"/>
            <w:vAlign w:val="bottom"/>
            <w:tcBorders>
              <w:bottom w:val="single" w:sz="8" w:color="auto"/>
            </w:tcBorders>
          </w:tcPr>
          <w:p>
            <w:pPr>
              <w:jc w:val="right"/>
              <w:ind w:right="1170"/>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21"/>
                <w:szCs w:val="21"/>
                <w:color w:val="auto"/>
              </w:rPr>
            </w:pPr>
          </w:p>
        </w:tc>
        <w:tc>
          <w:tcPr>
            <w:tcW w:w="1360" w:type="dxa"/>
            <w:vAlign w:val="bottom"/>
            <w:tcBorders>
              <w:bottom w:val="single" w:sz="8" w:color="auto"/>
            </w:tcBorders>
          </w:tcPr>
          <w:p>
            <w:pPr>
              <w:jc w:val="right"/>
              <w:ind w:right="1170"/>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w:t>
            </w:r>
          </w:p>
        </w:tc>
      </w:tr>
      <w:tr>
        <w:trPr>
          <w:trHeight w:val="196"/>
        </w:trPr>
        <w:tc>
          <w:tcPr>
            <w:tcW w:w="7160" w:type="dxa"/>
            <w:vAlign w:val="bottom"/>
            <w:gridSpan w:val="3"/>
          </w:tcPr>
          <w:p>
            <w:pPr>
              <w:ind w:left="200"/>
              <w:spacing w:after="0" w:line="196" w:lineRule="exact"/>
              <w:rPr>
                <w:sz w:val="20"/>
                <w:szCs w:val="20"/>
                <w:color w:val="auto"/>
              </w:rPr>
            </w:pPr>
            <w:r>
              <w:rPr>
                <w:rFonts w:ascii="Arial" w:cs="Arial" w:eastAsia="Arial" w:hAnsi="Arial"/>
                <w:sz w:val="18"/>
                <w:szCs w:val="18"/>
                <w:color w:val="auto"/>
              </w:rPr>
              <w:t>Total lease expense</w:t>
            </w:r>
          </w:p>
        </w:tc>
        <w:tc>
          <w:tcPr>
            <w:tcW w:w="1360" w:type="dxa"/>
            <w:vAlign w:val="bottom"/>
          </w:tcPr>
          <w:p>
            <w:pPr>
              <w:jc w:val="right"/>
              <w:ind w:right="1170"/>
              <w:spacing w:after="0" w:line="196" w:lineRule="exact"/>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line="196" w:lineRule="exact"/>
              <w:rPr>
                <w:sz w:val="20"/>
                <w:szCs w:val="20"/>
                <w:color w:val="auto"/>
              </w:rPr>
            </w:pPr>
            <w:r>
              <w:rPr>
                <w:rFonts w:ascii="Arial" w:cs="Arial" w:eastAsia="Arial" w:hAnsi="Arial"/>
                <w:sz w:val="18"/>
                <w:szCs w:val="18"/>
                <w:color w:val="auto"/>
              </w:rPr>
              <w:t>38.8</w:t>
            </w:r>
          </w:p>
        </w:tc>
        <w:tc>
          <w:tcPr>
            <w:tcW w:w="1480" w:type="dxa"/>
            <w:vAlign w:val="bottom"/>
            <w:gridSpan w:val="2"/>
          </w:tcPr>
          <w:p>
            <w:pPr>
              <w:jc w:val="right"/>
              <w:ind w:right="1170"/>
              <w:spacing w:after="0" w:line="196" w:lineRule="exact"/>
              <w:rPr>
                <w:sz w:val="20"/>
                <w:szCs w:val="20"/>
                <w:color w:val="auto"/>
              </w:rPr>
            </w:pPr>
            <w:r>
              <w:rPr>
                <w:rFonts w:ascii="Arial" w:cs="Arial" w:eastAsia="Arial" w:hAnsi="Arial"/>
                <w:sz w:val="18"/>
                <w:szCs w:val="18"/>
                <w:color w:val="auto"/>
              </w:rPr>
              <w:t>$</w:t>
            </w:r>
          </w:p>
        </w:tc>
        <w:tc>
          <w:tcPr>
            <w:tcW w:w="620" w:type="dxa"/>
            <w:vAlign w:val="bottom"/>
          </w:tcPr>
          <w:p>
            <w:pPr>
              <w:jc w:val="right"/>
              <w:spacing w:after="0" w:line="196" w:lineRule="exact"/>
              <w:rPr>
                <w:sz w:val="20"/>
                <w:szCs w:val="20"/>
                <w:color w:val="auto"/>
              </w:rPr>
            </w:pPr>
            <w:r>
              <w:rPr>
                <w:rFonts w:ascii="Arial" w:cs="Arial" w:eastAsia="Arial" w:hAnsi="Arial"/>
                <w:sz w:val="18"/>
                <w:szCs w:val="18"/>
                <w:color w:val="auto"/>
              </w:rPr>
              <w:t>41.9</w:t>
            </w:r>
          </w:p>
        </w:tc>
      </w:tr>
      <w:tr>
        <w:trPr>
          <w:trHeight w:val="20"/>
        </w:trPr>
        <w:tc>
          <w:tcPr>
            <w:tcW w:w="3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-290830</wp:posOffset>
            </wp:positionV>
            <wp:extent cx="7132320" cy="13716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right="5460" w:firstLine="8"/>
        <w:spacing w:after="0" w:line="466" w:lineRule="auto"/>
        <w:tabs>
          <w:tab w:leader="none" w:pos="464" w:val="left"/>
        </w:tabs>
        <w:numPr>
          <w:ilvl w:val="0"/>
          <w:numId w:val="16"/>
        </w:numPr>
        <w:rPr>
          <w:rFonts w:ascii="Arial" w:cs="Arial" w:eastAsia="Arial" w:hAnsi="Arial"/>
          <w:sz w:val="18"/>
          <w:szCs w:val="18"/>
          <w:color w:val="auto"/>
        </w:rPr>
      </w:pPr>
      <w:r>
        <w:rPr>
          <w:rFonts w:ascii="Arial" w:cs="Arial" w:eastAsia="Arial" w:hAnsi="Arial"/>
          <w:sz w:val="18"/>
          <w:szCs w:val="18"/>
          <w:color w:val="auto"/>
        </w:rPr>
        <w:t>Other lease expense includes variable lease expense and sublease income. Other information related to leases was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20" w:type="dxa"/>
            <w:vAlign w:val="bottom"/>
          </w:tcPr>
          <w:p>
            <w:pPr>
              <w:spacing w:after="0"/>
              <w:rPr>
                <w:sz w:val="19"/>
                <w:szCs w:val="19"/>
                <w:color w:val="auto"/>
              </w:rPr>
            </w:pPr>
          </w:p>
        </w:tc>
        <w:tc>
          <w:tcPr>
            <w:tcW w:w="71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Supplemental Cash Flow Information</w:t>
            </w:r>
          </w:p>
        </w:tc>
        <w:tc>
          <w:tcPr>
            <w:tcW w:w="5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920" w:type="dxa"/>
            <w:vAlign w:val="bottom"/>
            <w:tcBorders>
              <w:bottom w:val="single" w:sz="8" w:color="auto"/>
            </w:tcBorders>
            <w:gridSpan w:val="6"/>
          </w:tcPr>
          <w:p>
            <w:pPr>
              <w:ind w:left="360"/>
              <w:spacing w:after="0"/>
              <w:rPr>
                <w:sz w:val="20"/>
                <w:szCs w:val="20"/>
                <w:color w:val="auto"/>
              </w:rPr>
            </w:pPr>
            <w:r>
              <w:rPr>
                <w:rFonts w:ascii="Arial" w:cs="Arial" w:eastAsia="Arial" w:hAnsi="Arial"/>
                <w:sz w:val="18"/>
                <w:szCs w:val="18"/>
                <w:b w:val="1"/>
                <w:bCs w:val="1"/>
                <w:color w:val="auto"/>
                <w:w w:val="95"/>
              </w:rPr>
              <w:t>Three Months Ended March 31,</w:t>
            </w:r>
          </w:p>
        </w:tc>
        <w:tc>
          <w:tcPr>
            <w:tcW w:w="5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140" w:type="dxa"/>
            <w:vAlign w:val="bottom"/>
            <w:gridSpan w:val="2"/>
            <w:vMerge w:val="continue"/>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ind w:left="480"/>
              <w:spacing w:after="0" w:line="196" w:lineRule="exact"/>
              <w:rPr>
                <w:sz w:val="20"/>
                <w:szCs w:val="20"/>
                <w:color w:val="auto"/>
              </w:rPr>
            </w:pPr>
            <w:r>
              <w:rPr>
                <w:rFonts w:ascii="Arial" w:cs="Arial" w:eastAsia="Arial" w:hAnsi="Arial"/>
                <w:sz w:val="18"/>
                <w:szCs w:val="18"/>
                <w:b w:val="1"/>
                <w:bCs w:val="1"/>
                <w:color w:val="auto"/>
              </w:rPr>
              <w:t>2022</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gridSpan w:val="3"/>
          </w:tcPr>
          <w:p>
            <w:pPr>
              <w:jc w:val="right"/>
              <w:ind w:right="130"/>
              <w:spacing w:after="0" w:line="196" w:lineRule="exact"/>
              <w:rPr>
                <w:sz w:val="20"/>
                <w:szCs w:val="20"/>
                <w:color w:val="auto"/>
              </w:rPr>
            </w:pPr>
            <w:r>
              <w:rPr>
                <w:rFonts w:ascii="Arial" w:cs="Arial" w:eastAsia="Arial" w:hAnsi="Arial"/>
                <w:sz w:val="18"/>
                <w:szCs w:val="18"/>
                <w:b w:val="1"/>
                <w:bCs w:val="1"/>
                <w:color w:val="auto"/>
              </w:rPr>
              <w:t>2021</w:t>
            </w: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140" w:type="dxa"/>
            <w:vAlign w:val="bottom"/>
            <w:gridSpan w:val="2"/>
            <w:shd w:val="clear" w:color="auto" w:fill="CFF0FC"/>
          </w:tcPr>
          <w:p>
            <w:pPr>
              <w:spacing w:after="0" w:line="196" w:lineRule="exact"/>
              <w:rPr>
                <w:sz w:val="20"/>
                <w:szCs w:val="20"/>
                <w:color w:val="auto"/>
              </w:rPr>
            </w:pPr>
            <w:r>
              <w:rPr>
                <w:rFonts w:ascii="Arial" w:cs="Arial" w:eastAsia="Arial" w:hAnsi="Arial"/>
                <w:sz w:val="18"/>
                <w:szCs w:val="18"/>
                <w:color w:val="auto"/>
              </w:rPr>
              <w:t>Cash paid for amounts included in the measurement of operating lease liabilities</w:t>
            </w:r>
          </w:p>
        </w:tc>
        <w:tc>
          <w:tcPr>
            <w:tcW w:w="520" w:type="dxa"/>
            <w:vAlign w:val="bottom"/>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tcBorders>
            <w:gridSpan w:val="3"/>
            <w:shd w:val="clear" w:color="auto" w:fill="CFF0FC"/>
          </w:tcPr>
          <w:p>
            <w:pPr>
              <w:jc w:val="right"/>
              <w:spacing w:after="0" w:line="196" w:lineRule="exact"/>
              <w:rPr>
                <w:sz w:val="20"/>
                <w:szCs w:val="20"/>
                <w:color w:val="auto"/>
              </w:rPr>
            </w:pPr>
            <w:r>
              <w:rPr>
                <w:rFonts w:ascii="Arial" w:cs="Arial" w:eastAsia="Arial" w:hAnsi="Arial"/>
                <w:sz w:val="18"/>
                <w:szCs w:val="18"/>
                <w:color w:val="auto"/>
              </w:rPr>
              <w:t>33.3</w:t>
            </w:r>
          </w:p>
        </w:tc>
        <w:tc>
          <w:tcPr>
            <w:tcW w:w="120" w:type="dxa"/>
            <w:vAlign w:val="bottom"/>
            <w:tcBorders>
              <w:top w:val="single" w:sz="8" w:color="auto"/>
            </w:tcBorders>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180" w:type="dxa"/>
            <w:vAlign w:val="bottom"/>
            <w:tcBorders>
              <w:top w:val="single" w:sz="8" w:color="auto"/>
            </w:tcBorders>
            <w:shd w:val="clear" w:color="auto" w:fill="CFF0FC"/>
          </w:tcPr>
          <w:p>
            <w:pPr>
              <w:jc w:val="right"/>
              <w:ind w:right="990"/>
              <w:spacing w:after="0" w:line="196" w:lineRule="exact"/>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FF0FC"/>
          </w:tcPr>
          <w:p>
            <w:pPr>
              <w:jc w:val="center"/>
              <w:spacing w:after="0" w:line="196" w:lineRule="exact"/>
              <w:rPr>
                <w:sz w:val="20"/>
                <w:szCs w:val="20"/>
                <w:color w:val="auto"/>
              </w:rPr>
            </w:pPr>
            <w:r>
              <w:rPr>
                <w:rFonts w:ascii="Arial" w:cs="Arial" w:eastAsia="Arial" w:hAnsi="Arial"/>
                <w:sz w:val="18"/>
                <w:szCs w:val="18"/>
                <w:color w:val="auto"/>
                <w:w w:val="91"/>
              </w:rPr>
              <w:t>34.7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140" w:type="dxa"/>
            <w:vAlign w:val="bottom"/>
            <w:gridSpan w:val="2"/>
          </w:tcPr>
          <w:p>
            <w:pPr>
              <w:spacing w:after="0"/>
              <w:rPr>
                <w:sz w:val="20"/>
                <w:szCs w:val="20"/>
                <w:color w:val="auto"/>
              </w:rPr>
            </w:pPr>
            <w:r>
              <w:rPr>
                <w:rFonts w:ascii="Arial" w:cs="Arial" w:eastAsia="Arial" w:hAnsi="Arial"/>
                <w:sz w:val="18"/>
                <w:szCs w:val="18"/>
                <w:color w:val="auto"/>
              </w:rPr>
              <w:t>Operating ROU assets obtained in exchange for lease obligations</w:t>
            </w:r>
          </w:p>
        </w:tc>
        <w:tc>
          <w:tcPr>
            <w:tcW w:w="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gridSpan w:val="3"/>
          </w:tcPr>
          <w:p>
            <w:pPr>
              <w:jc w:val="right"/>
              <w:spacing w:after="0"/>
              <w:rPr>
                <w:sz w:val="20"/>
                <w:szCs w:val="20"/>
                <w:color w:val="auto"/>
              </w:rPr>
            </w:pPr>
            <w:r>
              <w:rPr>
                <w:rFonts w:ascii="Arial" w:cs="Arial" w:eastAsia="Arial" w:hAnsi="Arial"/>
                <w:sz w:val="18"/>
                <w:szCs w:val="18"/>
                <w:color w:val="auto"/>
              </w:rPr>
              <w:t>9.5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500" w:type="dxa"/>
            <w:vAlign w:val="bottom"/>
          </w:tcPr>
          <w:p>
            <w:pPr>
              <w:jc w:val="center"/>
              <w:spacing w:after="0"/>
              <w:rPr>
                <w:sz w:val="20"/>
                <w:szCs w:val="20"/>
                <w:color w:val="auto"/>
              </w:rPr>
            </w:pPr>
            <w:r>
              <w:rPr>
                <w:rFonts w:ascii="Arial" w:cs="Arial" w:eastAsia="Arial" w:hAnsi="Arial"/>
                <w:sz w:val="18"/>
                <w:szCs w:val="18"/>
                <w:color w:val="auto"/>
                <w:w w:val="85"/>
              </w:rPr>
              <w:t>11.0</w:t>
            </w:r>
          </w:p>
        </w:tc>
        <w:tc>
          <w:tcPr>
            <w:tcW w:w="0" w:type="dxa"/>
            <w:vAlign w:val="bottom"/>
          </w:tcPr>
          <w:p>
            <w:pPr>
              <w:spacing w:after="0"/>
              <w:rPr>
                <w:sz w:val="1"/>
                <w:szCs w:val="1"/>
                <w:color w:val="auto"/>
              </w:rPr>
            </w:pPr>
          </w:p>
        </w:tc>
      </w:tr>
      <w:tr>
        <w:trPr>
          <w:trHeight w:val="359"/>
        </w:trPr>
        <w:tc>
          <w:tcPr>
            <w:tcW w:w="20" w:type="dxa"/>
            <w:vAlign w:val="bottom"/>
          </w:tcPr>
          <w:p>
            <w:pPr>
              <w:spacing w:after="0"/>
              <w:rPr>
                <w:sz w:val="24"/>
                <w:szCs w:val="24"/>
                <w:color w:val="auto"/>
              </w:rPr>
            </w:pPr>
          </w:p>
        </w:tc>
        <w:tc>
          <w:tcPr>
            <w:tcW w:w="7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580" w:type="dxa"/>
            <w:vAlign w:val="bottom"/>
            <w:gridSpan w:val="4"/>
          </w:tcPr>
          <w:p>
            <w:pPr>
              <w:jc w:val="center"/>
              <w:ind w:right="700"/>
              <w:spacing w:after="0"/>
              <w:rPr>
                <w:sz w:val="20"/>
                <w:szCs w:val="20"/>
                <w:color w:val="auto"/>
              </w:rPr>
            </w:pPr>
            <w:r>
              <w:rPr>
                <w:rFonts w:ascii="Arial" w:cs="Arial" w:eastAsia="Arial" w:hAnsi="Arial"/>
                <w:sz w:val="18"/>
                <w:szCs w:val="18"/>
                <w:b w:val="1"/>
                <w:bCs w:val="1"/>
                <w:color w:val="auto"/>
                <w:w w:val="96"/>
              </w:rPr>
              <w:t>March 31,</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jc w:val="center"/>
              <w:ind w:left="30"/>
              <w:spacing w:after="0"/>
              <w:rPr>
                <w:sz w:val="20"/>
                <w:szCs w:val="20"/>
                <w:color w:val="auto"/>
              </w:rPr>
            </w:pPr>
            <w:r>
              <w:rPr>
                <w:rFonts w:ascii="Arial" w:cs="Arial" w:eastAsia="Arial" w:hAnsi="Arial"/>
                <w:sz w:val="18"/>
                <w:szCs w:val="18"/>
                <w:b w:val="1"/>
                <w:bCs w:val="1"/>
                <w:color w:val="auto"/>
                <w:w w:val="90"/>
              </w:rPr>
              <w:t>December 31,</w:t>
            </w: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140" w:type="dxa"/>
            <w:vAlign w:val="bottom"/>
            <w:gridSpan w:val="2"/>
          </w:tcPr>
          <w:p>
            <w:pPr>
              <w:spacing w:after="0"/>
              <w:rPr>
                <w:sz w:val="20"/>
                <w:szCs w:val="20"/>
                <w:color w:val="auto"/>
              </w:rPr>
            </w:pPr>
            <w:r>
              <w:rPr>
                <w:rFonts w:ascii="Arial" w:cs="Arial" w:eastAsia="Arial" w:hAnsi="Arial"/>
                <w:sz w:val="18"/>
                <w:szCs w:val="18"/>
                <w:b w:val="1"/>
                <w:bCs w:val="1"/>
                <w:color w:val="auto"/>
              </w:rPr>
              <w:t>Supplemental Balance Sheet Information</w:t>
            </w:r>
          </w:p>
        </w:tc>
        <w:tc>
          <w:tcPr>
            <w:tcW w:w="5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2022</w:t>
            </w:r>
          </w:p>
        </w:tc>
        <w:tc>
          <w:tcPr>
            <w:tcW w:w="3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tcBorders>
              <w:bottom w:val="single" w:sz="8" w:color="auto"/>
            </w:tcBorders>
            <w:gridSpan w:val="3"/>
          </w:tcPr>
          <w:p>
            <w:pPr>
              <w:jc w:val="right"/>
              <w:ind w:right="250"/>
              <w:spacing w:after="0"/>
              <w:rPr>
                <w:sz w:val="20"/>
                <w:szCs w:val="20"/>
                <w:color w:val="auto"/>
              </w:rPr>
            </w:pPr>
            <w:r>
              <w:rPr>
                <w:rFonts w:ascii="Arial" w:cs="Arial" w:eastAsia="Arial" w:hAnsi="Arial"/>
                <w:sz w:val="18"/>
                <w:szCs w:val="18"/>
                <w:b w:val="1"/>
                <w:bCs w:val="1"/>
                <w:color w:val="auto"/>
              </w:rPr>
              <w:t>2021</w:t>
            </w:r>
          </w:p>
        </w:tc>
        <w:tc>
          <w:tcPr>
            <w:tcW w:w="5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140" w:type="dxa"/>
            <w:vAlign w:val="bottom"/>
            <w:gridSpan w:val="2"/>
          </w:tcPr>
          <w:p>
            <w:pPr>
              <w:spacing w:after="0" w:line="196" w:lineRule="exact"/>
              <w:rPr>
                <w:sz w:val="20"/>
                <w:szCs w:val="20"/>
                <w:color w:val="auto"/>
              </w:rPr>
            </w:pPr>
            <w:r>
              <w:rPr>
                <w:rFonts w:ascii="Arial" w:cs="Arial" w:eastAsia="Arial" w:hAnsi="Arial"/>
                <w:sz w:val="18"/>
                <w:szCs w:val="18"/>
                <w:b w:val="1"/>
                <w:bCs w:val="1"/>
                <w:color w:val="auto"/>
              </w:rPr>
              <w:t>Operating Leases</w:t>
            </w: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40" w:type="dxa"/>
            <w:vAlign w:val="bottom"/>
            <w:tcBorders>
              <w:bottom w:val="single" w:sz="8" w:color="CFF0FC"/>
            </w:tcBorders>
            <w:gridSpan w:val="2"/>
            <w:shd w:val="clear" w:color="auto" w:fill="CFF0FC"/>
          </w:tcPr>
          <w:p>
            <w:pPr>
              <w:spacing w:after="0" w:line="202" w:lineRule="exact"/>
              <w:rPr>
                <w:sz w:val="20"/>
                <w:szCs w:val="20"/>
                <w:color w:val="auto"/>
              </w:rPr>
            </w:pPr>
            <w:r>
              <w:rPr>
                <w:rFonts w:ascii="Arial" w:cs="Arial" w:eastAsia="Arial" w:hAnsi="Arial"/>
                <w:sz w:val="18"/>
                <w:szCs w:val="18"/>
                <w:color w:val="auto"/>
              </w:rPr>
              <w:t>Operating lease ROU assets</w:t>
            </w:r>
          </w:p>
        </w:tc>
        <w:tc>
          <w:tcPr>
            <w:tcW w:w="520" w:type="dxa"/>
            <w:vAlign w:val="bottom"/>
            <w:tcBorders>
              <w:bottom w:val="single" w:sz="8" w:color="auto"/>
            </w:tcBorders>
            <w:shd w:val="clear" w:color="auto" w:fill="CFF0FC"/>
          </w:tcPr>
          <w:p>
            <w:pPr>
              <w:jc w:val="right"/>
              <w:ind w:right="330"/>
              <w:spacing w:after="0" w:line="202" w:lineRule="exact"/>
              <w:rPr>
                <w:sz w:val="20"/>
                <w:szCs w:val="20"/>
                <w:color w:val="auto"/>
              </w:rPr>
            </w:pPr>
            <w:r>
              <w:rPr>
                <w:rFonts w:ascii="Arial" w:cs="Arial" w:eastAsia="Arial" w:hAnsi="Arial"/>
                <w:sz w:val="18"/>
                <w:szCs w:val="18"/>
                <w:color w:val="auto"/>
                <w:w w:val="79"/>
              </w:rPr>
              <w:t>$</w:t>
            </w:r>
          </w:p>
        </w:tc>
        <w:tc>
          <w:tcPr>
            <w:tcW w:w="140" w:type="dxa"/>
            <w:vAlign w:val="bottom"/>
            <w:tcBorders>
              <w:bottom w:val="single" w:sz="8" w:color="auto"/>
            </w:tcBorders>
            <w:shd w:val="clear" w:color="auto" w:fill="CFF0FC"/>
          </w:tcPr>
          <w:p>
            <w:pPr>
              <w:spacing w:after="0"/>
              <w:rPr>
                <w:sz w:val="17"/>
                <w:szCs w:val="17"/>
                <w:color w:val="auto"/>
              </w:rPr>
            </w:pPr>
          </w:p>
        </w:tc>
        <w:tc>
          <w:tcPr>
            <w:tcW w:w="1320" w:type="dxa"/>
            <w:vAlign w:val="bottom"/>
            <w:tcBorders>
              <w:bottom w:val="single" w:sz="8" w:color="auto"/>
            </w:tcBorders>
            <w:gridSpan w:val="2"/>
            <w:shd w:val="clear" w:color="auto" w:fill="CFF0FC"/>
          </w:tcPr>
          <w:p>
            <w:pPr>
              <w:jc w:val="center"/>
              <w:ind w:left="670"/>
              <w:spacing w:after="0" w:line="202" w:lineRule="exact"/>
              <w:rPr>
                <w:sz w:val="20"/>
                <w:szCs w:val="20"/>
                <w:color w:val="auto"/>
              </w:rPr>
            </w:pPr>
            <w:r>
              <w:rPr>
                <w:rFonts w:ascii="Arial" w:cs="Arial" w:eastAsia="Arial" w:hAnsi="Arial"/>
                <w:sz w:val="18"/>
                <w:szCs w:val="18"/>
                <w:color w:val="auto"/>
                <w:w w:val="88"/>
              </w:rPr>
              <w:t>351.5</w:t>
            </w:r>
          </w:p>
        </w:tc>
        <w:tc>
          <w:tcPr>
            <w:tcW w:w="12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w w:val="79"/>
              </w:rPr>
              <w:t>$</w:t>
            </w:r>
          </w:p>
        </w:tc>
        <w:tc>
          <w:tcPr>
            <w:tcW w:w="180" w:type="dxa"/>
            <w:vAlign w:val="bottom"/>
            <w:tcBorders>
              <w:bottom w:val="single" w:sz="8" w:color="auto"/>
            </w:tcBorders>
            <w:shd w:val="clear" w:color="auto" w:fill="CFF0FC"/>
          </w:tcPr>
          <w:p>
            <w:pPr>
              <w:spacing w:after="0"/>
              <w:rPr>
                <w:sz w:val="17"/>
                <w:szCs w:val="17"/>
                <w:color w:val="auto"/>
              </w:rPr>
            </w:pPr>
          </w:p>
        </w:tc>
        <w:tc>
          <w:tcPr>
            <w:tcW w:w="1180" w:type="dxa"/>
            <w:vAlign w:val="bottom"/>
            <w:tcBorders>
              <w:bottom w:val="single" w:sz="8" w:color="auto"/>
            </w:tcBorders>
            <w:shd w:val="clear" w:color="auto" w:fill="CFF0FC"/>
          </w:tcPr>
          <w:p>
            <w:pPr>
              <w:spacing w:after="0"/>
              <w:rPr>
                <w:sz w:val="17"/>
                <w:szCs w:val="17"/>
                <w:color w:val="auto"/>
              </w:rPr>
            </w:pPr>
          </w:p>
        </w:tc>
        <w:tc>
          <w:tcPr>
            <w:tcW w:w="500" w:type="dxa"/>
            <w:vAlign w:val="bottom"/>
            <w:tcBorders>
              <w:bottom w:val="single" w:sz="8" w:color="auto"/>
            </w:tcBorders>
            <w:shd w:val="clear" w:color="auto" w:fill="CFF0FC"/>
          </w:tcPr>
          <w:p>
            <w:pPr>
              <w:jc w:val="center"/>
              <w:spacing w:after="0" w:line="202" w:lineRule="exact"/>
              <w:rPr>
                <w:sz w:val="20"/>
                <w:szCs w:val="20"/>
                <w:color w:val="auto"/>
              </w:rPr>
            </w:pPr>
            <w:r>
              <w:rPr>
                <w:rFonts w:ascii="Arial" w:cs="Arial" w:eastAsia="Arial" w:hAnsi="Arial"/>
                <w:sz w:val="18"/>
                <w:szCs w:val="18"/>
                <w:color w:val="auto"/>
                <w:w w:val="88"/>
              </w:rPr>
              <w:t>373.4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40" w:type="dxa"/>
            <w:vAlign w:val="bottom"/>
            <w:gridSpan w:val="2"/>
            <w:shd w:val="clear" w:color="auto" w:fill="CFF0FC"/>
          </w:tcPr>
          <w:p>
            <w:pPr>
              <w:spacing w:after="0" w:line="202" w:lineRule="exact"/>
              <w:rPr>
                <w:sz w:val="20"/>
                <w:szCs w:val="20"/>
                <w:color w:val="auto"/>
              </w:rPr>
            </w:pPr>
            <w:r>
              <w:rPr>
                <w:rFonts w:ascii="Arial" w:cs="Arial" w:eastAsia="Arial" w:hAnsi="Arial"/>
                <w:sz w:val="17"/>
                <w:szCs w:val="17"/>
                <w:color w:val="auto"/>
              </w:rPr>
              <w:t>Operating lease liabilities - current</w:t>
            </w:r>
            <w:r>
              <w:rPr>
                <w:rFonts w:ascii="Arial" w:cs="Arial" w:eastAsia="Arial" w:hAnsi="Arial"/>
                <w:sz w:val="23"/>
                <w:szCs w:val="23"/>
                <w:color w:val="auto"/>
                <w:vertAlign w:val="superscript"/>
              </w:rPr>
              <w:t>(1)</w:t>
            </w:r>
          </w:p>
        </w:tc>
        <w:tc>
          <w:tcPr>
            <w:tcW w:w="520" w:type="dxa"/>
            <w:vAlign w:val="bottom"/>
            <w:shd w:val="clear" w:color="auto" w:fill="CFF0FC"/>
          </w:tcPr>
          <w:p>
            <w:pPr>
              <w:jc w:val="right"/>
              <w:ind w:right="330"/>
              <w:spacing w:after="0" w:line="202" w:lineRule="exact"/>
              <w:rPr>
                <w:sz w:val="20"/>
                <w:szCs w:val="20"/>
                <w:color w:val="auto"/>
              </w:rPr>
            </w:pPr>
            <w:r>
              <w:rPr>
                <w:rFonts w:ascii="Arial" w:cs="Arial" w:eastAsia="Arial" w:hAnsi="Arial"/>
                <w:sz w:val="18"/>
                <w:szCs w:val="18"/>
                <w:color w:val="auto"/>
                <w:w w:val="79"/>
              </w:rPr>
              <w:t>$</w:t>
            </w:r>
          </w:p>
        </w:tc>
        <w:tc>
          <w:tcPr>
            <w:tcW w:w="140" w:type="dxa"/>
            <w:vAlign w:val="bottom"/>
            <w:shd w:val="clear" w:color="auto" w:fill="CFF0FC"/>
          </w:tcPr>
          <w:p>
            <w:pPr>
              <w:spacing w:after="0"/>
              <w:rPr>
                <w:sz w:val="17"/>
                <w:szCs w:val="17"/>
                <w:color w:val="auto"/>
              </w:rPr>
            </w:pPr>
          </w:p>
        </w:tc>
        <w:tc>
          <w:tcPr>
            <w:tcW w:w="1320" w:type="dxa"/>
            <w:vAlign w:val="bottom"/>
            <w:gridSpan w:val="2"/>
            <w:shd w:val="clear" w:color="auto" w:fill="CFF0FC"/>
          </w:tcPr>
          <w:p>
            <w:pPr>
              <w:jc w:val="center"/>
              <w:ind w:left="670"/>
              <w:spacing w:after="0" w:line="202" w:lineRule="exact"/>
              <w:rPr>
                <w:sz w:val="20"/>
                <w:szCs w:val="20"/>
                <w:color w:val="auto"/>
              </w:rPr>
            </w:pPr>
            <w:r>
              <w:rPr>
                <w:rFonts w:ascii="Arial" w:cs="Arial" w:eastAsia="Arial" w:hAnsi="Arial"/>
                <w:sz w:val="18"/>
                <w:szCs w:val="18"/>
                <w:color w:val="auto"/>
                <w:w w:val="88"/>
              </w:rPr>
              <w:t>106.0</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79"/>
              </w:rPr>
              <w:t>$</w:t>
            </w:r>
          </w:p>
        </w:tc>
        <w:tc>
          <w:tcPr>
            <w:tcW w:w="18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500" w:type="dxa"/>
            <w:vAlign w:val="bottom"/>
            <w:shd w:val="clear" w:color="auto" w:fill="CFF0FC"/>
          </w:tcPr>
          <w:p>
            <w:pPr>
              <w:jc w:val="center"/>
              <w:spacing w:after="0" w:line="202" w:lineRule="exact"/>
              <w:rPr>
                <w:sz w:val="20"/>
                <w:szCs w:val="20"/>
                <w:color w:val="auto"/>
              </w:rPr>
            </w:pPr>
            <w:r>
              <w:rPr>
                <w:rFonts w:ascii="Arial" w:cs="Arial" w:eastAsia="Arial" w:hAnsi="Arial"/>
                <w:sz w:val="18"/>
                <w:szCs w:val="18"/>
                <w:color w:val="auto"/>
                <w:w w:val="88"/>
              </w:rPr>
              <w:t>110.0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40" w:type="dxa"/>
            <w:vAlign w:val="bottom"/>
            <w:gridSpan w:val="2"/>
          </w:tcPr>
          <w:p>
            <w:pPr>
              <w:spacing w:after="0" w:line="202" w:lineRule="exact"/>
              <w:rPr>
                <w:sz w:val="20"/>
                <w:szCs w:val="20"/>
                <w:color w:val="auto"/>
              </w:rPr>
            </w:pPr>
            <w:r>
              <w:rPr>
                <w:rFonts w:ascii="Arial" w:cs="Arial" w:eastAsia="Arial" w:hAnsi="Arial"/>
                <w:sz w:val="18"/>
                <w:szCs w:val="18"/>
                <w:color w:val="auto"/>
              </w:rPr>
              <w:t>Operating lease liabilities - long-term</w:t>
            </w:r>
          </w:p>
        </w:tc>
        <w:tc>
          <w:tcPr>
            <w:tcW w:w="5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gridSpan w:val="2"/>
          </w:tcPr>
          <w:p>
            <w:pPr>
              <w:jc w:val="center"/>
              <w:ind w:left="670"/>
              <w:spacing w:after="0" w:line="202" w:lineRule="exact"/>
              <w:rPr>
                <w:sz w:val="20"/>
                <w:szCs w:val="20"/>
                <w:color w:val="auto"/>
              </w:rPr>
            </w:pPr>
            <w:r>
              <w:rPr>
                <w:rFonts w:ascii="Arial" w:cs="Arial" w:eastAsia="Arial" w:hAnsi="Arial"/>
                <w:sz w:val="18"/>
                <w:szCs w:val="18"/>
                <w:color w:val="auto"/>
                <w:w w:val="88"/>
              </w:rPr>
              <w:t>256.3</w:t>
            </w:r>
          </w:p>
        </w:tc>
        <w:tc>
          <w:tcPr>
            <w:tcW w:w="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center"/>
              <w:spacing w:after="0" w:line="202" w:lineRule="exact"/>
              <w:rPr>
                <w:sz w:val="20"/>
                <w:szCs w:val="20"/>
                <w:color w:val="auto"/>
              </w:rPr>
            </w:pPr>
            <w:r>
              <w:rPr>
                <w:rFonts w:ascii="Arial" w:cs="Arial" w:eastAsia="Arial" w:hAnsi="Arial"/>
                <w:sz w:val="18"/>
                <w:szCs w:val="18"/>
                <w:color w:val="auto"/>
                <w:w w:val="88"/>
              </w:rPr>
              <w:t>275.8</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140" w:type="dxa"/>
            <w:vAlign w:val="bottom"/>
            <w:tcBorders>
              <w:bottom w:val="single" w:sz="8" w:color="CFF0FC"/>
            </w:tcBorders>
            <w:gridSpan w:val="2"/>
            <w:shd w:val="clear" w:color="auto" w:fill="CFF0FC"/>
          </w:tcPr>
          <w:p>
            <w:pPr>
              <w:ind w:left="180"/>
              <w:spacing w:after="0" w:line="196" w:lineRule="exact"/>
              <w:rPr>
                <w:sz w:val="20"/>
                <w:szCs w:val="20"/>
                <w:color w:val="auto"/>
              </w:rPr>
            </w:pPr>
            <w:r>
              <w:rPr>
                <w:rFonts w:ascii="Arial" w:cs="Arial" w:eastAsia="Arial" w:hAnsi="Arial"/>
                <w:sz w:val="18"/>
                <w:szCs w:val="18"/>
                <w:color w:val="auto"/>
              </w:rPr>
              <w:t>Total operating lease liabilities</w:t>
            </w:r>
          </w:p>
        </w:tc>
        <w:tc>
          <w:tcPr>
            <w:tcW w:w="520" w:type="dxa"/>
            <w:vAlign w:val="bottom"/>
            <w:tcBorders>
              <w:bottom w:val="single" w:sz="8" w:color="auto"/>
            </w:tcBorders>
            <w:shd w:val="clear" w:color="auto" w:fill="CFF0FC"/>
          </w:tcPr>
          <w:p>
            <w:pPr>
              <w:jc w:val="right"/>
              <w:ind w:right="330"/>
              <w:spacing w:after="0" w:line="196" w:lineRule="exact"/>
              <w:rPr>
                <w:sz w:val="20"/>
                <w:szCs w:val="20"/>
                <w:color w:val="auto"/>
              </w:rPr>
            </w:pPr>
            <w:r>
              <w:rPr>
                <w:rFonts w:ascii="Arial" w:cs="Arial" w:eastAsia="Arial" w:hAnsi="Arial"/>
                <w:sz w:val="18"/>
                <w:szCs w:val="18"/>
                <w:color w:val="auto"/>
                <w:w w:val="79"/>
              </w:rPr>
              <w:t>$</w:t>
            </w:r>
          </w:p>
        </w:tc>
        <w:tc>
          <w:tcPr>
            <w:tcW w:w="140" w:type="dxa"/>
            <w:vAlign w:val="bottom"/>
            <w:tcBorders>
              <w:bottom w:val="single" w:sz="8" w:color="auto"/>
            </w:tcBorders>
            <w:shd w:val="clear" w:color="auto" w:fill="CFF0FC"/>
          </w:tcPr>
          <w:p>
            <w:pPr>
              <w:spacing w:after="0"/>
              <w:rPr>
                <w:sz w:val="17"/>
                <w:szCs w:val="17"/>
                <w:color w:val="auto"/>
              </w:rPr>
            </w:pPr>
          </w:p>
        </w:tc>
        <w:tc>
          <w:tcPr>
            <w:tcW w:w="1320" w:type="dxa"/>
            <w:vAlign w:val="bottom"/>
            <w:tcBorders>
              <w:bottom w:val="single" w:sz="8" w:color="auto"/>
            </w:tcBorders>
            <w:gridSpan w:val="2"/>
            <w:shd w:val="clear" w:color="auto" w:fill="CFF0FC"/>
          </w:tcPr>
          <w:p>
            <w:pPr>
              <w:jc w:val="center"/>
              <w:ind w:left="670"/>
              <w:spacing w:after="0" w:line="196" w:lineRule="exact"/>
              <w:rPr>
                <w:sz w:val="20"/>
                <w:szCs w:val="20"/>
                <w:color w:val="auto"/>
              </w:rPr>
            </w:pPr>
            <w:r>
              <w:rPr>
                <w:rFonts w:ascii="Arial" w:cs="Arial" w:eastAsia="Arial" w:hAnsi="Arial"/>
                <w:sz w:val="18"/>
                <w:szCs w:val="18"/>
                <w:color w:val="auto"/>
                <w:w w:val="88"/>
              </w:rPr>
              <w:t>362.3</w:t>
            </w:r>
          </w:p>
        </w:tc>
        <w:tc>
          <w:tcPr>
            <w:tcW w:w="12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80" w:type="dxa"/>
            <w:vAlign w:val="bottom"/>
            <w:tcBorders>
              <w:bottom w:val="single" w:sz="8" w:color="auto"/>
            </w:tcBorders>
            <w:shd w:val="clear" w:color="auto" w:fill="CFF0FC"/>
          </w:tcPr>
          <w:p>
            <w:pPr>
              <w:spacing w:after="0"/>
              <w:rPr>
                <w:sz w:val="17"/>
                <w:szCs w:val="17"/>
                <w:color w:val="auto"/>
              </w:rPr>
            </w:pPr>
          </w:p>
        </w:tc>
        <w:tc>
          <w:tcPr>
            <w:tcW w:w="1180" w:type="dxa"/>
            <w:vAlign w:val="bottom"/>
            <w:tcBorders>
              <w:bottom w:val="single" w:sz="8" w:color="auto"/>
            </w:tcBorders>
            <w:shd w:val="clear" w:color="auto" w:fill="CFF0FC"/>
          </w:tcPr>
          <w:p>
            <w:pPr>
              <w:spacing w:after="0"/>
              <w:rPr>
                <w:sz w:val="17"/>
                <w:szCs w:val="17"/>
                <w:color w:val="auto"/>
              </w:rPr>
            </w:pPr>
          </w:p>
        </w:tc>
        <w:tc>
          <w:tcPr>
            <w:tcW w:w="500" w:type="dxa"/>
            <w:vAlign w:val="bottom"/>
            <w:tcBorders>
              <w:bottom w:val="single" w:sz="8" w:color="auto"/>
            </w:tcBorders>
            <w:shd w:val="clear" w:color="auto" w:fill="CFF0FC"/>
          </w:tcPr>
          <w:p>
            <w:pPr>
              <w:jc w:val="center"/>
              <w:spacing w:after="0" w:line="196" w:lineRule="exact"/>
              <w:rPr>
                <w:sz w:val="20"/>
                <w:szCs w:val="20"/>
                <w:color w:val="auto"/>
              </w:rPr>
            </w:pPr>
            <w:r>
              <w:rPr>
                <w:rFonts w:ascii="Arial" w:cs="Arial" w:eastAsia="Arial" w:hAnsi="Arial"/>
                <w:sz w:val="18"/>
                <w:szCs w:val="18"/>
                <w:color w:val="auto"/>
                <w:w w:val="88"/>
              </w:rPr>
              <w:t>385.8</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240" w:type="dxa"/>
            <w:vAlign w:val="bottom"/>
            <w:gridSpan w:val="7"/>
          </w:tcPr>
          <w:p>
            <w:pPr>
              <w:spacing w:after="0"/>
              <w:rPr>
                <w:sz w:val="20"/>
                <w:szCs w:val="20"/>
                <w:color w:val="auto"/>
              </w:rPr>
            </w:pPr>
            <w:r>
              <w:rPr>
                <w:rFonts w:ascii="Arial" w:cs="Arial" w:eastAsia="Arial" w:hAnsi="Arial"/>
                <w:sz w:val="18"/>
                <w:szCs w:val="18"/>
                <w:color w:val="auto"/>
              </w:rPr>
              <w:t>(1)  Operating lease liabilities - current are included in accrued expenses on our Consolidated Balance Sheets.</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8"/>
        </w:trPr>
        <w:tc>
          <w:tcPr>
            <w:tcW w:w="20" w:type="dxa"/>
            <w:vAlign w:val="bottom"/>
          </w:tcPr>
          <w:p>
            <w:pPr>
              <w:spacing w:after="0"/>
              <w:rPr>
                <w:sz w:val="24"/>
                <w:szCs w:val="24"/>
                <w:color w:val="auto"/>
              </w:rPr>
            </w:pPr>
          </w:p>
        </w:tc>
        <w:tc>
          <w:tcPr>
            <w:tcW w:w="712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gridSpan w:val="6"/>
          </w:tcPr>
          <w:p>
            <w:pPr>
              <w:ind w:left="880"/>
              <w:spacing w:after="0"/>
              <w:rPr>
                <w:sz w:val="20"/>
                <w:szCs w:val="20"/>
                <w:color w:val="auto"/>
              </w:rPr>
            </w:pPr>
            <w:r>
              <w:rPr>
                <w:rFonts w:ascii="Arial" w:cs="Arial" w:eastAsia="Arial" w:hAnsi="Arial"/>
                <w:sz w:val="18"/>
                <w:szCs w:val="18"/>
                <w:b w:val="1"/>
                <w:bCs w:val="1"/>
                <w:color w:val="auto"/>
              </w:rPr>
              <w:t>March 31,</w:t>
            </w:r>
          </w:p>
        </w:tc>
        <w:tc>
          <w:tcPr>
            <w:tcW w:w="5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120" w:type="dxa"/>
            <w:vAlign w:val="bottom"/>
            <w:vMerge w:val="restart"/>
          </w:tcPr>
          <w:p>
            <w:pPr>
              <w:spacing w:after="0"/>
              <w:rPr>
                <w:sz w:val="20"/>
                <w:szCs w:val="20"/>
                <w:color w:val="auto"/>
              </w:rPr>
            </w:pPr>
            <w:r>
              <w:rPr>
                <w:rFonts w:ascii="Arial" w:cs="Arial" w:eastAsia="Arial" w:hAnsi="Arial"/>
                <w:sz w:val="18"/>
                <w:szCs w:val="18"/>
                <w:b w:val="1"/>
                <w:bCs w:val="1"/>
                <w:color w:val="auto"/>
              </w:rPr>
              <w:t>Weighted Average Remaining Lease Term</w:t>
            </w:r>
          </w:p>
        </w:tc>
        <w:tc>
          <w:tcPr>
            <w:tcW w:w="2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ind w:left="40"/>
              <w:spacing w:after="0" w:line="196" w:lineRule="exact"/>
              <w:rPr>
                <w:sz w:val="20"/>
                <w:szCs w:val="20"/>
                <w:color w:val="auto"/>
              </w:rPr>
            </w:pPr>
            <w:r>
              <w:rPr>
                <w:rFonts w:ascii="Arial" w:cs="Arial" w:eastAsia="Arial" w:hAnsi="Arial"/>
                <w:sz w:val="18"/>
                <w:szCs w:val="18"/>
                <w:b w:val="1"/>
                <w:bCs w:val="1"/>
                <w:color w:val="auto"/>
              </w:rPr>
              <w:t>2022</w:t>
            </w:r>
          </w:p>
        </w:tc>
        <w:tc>
          <w:tcPr>
            <w:tcW w:w="34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Borders>
              <w:bottom w:val="single" w:sz="8" w:color="auto"/>
            </w:tcBorders>
            <w:gridSpan w:val="3"/>
          </w:tcPr>
          <w:p>
            <w:pPr>
              <w:jc w:val="right"/>
              <w:ind w:right="330"/>
              <w:spacing w:after="0" w:line="196" w:lineRule="exact"/>
              <w:rPr>
                <w:sz w:val="20"/>
                <w:szCs w:val="20"/>
                <w:color w:val="auto"/>
              </w:rPr>
            </w:pPr>
            <w:r>
              <w:rPr>
                <w:rFonts w:ascii="Arial" w:cs="Arial" w:eastAsia="Arial" w:hAnsi="Arial"/>
                <w:sz w:val="18"/>
                <w:szCs w:val="18"/>
                <w:b w:val="1"/>
                <w:bCs w:val="1"/>
                <w:color w:val="auto"/>
              </w:rPr>
              <w:t>2021</w:t>
            </w:r>
          </w:p>
        </w:tc>
        <w:tc>
          <w:tcPr>
            <w:tcW w:w="5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12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40" w:type="dxa"/>
            <w:vAlign w:val="bottom"/>
            <w:gridSpan w:val="2"/>
            <w:shd w:val="clear" w:color="auto" w:fill="CFF0FC"/>
          </w:tcPr>
          <w:p>
            <w:pPr>
              <w:spacing w:after="0" w:line="202" w:lineRule="exact"/>
              <w:rPr>
                <w:sz w:val="20"/>
                <w:szCs w:val="20"/>
                <w:color w:val="auto"/>
              </w:rPr>
            </w:pPr>
            <w:r>
              <w:rPr>
                <w:rFonts w:ascii="Arial" w:cs="Arial" w:eastAsia="Arial" w:hAnsi="Arial"/>
                <w:sz w:val="18"/>
                <w:szCs w:val="18"/>
                <w:color w:val="auto"/>
              </w:rPr>
              <w:t>Operating leases</w:t>
            </w:r>
          </w:p>
        </w:tc>
        <w:tc>
          <w:tcPr>
            <w:tcW w:w="5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40" w:type="dxa"/>
            <w:vAlign w:val="bottom"/>
            <w:gridSpan w:val="3"/>
            <w:shd w:val="clear" w:color="auto" w:fill="CFF0FC"/>
          </w:tcPr>
          <w:p>
            <w:pPr>
              <w:ind w:left="440"/>
              <w:spacing w:after="0" w:line="202" w:lineRule="exact"/>
              <w:rPr>
                <w:sz w:val="20"/>
                <w:szCs w:val="20"/>
                <w:color w:val="auto"/>
              </w:rPr>
            </w:pPr>
            <w:r>
              <w:rPr>
                <w:rFonts w:ascii="Arial" w:cs="Arial" w:eastAsia="Arial" w:hAnsi="Arial"/>
                <w:sz w:val="18"/>
                <w:szCs w:val="18"/>
                <w:color w:val="auto"/>
              </w:rPr>
              <w:t>5.1 years</w:t>
            </w: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680" w:type="dxa"/>
            <w:vAlign w:val="bottom"/>
            <w:gridSpan w:val="2"/>
            <w:shd w:val="clear" w:color="auto" w:fill="CFF0FC"/>
          </w:tcPr>
          <w:p>
            <w:pPr>
              <w:jc w:val="right"/>
              <w:ind w:right="130"/>
              <w:spacing w:after="0" w:line="202" w:lineRule="exact"/>
              <w:rPr>
                <w:sz w:val="20"/>
                <w:szCs w:val="20"/>
                <w:color w:val="auto"/>
              </w:rPr>
            </w:pPr>
            <w:r>
              <w:rPr>
                <w:rFonts w:ascii="Arial" w:cs="Arial" w:eastAsia="Arial" w:hAnsi="Arial"/>
                <w:sz w:val="18"/>
                <w:szCs w:val="18"/>
                <w:color w:val="auto"/>
              </w:rPr>
              <w:t>5.1 years</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40" w:type="dxa"/>
            <w:vAlign w:val="bottom"/>
            <w:gridSpan w:val="2"/>
          </w:tcPr>
          <w:p>
            <w:pPr>
              <w:spacing w:after="0" w:line="202" w:lineRule="exact"/>
              <w:rPr>
                <w:sz w:val="20"/>
                <w:szCs w:val="20"/>
                <w:color w:val="auto"/>
              </w:rPr>
            </w:pPr>
            <w:r>
              <w:rPr>
                <w:rFonts w:ascii="Arial" w:cs="Arial" w:eastAsia="Arial" w:hAnsi="Arial"/>
                <w:sz w:val="18"/>
                <w:szCs w:val="18"/>
                <w:b w:val="1"/>
                <w:bCs w:val="1"/>
                <w:color w:val="auto"/>
              </w:rPr>
              <w:t>Weighted Average Discount Rate</w:t>
            </w: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40" w:type="dxa"/>
            <w:vAlign w:val="bottom"/>
            <w:gridSpan w:val="2"/>
            <w:shd w:val="clear" w:color="auto" w:fill="CFF0FC"/>
          </w:tcPr>
          <w:p>
            <w:pPr>
              <w:spacing w:after="0" w:line="202" w:lineRule="exact"/>
              <w:rPr>
                <w:sz w:val="20"/>
                <w:szCs w:val="20"/>
                <w:color w:val="auto"/>
              </w:rPr>
            </w:pPr>
            <w:r>
              <w:rPr>
                <w:rFonts w:ascii="Arial" w:cs="Arial" w:eastAsia="Arial" w:hAnsi="Arial"/>
                <w:sz w:val="18"/>
                <w:szCs w:val="18"/>
                <w:color w:val="auto"/>
              </w:rPr>
              <w:t>Operating leases</w:t>
            </w:r>
          </w:p>
        </w:tc>
        <w:tc>
          <w:tcPr>
            <w:tcW w:w="5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320" w:type="dxa"/>
            <w:vAlign w:val="bottom"/>
            <w:gridSpan w:val="2"/>
            <w:shd w:val="clear" w:color="auto" w:fill="CFF0FC"/>
          </w:tcPr>
          <w:p>
            <w:pPr>
              <w:ind w:left="880"/>
              <w:spacing w:after="0" w:line="202" w:lineRule="exact"/>
              <w:rPr>
                <w:sz w:val="20"/>
                <w:szCs w:val="20"/>
                <w:color w:val="auto"/>
              </w:rPr>
            </w:pPr>
            <w:r>
              <w:rPr>
                <w:rFonts w:ascii="Arial" w:cs="Arial" w:eastAsia="Arial" w:hAnsi="Arial"/>
                <w:sz w:val="18"/>
                <w:szCs w:val="18"/>
                <w:color w:val="auto"/>
                <w:w w:val="91"/>
              </w:rPr>
              <w:t>2.4 %</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5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91"/>
              </w:rPr>
              <w:t>2.9 %</w:t>
            </w:r>
          </w:p>
        </w:tc>
        <w:tc>
          <w:tcPr>
            <w:tcW w:w="0" w:type="dxa"/>
            <w:vAlign w:val="bottom"/>
          </w:tcPr>
          <w:p>
            <w:pPr>
              <w:spacing w:after="0"/>
              <w:rPr>
                <w:sz w:val="1"/>
                <w:szCs w:val="1"/>
                <w:color w:val="auto"/>
              </w:rPr>
            </w:pPr>
          </w:p>
        </w:tc>
      </w:tr>
      <w:tr>
        <w:trPr>
          <w:trHeight w:val="473"/>
        </w:trPr>
        <w:tc>
          <w:tcPr>
            <w:tcW w:w="20" w:type="dxa"/>
            <w:vAlign w:val="bottom"/>
          </w:tcPr>
          <w:p>
            <w:pPr>
              <w:spacing w:after="0"/>
              <w:rPr>
                <w:sz w:val="24"/>
                <w:szCs w:val="24"/>
                <w:color w:val="auto"/>
              </w:rPr>
            </w:pPr>
          </w:p>
        </w:tc>
        <w:tc>
          <w:tcPr>
            <w:tcW w:w="7140" w:type="dxa"/>
            <w:vAlign w:val="bottom"/>
            <w:gridSpan w:val="2"/>
          </w:tcPr>
          <w:p>
            <w:pPr>
              <w:spacing w:after="0"/>
              <w:rPr>
                <w:sz w:val="20"/>
                <w:szCs w:val="20"/>
                <w:color w:val="auto"/>
              </w:rPr>
            </w:pPr>
            <w:r>
              <w:rPr>
                <w:rFonts w:ascii="Arial" w:cs="Arial" w:eastAsia="Arial" w:hAnsi="Arial"/>
                <w:sz w:val="18"/>
                <w:szCs w:val="18"/>
                <w:color w:val="auto"/>
              </w:rPr>
              <w:t>Maturities of operating lease liabilities as of March 31, 2022 were as follows:</w:t>
            </w: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71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(In millions)</w:t>
            </w:r>
          </w:p>
        </w:tc>
        <w:tc>
          <w:tcPr>
            <w:tcW w:w="5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140" w:type="dxa"/>
            <w:vAlign w:val="bottom"/>
            <w:gridSpan w:val="2"/>
          </w:tcPr>
          <w:p>
            <w:pPr>
              <w:spacing w:after="0" w:line="196" w:lineRule="exact"/>
              <w:rPr>
                <w:sz w:val="20"/>
                <w:szCs w:val="20"/>
                <w:color w:val="auto"/>
              </w:rPr>
            </w:pPr>
            <w:r>
              <w:rPr>
                <w:rFonts w:ascii="Arial" w:cs="Arial" w:eastAsia="Arial" w:hAnsi="Arial"/>
                <w:sz w:val="18"/>
                <w:szCs w:val="18"/>
                <w:b w:val="1"/>
                <w:bCs w:val="1"/>
                <w:color w:val="auto"/>
              </w:rPr>
              <w:t>Period Ending March 31, 2022</w:t>
            </w: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gridSpan w:val="3"/>
          </w:tcPr>
          <w:p>
            <w:pPr>
              <w:jc w:val="right"/>
              <w:ind w:right="10"/>
              <w:spacing w:after="0" w:line="196" w:lineRule="exact"/>
              <w:rPr>
                <w:sz w:val="20"/>
                <w:szCs w:val="20"/>
                <w:color w:val="auto"/>
              </w:rPr>
            </w:pPr>
            <w:r>
              <w:rPr>
                <w:rFonts w:ascii="Arial" w:cs="Arial" w:eastAsia="Arial" w:hAnsi="Arial"/>
                <w:sz w:val="18"/>
                <w:szCs w:val="18"/>
                <w:b w:val="1"/>
                <w:bCs w:val="1"/>
                <w:color w:val="auto"/>
                <w:w w:val="90"/>
              </w:rPr>
              <w:t>Operating Leases</w:t>
            </w: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40" w:type="dxa"/>
            <w:vAlign w:val="bottom"/>
            <w:gridSpan w:val="2"/>
            <w:shd w:val="clear" w:color="auto" w:fill="CFF0FC"/>
          </w:tcPr>
          <w:p>
            <w:pPr>
              <w:ind w:left="40"/>
              <w:spacing w:after="0" w:line="202" w:lineRule="exact"/>
              <w:rPr>
                <w:sz w:val="20"/>
                <w:szCs w:val="20"/>
                <w:color w:val="auto"/>
              </w:rPr>
            </w:pPr>
            <w:r>
              <w:rPr>
                <w:rFonts w:ascii="Arial" w:cs="Arial" w:eastAsia="Arial" w:hAnsi="Arial"/>
                <w:sz w:val="18"/>
                <w:szCs w:val="18"/>
                <w:color w:val="auto"/>
              </w:rPr>
              <w:t>Remainder of 2022</w:t>
            </w:r>
          </w:p>
        </w:tc>
        <w:tc>
          <w:tcPr>
            <w:tcW w:w="5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320" w:type="dxa"/>
            <w:vAlign w:val="bottom"/>
            <w:gridSpan w:val="2"/>
            <w:shd w:val="clear" w:color="auto" w:fill="CFF0FC"/>
          </w:tcPr>
          <w:p>
            <w:pPr>
              <w:jc w:val="center"/>
              <w:ind w:left="670"/>
              <w:spacing w:after="0" w:line="202" w:lineRule="exact"/>
              <w:rPr>
                <w:sz w:val="20"/>
                <w:szCs w:val="20"/>
                <w:color w:val="auto"/>
              </w:rPr>
            </w:pPr>
            <w:r>
              <w:rPr>
                <w:rFonts w:ascii="Arial" w:cs="Arial" w:eastAsia="Arial" w:hAnsi="Arial"/>
                <w:sz w:val="18"/>
                <w:szCs w:val="18"/>
                <w:color w:val="auto"/>
                <w:w w:val="79"/>
              </w:rPr>
              <w:t>$</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500" w:type="dxa"/>
            <w:vAlign w:val="bottom"/>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88.4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20" w:type="dxa"/>
            <w:vAlign w:val="bottom"/>
          </w:tcPr>
          <w:p>
            <w:pPr>
              <w:ind w:left="40"/>
              <w:spacing w:after="0" w:line="202" w:lineRule="exact"/>
              <w:rPr>
                <w:sz w:val="20"/>
                <w:szCs w:val="20"/>
                <w:color w:val="auto"/>
              </w:rPr>
            </w:pPr>
            <w:r>
              <w:rPr>
                <w:rFonts w:ascii="Arial" w:cs="Arial" w:eastAsia="Arial" w:hAnsi="Arial"/>
                <w:sz w:val="18"/>
                <w:szCs w:val="18"/>
                <w:color w:val="auto"/>
              </w:rPr>
              <w:t>2023</w:t>
            </w:r>
          </w:p>
        </w:tc>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5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94.3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20" w:type="dxa"/>
            <w:vAlign w:val="bottom"/>
            <w:shd w:val="clear" w:color="auto" w:fill="CFF0FC"/>
          </w:tcPr>
          <w:p>
            <w:pPr>
              <w:ind w:left="40"/>
              <w:spacing w:after="0" w:line="202" w:lineRule="exact"/>
              <w:rPr>
                <w:sz w:val="20"/>
                <w:szCs w:val="20"/>
                <w:color w:val="auto"/>
              </w:rPr>
            </w:pPr>
            <w:r>
              <w:rPr>
                <w:rFonts w:ascii="Arial" w:cs="Arial" w:eastAsia="Arial" w:hAnsi="Arial"/>
                <w:sz w:val="18"/>
                <w:szCs w:val="18"/>
                <w:color w:val="auto"/>
              </w:rPr>
              <w:t>2024</w:t>
            </w:r>
          </w:p>
        </w:tc>
        <w:tc>
          <w:tcPr>
            <w:tcW w:w="2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500" w:type="dxa"/>
            <w:vAlign w:val="bottom"/>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66.9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20" w:type="dxa"/>
            <w:vAlign w:val="bottom"/>
          </w:tcPr>
          <w:p>
            <w:pPr>
              <w:ind w:left="40"/>
              <w:spacing w:after="0" w:line="202" w:lineRule="exact"/>
              <w:rPr>
                <w:sz w:val="20"/>
                <w:szCs w:val="20"/>
                <w:color w:val="auto"/>
              </w:rPr>
            </w:pPr>
            <w:r>
              <w:rPr>
                <w:rFonts w:ascii="Arial" w:cs="Arial" w:eastAsia="Arial" w:hAnsi="Arial"/>
                <w:sz w:val="18"/>
                <w:szCs w:val="18"/>
                <w:color w:val="auto"/>
              </w:rPr>
              <w:t>2025</w:t>
            </w:r>
          </w:p>
        </w:tc>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5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42.3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20" w:type="dxa"/>
            <w:vAlign w:val="bottom"/>
            <w:shd w:val="clear" w:color="auto" w:fill="CFF0FC"/>
          </w:tcPr>
          <w:p>
            <w:pPr>
              <w:ind w:left="40"/>
              <w:spacing w:after="0" w:line="202" w:lineRule="exact"/>
              <w:rPr>
                <w:sz w:val="20"/>
                <w:szCs w:val="20"/>
                <w:color w:val="auto"/>
              </w:rPr>
            </w:pPr>
            <w:r>
              <w:rPr>
                <w:rFonts w:ascii="Arial" w:cs="Arial" w:eastAsia="Arial" w:hAnsi="Arial"/>
                <w:sz w:val="18"/>
                <w:szCs w:val="18"/>
                <w:color w:val="auto"/>
              </w:rPr>
              <w:t>2026</w:t>
            </w:r>
          </w:p>
        </w:tc>
        <w:tc>
          <w:tcPr>
            <w:tcW w:w="2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500" w:type="dxa"/>
            <w:vAlign w:val="bottom"/>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31.7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20" w:type="dxa"/>
            <w:vAlign w:val="bottom"/>
          </w:tcPr>
          <w:p>
            <w:pPr>
              <w:ind w:left="40"/>
              <w:spacing w:after="0" w:line="202" w:lineRule="exact"/>
              <w:rPr>
                <w:sz w:val="20"/>
                <w:szCs w:val="20"/>
                <w:color w:val="auto"/>
              </w:rPr>
            </w:pPr>
            <w:r>
              <w:rPr>
                <w:rFonts w:ascii="Arial" w:cs="Arial" w:eastAsia="Arial" w:hAnsi="Arial"/>
                <w:sz w:val="18"/>
                <w:szCs w:val="18"/>
                <w:color w:val="auto"/>
              </w:rPr>
              <w:t>2027</w:t>
            </w:r>
          </w:p>
        </w:tc>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5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24.1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40" w:type="dxa"/>
            <w:vAlign w:val="bottom"/>
            <w:tcBorders>
              <w:bottom w:val="single" w:sz="8" w:color="auto"/>
            </w:tcBorders>
            <w:gridSpan w:val="2"/>
            <w:shd w:val="clear" w:color="auto" w:fill="CFF0FC"/>
          </w:tcPr>
          <w:p>
            <w:pPr>
              <w:spacing w:after="0" w:line="202" w:lineRule="exact"/>
              <w:rPr>
                <w:sz w:val="20"/>
                <w:szCs w:val="20"/>
                <w:color w:val="auto"/>
              </w:rPr>
            </w:pPr>
            <w:r>
              <w:rPr>
                <w:rFonts w:ascii="Arial" w:cs="Arial" w:eastAsia="Arial" w:hAnsi="Arial"/>
                <w:sz w:val="18"/>
                <w:szCs w:val="18"/>
                <w:color w:val="auto"/>
              </w:rPr>
              <w:t>Thereafter</w:t>
            </w:r>
          </w:p>
        </w:tc>
        <w:tc>
          <w:tcPr>
            <w:tcW w:w="520" w:type="dxa"/>
            <w:vAlign w:val="bottom"/>
            <w:tcBorders>
              <w:bottom w:val="single" w:sz="8" w:color="auto"/>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980" w:type="dxa"/>
            <w:vAlign w:val="bottom"/>
            <w:tcBorders>
              <w:bottom w:val="single" w:sz="8" w:color="auto"/>
            </w:tcBorders>
            <w:shd w:val="clear" w:color="auto" w:fill="CFF0FC"/>
          </w:tcPr>
          <w:p>
            <w:pPr>
              <w:spacing w:after="0"/>
              <w:rPr>
                <w:sz w:val="17"/>
                <w:szCs w:val="17"/>
                <w:color w:val="auto"/>
              </w:rPr>
            </w:pPr>
          </w:p>
        </w:tc>
        <w:tc>
          <w:tcPr>
            <w:tcW w:w="340" w:type="dxa"/>
            <w:vAlign w:val="bottom"/>
            <w:tcBorders>
              <w:bottom w:val="single" w:sz="8" w:color="auto"/>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1180" w:type="dxa"/>
            <w:vAlign w:val="bottom"/>
            <w:tcBorders>
              <w:bottom w:val="single" w:sz="8" w:color="auto"/>
            </w:tcBorders>
            <w:shd w:val="clear" w:color="auto" w:fill="CFF0FC"/>
          </w:tcPr>
          <w:p>
            <w:pPr>
              <w:spacing w:after="0"/>
              <w:rPr>
                <w:sz w:val="17"/>
                <w:szCs w:val="17"/>
                <w:color w:val="auto"/>
              </w:rPr>
            </w:pPr>
          </w:p>
        </w:tc>
        <w:tc>
          <w:tcPr>
            <w:tcW w:w="500" w:type="dxa"/>
            <w:vAlign w:val="bottom"/>
            <w:tcBorders>
              <w:bottom w:val="single" w:sz="8" w:color="auto"/>
            </w:tcBorders>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44.2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140" w:type="dxa"/>
            <w:vAlign w:val="bottom"/>
            <w:gridSpan w:val="2"/>
          </w:tcPr>
          <w:p>
            <w:pPr>
              <w:ind w:left="100"/>
              <w:spacing w:after="0" w:line="196" w:lineRule="exact"/>
              <w:rPr>
                <w:sz w:val="20"/>
                <w:szCs w:val="20"/>
                <w:color w:val="auto"/>
              </w:rPr>
            </w:pPr>
            <w:r>
              <w:rPr>
                <w:rFonts w:ascii="Arial" w:cs="Arial" w:eastAsia="Arial" w:hAnsi="Arial"/>
                <w:sz w:val="18"/>
                <w:szCs w:val="18"/>
                <w:color w:val="auto"/>
              </w:rPr>
              <w:t>Total future undiscounted lease payments</w:t>
            </w: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500" w:type="dxa"/>
            <w:vAlign w:val="bottom"/>
          </w:tcPr>
          <w:p>
            <w:pPr>
              <w:jc w:val="right"/>
              <w:ind w:right="10"/>
              <w:spacing w:after="0" w:line="196" w:lineRule="exact"/>
              <w:rPr>
                <w:sz w:val="20"/>
                <w:szCs w:val="20"/>
                <w:color w:val="auto"/>
              </w:rPr>
            </w:pPr>
            <w:r>
              <w:rPr>
                <w:rFonts w:ascii="Arial" w:cs="Arial" w:eastAsia="Arial" w:hAnsi="Arial"/>
                <w:sz w:val="18"/>
                <w:szCs w:val="18"/>
                <w:color w:val="auto"/>
                <w:w w:val="84"/>
              </w:rPr>
              <w:t>391.9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40" w:type="dxa"/>
            <w:vAlign w:val="bottom"/>
            <w:tcBorders>
              <w:bottom w:val="single" w:sz="8" w:color="auto"/>
            </w:tcBorders>
            <w:gridSpan w:val="2"/>
            <w:shd w:val="clear" w:color="auto" w:fill="CFF0FC"/>
          </w:tcPr>
          <w:p>
            <w:pPr>
              <w:ind w:left="320"/>
              <w:spacing w:after="0" w:line="202" w:lineRule="exact"/>
              <w:rPr>
                <w:sz w:val="20"/>
                <w:szCs w:val="20"/>
                <w:color w:val="auto"/>
              </w:rPr>
            </w:pPr>
            <w:r>
              <w:rPr>
                <w:rFonts w:ascii="Arial" w:cs="Arial" w:eastAsia="Arial" w:hAnsi="Arial"/>
                <w:sz w:val="18"/>
                <w:szCs w:val="18"/>
                <w:color w:val="auto"/>
              </w:rPr>
              <w:t>Less imputed interest</w:t>
            </w:r>
          </w:p>
        </w:tc>
        <w:tc>
          <w:tcPr>
            <w:tcW w:w="520" w:type="dxa"/>
            <w:vAlign w:val="bottom"/>
            <w:tcBorders>
              <w:bottom w:val="single" w:sz="8" w:color="auto"/>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980" w:type="dxa"/>
            <w:vAlign w:val="bottom"/>
            <w:tcBorders>
              <w:bottom w:val="single" w:sz="8" w:color="auto"/>
            </w:tcBorders>
            <w:shd w:val="clear" w:color="auto" w:fill="CFF0FC"/>
          </w:tcPr>
          <w:p>
            <w:pPr>
              <w:spacing w:after="0"/>
              <w:rPr>
                <w:sz w:val="17"/>
                <w:szCs w:val="17"/>
                <w:color w:val="auto"/>
              </w:rPr>
            </w:pPr>
          </w:p>
        </w:tc>
        <w:tc>
          <w:tcPr>
            <w:tcW w:w="340" w:type="dxa"/>
            <w:vAlign w:val="bottom"/>
            <w:tcBorders>
              <w:bottom w:val="single" w:sz="8" w:color="auto"/>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1180" w:type="dxa"/>
            <w:vAlign w:val="bottom"/>
            <w:tcBorders>
              <w:bottom w:val="single" w:sz="8" w:color="auto"/>
            </w:tcBorders>
            <w:shd w:val="clear" w:color="auto" w:fill="CFF0FC"/>
          </w:tcPr>
          <w:p>
            <w:pPr>
              <w:spacing w:after="0"/>
              <w:rPr>
                <w:sz w:val="17"/>
                <w:szCs w:val="17"/>
                <w:color w:val="auto"/>
              </w:rPr>
            </w:pPr>
          </w:p>
        </w:tc>
        <w:tc>
          <w:tcPr>
            <w:tcW w:w="5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w w:val="92"/>
              </w:rPr>
              <w:t>(29.6 )</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140" w:type="dxa"/>
            <w:vAlign w:val="bottom"/>
            <w:gridSpan w:val="2"/>
          </w:tcPr>
          <w:p>
            <w:pPr>
              <w:ind w:left="100"/>
              <w:spacing w:after="0" w:line="196" w:lineRule="exact"/>
              <w:rPr>
                <w:sz w:val="20"/>
                <w:szCs w:val="20"/>
                <w:color w:val="auto"/>
              </w:rPr>
            </w:pPr>
            <w:r>
              <w:rPr>
                <w:rFonts w:ascii="Arial" w:cs="Arial" w:eastAsia="Arial" w:hAnsi="Arial"/>
                <w:sz w:val="18"/>
                <w:szCs w:val="18"/>
                <w:color w:val="auto"/>
              </w:rPr>
              <w:t>Total operating lease liabilities</w:t>
            </w: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gridSpan w:val="2"/>
          </w:tcPr>
          <w:p>
            <w:pPr>
              <w:jc w:val="center"/>
              <w:ind w:left="670"/>
              <w:spacing w:after="0" w:line="196" w:lineRule="exact"/>
              <w:rPr>
                <w:sz w:val="20"/>
                <w:szCs w:val="20"/>
                <w:color w:val="auto"/>
              </w:rPr>
            </w:pPr>
            <w:r>
              <w:rPr>
                <w:rFonts w:ascii="Arial" w:cs="Arial" w:eastAsia="Arial" w:hAnsi="Arial"/>
                <w:sz w:val="18"/>
                <w:szCs w:val="18"/>
                <w:color w:val="auto"/>
                <w:w w:val="79"/>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500" w:type="dxa"/>
            <w:vAlign w:val="bottom"/>
          </w:tcPr>
          <w:p>
            <w:pPr>
              <w:jc w:val="right"/>
              <w:ind w:right="10"/>
              <w:spacing w:after="0" w:line="196" w:lineRule="exact"/>
              <w:rPr>
                <w:sz w:val="20"/>
                <w:szCs w:val="20"/>
                <w:color w:val="auto"/>
              </w:rPr>
            </w:pPr>
            <w:r>
              <w:rPr>
                <w:rFonts w:ascii="Arial" w:cs="Arial" w:eastAsia="Arial" w:hAnsi="Arial"/>
                <w:sz w:val="18"/>
                <w:szCs w:val="18"/>
                <w:color w:val="auto"/>
                <w:w w:val="84"/>
              </w:rPr>
              <w:t>362.3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5808345</wp:posOffset>
            </wp:positionH>
            <wp:positionV relativeFrom="paragraph">
              <wp:posOffset>-3691255</wp:posOffset>
            </wp:positionV>
            <wp:extent cx="68580" cy="571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-3159760</wp:posOffset>
            </wp:positionV>
            <wp:extent cx="68580" cy="571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0" w:right="339" w:bottom="1440" w:gutter="0" w:footer="0" w:header="0"/>
        </w:sectPr>
      </w:pPr>
    </w:p>
    <w:bookmarkStart w:id="20" w:name="page21"/>
    <w:bookmarkEnd w:id="20"/>
    <w:p>
      <w:pPr>
        <w:ind w:left="360" w:hanging="352"/>
        <w:spacing w:after="0"/>
        <w:tabs>
          <w:tab w:leader="none" w:pos="360"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t>Segment Data</w:t>
      </w:r>
    </w:p>
    <w:p>
      <w:pPr>
        <w:spacing w:after="0" w:line="198" w:lineRule="exact"/>
        <w:rPr>
          <w:sz w:val="20"/>
          <w:szCs w:val="20"/>
          <w:color w:val="auto"/>
        </w:rPr>
      </w:pPr>
    </w:p>
    <w:p>
      <w:pPr>
        <w:ind w:right="100"/>
        <w:spacing w:after="0" w:line="332" w:lineRule="auto"/>
        <w:rPr>
          <w:sz w:val="20"/>
          <w:szCs w:val="20"/>
          <w:color w:val="auto"/>
        </w:rPr>
      </w:pPr>
      <w:r>
        <w:rPr>
          <w:rFonts w:ascii="Arial" w:cs="Arial" w:eastAsia="Arial" w:hAnsi="Arial"/>
          <w:sz w:val="16"/>
          <w:szCs w:val="16"/>
          <w:color w:val="auto"/>
        </w:rPr>
        <w:t>We are organized and managed primarily on a geographic basis. Each country and business unit generally has its own distinct operations and management team, providing services under our global brands, and maintains its own financial reports. We have an executive sponsor for each global brand who is responsible for ensuring the integrity and consistency of delivery across the company. Each operation reports directly or indirectly through a regional manager, to a member of executive management. Given this reporting structure, we operate using the following reporting segments: Americas, which includes United States and Other Americas; Southern Europe, which includes France, Italy and Other Southern Europe; Northern Europe; and APME.</w:t>
      </w:r>
    </w:p>
    <w:p>
      <w:pPr>
        <w:spacing w:after="0" w:line="118" w:lineRule="exact"/>
        <w:rPr>
          <w:sz w:val="20"/>
          <w:szCs w:val="20"/>
          <w:color w:val="auto"/>
        </w:rPr>
      </w:pPr>
    </w:p>
    <w:p>
      <w:pPr>
        <w:spacing w:after="0" w:line="290" w:lineRule="auto"/>
        <w:rPr>
          <w:sz w:val="20"/>
          <w:szCs w:val="20"/>
          <w:color w:val="auto"/>
        </w:rPr>
      </w:pPr>
      <w:r>
        <w:rPr>
          <w:rFonts w:ascii="Arial" w:cs="Arial" w:eastAsia="Arial" w:hAnsi="Arial"/>
          <w:sz w:val="18"/>
          <w:szCs w:val="18"/>
          <w:color w:val="auto"/>
        </w:rPr>
        <w:t>The segments derive a significant majority of their revenues from our staffing and interim services. The remaining revenues within these segments are derived from our outcome-based solutions and consulting services, permanent recruitment services, and other services. Segment revenues represent sales to external clients. We provide services to a wide variety of clients, none of which individually comprise a significant portion of revenues for us as a whole. Due to the nature of our business, we generally do not have export sales.</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03" w:right="37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221"/>
        </w:trPr>
        <w:tc>
          <w:tcPr>
            <w:tcW w:w="78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3160" w:type="dxa"/>
            <w:vAlign w:val="bottom"/>
            <w:tcBorders>
              <w:bottom w:val="single" w:sz="8" w:color="auto"/>
            </w:tcBorders>
            <w:gridSpan w:val="4"/>
          </w:tcPr>
          <w:p>
            <w:pPr>
              <w:jc w:val="right"/>
              <w:ind w:right="430"/>
              <w:spacing w:after="0"/>
              <w:rPr>
                <w:sz w:val="20"/>
                <w:szCs w:val="20"/>
                <w:color w:val="auto"/>
              </w:rPr>
            </w:pPr>
            <w:r>
              <w:rPr>
                <w:rFonts w:ascii="Arial" w:cs="Arial" w:eastAsia="Arial" w:hAnsi="Arial"/>
                <w:sz w:val="18"/>
                <w:szCs w:val="18"/>
                <w:b w:val="1"/>
                <w:bCs w:val="1"/>
                <w:color w:val="auto"/>
                <w:w w:val="98"/>
              </w:rPr>
              <w:t>Three Months Ended March 31,</w:t>
            </w:r>
          </w:p>
        </w:tc>
      </w:tr>
      <w:tr>
        <w:trPr>
          <w:trHeight w:val="196"/>
        </w:trPr>
        <w:tc>
          <w:tcPr>
            <w:tcW w:w="78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610"/>
              <w:spacing w:after="0" w:line="196" w:lineRule="exact"/>
              <w:rPr>
                <w:sz w:val="20"/>
                <w:szCs w:val="20"/>
                <w:color w:val="auto"/>
              </w:rPr>
            </w:pPr>
            <w:r>
              <w:rPr>
                <w:rFonts w:ascii="Arial" w:cs="Arial" w:eastAsia="Arial" w:hAnsi="Arial"/>
                <w:sz w:val="18"/>
                <w:szCs w:val="18"/>
                <w:b w:val="1"/>
                <w:bCs w:val="1"/>
                <w:color w:val="auto"/>
              </w:rPr>
              <w:t>2022</w:t>
            </w:r>
          </w:p>
        </w:tc>
        <w:tc>
          <w:tcPr>
            <w:tcW w:w="1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590"/>
              <w:spacing w:after="0" w:line="196" w:lineRule="exact"/>
              <w:rPr>
                <w:sz w:val="20"/>
                <w:szCs w:val="20"/>
                <w:color w:val="auto"/>
              </w:rPr>
            </w:pPr>
            <w:r>
              <w:rPr>
                <w:rFonts w:ascii="Arial" w:cs="Arial" w:eastAsia="Arial" w:hAnsi="Arial"/>
                <w:sz w:val="18"/>
                <w:szCs w:val="18"/>
                <w:b w:val="1"/>
                <w:bCs w:val="1"/>
                <w:color w:val="auto"/>
              </w:rPr>
              <w:t>2021</w:t>
            </w:r>
          </w:p>
        </w:tc>
      </w:tr>
      <w:tr>
        <w:trPr>
          <w:trHeight w:val="196"/>
        </w:trPr>
        <w:tc>
          <w:tcPr>
            <w:tcW w:w="780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Revenues from services:</w:t>
            </w:r>
          </w:p>
        </w:tc>
        <w:tc>
          <w:tcPr>
            <w:tcW w:w="280" w:type="dxa"/>
            <w:vAlign w:val="bottom"/>
            <w:shd w:val="clear" w:color="auto" w:fill="CFF0FC"/>
          </w:tcPr>
          <w:p>
            <w:pPr>
              <w:spacing w:after="0"/>
              <w:rPr>
                <w:sz w:val="17"/>
                <w:szCs w:val="17"/>
                <w:color w:val="auto"/>
              </w:rPr>
            </w:pPr>
          </w:p>
        </w:tc>
        <w:tc>
          <w:tcPr>
            <w:tcW w:w="14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r>
      <w:tr>
        <w:trPr>
          <w:trHeight w:val="203"/>
        </w:trPr>
        <w:tc>
          <w:tcPr>
            <w:tcW w:w="7800" w:type="dxa"/>
            <w:vAlign w:val="bottom"/>
          </w:tcPr>
          <w:p>
            <w:pPr>
              <w:ind w:left="200"/>
              <w:spacing w:after="0" w:line="202" w:lineRule="exact"/>
              <w:rPr>
                <w:sz w:val="20"/>
                <w:szCs w:val="20"/>
                <w:color w:val="auto"/>
              </w:rPr>
            </w:pPr>
            <w:r>
              <w:rPr>
                <w:rFonts w:ascii="Arial" w:cs="Arial" w:eastAsia="Arial" w:hAnsi="Arial"/>
                <w:sz w:val="18"/>
                <w:szCs w:val="18"/>
                <w:color w:val="auto"/>
              </w:rPr>
              <w:t>Americas:</w:t>
            </w:r>
          </w:p>
        </w:tc>
        <w:tc>
          <w:tcPr>
            <w:tcW w:w="2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03"/>
        </w:trPr>
        <w:tc>
          <w:tcPr>
            <w:tcW w:w="7800" w:type="dxa"/>
            <w:vAlign w:val="bottom"/>
            <w:shd w:val="clear" w:color="auto" w:fill="CFF0FC"/>
          </w:tcPr>
          <w:p>
            <w:pPr>
              <w:ind w:left="380"/>
              <w:spacing w:after="0" w:line="202" w:lineRule="exact"/>
              <w:rPr>
                <w:sz w:val="20"/>
                <w:szCs w:val="20"/>
                <w:color w:val="auto"/>
              </w:rPr>
            </w:pPr>
            <w:r>
              <w:rPr>
                <w:rFonts w:ascii="Arial" w:cs="Arial" w:eastAsia="Arial" w:hAnsi="Arial"/>
                <w:sz w:val="18"/>
                <w:szCs w:val="18"/>
                <w:color w:val="auto"/>
              </w:rPr>
              <w:t>United States (a)</w:t>
            </w:r>
          </w:p>
        </w:tc>
        <w:tc>
          <w:tcPr>
            <w:tcW w:w="280" w:type="dxa"/>
            <w:vAlign w:val="bottom"/>
            <w:shd w:val="clear" w:color="auto" w:fill="CFF0FC"/>
          </w:tcPr>
          <w:p>
            <w:pPr>
              <w:jc w:val="right"/>
              <w:ind w:right="90"/>
              <w:spacing w:after="0" w:line="202" w:lineRule="exact"/>
              <w:rPr>
                <w:sz w:val="20"/>
                <w:szCs w:val="20"/>
                <w:color w:val="auto"/>
              </w:rPr>
            </w:pPr>
            <w:r>
              <w:rPr>
                <w:rFonts w:ascii="Arial" w:cs="Arial" w:eastAsia="Arial" w:hAnsi="Arial"/>
                <w:sz w:val="18"/>
                <w:szCs w:val="18"/>
                <w:color w:val="auto"/>
                <w:w w:val="79"/>
              </w:rPr>
              <w:t>$</w:t>
            </w:r>
          </w:p>
        </w:tc>
        <w:tc>
          <w:tcPr>
            <w:tcW w:w="1400" w:type="dxa"/>
            <w:vAlign w:val="bottom"/>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889.4</w:t>
            </w:r>
          </w:p>
        </w:tc>
        <w:tc>
          <w:tcPr>
            <w:tcW w:w="460" w:type="dxa"/>
            <w:vAlign w:val="bottom"/>
            <w:gridSpan w:val="2"/>
            <w:shd w:val="clear" w:color="auto" w:fill="CFF0FC"/>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300" w:type="dxa"/>
            <w:vAlign w:val="bottom"/>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608.8</w:t>
            </w:r>
          </w:p>
        </w:tc>
      </w:tr>
      <w:tr>
        <w:trPr>
          <w:trHeight w:val="203"/>
        </w:trPr>
        <w:tc>
          <w:tcPr>
            <w:tcW w:w="7800" w:type="dxa"/>
            <w:vAlign w:val="bottom"/>
          </w:tcPr>
          <w:p>
            <w:pPr>
              <w:ind w:left="380"/>
              <w:spacing w:after="0" w:line="202" w:lineRule="exact"/>
              <w:rPr>
                <w:sz w:val="20"/>
                <w:szCs w:val="20"/>
                <w:color w:val="auto"/>
              </w:rPr>
            </w:pPr>
            <w:r>
              <w:rPr>
                <w:rFonts w:ascii="Arial" w:cs="Arial" w:eastAsia="Arial" w:hAnsi="Arial"/>
                <w:sz w:val="18"/>
                <w:szCs w:val="18"/>
                <w:color w:val="auto"/>
              </w:rPr>
              <w:t>Other Americas</w:t>
            </w:r>
          </w:p>
        </w:tc>
        <w:tc>
          <w:tcPr>
            <w:tcW w:w="28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361.8</w:t>
            </w:r>
          </w:p>
        </w:tc>
        <w:tc>
          <w:tcPr>
            <w:tcW w:w="1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394.1</w:t>
            </w:r>
          </w:p>
        </w:tc>
      </w:tr>
      <w:tr>
        <w:trPr>
          <w:trHeight w:val="196"/>
        </w:trPr>
        <w:tc>
          <w:tcPr>
            <w:tcW w:w="780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spacing w:after="0"/>
              <w:rPr>
                <w:sz w:val="17"/>
                <w:szCs w:val="17"/>
                <w:color w:val="auto"/>
              </w:rPr>
            </w:pPr>
          </w:p>
        </w:tc>
        <w:tc>
          <w:tcPr>
            <w:tcW w:w="1400" w:type="dxa"/>
            <w:vAlign w:val="bottom"/>
            <w:tcBorders>
              <w:bottom w:val="single" w:sz="8" w:color="auto"/>
            </w:tcBorders>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rPr>
              <w:t>1,251.2</w:t>
            </w:r>
          </w:p>
        </w:tc>
        <w:tc>
          <w:tcPr>
            <w:tcW w:w="12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bottom w:val="single" w:sz="8" w:color="auto"/>
            </w:tcBorders>
            <w:shd w:val="clear" w:color="auto" w:fill="CFF0FC"/>
          </w:tcPr>
          <w:p>
            <w:pPr>
              <w:spacing w:after="0"/>
              <w:rPr>
                <w:sz w:val="17"/>
                <w:szCs w:val="17"/>
                <w:color w:val="auto"/>
              </w:rPr>
            </w:pPr>
          </w:p>
        </w:tc>
        <w:tc>
          <w:tcPr>
            <w:tcW w:w="1300" w:type="dxa"/>
            <w:vAlign w:val="bottom"/>
            <w:tcBorders>
              <w:bottom w:val="single" w:sz="8" w:color="auto"/>
            </w:tcBorders>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rPr>
              <w:t>1,002.9</w:t>
            </w:r>
          </w:p>
        </w:tc>
      </w:tr>
      <w:tr>
        <w:trPr>
          <w:trHeight w:val="196"/>
        </w:trPr>
        <w:tc>
          <w:tcPr>
            <w:tcW w:w="7800" w:type="dxa"/>
            <w:vAlign w:val="bottom"/>
          </w:tcPr>
          <w:p>
            <w:pPr>
              <w:ind w:left="200"/>
              <w:spacing w:after="0" w:line="196" w:lineRule="exact"/>
              <w:rPr>
                <w:sz w:val="20"/>
                <w:szCs w:val="20"/>
                <w:color w:val="auto"/>
              </w:rPr>
            </w:pPr>
            <w:r>
              <w:rPr>
                <w:rFonts w:ascii="Arial" w:cs="Arial" w:eastAsia="Arial" w:hAnsi="Arial"/>
                <w:sz w:val="18"/>
                <w:szCs w:val="18"/>
                <w:color w:val="auto"/>
              </w:rPr>
              <w:t>Southern Europe:</w:t>
            </w:r>
          </w:p>
        </w:tc>
        <w:tc>
          <w:tcPr>
            <w:tcW w:w="2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03"/>
        </w:trPr>
        <w:tc>
          <w:tcPr>
            <w:tcW w:w="7800" w:type="dxa"/>
            <w:vAlign w:val="bottom"/>
            <w:shd w:val="clear" w:color="auto" w:fill="CFF0FC"/>
          </w:tcPr>
          <w:p>
            <w:pPr>
              <w:ind w:left="380"/>
              <w:spacing w:after="0" w:line="202" w:lineRule="exact"/>
              <w:rPr>
                <w:sz w:val="20"/>
                <w:szCs w:val="20"/>
                <w:color w:val="auto"/>
              </w:rPr>
            </w:pPr>
            <w:r>
              <w:rPr>
                <w:rFonts w:ascii="Arial" w:cs="Arial" w:eastAsia="Arial" w:hAnsi="Arial"/>
                <w:sz w:val="18"/>
                <w:szCs w:val="18"/>
                <w:color w:val="auto"/>
              </w:rPr>
              <w:t>France</w:t>
            </w:r>
          </w:p>
        </w:tc>
        <w:tc>
          <w:tcPr>
            <w:tcW w:w="280" w:type="dxa"/>
            <w:vAlign w:val="bottom"/>
            <w:shd w:val="clear" w:color="auto" w:fill="CFF0FC"/>
          </w:tcPr>
          <w:p>
            <w:pPr>
              <w:spacing w:after="0"/>
              <w:rPr>
                <w:sz w:val="17"/>
                <w:szCs w:val="17"/>
                <w:color w:val="auto"/>
              </w:rPr>
            </w:pPr>
          </w:p>
        </w:tc>
        <w:tc>
          <w:tcPr>
            <w:tcW w:w="1400" w:type="dxa"/>
            <w:vAlign w:val="bottom"/>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1,192.4</w:t>
            </w:r>
          </w:p>
        </w:tc>
        <w:tc>
          <w:tcPr>
            <w:tcW w:w="1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300" w:type="dxa"/>
            <w:vAlign w:val="bottom"/>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1,188.9</w:t>
            </w:r>
          </w:p>
        </w:tc>
      </w:tr>
      <w:tr>
        <w:trPr>
          <w:trHeight w:val="203"/>
        </w:trPr>
        <w:tc>
          <w:tcPr>
            <w:tcW w:w="7800" w:type="dxa"/>
            <w:vAlign w:val="bottom"/>
          </w:tcPr>
          <w:p>
            <w:pPr>
              <w:ind w:left="380"/>
              <w:spacing w:after="0" w:line="202" w:lineRule="exact"/>
              <w:rPr>
                <w:sz w:val="20"/>
                <w:szCs w:val="20"/>
                <w:color w:val="auto"/>
              </w:rPr>
            </w:pPr>
            <w:r>
              <w:rPr>
                <w:rFonts w:ascii="Arial" w:cs="Arial" w:eastAsia="Arial" w:hAnsi="Arial"/>
                <w:sz w:val="18"/>
                <w:szCs w:val="18"/>
                <w:color w:val="auto"/>
              </w:rPr>
              <w:t>Italy</w:t>
            </w:r>
          </w:p>
        </w:tc>
        <w:tc>
          <w:tcPr>
            <w:tcW w:w="280" w:type="dxa"/>
            <w:vAlign w:val="bottom"/>
          </w:tcPr>
          <w:p>
            <w:pPr>
              <w:spacing w:after="0"/>
              <w:rPr>
                <w:sz w:val="17"/>
                <w:szCs w:val="17"/>
                <w:color w:val="auto"/>
              </w:rPr>
            </w:pPr>
          </w:p>
        </w:tc>
        <w:tc>
          <w:tcPr>
            <w:tcW w:w="14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445.0</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402.8</w:t>
            </w:r>
          </w:p>
        </w:tc>
      </w:tr>
      <w:tr>
        <w:trPr>
          <w:trHeight w:val="203"/>
        </w:trPr>
        <w:tc>
          <w:tcPr>
            <w:tcW w:w="7800" w:type="dxa"/>
            <w:vAlign w:val="bottom"/>
            <w:tcBorders>
              <w:bottom w:val="single" w:sz="8" w:color="CFF0FC"/>
            </w:tcBorders>
            <w:shd w:val="clear" w:color="auto" w:fill="CFF0FC"/>
          </w:tcPr>
          <w:p>
            <w:pPr>
              <w:ind w:left="380"/>
              <w:spacing w:after="0" w:line="202" w:lineRule="exact"/>
              <w:rPr>
                <w:sz w:val="20"/>
                <w:szCs w:val="20"/>
                <w:color w:val="auto"/>
              </w:rPr>
            </w:pPr>
            <w:r>
              <w:rPr>
                <w:rFonts w:ascii="Arial" w:cs="Arial" w:eastAsia="Arial" w:hAnsi="Arial"/>
                <w:sz w:val="18"/>
                <w:szCs w:val="18"/>
                <w:color w:val="auto"/>
              </w:rPr>
              <w:t>Other Southern Europe</w:t>
            </w:r>
          </w:p>
        </w:tc>
        <w:tc>
          <w:tcPr>
            <w:tcW w:w="280" w:type="dxa"/>
            <w:vAlign w:val="bottom"/>
            <w:tcBorders>
              <w:bottom w:val="single" w:sz="8" w:color="auto"/>
            </w:tcBorders>
            <w:shd w:val="clear" w:color="auto" w:fill="CFF0FC"/>
          </w:tcPr>
          <w:p>
            <w:pPr>
              <w:spacing w:after="0"/>
              <w:rPr>
                <w:sz w:val="17"/>
                <w:szCs w:val="17"/>
                <w:color w:val="auto"/>
              </w:rPr>
            </w:pPr>
          </w:p>
        </w:tc>
        <w:tc>
          <w:tcPr>
            <w:tcW w:w="1400" w:type="dxa"/>
            <w:vAlign w:val="bottom"/>
            <w:tcBorders>
              <w:bottom w:val="single" w:sz="8" w:color="auto"/>
            </w:tcBorders>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556.5</w:t>
            </w:r>
          </w:p>
        </w:tc>
        <w:tc>
          <w:tcPr>
            <w:tcW w:w="12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bottom w:val="single" w:sz="8" w:color="auto"/>
            </w:tcBorders>
            <w:shd w:val="clear" w:color="auto" w:fill="CFF0FC"/>
          </w:tcPr>
          <w:p>
            <w:pPr>
              <w:spacing w:after="0"/>
              <w:rPr>
                <w:sz w:val="17"/>
                <w:szCs w:val="17"/>
                <w:color w:val="auto"/>
              </w:rPr>
            </w:pPr>
          </w:p>
        </w:tc>
        <w:tc>
          <w:tcPr>
            <w:tcW w:w="1300" w:type="dxa"/>
            <w:vAlign w:val="bottom"/>
            <w:tcBorders>
              <w:bottom w:val="single" w:sz="8" w:color="auto"/>
            </w:tcBorders>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568.6</w:t>
            </w:r>
          </w:p>
        </w:tc>
      </w:tr>
      <w:tr>
        <w:trPr>
          <w:trHeight w:val="196"/>
        </w:trPr>
        <w:tc>
          <w:tcPr>
            <w:tcW w:w="78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2,193.9</w:t>
            </w:r>
          </w:p>
        </w:tc>
        <w:tc>
          <w:tcPr>
            <w:tcW w:w="1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2,160.3</w:t>
            </w:r>
          </w:p>
        </w:tc>
      </w:tr>
      <w:tr>
        <w:trPr>
          <w:trHeight w:val="196"/>
        </w:trPr>
        <w:tc>
          <w:tcPr>
            <w:tcW w:w="78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4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r>
      <w:tr>
        <w:trPr>
          <w:trHeight w:val="203"/>
        </w:trPr>
        <w:tc>
          <w:tcPr>
            <w:tcW w:w="7800" w:type="dxa"/>
            <w:vAlign w:val="bottom"/>
          </w:tcPr>
          <w:p>
            <w:pPr>
              <w:ind w:left="200"/>
              <w:spacing w:after="0" w:line="202" w:lineRule="exact"/>
              <w:rPr>
                <w:sz w:val="20"/>
                <w:szCs w:val="20"/>
                <w:color w:val="auto"/>
              </w:rPr>
            </w:pPr>
            <w:r>
              <w:rPr>
                <w:rFonts w:ascii="Arial" w:cs="Arial" w:eastAsia="Arial" w:hAnsi="Arial"/>
                <w:sz w:val="18"/>
                <w:szCs w:val="18"/>
                <w:color w:val="auto"/>
              </w:rPr>
              <w:t>Northern Europe</w:t>
            </w:r>
          </w:p>
        </w:tc>
        <w:tc>
          <w:tcPr>
            <w:tcW w:w="280" w:type="dxa"/>
            <w:vAlign w:val="bottom"/>
          </w:tcPr>
          <w:p>
            <w:pPr>
              <w:spacing w:after="0"/>
              <w:rPr>
                <w:sz w:val="17"/>
                <w:szCs w:val="17"/>
                <w:color w:val="auto"/>
              </w:rPr>
            </w:pPr>
          </w:p>
        </w:tc>
        <w:tc>
          <w:tcPr>
            <w:tcW w:w="14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1,094.5</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1,133.8</w:t>
            </w:r>
          </w:p>
        </w:tc>
      </w:tr>
      <w:tr>
        <w:trPr>
          <w:trHeight w:val="203"/>
        </w:trPr>
        <w:tc>
          <w:tcPr>
            <w:tcW w:w="7800" w:type="dxa"/>
            <w:vAlign w:val="bottom"/>
            <w:tcBorders>
              <w:bottom w:val="single" w:sz="8" w:color="CFF0FC"/>
            </w:tcBorders>
            <w:shd w:val="clear" w:color="auto" w:fill="CFF0FC"/>
          </w:tcPr>
          <w:p>
            <w:pPr>
              <w:ind w:left="200"/>
              <w:spacing w:after="0" w:line="202" w:lineRule="exact"/>
              <w:rPr>
                <w:sz w:val="20"/>
                <w:szCs w:val="20"/>
                <w:color w:val="auto"/>
              </w:rPr>
            </w:pPr>
            <w:r>
              <w:rPr>
                <w:rFonts w:ascii="Arial" w:cs="Arial" w:eastAsia="Arial" w:hAnsi="Arial"/>
                <w:sz w:val="18"/>
                <w:szCs w:val="18"/>
                <w:color w:val="auto"/>
              </w:rPr>
              <w:t>APME</w:t>
            </w:r>
          </w:p>
        </w:tc>
        <w:tc>
          <w:tcPr>
            <w:tcW w:w="280" w:type="dxa"/>
            <w:vAlign w:val="bottom"/>
            <w:tcBorders>
              <w:bottom w:val="single" w:sz="8" w:color="auto"/>
            </w:tcBorders>
            <w:shd w:val="clear" w:color="auto" w:fill="CFF0FC"/>
          </w:tcPr>
          <w:p>
            <w:pPr>
              <w:spacing w:after="0"/>
              <w:rPr>
                <w:sz w:val="17"/>
                <w:szCs w:val="17"/>
                <w:color w:val="auto"/>
              </w:rPr>
            </w:pPr>
          </w:p>
        </w:tc>
        <w:tc>
          <w:tcPr>
            <w:tcW w:w="1400" w:type="dxa"/>
            <w:vAlign w:val="bottom"/>
            <w:tcBorders>
              <w:bottom w:val="single" w:sz="8" w:color="auto"/>
            </w:tcBorders>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618.2</w:t>
            </w:r>
          </w:p>
        </w:tc>
        <w:tc>
          <w:tcPr>
            <w:tcW w:w="12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bottom w:val="single" w:sz="8" w:color="auto"/>
            </w:tcBorders>
            <w:shd w:val="clear" w:color="auto" w:fill="CFF0FC"/>
          </w:tcPr>
          <w:p>
            <w:pPr>
              <w:spacing w:after="0"/>
              <w:rPr>
                <w:sz w:val="17"/>
                <w:szCs w:val="17"/>
                <w:color w:val="auto"/>
              </w:rPr>
            </w:pPr>
          </w:p>
        </w:tc>
        <w:tc>
          <w:tcPr>
            <w:tcW w:w="1300" w:type="dxa"/>
            <w:vAlign w:val="bottom"/>
            <w:tcBorders>
              <w:bottom w:val="single" w:sz="8" w:color="auto"/>
            </w:tcBorders>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627.4</w:t>
            </w:r>
          </w:p>
        </w:tc>
      </w:tr>
      <w:tr>
        <w:trPr>
          <w:trHeight w:val="196"/>
        </w:trPr>
        <w:tc>
          <w:tcPr>
            <w:tcW w:w="78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5,157.8</w:t>
            </w:r>
          </w:p>
        </w:tc>
        <w:tc>
          <w:tcPr>
            <w:tcW w:w="1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4,924.4</w:t>
            </w:r>
          </w:p>
        </w:tc>
      </w:tr>
      <w:tr>
        <w:trPr>
          <w:trHeight w:val="196"/>
        </w:trPr>
        <w:tc>
          <w:tcPr>
            <w:tcW w:w="7800" w:type="dxa"/>
            <w:vAlign w:val="bottom"/>
            <w:tcBorders>
              <w:bottom w:val="single" w:sz="8" w:color="CFF0FC"/>
            </w:tcBorders>
            <w:shd w:val="clear" w:color="auto" w:fill="CFF0FC"/>
          </w:tcPr>
          <w:p>
            <w:pPr>
              <w:ind w:left="200"/>
              <w:spacing w:after="0" w:line="196" w:lineRule="exact"/>
              <w:rPr>
                <w:sz w:val="20"/>
                <w:szCs w:val="20"/>
                <w:color w:val="auto"/>
              </w:rPr>
            </w:pPr>
            <w:r>
              <w:rPr>
                <w:rFonts w:ascii="Arial" w:cs="Arial" w:eastAsia="Arial" w:hAnsi="Arial"/>
                <w:sz w:val="18"/>
                <w:szCs w:val="18"/>
                <w:color w:val="auto"/>
              </w:rPr>
              <w:t>Intercompany Eliminations</w:t>
            </w:r>
          </w:p>
        </w:tc>
        <w:tc>
          <w:tcPr>
            <w:tcW w:w="280" w:type="dxa"/>
            <w:vAlign w:val="bottom"/>
            <w:tcBorders>
              <w:bottom w:val="single" w:sz="8" w:color="auto"/>
            </w:tcBorders>
            <w:shd w:val="clear" w:color="auto" w:fill="CFF0FC"/>
          </w:tcPr>
          <w:p>
            <w:pPr>
              <w:spacing w:after="0"/>
              <w:rPr>
                <w:sz w:val="17"/>
                <w:szCs w:val="17"/>
                <w:color w:val="auto"/>
              </w:rPr>
            </w:pPr>
          </w:p>
        </w:tc>
        <w:tc>
          <w:tcPr>
            <w:tcW w:w="14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(14.5 )</w:t>
            </w:r>
          </w:p>
        </w:tc>
        <w:tc>
          <w:tcPr>
            <w:tcW w:w="12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bottom w:val="single" w:sz="8" w:color="auto"/>
            </w:tcBorders>
            <w:shd w:val="clear" w:color="auto" w:fill="CFF0FC"/>
          </w:tcPr>
          <w:p>
            <w:pPr>
              <w:spacing w:after="0"/>
              <w:rPr>
                <w:sz w:val="17"/>
                <w:szCs w:val="17"/>
                <w:color w:val="auto"/>
              </w:rPr>
            </w:pPr>
          </w:p>
        </w:tc>
        <w:tc>
          <w:tcPr>
            <w:tcW w:w="1300" w:type="dxa"/>
            <w:vAlign w:val="bottom"/>
            <w:tcBorders>
              <w:bottom w:val="single" w:sz="8" w:color="auto"/>
            </w:tcBorders>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rPr>
              <w:t>—</w:t>
            </w:r>
          </w:p>
        </w:tc>
      </w:tr>
      <w:tr>
        <w:trPr>
          <w:trHeight w:val="196"/>
        </w:trPr>
        <w:tc>
          <w:tcPr>
            <w:tcW w:w="7800" w:type="dxa"/>
            <w:vAlign w:val="bottom"/>
          </w:tcPr>
          <w:p>
            <w:pPr>
              <w:ind w:left="200"/>
              <w:spacing w:after="0" w:line="196" w:lineRule="exact"/>
              <w:rPr>
                <w:sz w:val="20"/>
                <w:szCs w:val="20"/>
                <w:color w:val="auto"/>
              </w:rPr>
            </w:pPr>
            <w:r>
              <w:rPr>
                <w:rFonts w:ascii="Arial" w:cs="Arial" w:eastAsia="Arial" w:hAnsi="Arial"/>
                <w:sz w:val="18"/>
                <w:szCs w:val="18"/>
                <w:color w:val="auto"/>
              </w:rPr>
              <w:t>Consolidated (b)</w:t>
            </w:r>
          </w:p>
        </w:tc>
        <w:tc>
          <w:tcPr>
            <w:tcW w:w="280" w:type="dxa"/>
            <w:vAlign w:val="bottom"/>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400" w:type="dxa"/>
            <w:vAlign w:val="bottom"/>
          </w:tcPr>
          <w:p>
            <w:pPr>
              <w:jc w:val="right"/>
              <w:ind w:right="10"/>
              <w:spacing w:after="0" w:line="196" w:lineRule="exact"/>
              <w:rPr>
                <w:sz w:val="20"/>
                <w:szCs w:val="20"/>
                <w:color w:val="auto"/>
              </w:rPr>
            </w:pPr>
            <w:r>
              <w:rPr>
                <w:rFonts w:ascii="Arial" w:cs="Arial" w:eastAsia="Arial" w:hAnsi="Arial"/>
                <w:sz w:val="18"/>
                <w:szCs w:val="18"/>
                <w:color w:val="auto"/>
              </w:rPr>
              <w:t>5,143.3</w:t>
            </w:r>
          </w:p>
        </w:tc>
        <w:tc>
          <w:tcPr>
            <w:tcW w:w="460" w:type="dxa"/>
            <w:vAlign w:val="bottom"/>
            <w:gridSpan w:val="2"/>
          </w:tcPr>
          <w:p>
            <w:pPr>
              <w:jc w:val="right"/>
              <w:ind w:right="240"/>
              <w:spacing w:after="0" w:line="196" w:lineRule="exact"/>
              <w:rPr>
                <w:sz w:val="20"/>
                <w:szCs w:val="20"/>
                <w:color w:val="auto"/>
              </w:rPr>
            </w:pPr>
            <w:r>
              <w:rPr>
                <w:rFonts w:ascii="Arial" w:cs="Arial" w:eastAsia="Arial" w:hAnsi="Arial"/>
                <w:sz w:val="18"/>
                <w:szCs w:val="18"/>
                <w:color w:val="auto"/>
              </w:rPr>
              <w:t>$</w:t>
            </w:r>
          </w:p>
        </w:tc>
        <w:tc>
          <w:tcPr>
            <w:tcW w:w="1300" w:type="dxa"/>
            <w:vAlign w:val="bottom"/>
          </w:tcPr>
          <w:p>
            <w:pPr>
              <w:jc w:val="right"/>
              <w:ind w:right="10"/>
              <w:spacing w:after="0" w:line="196" w:lineRule="exact"/>
              <w:rPr>
                <w:sz w:val="20"/>
                <w:szCs w:val="20"/>
                <w:color w:val="auto"/>
              </w:rPr>
            </w:pPr>
            <w:r>
              <w:rPr>
                <w:rFonts w:ascii="Arial" w:cs="Arial" w:eastAsia="Arial" w:hAnsi="Arial"/>
                <w:sz w:val="18"/>
                <w:szCs w:val="18"/>
                <w:color w:val="auto"/>
              </w:rPr>
              <w:t>4,924.4</w:t>
            </w:r>
          </w:p>
        </w:tc>
      </w:tr>
      <w:tr>
        <w:trPr>
          <w:trHeight w:val="20"/>
        </w:trPr>
        <w:tc>
          <w:tcPr>
            <w:tcW w:w="78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r>
        <w:trPr>
          <w:trHeight w:val="183"/>
        </w:trPr>
        <w:tc>
          <w:tcPr>
            <w:tcW w:w="780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4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300" w:type="dxa"/>
            <w:vAlign w:val="bottom"/>
            <w:shd w:val="clear" w:color="auto" w:fill="CFF0FC"/>
          </w:tcPr>
          <w:p>
            <w:pPr>
              <w:spacing w:after="0"/>
              <w:rPr>
                <w:sz w:val="15"/>
                <w:szCs w:val="15"/>
                <w:color w:val="auto"/>
              </w:rPr>
            </w:pPr>
          </w:p>
        </w:tc>
      </w:tr>
      <w:tr>
        <w:trPr>
          <w:trHeight w:val="203"/>
        </w:trPr>
        <w:tc>
          <w:tcPr>
            <w:tcW w:w="7800" w:type="dxa"/>
            <w:vAlign w:val="bottom"/>
          </w:tcPr>
          <w:p>
            <w:pPr>
              <w:ind w:left="20"/>
              <w:spacing w:after="0" w:line="202" w:lineRule="exact"/>
              <w:rPr>
                <w:sz w:val="20"/>
                <w:szCs w:val="20"/>
                <w:color w:val="auto"/>
              </w:rPr>
            </w:pPr>
            <w:r>
              <w:rPr>
                <w:rFonts w:ascii="Arial" w:cs="Arial" w:eastAsia="Arial" w:hAnsi="Arial"/>
                <w:sz w:val="18"/>
                <w:szCs w:val="18"/>
                <w:color w:val="auto"/>
              </w:rPr>
              <w:t>Operating unit profit: (c)</w:t>
            </w:r>
          </w:p>
        </w:tc>
        <w:tc>
          <w:tcPr>
            <w:tcW w:w="2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03"/>
        </w:trPr>
        <w:tc>
          <w:tcPr>
            <w:tcW w:w="780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Americas:</w:t>
            </w:r>
          </w:p>
        </w:tc>
        <w:tc>
          <w:tcPr>
            <w:tcW w:w="280" w:type="dxa"/>
            <w:vAlign w:val="bottom"/>
            <w:shd w:val="clear" w:color="auto" w:fill="CFF0FC"/>
          </w:tcPr>
          <w:p>
            <w:pPr>
              <w:spacing w:after="0"/>
              <w:rPr>
                <w:sz w:val="17"/>
                <w:szCs w:val="17"/>
                <w:color w:val="auto"/>
              </w:rPr>
            </w:pPr>
          </w:p>
        </w:tc>
        <w:tc>
          <w:tcPr>
            <w:tcW w:w="14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r>
      <w:tr>
        <w:trPr>
          <w:trHeight w:val="203"/>
        </w:trPr>
        <w:tc>
          <w:tcPr>
            <w:tcW w:w="7800" w:type="dxa"/>
            <w:vAlign w:val="bottom"/>
          </w:tcPr>
          <w:p>
            <w:pPr>
              <w:ind w:left="380"/>
              <w:spacing w:after="0" w:line="202" w:lineRule="exact"/>
              <w:rPr>
                <w:sz w:val="20"/>
                <w:szCs w:val="20"/>
                <w:color w:val="auto"/>
              </w:rPr>
            </w:pPr>
            <w:r>
              <w:rPr>
                <w:rFonts w:ascii="Arial" w:cs="Arial" w:eastAsia="Arial" w:hAnsi="Arial"/>
                <w:sz w:val="18"/>
                <w:szCs w:val="18"/>
                <w:color w:val="auto"/>
              </w:rPr>
              <w:t>United States</w:t>
            </w:r>
          </w:p>
        </w:tc>
        <w:tc>
          <w:tcPr>
            <w:tcW w:w="280" w:type="dxa"/>
            <w:vAlign w:val="bottom"/>
          </w:tcPr>
          <w:p>
            <w:pPr>
              <w:jc w:val="right"/>
              <w:ind w:right="90"/>
              <w:spacing w:after="0" w:line="202" w:lineRule="exact"/>
              <w:rPr>
                <w:sz w:val="20"/>
                <w:szCs w:val="20"/>
                <w:color w:val="auto"/>
              </w:rPr>
            </w:pPr>
            <w:r>
              <w:rPr>
                <w:rFonts w:ascii="Arial" w:cs="Arial" w:eastAsia="Arial" w:hAnsi="Arial"/>
                <w:sz w:val="18"/>
                <w:szCs w:val="18"/>
                <w:color w:val="auto"/>
                <w:w w:val="79"/>
              </w:rPr>
              <w:t>$</w:t>
            </w:r>
          </w:p>
        </w:tc>
        <w:tc>
          <w:tcPr>
            <w:tcW w:w="14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58.3</w:t>
            </w:r>
          </w:p>
        </w:tc>
        <w:tc>
          <w:tcPr>
            <w:tcW w:w="46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3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29.2</w:t>
            </w:r>
          </w:p>
        </w:tc>
      </w:tr>
      <w:tr>
        <w:trPr>
          <w:trHeight w:val="203"/>
        </w:trPr>
        <w:tc>
          <w:tcPr>
            <w:tcW w:w="7800" w:type="dxa"/>
            <w:vAlign w:val="bottom"/>
            <w:tcBorders>
              <w:bottom w:val="single" w:sz="8" w:color="CFF0FC"/>
            </w:tcBorders>
            <w:shd w:val="clear" w:color="auto" w:fill="CFF0FC"/>
          </w:tcPr>
          <w:p>
            <w:pPr>
              <w:ind w:left="380"/>
              <w:spacing w:after="0" w:line="202" w:lineRule="exact"/>
              <w:rPr>
                <w:sz w:val="20"/>
                <w:szCs w:val="20"/>
                <w:color w:val="auto"/>
              </w:rPr>
            </w:pPr>
            <w:r>
              <w:rPr>
                <w:rFonts w:ascii="Arial" w:cs="Arial" w:eastAsia="Arial" w:hAnsi="Arial"/>
                <w:sz w:val="18"/>
                <w:szCs w:val="18"/>
                <w:color w:val="auto"/>
              </w:rPr>
              <w:t>Other Americas</w:t>
            </w:r>
          </w:p>
        </w:tc>
        <w:tc>
          <w:tcPr>
            <w:tcW w:w="280" w:type="dxa"/>
            <w:vAlign w:val="bottom"/>
            <w:tcBorders>
              <w:bottom w:val="single" w:sz="8" w:color="auto"/>
            </w:tcBorders>
            <w:shd w:val="clear" w:color="auto" w:fill="CFF0FC"/>
          </w:tcPr>
          <w:p>
            <w:pPr>
              <w:spacing w:after="0"/>
              <w:rPr>
                <w:sz w:val="17"/>
                <w:szCs w:val="17"/>
                <w:color w:val="auto"/>
              </w:rPr>
            </w:pPr>
          </w:p>
        </w:tc>
        <w:tc>
          <w:tcPr>
            <w:tcW w:w="1400" w:type="dxa"/>
            <w:vAlign w:val="bottom"/>
            <w:tcBorders>
              <w:bottom w:val="single" w:sz="8" w:color="auto"/>
            </w:tcBorders>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14.5</w:t>
            </w:r>
          </w:p>
        </w:tc>
        <w:tc>
          <w:tcPr>
            <w:tcW w:w="12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bottom w:val="single" w:sz="8" w:color="auto"/>
            </w:tcBorders>
            <w:shd w:val="clear" w:color="auto" w:fill="CFF0FC"/>
          </w:tcPr>
          <w:p>
            <w:pPr>
              <w:spacing w:after="0"/>
              <w:rPr>
                <w:sz w:val="17"/>
                <w:szCs w:val="17"/>
                <w:color w:val="auto"/>
              </w:rPr>
            </w:pPr>
          </w:p>
        </w:tc>
        <w:tc>
          <w:tcPr>
            <w:tcW w:w="1300" w:type="dxa"/>
            <w:vAlign w:val="bottom"/>
            <w:tcBorders>
              <w:bottom w:val="single" w:sz="8" w:color="auto"/>
            </w:tcBorders>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14.9</w:t>
            </w:r>
          </w:p>
        </w:tc>
      </w:tr>
      <w:tr>
        <w:trPr>
          <w:trHeight w:val="196"/>
        </w:trPr>
        <w:tc>
          <w:tcPr>
            <w:tcW w:w="78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72.8</w:t>
            </w:r>
          </w:p>
        </w:tc>
        <w:tc>
          <w:tcPr>
            <w:tcW w:w="1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44.1</w:t>
            </w:r>
          </w:p>
        </w:tc>
      </w:tr>
      <w:tr>
        <w:trPr>
          <w:trHeight w:val="196"/>
        </w:trPr>
        <w:tc>
          <w:tcPr>
            <w:tcW w:w="7800" w:type="dxa"/>
            <w:vAlign w:val="bottom"/>
            <w:shd w:val="clear" w:color="auto" w:fill="CFF0FC"/>
          </w:tcPr>
          <w:p>
            <w:pPr>
              <w:ind w:left="200"/>
              <w:spacing w:after="0" w:line="196" w:lineRule="exact"/>
              <w:rPr>
                <w:sz w:val="20"/>
                <w:szCs w:val="20"/>
                <w:color w:val="auto"/>
              </w:rPr>
            </w:pPr>
            <w:r>
              <w:rPr>
                <w:rFonts w:ascii="Arial" w:cs="Arial" w:eastAsia="Arial" w:hAnsi="Arial"/>
                <w:sz w:val="18"/>
                <w:szCs w:val="18"/>
                <w:color w:val="auto"/>
              </w:rPr>
              <w:t>Southern Europe:</w:t>
            </w:r>
          </w:p>
        </w:tc>
        <w:tc>
          <w:tcPr>
            <w:tcW w:w="280" w:type="dxa"/>
            <w:vAlign w:val="bottom"/>
            <w:shd w:val="clear" w:color="auto" w:fill="CFF0FC"/>
          </w:tcPr>
          <w:p>
            <w:pPr>
              <w:spacing w:after="0"/>
              <w:rPr>
                <w:sz w:val="17"/>
                <w:szCs w:val="17"/>
                <w:color w:val="auto"/>
              </w:rPr>
            </w:pPr>
          </w:p>
        </w:tc>
        <w:tc>
          <w:tcPr>
            <w:tcW w:w="14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r>
      <w:tr>
        <w:trPr>
          <w:trHeight w:val="203"/>
        </w:trPr>
        <w:tc>
          <w:tcPr>
            <w:tcW w:w="7800" w:type="dxa"/>
            <w:vAlign w:val="bottom"/>
          </w:tcPr>
          <w:p>
            <w:pPr>
              <w:ind w:left="380"/>
              <w:spacing w:after="0" w:line="202" w:lineRule="exact"/>
              <w:rPr>
                <w:sz w:val="20"/>
                <w:szCs w:val="20"/>
                <w:color w:val="auto"/>
              </w:rPr>
            </w:pPr>
            <w:r>
              <w:rPr>
                <w:rFonts w:ascii="Arial" w:cs="Arial" w:eastAsia="Arial" w:hAnsi="Arial"/>
                <w:sz w:val="18"/>
                <w:szCs w:val="18"/>
                <w:color w:val="auto"/>
              </w:rPr>
              <w:t>France</w:t>
            </w:r>
          </w:p>
        </w:tc>
        <w:tc>
          <w:tcPr>
            <w:tcW w:w="280" w:type="dxa"/>
            <w:vAlign w:val="bottom"/>
          </w:tcPr>
          <w:p>
            <w:pPr>
              <w:spacing w:after="0"/>
              <w:rPr>
                <w:sz w:val="17"/>
                <w:szCs w:val="17"/>
                <w:color w:val="auto"/>
              </w:rPr>
            </w:pPr>
          </w:p>
        </w:tc>
        <w:tc>
          <w:tcPr>
            <w:tcW w:w="14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49.6</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42.6</w:t>
            </w:r>
          </w:p>
        </w:tc>
      </w:tr>
      <w:tr>
        <w:trPr>
          <w:trHeight w:val="203"/>
        </w:trPr>
        <w:tc>
          <w:tcPr>
            <w:tcW w:w="7800" w:type="dxa"/>
            <w:vAlign w:val="bottom"/>
            <w:shd w:val="clear" w:color="auto" w:fill="CFF0FC"/>
          </w:tcPr>
          <w:p>
            <w:pPr>
              <w:ind w:left="380"/>
              <w:spacing w:after="0" w:line="202" w:lineRule="exact"/>
              <w:rPr>
                <w:sz w:val="20"/>
                <w:szCs w:val="20"/>
                <w:color w:val="auto"/>
              </w:rPr>
            </w:pPr>
            <w:r>
              <w:rPr>
                <w:rFonts w:ascii="Arial" w:cs="Arial" w:eastAsia="Arial" w:hAnsi="Arial"/>
                <w:sz w:val="18"/>
                <w:szCs w:val="18"/>
                <w:color w:val="auto"/>
              </w:rPr>
              <w:t>Italy</w:t>
            </w:r>
          </w:p>
        </w:tc>
        <w:tc>
          <w:tcPr>
            <w:tcW w:w="280" w:type="dxa"/>
            <w:vAlign w:val="bottom"/>
            <w:shd w:val="clear" w:color="auto" w:fill="CFF0FC"/>
          </w:tcPr>
          <w:p>
            <w:pPr>
              <w:spacing w:after="0"/>
              <w:rPr>
                <w:sz w:val="17"/>
                <w:szCs w:val="17"/>
                <w:color w:val="auto"/>
              </w:rPr>
            </w:pPr>
          </w:p>
        </w:tc>
        <w:tc>
          <w:tcPr>
            <w:tcW w:w="1400" w:type="dxa"/>
            <w:vAlign w:val="bottom"/>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29.0</w:t>
            </w:r>
          </w:p>
        </w:tc>
        <w:tc>
          <w:tcPr>
            <w:tcW w:w="1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300" w:type="dxa"/>
            <w:vAlign w:val="bottom"/>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19.4</w:t>
            </w:r>
          </w:p>
        </w:tc>
      </w:tr>
      <w:tr>
        <w:trPr>
          <w:trHeight w:val="203"/>
        </w:trPr>
        <w:tc>
          <w:tcPr>
            <w:tcW w:w="7800" w:type="dxa"/>
            <w:vAlign w:val="bottom"/>
          </w:tcPr>
          <w:p>
            <w:pPr>
              <w:ind w:left="380"/>
              <w:spacing w:after="0" w:line="202" w:lineRule="exact"/>
              <w:rPr>
                <w:sz w:val="20"/>
                <w:szCs w:val="20"/>
                <w:color w:val="auto"/>
              </w:rPr>
            </w:pPr>
            <w:r>
              <w:rPr>
                <w:rFonts w:ascii="Arial" w:cs="Arial" w:eastAsia="Arial" w:hAnsi="Arial"/>
                <w:sz w:val="18"/>
                <w:szCs w:val="18"/>
                <w:color w:val="auto"/>
              </w:rPr>
              <w:t>Other Southern Europe</w:t>
            </w:r>
          </w:p>
        </w:tc>
        <w:tc>
          <w:tcPr>
            <w:tcW w:w="28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16.6</w:t>
            </w:r>
          </w:p>
        </w:tc>
        <w:tc>
          <w:tcPr>
            <w:tcW w:w="1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11.4</w:t>
            </w:r>
          </w:p>
        </w:tc>
      </w:tr>
      <w:tr>
        <w:trPr>
          <w:trHeight w:val="196"/>
        </w:trPr>
        <w:tc>
          <w:tcPr>
            <w:tcW w:w="780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spacing w:after="0"/>
              <w:rPr>
                <w:sz w:val="17"/>
                <w:szCs w:val="17"/>
                <w:color w:val="auto"/>
              </w:rPr>
            </w:pPr>
          </w:p>
        </w:tc>
        <w:tc>
          <w:tcPr>
            <w:tcW w:w="1400" w:type="dxa"/>
            <w:vAlign w:val="bottom"/>
            <w:tcBorders>
              <w:bottom w:val="single" w:sz="8" w:color="auto"/>
            </w:tcBorders>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rPr>
              <w:t>95.2</w:t>
            </w:r>
          </w:p>
        </w:tc>
        <w:tc>
          <w:tcPr>
            <w:tcW w:w="12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bottom w:val="single" w:sz="8" w:color="auto"/>
            </w:tcBorders>
            <w:shd w:val="clear" w:color="auto" w:fill="CFF0FC"/>
          </w:tcPr>
          <w:p>
            <w:pPr>
              <w:spacing w:after="0"/>
              <w:rPr>
                <w:sz w:val="17"/>
                <w:szCs w:val="17"/>
                <w:color w:val="auto"/>
              </w:rPr>
            </w:pPr>
          </w:p>
        </w:tc>
        <w:tc>
          <w:tcPr>
            <w:tcW w:w="1300" w:type="dxa"/>
            <w:vAlign w:val="bottom"/>
            <w:tcBorders>
              <w:bottom w:val="single" w:sz="8" w:color="auto"/>
            </w:tcBorders>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rPr>
              <w:t>73.4</w:t>
            </w:r>
          </w:p>
        </w:tc>
      </w:tr>
      <w:tr>
        <w:trPr>
          <w:trHeight w:val="196"/>
        </w:trPr>
        <w:tc>
          <w:tcPr>
            <w:tcW w:w="7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03"/>
        </w:trPr>
        <w:tc>
          <w:tcPr>
            <w:tcW w:w="780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Northern Europe</w:t>
            </w:r>
          </w:p>
        </w:tc>
        <w:tc>
          <w:tcPr>
            <w:tcW w:w="280" w:type="dxa"/>
            <w:vAlign w:val="bottom"/>
            <w:shd w:val="clear" w:color="auto" w:fill="CFF0FC"/>
          </w:tcPr>
          <w:p>
            <w:pPr>
              <w:spacing w:after="0"/>
              <w:rPr>
                <w:sz w:val="17"/>
                <w:szCs w:val="17"/>
                <w:color w:val="auto"/>
              </w:rPr>
            </w:pPr>
          </w:p>
        </w:tc>
        <w:tc>
          <w:tcPr>
            <w:tcW w:w="1400" w:type="dxa"/>
            <w:vAlign w:val="bottom"/>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3.3</w:t>
            </w:r>
          </w:p>
        </w:tc>
        <w:tc>
          <w:tcPr>
            <w:tcW w:w="1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300" w:type="dxa"/>
            <w:vAlign w:val="bottom"/>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4.8</w:t>
            </w:r>
          </w:p>
        </w:tc>
      </w:tr>
      <w:tr>
        <w:trPr>
          <w:trHeight w:val="203"/>
        </w:trPr>
        <w:tc>
          <w:tcPr>
            <w:tcW w:w="7800" w:type="dxa"/>
            <w:vAlign w:val="bottom"/>
          </w:tcPr>
          <w:p>
            <w:pPr>
              <w:ind w:left="200"/>
              <w:spacing w:after="0" w:line="202" w:lineRule="exact"/>
              <w:rPr>
                <w:sz w:val="20"/>
                <w:szCs w:val="20"/>
                <w:color w:val="auto"/>
              </w:rPr>
            </w:pPr>
            <w:r>
              <w:rPr>
                <w:rFonts w:ascii="Arial" w:cs="Arial" w:eastAsia="Arial" w:hAnsi="Arial"/>
                <w:sz w:val="18"/>
                <w:szCs w:val="18"/>
                <w:color w:val="auto"/>
              </w:rPr>
              <w:t>APME</w:t>
            </w:r>
          </w:p>
        </w:tc>
        <w:tc>
          <w:tcPr>
            <w:tcW w:w="28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19.0</w:t>
            </w:r>
          </w:p>
        </w:tc>
        <w:tc>
          <w:tcPr>
            <w:tcW w:w="1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18.8</w:t>
            </w:r>
          </w:p>
        </w:tc>
      </w:tr>
      <w:tr>
        <w:trPr>
          <w:trHeight w:val="196"/>
        </w:trPr>
        <w:tc>
          <w:tcPr>
            <w:tcW w:w="780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spacing w:after="0"/>
              <w:rPr>
                <w:sz w:val="17"/>
                <w:szCs w:val="17"/>
                <w:color w:val="auto"/>
              </w:rPr>
            </w:pPr>
          </w:p>
        </w:tc>
        <w:tc>
          <w:tcPr>
            <w:tcW w:w="1400" w:type="dxa"/>
            <w:vAlign w:val="bottom"/>
            <w:tcBorders>
              <w:bottom w:val="single" w:sz="8" w:color="auto"/>
            </w:tcBorders>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rPr>
              <w:t>190.3</w:t>
            </w:r>
          </w:p>
        </w:tc>
        <w:tc>
          <w:tcPr>
            <w:tcW w:w="12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bottom w:val="single" w:sz="8" w:color="auto"/>
            </w:tcBorders>
            <w:shd w:val="clear" w:color="auto" w:fill="CFF0FC"/>
          </w:tcPr>
          <w:p>
            <w:pPr>
              <w:spacing w:after="0"/>
              <w:rPr>
                <w:sz w:val="17"/>
                <w:szCs w:val="17"/>
                <w:color w:val="auto"/>
              </w:rPr>
            </w:pPr>
          </w:p>
        </w:tc>
        <w:tc>
          <w:tcPr>
            <w:tcW w:w="1300" w:type="dxa"/>
            <w:vAlign w:val="bottom"/>
            <w:tcBorders>
              <w:bottom w:val="single" w:sz="8" w:color="auto"/>
            </w:tcBorders>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rPr>
              <w:t>141.1</w:t>
            </w:r>
          </w:p>
        </w:tc>
      </w:tr>
      <w:tr>
        <w:trPr>
          <w:trHeight w:val="196"/>
        </w:trPr>
        <w:tc>
          <w:tcPr>
            <w:tcW w:w="7800" w:type="dxa"/>
            <w:vAlign w:val="bottom"/>
          </w:tcPr>
          <w:p>
            <w:pPr>
              <w:ind w:left="20"/>
              <w:spacing w:after="0" w:line="196" w:lineRule="exact"/>
              <w:rPr>
                <w:sz w:val="20"/>
                <w:szCs w:val="20"/>
                <w:color w:val="auto"/>
              </w:rPr>
            </w:pPr>
            <w:r>
              <w:rPr>
                <w:rFonts w:ascii="Arial" w:cs="Arial" w:eastAsia="Arial" w:hAnsi="Arial"/>
                <w:sz w:val="18"/>
                <w:szCs w:val="18"/>
                <w:color w:val="auto"/>
              </w:rPr>
              <w:t>Corporate expenses</w:t>
            </w:r>
          </w:p>
        </w:tc>
        <w:tc>
          <w:tcPr>
            <w:tcW w:w="280" w:type="dxa"/>
            <w:vAlign w:val="bottom"/>
          </w:tcPr>
          <w:p>
            <w:pPr>
              <w:spacing w:after="0"/>
              <w:rPr>
                <w:sz w:val="17"/>
                <w:szCs w:val="17"/>
                <w:color w:val="auto"/>
              </w:rPr>
            </w:pPr>
          </w:p>
        </w:tc>
        <w:tc>
          <w:tcPr>
            <w:tcW w:w="1400" w:type="dxa"/>
            <w:vAlign w:val="bottom"/>
          </w:tcPr>
          <w:p>
            <w:pPr>
              <w:jc w:val="right"/>
              <w:spacing w:after="0" w:line="196" w:lineRule="exact"/>
              <w:rPr>
                <w:sz w:val="20"/>
                <w:szCs w:val="20"/>
                <w:color w:val="auto"/>
              </w:rPr>
            </w:pPr>
            <w:r>
              <w:rPr>
                <w:rFonts w:ascii="Arial" w:cs="Arial" w:eastAsia="Arial" w:hAnsi="Arial"/>
                <w:sz w:val="18"/>
                <w:szCs w:val="18"/>
                <w:color w:val="auto"/>
              </w:rPr>
              <w:t>(42.0 )</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00" w:type="dxa"/>
            <w:vAlign w:val="bottom"/>
          </w:tcPr>
          <w:p>
            <w:pPr>
              <w:jc w:val="right"/>
              <w:spacing w:after="0" w:line="196" w:lineRule="exact"/>
              <w:rPr>
                <w:sz w:val="20"/>
                <w:szCs w:val="20"/>
                <w:color w:val="auto"/>
              </w:rPr>
            </w:pPr>
            <w:r>
              <w:rPr>
                <w:rFonts w:ascii="Arial" w:cs="Arial" w:eastAsia="Arial" w:hAnsi="Arial"/>
                <w:sz w:val="18"/>
                <w:szCs w:val="18"/>
                <w:color w:val="auto"/>
              </w:rPr>
              <w:t>(37.2 )</w:t>
            </w:r>
          </w:p>
        </w:tc>
      </w:tr>
      <w:tr>
        <w:trPr>
          <w:trHeight w:val="203"/>
        </w:trPr>
        <w:tc>
          <w:tcPr>
            <w:tcW w:w="780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Intangible asset amortization expense</w:t>
            </w:r>
          </w:p>
        </w:tc>
        <w:tc>
          <w:tcPr>
            <w:tcW w:w="280" w:type="dxa"/>
            <w:vAlign w:val="bottom"/>
            <w:tcBorders>
              <w:bottom w:val="single" w:sz="8" w:color="auto"/>
            </w:tcBorders>
            <w:shd w:val="clear" w:color="auto" w:fill="CFF0FC"/>
          </w:tcPr>
          <w:p>
            <w:pPr>
              <w:spacing w:after="0"/>
              <w:rPr>
                <w:sz w:val="17"/>
                <w:szCs w:val="17"/>
                <w:color w:val="auto"/>
              </w:rPr>
            </w:pPr>
          </w:p>
        </w:tc>
        <w:tc>
          <w:tcPr>
            <w:tcW w:w="14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(9.6 )</w:t>
            </w:r>
          </w:p>
        </w:tc>
        <w:tc>
          <w:tcPr>
            <w:tcW w:w="12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bottom w:val="single" w:sz="8" w:color="auto"/>
            </w:tcBorders>
            <w:shd w:val="clear" w:color="auto" w:fill="CFF0FC"/>
          </w:tcPr>
          <w:p>
            <w:pPr>
              <w:spacing w:after="0"/>
              <w:rPr>
                <w:sz w:val="17"/>
                <w:szCs w:val="17"/>
                <w:color w:val="auto"/>
              </w:rPr>
            </w:pPr>
          </w:p>
        </w:tc>
        <w:tc>
          <w:tcPr>
            <w:tcW w:w="13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(5.5 )</w:t>
            </w:r>
          </w:p>
        </w:tc>
      </w:tr>
      <w:tr>
        <w:trPr>
          <w:trHeight w:val="196"/>
        </w:trPr>
        <w:tc>
          <w:tcPr>
            <w:tcW w:w="7800" w:type="dxa"/>
            <w:vAlign w:val="bottom"/>
          </w:tcPr>
          <w:p>
            <w:pPr>
              <w:ind w:left="300"/>
              <w:spacing w:after="0" w:line="196" w:lineRule="exact"/>
              <w:rPr>
                <w:sz w:val="20"/>
                <w:szCs w:val="20"/>
                <w:color w:val="auto"/>
              </w:rPr>
            </w:pPr>
            <w:r>
              <w:rPr>
                <w:rFonts w:ascii="Arial" w:cs="Arial" w:eastAsia="Arial" w:hAnsi="Arial"/>
                <w:sz w:val="18"/>
                <w:szCs w:val="18"/>
                <w:color w:val="auto"/>
              </w:rPr>
              <w:t>Operating profit</w:t>
            </w:r>
          </w:p>
        </w:tc>
        <w:tc>
          <w:tcPr>
            <w:tcW w:w="280" w:type="dxa"/>
            <w:vAlign w:val="bottom"/>
          </w:tcPr>
          <w:p>
            <w:pPr>
              <w:spacing w:after="0"/>
              <w:rPr>
                <w:sz w:val="17"/>
                <w:szCs w:val="17"/>
                <w:color w:val="auto"/>
              </w:rPr>
            </w:pPr>
          </w:p>
        </w:tc>
        <w:tc>
          <w:tcPr>
            <w:tcW w:w="1400" w:type="dxa"/>
            <w:vAlign w:val="bottom"/>
          </w:tcPr>
          <w:p>
            <w:pPr>
              <w:jc w:val="right"/>
              <w:ind w:right="10"/>
              <w:spacing w:after="0" w:line="196" w:lineRule="exact"/>
              <w:rPr>
                <w:sz w:val="20"/>
                <w:szCs w:val="20"/>
                <w:color w:val="auto"/>
              </w:rPr>
            </w:pPr>
            <w:r>
              <w:rPr>
                <w:rFonts w:ascii="Arial" w:cs="Arial" w:eastAsia="Arial" w:hAnsi="Arial"/>
                <w:sz w:val="18"/>
                <w:szCs w:val="18"/>
                <w:color w:val="auto"/>
              </w:rPr>
              <w:t>138.7</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00" w:type="dxa"/>
            <w:vAlign w:val="bottom"/>
          </w:tcPr>
          <w:p>
            <w:pPr>
              <w:jc w:val="right"/>
              <w:ind w:right="10"/>
              <w:spacing w:after="0" w:line="196" w:lineRule="exact"/>
              <w:rPr>
                <w:sz w:val="20"/>
                <w:szCs w:val="20"/>
                <w:color w:val="auto"/>
              </w:rPr>
            </w:pPr>
            <w:r>
              <w:rPr>
                <w:rFonts w:ascii="Arial" w:cs="Arial" w:eastAsia="Arial" w:hAnsi="Arial"/>
                <w:sz w:val="18"/>
                <w:szCs w:val="18"/>
                <w:color w:val="auto"/>
              </w:rPr>
              <w:t>98.4</w:t>
            </w:r>
          </w:p>
        </w:tc>
      </w:tr>
      <w:tr>
        <w:trPr>
          <w:trHeight w:val="203"/>
        </w:trPr>
        <w:tc>
          <w:tcPr>
            <w:tcW w:w="780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Interest and other expenses, net</w:t>
            </w:r>
          </w:p>
        </w:tc>
        <w:tc>
          <w:tcPr>
            <w:tcW w:w="280" w:type="dxa"/>
            <w:vAlign w:val="bottom"/>
            <w:tcBorders>
              <w:bottom w:val="single" w:sz="8" w:color="auto"/>
            </w:tcBorders>
            <w:shd w:val="clear" w:color="auto" w:fill="CFF0FC"/>
          </w:tcPr>
          <w:p>
            <w:pPr>
              <w:spacing w:after="0"/>
              <w:rPr>
                <w:sz w:val="17"/>
                <w:szCs w:val="17"/>
                <w:color w:val="auto"/>
              </w:rPr>
            </w:pPr>
          </w:p>
        </w:tc>
        <w:tc>
          <w:tcPr>
            <w:tcW w:w="14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(2.7 )</w:t>
            </w:r>
          </w:p>
        </w:tc>
        <w:tc>
          <w:tcPr>
            <w:tcW w:w="12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bottom w:val="single" w:sz="8" w:color="auto"/>
            </w:tcBorders>
            <w:shd w:val="clear" w:color="auto" w:fill="CFF0FC"/>
          </w:tcPr>
          <w:p>
            <w:pPr>
              <w:spacing w:after="0"/>
              <w:rPr>
                <w:sz w:val="17"/>
                <w:szCs w:val="17"/>
                <w:color w:val="auto"/>
              </w:rPr>
            </w:pPr>
          </w:p>
        </w:tc>
        <w:tc>
          <w:tcPr>
            <w:tcW w:w="13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(5.4 )</w:t>
            </w:r>
          </w:p>
        </w:tc>
      </w:tr>
      <w:tr>
        <w:trPr>
          <w:trHeight w:val="196"/>
        </w:trPr>
        <w:tc>
          <w:tcPr>
            <w:tcW w:w="7800" w:type="dxa"/>
            <w:vAlign w:val="bottom"/>
          </w:tcPr>
          <w:p>
            <w:pPr>
              <w:ind w:left="300"/>
              <w:spacing w:after="0" w:line="196" w:lineRule="exact"/>
              <w:rPr>
                <w:sz w:val="20"/>
                <w:szCs w:val="20"/>
                <w:color w:val="auto"/>
              </w:rPr>
            </w:pPr>
            <w:r>
              <w:rPr>
                <w:rFonts w:ascii="Arial" w:cs="Arial" w:eastAsia="Arial" w:hAnsi="Arial"/>
                <w:sz w:val="18"/>
                <w:szCs w:val="18"/>
                <w:color w:val="auto"/>
              </w:rPr>
              <w:t>Earnings before income taxes</w:t>
            </w:r>
          </w:p>
        </w:tc>
        <w:tc>
          <w:tcPr>
            <w:tcW w:w="280" w:type="dxa"/>
            <w:vAlign w:val="bottom"/>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400" w:type="dxa"/>
            <w:vAlign w:val="bottom"/>
          </w:tcPr>
          <w:p>
            <w:pPr>
              <w:jc w:val="right"/>
              <w:ind w:right="10"/>
              <w:spacing w:after="0" w:line="196" w:lineRule="exact"/>
              <w:rPr>
                <w:sz w:val="20"/>
                <w:szCs w:val="20"/>
                <w:color w:val="auto"/>
              </w:rPr>
            </w:pPr>
            <w:r>
              <w:rPr>
                <w:rFonts w:ascii="Arial" w:cs="Arial" w:eastAsia="Arial" w:hAnsi="Arial"/>
                <w:sz w:val="18"/>
                <w:szCs w:val="18"/>
                <w:color w:val="auto"/>
              </w:rPr>
              <w:t>136.0</w:t>
            </w:r>
          </w:p>
        </w:tc>
        <w:tc>
          <w:tcPr>
            <w:tcW w:w="460" w:type="dxa"/>
            <w:vAlign w:val="bottom"/>
            <w:gridSpan w:val="2"/>
          </w:tcPr>
          <w:p>
            <w:pPr>
              <w:jc w:val="right"/>
              <w:ind w:right="240"/>
              <w:spacing w:after="0" w:line="196" w:lineRule="exact"/>
              <w:rPr>
                <w:sz w:val="20"/>
                <w:szCs w:val="20"/>
                <w:color w:val="auto"/>
              </w:rPr>
            </w:pPr>
            <w:r>
              <w:rPr>
                <w:rFonts w:ascii="Arial" w:cs="Arial" w:eastAsia="Arial" w:hAnsi="Arial"/>
                <w:sz w:val="18"/>
                <w:szCs w:val="18"/>
                <w:color w:val="auto"/>
              </w:rPr>
              <w:t>$</w:t>
            </w:r>
          </w:p>
        </w:tc>
        <w:tc>
          <w:tcPr>
            <w:tcW w:w="1300" w:type="dxa"/>
            <w:vAlign w:val="bottom"/>
          </w:tcPr>
          <w:p>
            <w:pPr>
              <w:jc w:val="right"/>
              <w:ind w:right="10"/>
              <w:spacing w:after="0" w:line="196" w:lineRule="exact"/>
              <w:rPr>
                <w:sz w:val="20"/>
                <w:szCs w:val="20"/>
                <w:color w:val="auto"/>
              </w:rPr>
            </w:pPr>
            <w:r>
              <w:rPr>
                <w:rFonts w:ascii="Arial" w:cs="Arial" w:eastAsia="Arial" w:hAnsi="Arial"/>
                <w:sz w:val="18"/>
                <w:szCs w:val="18"/>
                <w:color w:val="auto"/>
              </w:rPr>
              <w:t>93.0</w:t>
            </w:r>
          </w:p>
        </w:tc>
      </w:tr>
      <w:tr>
        <w:trPr>
          <w:trHeight w:val="20"/>
        </w:trPr>
        <w:tc>
          <w:tcPr>
            <w:tcW w:w="78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6022975</wp:posOffset>
            </wp:positionH>
            <wp:positionV relativeFrom="paragraph">
              <wp:posOffset>-4154170</wp:posOffset>
            </wp:positionV>
            <wp:extent cx="68580" cy="571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-3630930</wp:posOffset>
            </wp:positionV>
            <wp:extent cx="68580" cy="571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-3099435</wp:posOffset>
            </wp:positionV>
            <wp:extent cx="68580" cy="571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-2825115</wp:posOffset>
            </wp:positionV>
            <wp:extent cx="68580" cy="571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-2019300</wp:posOffset>
            </wp:positionV>
            <wp:extent cx="68580" cy="571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-1222375</wp:posOffset>
            </wp:positionV>
            <wp:extent cx="68580" cy="571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-690880</wp:posOffset>
            </wp:positionV>
            <wp:extent cx="68580" cy="571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-424815</wp:posOffset>
            </wp:positionV>
            <wp:extent cx="68580" cy="571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-159385</wp:posOffset>
            </wp:positionV>
            <wp:extent cx="68580" cy="571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222" w:lineRule="exact"/>
        <w:rPr>
          <w:sz w:val="20"/>
          <w:szCs w:val="20"/>
          <w:color w:val="auto"/>
        </w:rPr>
      </w:pPr>
    </w:p>
    <w:p>
      <w:pPr>
        <w:ind w:right="20" w:firstLine="8"/>
        <w:spacing w:after="0" w:line="295" w:lineRule="auto"/>
        <w:tabs>
          <w:tab w:leader="none" w:pos="245"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 the United States, revenues from services included fees received from the related franchise offices of $2.9 and $3.1 for the three months ended March 31, 2022 and 2021. These fees are primarily based on revenues generated by the franchise offices, which were $110.8 and $117.5 for the three months ended March 31, 2022 and 2021, respectively.</w:t>
      </w:r>
    </w:p>
    <w:p>
      <w:pPr>
        <w:spacing w:after="0" w:line="60" w:lineRule="exact"/>
        <w:rPr>
          <w:rFonts w:ascii="Arial" w:cs="Arial" w:eastAsia="Arial" w:hAnsi="Arial"/>
          <w:sz w:val="18"/>
          <w:szCs w:val="18"/>
          <w:color w:val="auto"/>
        </w:rPr>
      </w:pPr>
    </w:p>
    <w:p>
      <w:pPr>
        <w:ind w:right="180" w:firstLine="8"/>
        <w:spacing w:after="0" w:line="295" w:lineRule="auto"/>
        <w:tabs>
          <w:tab w:leader="none" w:pos="2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consolidated revenues from services include fees received from our franchise offices of $3.6 for both the three months ended March 31, 2022 and 2021, respectively. These fees are primarily based on revenues generated by the franchise offices, which were $265.2 and $249.1 for the three months ended March 31, 2022 and 2021, respectively.</w:t>
      </w:r>
    </w:p>
    <w:p>
      <w:pPr>
        <w:spacing w:after="0" w:line="46" w:lineRule="exact"/>
        <w:rPr>
          <w:rFonts w:ascii="Arial" w:cs="Arial" w:eastAsia="Arial" w:hAnsi="Arial"/>
          <w:sz w:val="18"/>
          <w:szCs w:val="18"/>
          <w:color w:val="auto"/>
        </w:rPr>
      </w:pPr>
    </w:p>
    <w:p>
      <w:pPr>
        <w:ind w:right="40" w:firstLine="8"/>
        <w:spacing w:after="0" w:line="295" w:lineRule="auto"/>
        <w:tabs>
          <w:tab w:leader="none" w:pos="245"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evaluate segment performance based on operating unit profit (“OUP”), which is equal to segment revenues less cost of services and branch and national headquarters operating costs. This profit measure does not include goodwill and intangible asset impairment charges or amortization of intangibles related to acquisitions, corporate expenses, interest and other income and expense amounts or income taxes.</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67"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u w:val="single" w:color="auto"/>
          <w:color w:val="auto"/>
        </w:rPr>
        <w:t>Item 2 – Management’s Discussion and Analysis of Financial Condition and Results of Operations</w:t>
      </w:r>
    </w:p>
    <w:p>
      <w:pPr>
        <w:spacing w:after="0" w:line="212" w:lineRule="exact"/>
        <w:rPr>
          <w:sz w:val="20"/>
          <w:szCs w:val="20"/>
          <w:color w:val="auto"/>
        </w:rPr>
      </w:pPr>
    </w:p>
    <w:p>
      <w:pPr>
        <w:ind w:right="420"/>
        <w:spacing w:after="0" w:line="308" w:lineRule="auto"/>
        <w:rPr>
          <w:sz w:val="20"/>
          <w:szCs w:val="20"/>
          <w:color w:val="auto"/>
        </w:rPr>
      </w:pPr>
      <w:r>
        <w:rPr>
          <w:rFonts w:ascii="Arial" w:cs="Arial" w:eastAsia="Arial" w:hAnsi="Arial"/>
          <w:sz w:val="18"/>
          <w:szCs w:val="18"/>
          <w:color w:val="auto"/>
        </w:rPr>
        <w:t>See the financial measures section on page 31 for further information on the Non-GAAP financial measures of constant currency and organic constant currency.</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Forward-Looking Statements</w:t>
      </w:r>
    </w:p>
    <w:p>
      <w:pPr>
        <w:spacing w:after="0" w:line="212" w:lineRule="exact"/>
        <w:rPr>
          <w:sz w:val="20"/>
          <w:szCs w:val="20"/>
          <w:color w:val="auto"/>
        </w:rPr>
      </w:pPr>
    </w:p>
    <w:p>
      <w:pPr>
        <w:spacing w:after="0" w:line="321" w:lineRule="auto"/>
        <w:rPr>
          <w:sz w:val="20"/>
          <w:szCs w:val="20"/>
          <w:color w:val="auto"/>
        </w:rPr>
      </w:pPr>
      <w:r>
        <w:rPr>
          <w:rFonts w:ascii="Arial" w:cs="Arial" w:eastAsia="Arial" w:hAnsi="Arial"/>
          <w:sz w:val="16"/>
          <w:szCs w:val="16"/>
          <w:color w:val="auto"/>
        </w:rPr>
        <w:t>This Quarterly Report on Form 10-Q contains forward-looking statements within the meaning of Section 27A of the Securities Act of 1933, as amended, and Section 21E of the Exchange Act of 1934, as amended, (each a "forward-looking statement"). Statements made in this quarterly report that are not statements of historical fact are forward-looking statements. In addition, from time to time, we and our representatives may make statements that are forward-looking. Forward-looking statements are based on management’s current assumptions and expectations and are subject to risks and uncertainties that are beyond our control and may cause actual results to differ materially from those contained in the forward-looking statements. Forward-looking statements can be identified by words such as “expect,” “anticipate,” “intend,” “plan,” “may,” “believe,” “seek,” “estimate,” and other similar expressions. Important factors that could cause our actual results to differ materially from those contained in the forward-looking statements include, among others, the risk factors discussed in Item 1A – Risk Factors in our annual report on Form 10-K for the year-ended December 31, 2021, which information is incorporated herein by reference. Such risks and uncertainties include, but are not limited to, the impacts of the COVID-19 pandemic and related economic conditions and the Company’s efforts to respond to such impacts; volatile, negative or uncertain economic conditions, including as a result of the Russia-Ukraine War, any sanction, supply chain disruptions or increased economic uncertainty related to the ongoing conflict; changes in labor and tax legislation in places we do business; failure to implement strategic technology investments; and other factors that may be disclosed from time to time in our SEC filings or otherwise. We caution that any forward-looking statement reflects only our belief at the time the statement is made. We undertake no obligation to update any forward-looking statements to reflect subsequent events or circumstances.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Business Overview</w:t>
      </w:r>
    </w:p>
    <w:p>
      <w:pPr>
        <w:spacing w:after="0" w:line="225" w:lineRule="exact"/>
        <w:rPr>
          <w:sz w:val="20"/>
          <w:szCs w:val="20"/>
          <w:color w:val="auto"/>
        </w:rPr>
      </w:pPr>
    </w:p>
    <w:p>
      <w:pPr>
        <w:spacing w:after="0" w:line="305" w:lineRule="auto"/>
        <w:rPr>
          <w:sz w:val="20"/>
          <w:szCs w:val="20"/>
          <w:color w:val="auto"/>
        </w:rPr>
      </w:pPr>
      <w:r>
        <w:rPr>
          <w:rFonts w:ascii="Arial" w:cs="Arial" w:eastAsia="Arial" w:hAnsi="Arial"/>
          <w:sz w:val="17"/>
          <w:szCs w:val="17"/>
          <w:color w:val="auto"/>
        </w:rPr>
        <w:t>Our business is cyclical in nature and is sensitive to macroeconomic conditions generally. Client demand for workforce solutions and services is dependent on the overall strength of the labor market and secular trends toward greater workforce flexibility within each of the segments where we operate. Improving economic growth typically results in increasing demand for labor, resulting in greater demand for our staffing services while demand for our outplacement services typically declines. During periods of increased demand, as we experienced in the first quarter of 2022, we are generally able to improve our profitability and operating leverage as our cost base can support some increase in business without a similar increase in selling and administrative expenses. By contrast, during periods of decreased demand, our operating profit is generally impacted unfavorably as we experience a deleveraging of selling and administrative expenses, which may not decline at the same pace as revenues.</w:t>
      </w:r>
    </w:p>
    <w:p>
      <w:pPr>
        <w:spacing w:after="0" w:line="138" w:lineRule="exact"/>
        <w:rPr>
          <w:sz w:val="20"/>
          <w:szCs w:val="20"/>
          <w:color w:val="auto"/>
        </w:rPr>
      </w:pPr>
    </w:p>
    <w:p>
      <w:pPr>
        <w:ind w:right="120"/>
        <w:spacing w:after="0" w:line="332" w:lineRule="auto"/>
        <w:rPr>
          <w:sz w:val="20"/>
          <w:szCs w:val="20"/>
          <w:color w:val="auto"/>
        </w:rPr>
      </w:pPr>
      <w:r>
        <w:rPr>
          <w:rFonts w:ascii="Arial" w:cs="Arial" w:eastAsia="Arial" w:hAnsi="Arial"/>
          <w:sz w:val="16"/>
          <w:szCs w:val="16"/>
          <w:color w:val="auto"/>
        </w:rPr>
        <w:t>During the first quarter of 2022, changes in the foreign currency exchange rates had a 5.4% unfavorable impact on revenues from services and an approximately $0.10 per share unfavorable impact on net earnings per share – diluted in the quarter. Substantially all of our subsidiaries derive revenues from services and incur expenses within the same currency and generally do not have cross-currency transactions, and therefore, changes in foreign currency exchange rates primarily impact reported earnings and not our actual cash flow unless earnings are repatriated. To understand the performance of our underlying business, we utilize constant currency or organic constant currency variances for our consolidated and segment results.</w:t>
      </w:r>
    </w:p>
    <w:p>
      <w:pPr>
        <w:spacing w:after="0" w:line="118" w:lineRule="exact"/>
        <w:rPr>
          <w:sz w:val="20"/>
          <w:szCs w:val="20"/>
          <w:color w:val="auto"/>
        </w:rPr>
      </w:pPr>
    </w:p>
    <w:p>
      <w:pPr>
        <w:ind w:right="40"/>
        <w:spacing w:after="0" w:line="286" w:lineRule="auto"/>
        <w:rPr>
          <w:sz w:val="20"/>
          <w:szCs w:val="20"/>
          <w:color w:val="auto"/>
        </w:rPr>
      </w:pPr>
      <w:r>
        <w:rPr>
          <w:rFonts w:ascii="Arial" w:cs="Arial" w:eastAsia="Arial" w:hAnsi="Arial"/>
          <w:sz w:val="18"/>
          <w:szCs w:val="18"/>
          <w:color w:val="auto"/>
        </w:rPr>
        <w:t>During the first quarter of 2022, we experienced a 24.8% revenue increase in the Americas, primarily driven by our acquisition of the ettain group in the United States in the fourth quarter of 2021, which now operates as part of our Experis brand, and increased demand for our staffing/interim services. We refer to the ettain group acquisition as the "Experis acquisition." During the first quarter of 2022 compared to the first quarter of 2021, revenues increased 1.6% in Southern Europe due to increased demand in Italy, Switzerland and Israel. In the first quarter of 2022 compared to the first quarter of 2021, we experienced a 3.5% revenue decrease in Northern Europe, primarily due to unfavorable exchange rates. We experienced a 1.5% revenue decrease in APME in the first quarter of 2022 primarily due to the unfavorable currency exchange rate impact, partially offset by the increase in our Manpower staffing/interim and Experis business.</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3" w:name="page24"/>
    <w:bookmarkEnd w:id="23"/>
    <w:p>
      <w:pPr>
        <w:ind w:right="40"/>
        <w:spacing w:after="0" w:line="286" w:lineRule="auto"/>
        <w:rPr>
          <w:sz w:val="20"/>
          <w:szCs w:val="20"/>
          <w:color w:val="auto"/>
        </w:rPr>
      </w:pPr>
      <w:r>
        <w:rPr>
          <w:rFonts w:ascii="Arial" w:cs="Arial" w:eastAsia="Arial" w:hAnsi="Arial"/>
          <w:sz w:val="18"/>
          <w:szCs w:val="18"/>
          <w:color w:val="auto"/>
        </w:rPr>
        <w:t>From a brand perspective, we experienced revenue decreases in Manpower, and revenue increases in Experis and Talent Solutions during the three months ended March 31, 2022 compared to 2021. The revenue decrease in our Manpower brand was due to unfavorable currency exchange rates. On a constant currency basis, Manpower brand experienced improved demand for staffing services and an increase in our permanent recruitment business. In our Experis brand, the revenue increase was primarily due to the Experis acquisition in the United States, improved demand for our interim services and an increase in our permanent recruitment business. On an overall basis, the revenue increase in our Talent Solutions brand, which includes Recruitment Process Outsourcing (RPO), TAPFIN - Managed Service Provider (MSP) and our Right Management offerings, was driven mostly by increased demand for our RPO and MSP services.</w:t>
      </w:r>
    </w:p>
    <w:p>
      <w:pPr>
        <w:spacing w:after="0" w:line="163"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auto"/>
        </w:rPr>
        <w:t>Our gross profit margin improved in the first quarter of 2022 compared to the first quarter of 2021 primarily due to a favorable change in business mix and growth in higher margin offerings. This is primarily driven by an increase in our permanent recruitment business of 48.3% (54.8% in constant currency and 51.8% in organic constant currency) during the quarter as a result of stronger hiring activity during the first quarter of 2022 compared to the first quarter of 2021.The increase in gross profit margin was also due to the improvement in our Manpower staffing margins and a higher percentage of revenue mix coming from our higher-margin consulting and MSP services. These increases were partially offset by a lower mix of revenues coming from our higher-margin Right Management career transition business.</w:t>
      </w:r>
    </w:p>
    <w:p>
      <w:pPr>
        <w:spacing w:after="0" w:line="148" w:lineRule="exact"/>
        <w:rPr>
          <w:sz w:val="20"/>
          <w:szCs w:val="20"/>
          <w:color w:val="auto"/>
        </w:rPr>
      </w:pPr>
    </w:p>
    <w:p>
      <w:pPr>
        <w:ind w:right="240"/>
        <w:spacing w:after="0" w:line="295" w:lineRule="auto"/>
        <w:rPr>
          <w:sz w:val="20"/>
          <w:szCs w:val="20"/>
          <w:color w:val="auto"/>
        </w:rPr>
      </w:pPr>
      <w:r>
        <w:rPr>
          <w:rFonts w:ascii="Arial" w:cs="Arial" w:eastAsia="Arial" w:hAnsi="Arial"/>
          <w:sz w:val="18"/>
          <w:szCs w:val="18"/>
          <w:color w:val="auto"/>
        </w:rPr>
        <w:t>We recorded a net loss on the sale of our Russia business of $8.0 million, which was comprised of a $9.7 million loss in selling and administrative expenses, offset by a $1.7 million gain in interest and other expenses. We also incurred acquisition integration costs of $3.7 million in the first quarter of 2022 relating to our Experis acquisition, which closed in the fourth quarter of 2021.</w:t>
      </w:r>
    </w:p>
    <w:p>
      <w:pPr>
        <w:spacing w:after="0" w:line="141" w:lineRule="exact"/>
        <w:rPr>
          <w:sz w:val="20"/>
          <w:szCs w:val="20"/>
          <w:color w:val="auto"/>
        </w:rPr>
      </w:pPr>
    </w:p>
    <w:p>
      <w:pPr>
        <w:spacing w:after="0" w:line="312" w:lineRule="auto"/>
        <w:rPr>
          <w:sz w:val="20"/>
          <w:szCs w:val="20"/>
          <w:color w:val="auto"/>
        </w:rPr>
      </w:pPr>
      <w:r>
        <w:rPr>
          <w:rFonts w:ascii="Arial" w:cs="Arial" w:eastAsia="Arial" w:hAnsi="Arial"/>
          <w:sz w:val="17"/>
          <w:szCs w:val="17"/>
          <w:color w:val="auto"/>
        </w:rPr>
        <w:t>Our operating profit increased 40.9% in the first quarter of 2022 while our operating profit margin increased 70 basis points compared to the first quarter of 2021. Excluding the loss of $9.7 million in selling and administrative expenses from the disposition of our Russia business and acquisition integration costs of $3.7 incurred in the first quarter of 2022, our operating profit was up 54.6% while operating profit margin was up 100 basis points compared to the first quarter of 2021. The operating profit margin increased due to the improvement in our gross profit margin.</w:t>
      </w:r>
    </w:p>
    <w:p>
      <w:pPr>
        <w:spacing w:after="0" w:line="145" w:lineRule="exact"/>
        <w:rPr>
          <w:sz w:val="20"/>
          <w:szCs w:val="20"/>
          <w:color w:val="auto"/>
        </w:rPr>
      </w:pPr>
    </w:p>
    <w:p>
      <w:pPr>
        <w:ind w:right="40"/>
        <w:spacing w:after="0" w:line="347" w:lineRule="auto"/>
        <w:rPr>
          <w:sz w:val="20"/>
          <w:szCs w:val="20"/>
          <w:color w:val="auto"/>
        </w:rPr>
      </w:pPr>
      <w:r>
        <w:rPr>
          <w:rFonts w:ascii="Arial" w:cs="Arial" w:eastAsia="Arial" w:hAnsi="Arial"/>
          <w:sz w:val="16"/>
          <w:szCs w:val="16"/>
          <w:color w:val="auto"/>
        </w:rPr>
        <w:t>We continue to monitor expenses closely to ensure we maintain the benefit of our efforts to optimize our organizational and cost structures, while investing appropriately to support the ability of the business to grow in the future and enhance our productivity, technology and digital capabilities. We are focused on managing costs as efficiently as possible in the short-term while continuing to progress transformational actions aligned with our strategic priorities.</w:t>
      </w:r>
    </w:p>
    <w:p>
      <w:pPr>
        <w:spacing w:after="0" w:line="33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17" w:right="359"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207"/>
        </w:trPr>
        <w:tc>
          <w:tcPr>
            <w:tcW w:w="4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0"/>
              </w:rPr>
              <w:t>Operating Results - Three Months Ended March 31, 2022 and 2021</w:t>
            </w: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26"/>
        </w:trPr>
        <w:tc>
          <w:tcPr>
            <w:tcW w:w="9900" w:type="dxa"/>
            <w:vAlign w:val="bottom"/>
            <w:gridSpan w:val="10"/>
          </w:tcPr>
          <w:p>
            <w:pPr>
              <w:spacing w:after="0"/>
              <w:rPr>
                <w:sz w:val="20"/>
                <w:szCs w:val="20"/>
                <w:color w:val="auto"/>
              </w:rPr>
            </w:pPr>
            <w:r>
              <w:rPr>
                <w:rFonts w:ascii="Arial" w:cs="Arial" w:eastAsia="Arial" w:hAnsi="Arial"/>
                <w:sz w:val="18"/>
                <w:szCs w:val="18"/>
                <w:color w:val="auto"/>
                <w:w w:val="94"/>
              </w:rPr>
              <w:t>The following table presents selected consolidated financial data for the three months ended March 31, 2022 as compared to 2021.</w:t>
            </w:r>
          </w:p>
        </w:tc>
        <w:tc>
          <w:tcPr>
            <w:tcW w:w="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48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60" w:type="dxa"/>
            <w:vAlign w:val="bottom"/>
          </w:tcPr>
          <w:p>
            <w:pPr>
              <w:ind w:left="180"/>
              <w:spacing w:after="0"/>
              <w:rPr>
                <w:sz w:val="20"/>
                <w:szCs w:val="20"/>
                <w:color w:val="auto"/>
              </w:rPr>
            </w:pPr>
            <w:r>
              <w:rPr>
                <w:rFonts w:ascii="Arial" w:cs="Arial" w:eastAsia="Arial" w:hAnsi="Arial"/>
                <w:sz w:val="18"/>
                <w:szCs w:val="18"/>
                <w:b w:val="1"/>
                <w:bCs w:val="1"/>
                <w:color w:val="auto"/>
              </w:rPr>
              <w:t>Constant</w:t>
            </w:r>
          </w:p>
        </w:tc>
        <w:tc>
          <w:tcPr>
            <w:tcW w:w="0" w:type="dxa"/>
            <w:vAlign w:val="bottom"/>
          </w:tcPr>
          <w:p>
            <w:pPr>
              <w:spacing w:after="0"/>
              <w:rPr>
                <w:sz w:val="1"/>
                <w:szCs w:val="1"/>
                <w:color w:val="auto"/>
              </w:rPr>
            </w:pPr>
          </w:p>
        </w:tc>
      </w:tr>
      <w:tr>
        <w:trPr>
          <w:trHeight w:val="175"/>
        </w:trPr>
        <w:tc>
          <w:tcPr>
            <w:tcW w:w="576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(in millions, except per share data)</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vMerge w:val="restart"/>
          </w:tcPr>
          <w:p>
            <w:pPr>
              <w:jc w:val="right"/>
              <w:ind w:right="49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vMerge w:val="restart"/>
          </w:tcPr>
          <w:p>
            <w:pPr>
              <w:jc w:val="right"/>
              <w:ind w:right="490"/>
              <w:spacing w:after="0"/>
              <w:rPr>
                <w:sz w:val="20"/>
                <w:szCs w:val="20"/>
                <w:color w:val="auto"/>
              </w:rPr>
            </w:pPr>
            <w:r>
              <w:rPr>
                <w:rFonts w:ascii="Arial" w:cs="Arial" w:eastAsia="Arial" w:hAnsi="Arial"/>
                <w:sz w:val="18"/>
                <w:szCs w:val="18"/>
                <w:b w:val="1"/>
                <w:bCs w:val="1"/>
                <w:color w:val="auto"/>
              </w:rPr>
              <w:t>2021</w:t>
            </w:r>
          </w:p>
        </w:tc>
        <w:tc>
          <w:tcPr>
            <w:tcW w:w="80" w:type="dxa"/>
            <w:vAlign w:val="bottom"/>
          </w:tcPr>
          <w:p>
            <w:pPr>
              <w:spacing w:after="0"/>
              <w:rPr>
                <w:sz w:val="15"/>
                <w:szCs w:val="15"/>
                <w:color w:val="auto"/>
              </w:rPr>
            </w:pPr>
          </w:p>
        </w:tc>
        <w:tc>
          <w:tcPr>
            <w:tcW w:w="1280" w:type="dxa"/>
            <w:vAlign w:val="bottom"/>
            <w:vMerge w:val="restart"/>
          </w:tcPr>
          <w:p>
            <w:pPr>
              <w:jc w:val="right"/>
              <w:ind w:right="350"/>
              <w:spacing w:after="0"/>
              <w:rPr>
                <w:sz w:val="20"/>
                <w:szCs w:val="20"/>
                <w:color w:val="auto"/>
              </w:rPr>
            </w:pPr>
            <w:r>
              <w:rPr>
                <w:rFonts w:ascii="Arial" w:cs="Arial" w:eastAsia="Arial" w:hAnsi="Arial"/>
                <w:sz w:val="18"/>
                <w:szCs w:val="18"/>
                <w:b w:val="1"/>
                <w:bCs w:val="1"/>
                <w:color w:val="auto"/>
              </w:rPr>
              <w:t>Variance</w:t>
            </w:r>
          </w:p>
        </w:tc>
        <w:tc>
          <w:tcPr>
            <w:tcW w:w="80" w:type="dxa"/>
            <w:vAlign w:val="bottom"/>
          </w:tcPr>
          <w:p>
            <w:pPr>
              <w:spacing w:after="0"/>
              <w:rPr>
                <w:sz w:val="15"/>
                <w:szCs w:val="15"/>
                <w:color w:val="auto"/>
              </w:rPr>
            </w:pPr>
          </w:p>
        </w:tc>
        <w:tc>
          <w:tcPr>
            <w:tcW w:w="1260" w:type="dxa"/>
            <w:vAlign w:val="bottom"/>
          </w:tcPr>
          <w:p>
            <w:pPr>
              <w:ind w:left="160"/>
              <w:spacing w:after="0" w:line="176" w:lineRule="exact"/>
              <w:rPr>
                <w:sz w:val="20"/>
                <w:szCs w:val="20"/>
                <w:color w:val="auto"/>
              </w:rPr>
            </w:pPr>
            <w:r>
              <w:rPr>
                <w:rFonts w:ascii="Arial" w:cs="Arial" w:eastAsia="Arial" w:hAnsi="Arial"/>
                <w:sz w:val="18"/>
                <w:szCs w:val="18"/>
                <w:b w:val="1"/>
                <w:bCs w:val="1"/>
                <w:color w:val="auto"/>
              </w:rPr>
              <w:t>Currency</w:t>
            </w:r>
          </w:p>
        </w:tc>
        <w:tc>
          <w:tcPr>
            <w:tcW w:w="0" w:type="dxa"/>
            <w:vAlign w:val="bottom"/>
          </w:tcPr>
          <w:p>
            <w:pPr>
              <w:spacing w:after="0"/>
              <w:rPr>
                <w:sz w:val="1"/>
                <w:szCs w:val="1"/>
                <w:color w:val="auto"/>
              </w:rPr>
            </w:pPr>
          </w:p>
        </w:tc>
      </w:tr>
      <w:tr>
        <w:trPr>
          <w:trHeight w:val="216"/>
        </w:trPr>
        <w:tc>
          <w:tcPr>
            <w:tcW w:w="5760" w:type="dxa"/>
            <w:vAlign w:val="bottom"/>
            <w:tcBorders>
              <w:bottom w:val="single" w:sz="8" w:color="auto"/>
            </w:tcBorders>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rPr>
              <w:t>Variance</w:t>
            </w:r>
          </w:p>
        </w:tc>
        <w:tc>
          <w:tcPr>
            <w:tcW w:w="0" w:type="dxa"/>
            <w:vAlign w:val="bottom"/>
          </w:tcPr>
          <w:p>
            <w:pPr>
              <w:spacing w:after="0"/>
              <w:rPr>
                <w:sz w:val="1"/>
                <w:szCs w:val="1"/>
                <w:color w:val="auto"/>
              </w:rPr>
            </w:pPr>
          </w:p>
        </w:tc>
      </w:tr>
      <w:tr>
        <w:trPr>
          <w:trHeight w:val="196"/>
        </w:trPr>
        <w:tc>
          <w:tcPr>
            <w:tcW w:w="5760" w:type="dxa"/>
            <w:vAlign w:val="bottom"/>
            <w:gridSpan w:val="2"/>
            <w:shd w:val="clear" w:color="auto" w:fill="CFF0FC"/>
          </w:tcPr>
          <w:p>
            <w:pPr>
              <w:ind w:left="20"/>
              <w:spacing w:after="0" w:line="196" w:lineRule="exact"/>
              <w:rPr>
                <w:sz w:val="20"/>
                <w:szCs w:val="20"/>
                <w:color w:val="auto"/>
              </w:rPr>
            </w:pPr>
            <w:r>
              <w:rPr>
                <w:rFonts w:ascii="Arial" w:cs="Arial" w:eastAsia="Arial" w:hAnsi="Arial"/>
                <w:sz w:val="18"/>
                <w:szCs w:val="18"/>
                <w:color w:val="auto"/>
              </w:rPr>
              <w:t>Revenues from services</w:t>
            </w:r>
          </w:p>
        </w:tc>
        <w:tc>
          <w:tcPr>
            <w:tcW w:w="80" w:type="dxa"/>
            <w:vAlign w:val="bottom"/>
            <w:shd w:val="clear" w:color="auto" w:fill="CFF0FC"/>
          </w:tcPr>
          <w:p>
            <w:pPr>
              <w:spacing w:after="0"/>
              <w:rPr>
                <w:sz w:val="17"/>
                <w:szCs w:val="17"/>
                <w:color w:val="auto"/>
              </w:rPr>
            </w:pPr>
          </w:p>
        </w:tc>
        <w:tc>
          <w:tcPr>
            <w:tcW w:w="240" w:type="dxa"/>
            <w:vAlign w:val="bottom"/>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ind w:right="150"/>
              <w:spacing w:after="0" w:line="196" w:lineRule="exact"/>
              <w:rPr>
                <w:sz w:val="20"/>
                <w:szCs w:val="20"/>
                <w:color w:val="auto"/>
              </w:rPr>
            </w:pPr>
            <w:r>
              <w:rPr>
                <w:rFonts w:ascii="Arial" w:cs="Arial" w:eastAsia="Arial" w:hAnsi="Arial"/>
                <w:sz w:val="18"/>
                <w:szCs w:val="18"/>
                <w:color w:val="auto"/>
              </w:rPr>
              <w:t>5,143.3</w:t>
            </w:r>
          </w:p>
        </w:tc>
        <w:tc>
          <w:tcPr>
            <w:tcW w:w="100" w:type="dxa"/>
            <w:vAlign w:val="bottom"/>
            <w:shd w:val="clear" w:color="auto" w:fill="CFF0FC"/>
          </w:tcPr>
          <w:p>
            <w:pPr>
              <w:spacing w:after="0"/>
              <w:rPr>
                <w:sz w:val="17"/>
                <w:szCs w:val="17"/>
                <w:color w:val="auto"/>
              </w:rPr>
            </w:pPr>
          </w:p>
        </w:tc>
        <w:tc>
          <w:tcPr>
            <w:tcW w:w="220" w:type="dxa"/>
            <w:vAlign w:val="bottom"/>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ind w:right="150"/>
              <w:spacing w:after="0" w:line="196" w:lineRule="exact"/>
              <w:rPr>
                <w:sz w:val="20"/>
                <w:szCs w:val="20"/>
                <w:color w:val="auto"/>
              </w:rPr>
            </w:pPr>
            <w:r>
              <w:rPr>
                <w:rFonts w:ascii="Arial" w:cs="Arial" w:eastAsia="Arial" w:hAnsi="Arial"/>
                <w:sz w:val="18"/>
                <w:szCs w:val="18"/>
                <w:color w:val="auto"/>
              </w:rPr>
              <w:t>4,924.4</w:t>
            </w:r>
          </w:p>
        </w:tc>
        <w:tc>
          <w:tcPr>
            <w:tcW w:w="1360" w:type="dxa"/>
            <w:vAlign w:val="bottom"/>
            <w:gridSpan w:val="2"/>
            <w:shd w:val="clear" w:color="auto" w:fill="CFF0FC"/>
          </w:tcPr>
          <w:p>
            <w:pPr>
              <w:jc w:val="right"/>
              <w:ind w:right="30"/>
              <w:spacing w:after="0"/>
              <w:rPr>
                <w:sz w:val="20"/>
                <w:szCs w:val="20"/>
                <w:color w:val="auto"/>
              </w:rPr>
            </w:pPr>
            <w:r>
              <w:rPr>
                <w:rFonts w:ascii="Arial" w:cs="Arial" w:eastAsia="Arial" w:hAnsi="Arial"/>
                <w:sz w:val="16"/>
                <w:szCs w:val="16"/>
                <w:color w:val="auto"/>
              </w:rPr>
              <w:t>4.4 %</w:t>
            </w:r>
          </w:p>
        </w:tc>
        <w:tc>
          <w:tcPr>
            <w:tcW w:w="13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9.8 %</w:t>
            </w:r>
          </w:p>
        </w:tc>
        <w:tc>
          <w:tcPr>
            <w:tcW w:w="0" w:type="dxa"/>
            <w:vAlign w:val="bottom"/>
          </w:tcPr>
          <w:p>
            <w:pPr>
              <w:spacing w:after="0"/>
              <w:rPr>
                <w:sz w:val="1"/>
                <w:szCs w:val="1"/>
                <w:color w:val="auto"/>
              </w:rPr>
            </w:pPr>
          </w:p>
        </w:tc>
      </w:tr>
      <w:tr>
        <w:trPr>
          <w:trHeight w:val="203"/>
        </w:trPr>
        <w:tc>
          <w:tcPr>
            <w:tcW w:w="576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Cost of services</w:t>
            </w:r>
          </w:p>
        </w:tc>
        <w:tc>
          <w:tcPr>
            <w:tcW w:w="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150"/>
              <w:spacing w:after="0" w:line="202" w:lineRule="exact"/>
              <w:rPr>
                <w:sz w:val="20"/>
                <w:szCs w:val="20"/>
                <w:color w:val="auto"/>
              </w:rPr>
            </w:pPr>
            <w:r>
              <w:rPr>
                <w:rFonts w:ascii="Arial" w:cs="Arial" w:eastAsia="Arial" w:hAnsi="Arial"/>
                <w:sz w:val="18"/>
                <w:szCs w:val="18"/>
                <w:color w:val="auto"/>
              </w:rPr>
              <w:t>4,246.2</w:t>
            </w: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150"/>
              <w:spacing w:after="0" w:line="202" w:lineRule="exact"/>
              <w:rPr>
                <w:sz w:val="20"/>
                <w:szCs w:val="20"/>
                <w:color w:val="auto"/>
              </w:rPr>
            </w:pPr>
            <w:r>
              <w:rPr>
                <w:rFonts w:ascii="Arial" w:cs="Arial" w:eastAsia="Arial" w:hAnsi="Arial"/>
                <w:sz w:val="18"/>
                <w:szCs w:val="18"/>
                <w:color w:val="auto"/>
              </w:rPr>
              <w:t>4,156.3</w:t>
            </w:r>
          </w:p>
        </w:tc>
        <w:tc>
          <w:tcPr>
            <w:tcW w:w="1360" w:type="dxa"/>
            <w:vAlign w:val="bottom"/>
            <w:gridSpan w:val="2"/>
          </w:tcPr>
          <w:p>
            <w:pPr>
              <w:jc w:val="right"/>
              <w:ind w:right="30"/>
              <w:spacing w:after="0"/>
              <w:rPr>
                <w:sz w:val="20"/>
                <w:szCs w:val="20"/>
                <w:color w:val="auto"/>
              </w:rPr>
            </w:pPr>
            <w:r>
              <w:rPr>
                <w:rFonts w:ascii="Arial" w:cs="Arial" w:eastAsia="Arial" w:hAnsi="Arial"/>
                <w:sz w:val="16"/>
                <w:szCs w:val="16"/>
                <w:color w:val="auto"/>
              </w:rPr>
              <w:t>2.2 %</w:t>
            </w:r>
          </w:p>
        </w:tc>
        <w:tc>
          <w:tcPr>
            <w:tcW w:w="1340" w:type="dxa"/>
            <w:vAlign w:val="bottom"/>
            <w:gridSpan w:val="2"/>
          </w:tcPr>
          <w:p>
            <w:pPr>
              <w:jc w:val="right"/>
              <w:spacing w:after="0"/>
              <w:rPr>
                <w:sz w:val="20"/>
                <w:szCs w:val="20"/>
                <w:color w:val="auto"/>
              </w:rPr>
            </w:pPr>
            <w:r>
              <w:rPr>
                <w:rFonts w:ascii="Arial" w:cs="Arial" w:eastAsia="Arial" w:hAnsi="Arial"/>
                <w:sz w:val="16"/>
                <w:szCs w:val="16"/>
                <w:color w:val="auto"/>
              </w:rPr>
              <w:t>7.6 %</w:t>
            </w:r>
          </w:p>
        </w:tc>
        <w:tc>
          <w:tcPr>
            <w:tcW w:w="0" w:type="dxa"/>
            <w:vAlign w:val="bottom"/>
          </w:tcPr>
          <w:p>
            <w:pPr>
              <w:spacing w:after="0"/>
              <w:rPr>
                <w:sz w:val="1"/>
                <w:szCs w:val="1"/>
                <w:color w:val="auto"/>
              </w:rPr>
            </w:pPr>
          </w:p>
        </w:tc>
      </w:tr>
      <w:tr>
        <w:trPr>
          <w:trHeight w:val="196"/>
        </w:trPr>
        <w:tc>
          <w:tcPr>
            <w:tcW w:w="5760" w:type="dxa"/>
            <w:vAlign w:val="bottom"/>
            <w:gridSpan w:val="2"/>
            <w:shd w:val="clear" w:color="auto" w:fill="CFF0FC"/>
          </w:tcPr>
          <w:p>
            <w:pPr>
              <w:ind w:left="200"/>
              <w:spacing w:after="0" w:line="196" w:lineRule="exact"/>
              <w:rPr>
                <w:sz w:val="20"/>
                <w:szCs w:val="20"/>
                <w:color w:val="auto"/>
              </w:rPr>
            </w:pPr>
            <w:r>
              <w:rPr>
                <w:rFonts w:ascii="Arial" w:cs="Arial" w:eastAsia="Arial" w:hAnsi="Arial"/>
                <w:sz w:val="18"/>
                <w:szCs w:val="18"/>
                <w:color w:val="auto"/>
              </w:rPr>
              <w:t>Gross profit</w:t>
            </w:r>
          </w:p>
        </w:tc>
        <w:tc>
          <w:tcPr>
            <w:tcW w:w="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60" w:type="dxa"/>
            <w:vAlign w:val="bottom"/>
            <w:shd w:val="clear" w:color="auto" w:fill="CFF0FC"/>
          </w:tcPr>
          <w:p>
            <w:pPr>
              <w:jc w:val="right"/>
              <w:ind w:right="150"/>
              <w:spacing w:after="0" w:line="196" w:lineRule="exact"/>
              <w:rPr>
                <w:sz w:val="20"/>
                <w:szCs w:val="20"/>
                <w:color w:val="auto"/>
              </w:rPr>
            </w:pPr>
            <w:r>
              <w:rPr>
                <w:rFonts w:ascii="Arial" w:cs="Arial" w:eastAsia="Arial" w:hAnsi="Arial"/>
                <w:sz w:val="18"/>
                <w:szCs w:val="18"/>
                <w:color w:val="auto"/>
              </w:rPr>
              <w:t>897.1</w:t>
            </w:r>
          </w:p>
        </w:tc>
        <w:tc>
          <w:tcPr>
            <w:tcW w:w="1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80" w:type="dxa"/>
            <w:vAlign w:val="bottom"/>
            <w:shd w:val="clear" w:color="auto" w:fill="CFF0FC"/>
          </w:tcPr>
          <w:p>
            <w:pPr>
              <w:jc w:val="right"/>
              <w:ind w:right="150"/>
              <w:spacing w:after="0" w:line="196" w:lineRule="exact"/>
              <w:rPr>
                <w:sz w:val="20"/>
                <w:szCs w:val="20"/>
                <w:color w:val="auto"/>
              </w:rPr>
            </w:pPr>
            <w:r>
              <w:rPr>
                <w:rFonts w:ascii="Arial" w:cs="Arial" w:eastAsia="Arial" w:hAnsi="Arial"/>
                <w:sz w:val="18"/>
                <w:szCs w:val="18"/>
                <w:color w:val="auto"/>
              </w:rPr>
              <w:t>768.1</w:t>
            </w:r>
          </w:p>
        </w:tc>
        <w:tc>
          <w:tcPr>
            <w:tcW w:w="1360" w:type="dxa"/>
            <w:vAlign w:val="bottom"/>
            <w:gridSpan w:val="2"/>
            <w:shd w:val="clear" w:color="auto" w:fill="CFF0FC"/>
          </w:tcPr>
          <w:p>
            <w:pPr>
              <w:jc w:val="right"/>
              <w:ind w:right="30"/>
              <w:spacing w:after="0"/>
              <w:rPr>
                <w:sz w:val="20"/>
                <w:szCs w:val="20"/>
                <w:color w:val="auto"/>
              </w:rPr>
            </w:pPr>
            <w:r>
              <w:rPr>
                <w:rFonts w:ascii="Arial" w:cs="Arial" w:eastAsia="Arial" w:hAnsi="Arial"/>
                <w:sz w:val="16"/>
                <w:szCs w:val="16"/>
                <w:color w:val="auto"/>
              </w:rPr>
              <w:t>16.8 %</w:t>
            </w:r>
          </w:p>
        </w:tc>
        <w:tc>
          <w:tcPr>
            <w:tcW w:w="13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22.2 %</w:t>
            </w:r>
          </w:p>
        </w:tc>
        <w:tc>
          <w:tcPr>
            <w:tcW w:w="0" w:type="dxa"/>
            <w:vAlign w:val="bottom"/>
          </w:tcPr>
          <w:p>
            <w:pPr>
              <w:spacing w:after="0"/>
              <w:rPr>
                <w:sz w:val="1"/>
                <w:szCs w:val="1"/>
                <w:color w:val="auto"/>
              </w:rPr>
            </w:pPr>
          </w:p>
        </w:tc>
      </w:tr>
      <w:tr>
        <w:trPr>
          <w:trHeight w:val="203"/>
        </w:trPr>
        <w:tc>
          <w:tcPr>
            <w:tcW w:w="5760" w:type="dxa"/>
            <w:vAlign w:val="bottom"/>
            <w:gridSpan w:val="2"/>
          </w:tcPr>
          <w:p>
            <w:pPr>
              <w:ind w:left="200"/>
              <w:spacing w:after="0" w:line="202" w:lineRule="exact"/>
              <w:rPr>
                <w:sz w:val="20"/>
                <w:szCs w:val="20"/>
                <w:color w:val="auto"/>
              </w:rPr>
            </w:pPr>
            <w:r>
              <w:rPr>
                <w:rFonts w:ascii="Arial" w:cs="Arial" w:eastAsia="Arial" w:hAnsi="Arial"/>
                <w:sz w:val="18"/>
                <w:szCs w:val="18"/>
                <w:i w:val="1"/>
                <w:iCs w:val="1"/>
                <w:color w:val="auto"/>
              </w:rPr>
              <w:t>Gross profit margin</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i w:val="1"/>
                <w:iCs w:val="1"/>
                <w:color w:val="auto"/>
              </w:rPr>
              <w:t>17.4 %</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i w:val="1"/>
                <w:iCs w:val="1"/>
                <w:color w:val="auto"/>
              </w:rPr>
              <w:t>15.6 %</w:t>
            </w:r>
          </w:p>
        </w:tc>
        <w:tc>
          <w:tcPr>
            <w:tcW w:w="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60" w:type="dxa"/>
            <w:vAlign w:val="bottom"/>
            <w:tcBorders>
              <w:bottom w:val="single" w:sz="8" w:color="CFF0FC"/>
            </w:tcBorders>
            <w:gridSpan w:val="2"/>
            <w:shd w:val="clear" w:color="auto" w:fill="CFF0FC"/>
          </w:tcPr>
          <w:p>
            <w:pPr>
              <w:ind w:left="20"/>
              <w:spacing w:after="0" w:line="202" w:lineRule="exact"/>
              <w:rPr>
                <w:sz w:val="20"/>
                <w:szCs w:val="20"/>
                <w:color w:val="auto"/>
              </w:rPr>
            </w:pPr>
            <w:r>
              <w:rPr>
                <w:rFonts w:ascii="Arial" w:cs="Arial" w:eastAsia="Arial" w:hAnsi="Arial"/>
                <w:sz w:val="18"/>
                <w:szCs w:val="18"/>
                <w:color w:val="auto"/>
              </w:rPr>
              <w:t>Selling and administrative expenses</w:t>
            </w:r>
          </w:p>
        </w:tc>
        <w:tc>
          <w:tcPr>
            <w:tcW w:w="8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1060" w:type="dxa"/>
            <w:vAlign w:val="bottom"/>
            <w:tcBorders>
              <w:bottom w:val="single" w:sz="8" w:color="auto"/>
            </w:tcBorders>
            <w:shd w:val="clear" w:color="auto" w:fill="CFF0FC"/>
          </w:tcPr>
          <w:p>
            <w:pPr>
              <w:jc w:val="right"/>
              <w:ind w:right="150"/>
              <w:spacing w:after="0" w:line="202" w:lineRule="exact"/>
              <w:rPr>
                <w:sz w:val="20"/>
                <w:szCs w:val="20"/>
                <w:color w:val="auto"/>
              </w:rPr>
            </w:pPr>
            <w:r>
              <w:rPr>
                <w:rFonts w:ascii="Arial" w:cs="Arial" w:eastAsia="Arial" w:hAnsi="Arial"/>
                <w:sz w:val="18"/>
                <w:szCs w:val="18"/>
                <w:color w:val="auto"/>
              </w:rPr>
              <w:t>758.4</w:t>
            </w:r>
          </w:p>
        </w:tc>
        <w:tc>
          <w:tcPr>
            <w:tcW w:w="10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1080" w:type="dxa"/>
            <w:vAlign w:val="bottom"/>
            <w:tcBorders>
              <w:bottom w:val="single" w:sz="8" w:color="auto"/>
            </w:tcBorders>
            <w:shd w:val="clear" w:color="auto" w:fill="CFF0FC"/>
          </w:tcPr>
          <w:p>
            <w:pPr>
              <w:jc w:val="right"/>
              <w:ind w:right="150"/>
              <w:spacing w:after="0" w:line="202" w:lineRule="exact"/>
              <w:rPr>
                <w:sz w:val="20"/>
                <w:szCs w:val="20"/>
                <w:color w:val="auto"/>
              </w:rPr>
            </w:pPr>
            <w:r>
              <w:rPr>
                <w:rFonts w:ascii="Arial" w:cs="Arial" w:eastAsia="Arial" w:hAnsi="Arial"/>
                <w:sz w:val="18"/>
                <w:szCs w:val="18"/>
                <w:color w:val="auto"/>
              </w:rPr>
              <w:t>669.7</w:t>
            </w:r>
          </w:p>
        </w:tc>
        <w:tc>
          <w:tcPr>
            <w:tcW w:w="1360" w:type="dxa"/>
            <w:vAlign w:val="bottom"/>
            <w:tcBorders>
              <w:bottom w:val="single" w:sz="8" w:color="CFF0FC"/>
            </w:tcBorders>
            <w:gridSpan w:val="2"/>
            <w:shd w:val="clear" w:color="auto" w:fill="CFF0FC"/>
          </w:tcPr>
          <w:p>
            <w:pPr>
              <w:jc w:val="right"/>
              <w:ind w:right="30"/>
              <w:spacing w:after="0"/>
              <w:rPr>
                <w:sz w:val="20"/>
                <w:szCs w:val="20"/>
                <w:color w:val="auto"/>
              </w:rPr>
            </w:pPr>
            <w:r>
              <w:rPr>
                <w:rFonts w:ascii="Arial" w:cs="Arial" w:eastAsia="Arial" w:hAnsi="Arial"/>
                <w:sz w:val="16"/>
                <w:szCs w:val="16"/>
                <w:color w:val="auto"/>
              </w:rPr>
              <w:t>13.2 %</w:t>
            </w:r>
          </w:p>
        </w:tc>
        <w:tc>
          <w:tcPr>
            <w:tcW w:w="134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6"/>
                <w:szCs w:val="16"/>
                <w:color w:val="auto"/>
              </w:rPr>
              <w:t>18.2 %</w:t>
            </w:r>
          </w:p>
        </w:tc>
        <w:tc>
          <w:tcPr>
            <w:tcW w:w="0" w:type="dxa"/>
            <w:vAlign w:val="bottom"/>
          </w:tcPr>
          <w:p>
            <w:pPr>
              <w:spacing w:after="0"/>
              <w:rPr>
                <w:sz w:val="1"/>
                <w:szCs w:val="1"/>
                <w:color w:val="auto"/>
              </w:rPr>
            </w:pPr>
          </w:p>
        </w:tc>
      </w:tr>
      <w:tr>
        <w:trPr>
          <w:trHeight w:val="196"/>
        </w:trPr>
        <w:tc>
          <w:tcPr>
            <w:tcW w:w="5760" w:type="dxa"/>
            <w:vAlign w:val="bottom"/>
            <w:gridSpan w:val="2"/>
          </w:tcPr>
          <w:p>
            <w:pPr>
              <w:ind w:left="200"/>
              <w:spacing w:after="0" w:line="196" w:lineRule="exact"/>
              <w:rPr>
                <w:sz w:val="20"/>
                <w:szCs w:val="20"/>
                <w:color w:val="auto"/>
              </w:rPr>
            </w:pPr>
            <w:r>
              <w:rPr>
                <w:rFonts w:ascii="Arial" w:cs="Arial" w:eastAsia="Arial" w:hAnsi="Arial"/>
                <w:sz w:val="18"/>
                <w:szCs w:val="18"/>
                <w:color w:val="auto"/>
              </w:rPr>
              <w:t>Operating profit</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tcPr>
          <w:p>
            <w:pPr>
              <w:jc w:val="right"/>
              <w:ind w:right="150"/>
              <w:spacing w:after="0" w:line="196" w:lineRule="exact"/>
              <w:rPr>
                <w:sz w:val="20"/>
                <w:szCs w:val="20"/>
                <w:color w:val="auto"/>
              </w:rPr>
            </w:pPr>
            <w:r>
              <w:rPr>
                <w:rFonts w:ascii="Arial" w:cs="Arial" w:eastAsia="Arial" w:hAnsi="Arial"/>
                <w:sz w:val="18"/>
                <w:szCs w:val="18"/>
                <w:color w:val="auto"/>
              </w:rPr>
              <w:t>138.7</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jc w:val="right"/>
              <w:ind w:right="150"/>
              <w:spacing w:after="0" w:line="196" w:lineRule="exact"/>
              <w:rPr>
                <w:sz w:val="20"/>
                <w:szCs w:val="20"/>
                <w:color w:val="auto"/>
              </w:rPr>
            </w:pPr>
            <w:r>
              <w:rPr>
                <w:rFonts w:ascii="Arial" w:cs="Arial" w:eastAsia="Arial" w:hAnsi="Arial"/>
                <w:sz w:val="18"/>
                <w:szCs w:val="18"/>
                <w:color w:val="auto"/>
              </w:rPr>
              <w:t>98.4</w:t>
            </w:r>
          </w:p>
        </w:tc>
        <w:tc>
          <w:tcPr>
            <w:tcW w:w="1360" w:type="dxa"/>
            <w:vAlign w:val="bottom"/>
            <w:gridSpan w:val="2"/>
          </w:tcPr>
          <w:p>
            <w:pPr>
              <w:jc w:val="right"/>
              <w:ind w:right="30"/>
              <w:spacing w:after="0"/>
              <w:rPr>
                <w:sz w:val="20"/>
                <w:szCs w:val="20"/>
                <w:color w:val="auto"/>
              </w:rPr>
            </w:pPr>
            <w:r>
              <w:rPr>
                <w:rFonts w:ascii="Arial" w:cs="Arial" w:eastAsia="Arial" w:hAnsi="Arial"/>
                <w:sz w:val="16"/>
                <w:szCs w:val="16"/>
                <w:color w:val="auto"/>
              </w:rPr>
              <w:t>40.9 %</w:t>
            </w:r>
          </w:p>
        </w:tc>
        <w:tc>
          <w:tcPr>
            <w:tcW w:w="1340" w:type="dxa"/>
            <w:vAlign w:val="bottom"/>
            <w:gridSpan w:val="2"/>
          </w:tcPr>
          <w:p>
            <w:pPr>
              <w:jc w:val="right"/>
              <w:spacing w:after="0"/>
              <w:rPr>
                <w:sz w:val="20"/>
                <w:szCs w:val="20"/>
                <w:color w:val="auto"/>
              </w:rPr>
            </w:pPr>
            <w:r>
              <w:rPr>
                <w:rFonts w:ascii="Arial" w:cs="Arial" w:eastAsia="Arial" w:hAnsi="Arial"/>
                <w:sz w:val="16"/>
                <w:szCs w:val="16"/>
                <w:color w:val="auto"/>
              </w:rPr>
              <w:t>49.3 %</w:t>
            </w:r>
          </w:p>
        </w:tc>
        <w:tc>
          <w:tcPr>
            <w:tcW w:w="0" w:type="dxa"/>
            <w:vAlign w:val="bottom"/>
          </w:tcPr>
          <w:p>
            <w:pPr>
              <w:spacing w:after="0"/>
              <w:rPr>
                <w:sz w:val="1"/>
                <w:szCs w:val="1"/>
                <w:color w:val="auto"/>
              </w:rPr>
            </w:pPr>
          </w:p>
        </w:tc>
      </w:tr>
      <w:tr>
        <w:trPr>
          <w:trHeight w:val="203"/>
        </w:trPr>
        <w:tc>
          <w:tcPr>
            <w:tcW w:w="5760" w:type="dxa"/>
            <w:vAlign w:val="bottom"/>
            <w:gridSpan w:val="2"/>
            <w:shd w:val="clear" w:color="auto" w:fill="CFF0FC"/>
          </w:tcPr>
          <w:p>
            <w:pPr>
              <w:ind w:left="200"/>
              <w:spacing w:after="0" w:line="202" w:lineRule="exact"/>
              <w:rPr>
                <w:sz w:val="20"/>
                <w:szCs w:val="20"/>
                <w:color w:val="auto"/>
              </w:rPr>
            </w:pPr>
            <w:r>
              <w:rPr>
                <w:rFonts w:ascii="Arial" w:cs="Arial" w:eastAsia="Arial" w:hAnsi="Arial"/>
                <w:sz w:val="18"/>
                <w:szCs w:val="18"/>
                <w:i w:val="1"/>
                <w:iCs w:val="1"/>
                <w:color w:val="auto"/>
              </w:rPr>
              <w:t>Operating profit margin</w:t>
            </w:r>
          </w:p>
        </w:tc>
        <w:tc>
          <w:tcPr>
            <w:tcW w:w="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i w:val="1"/>
                <w:iCs w:val="1"/>
                <w:color w:val="auto"/>
              </w:rPr>
              <w:t>2.7 %</w:t>
            </w:r>
          </w:p>
        </w:tc>
        <w:tc>
          <w:tcPr>
            <w:tcW w:w="1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i w:val="1"/>
                <w:iCs w:val="1"/>
                <w:color w:val="auto"/>
              </w:rPr>
              <w:t>2.0 %</w:t>
            </w:r>
          </w:p>
        </w:tc>
        <w:tc>
          <w:tcPr>
            <w:tcW w:w="80" w:type="dxa"/>
            <w:vAlign w:val="bottom"/>
            <w:shd w:val="clear" w:color="auto" w:fill="CFF0FC"/>
          </w:tcPr>
          <w:p>
            <w:pPr>
              <w:spacing w:after="0"/>
              <w:rPr>
                <w:sz w:val="17"/>
                <w:szCs w:val="17"/>
                <w:color w:val="auto"/>
              </w:rPr>
            </w:pPr>
          </w:p>
        </w:tc>
        <w:tc>
          <w:tcPr>
            <w:tcW w:w="12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6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Interest and other expenses, net</w:t>
            </w:r>
          </w:p>
        </w:tc>
        <w:tc>
          <w:tcPr>
            <w:tcW w:w="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150"/>
              <w:spacing w:after="0" w:line="202" w:lineRule="exact"/>
              <w:rPr>
                <w:sz w:val="20"/>
                <w:szCs w:val="20"/>
                <w:color w:val="auto"/>
              </w:rPr>
            </w:pPr>
            <w:r>
              <w:rPr>
                <w:rFonts w:ascii="Arial" w:cs="Arial" w:eastAsia="Arial" w:hAnsi="Arial"/>
                <w:sz w:val="18"/>
                <w:szCs w:val="18"/>
                <w:color w:val="auto"/>
              </w:rPr>
              <w:t>2.7</w:t>
            </w: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150"/>
              <w:spacing w:after="0" w:line="202" w:lineRule="exact"/>
              <w:rPr>
                <w:sz w:val="20"/>
                <w:szCs w:val="20"/>
                <w:color w:val="auto"/>
              </w:rPr>
            </w:pPr>
            <w:r>
              <w:rPr>
                <w:rFonts w:ascii="Arial" w:cs="Arial" w:eastAsia="Arial" w:hAnsi="Arial"/>
                <w:sz w:val="18"/>
                <w:szCs w:val="18"/>
                <w:color w:val="auto"/>
              </w:rPr>
              <w:t>5.4</w:t>
            </w:r>
          </w:p>
        </w:tc>
        <w:tc>
          <w:tcPr>
            <w:tcW w:w="1360" w:type="dxa"/>
            <w:vAlign w:val="bottom"/>
            <w:gridSpan w:val="2"/>
          </w:tcPr>
          <w:p>
            <w:pPr>
              <w:jc w:val="right"/>
              <w:spacing w:after="0"/>
              <w:rPr>
                <w:sz w:val="20"/>
                <w:szCs w:val="20"/>
                <w:color w:val="auto"/>
              </w:rPr>
            </w:pPr>
            <w:r>
              <w:rPr>
                <w:rFonts w:ascii="Arial" w:cs="Arial" w:eastAsia="Arial" w:hAnsi="Arial"/>
                <w:sz w:val="16"/>
                <w:szCs w:val="16"/>
                <w:color w:val="auto"/>
              </w:rPr>
              <w:t>(50.8 )%</w:t>
            </w:r>
          </w:p>
        </w:tc>
        <w:tc>
          <w:tcPr>
            <w:tcW w:w="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760" w:type="dxa"/>
            <w:vAlign w:val="bottom"/>
            <w:gridSpan w:val="2"/>
            <w:shd w:val="clear" w:color="auto" w:fill="CFF0FC"/>
          </w:tcPr>
          <w:p>
            <w:pPr>
              <w:ind w:left="200"/>
              <w:spacing w:after="0" w:line="196" w:lineRule="exact"/>
              <w:rPr>
                <w:sz w:val="20"/>
                <w:szCs w:val="20"/>
                <w:color w:val="auto"/>
              </w:rPr>
            </w:pPr>
            <w:r>
              <w:rPr>
                <w:rFonts w:ascii="Arial" w:cs="Arial" w:eastAsia="Arial" w:hAnsi="Arial"/>
                <w:sz w:val="18"/>
                <w:szCs w:val="18"/>
                <w:color w:val="auto"/>
              </w:rPr>
              <w:t>Earnings before income taxes</w:t>
            </w:r>
          </w:p>
        </w:tc>
        <w:tc>
          <w:tcPr>
            <w:tcW w:w="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60" w:type="dxa"/>
            <w:vAlign w:val="bottom"/>
            <w:shd w:val="clear" w:color="auto" w:fill="CFF0FC"/>
          </w:tcPr>
          <w:p>
            <w:pPr>
              <w:jc w:val="right"/>
              <w:ind w:right="150"/>
              <w:spacing w:after="0" w:line="196" w:lineRule="exact"/>
              <w:rPr>
                <w:sz w:val="20"/>
                <w:szCs w:val="20"/>
                <w:color w:val="auto"/>
              </w:rPr>
            </w:pPr>
            <w:r>
              <w:rPr>
                <w:rFonts w:ascii="Arial" w:cs="Arial" w:eastAsia="Arial" w:hAnsi="Arial"/>
                <w:sz w:val="18"/>
                <w:szCs w:val="18"/>
                <w:color w:val="auto"/>
              </w:rPr>
              <w:t>136.0</w:t>
            </w:r>
          </w:p>
        </w:tc>
        <w:tc>
          <w:tcPr>
            <w:tcW w:w="1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80" w:type="dxa"/>
            <w:vAlign w:val="bottom"/>
            <w:shd w:val="clear" w:color="auto" w:fill="CFF0FC"/>
          </w:tcPr>
          <w:p>
            <w:pPr>
              <w:jc w:val="right"/>
              <w:ind w:right="150"/>
              <w:spacing w:after="0" w:line="196" w:lineRule="exact"/>
              <w:rPr>
                <w:sz w:val="20"/>
                <w:szCs w:val="20"/>
                <w:color w:val="auto"/>
              </w:rPr>
            </w:pPr>
            <w:r>
              <w:rPr>
                <w:rFonts w:ascii="Arial" w:cs="Arial" w:eastAsia="Arial" w:hAnsi="Arial"/>
                <w:sz w:val="18"/>
                <w:szCs w:val="18"/>
                <w:color w:val="auto"/>
              </w:rPr>
              <w:t>93.0</w:t>
            </w:r>
          </w:p>
        </w:tc>
        <w:tc>
          <w:tcPr>
            <w:tcW w:w="1360" w:type="dxa"/>
            <w:vAlign w:val="bottom"/>
            <w:gridSpan w:val="2"/>
            <w:shd w:val="clear" w:color="auto" w:fill="CFF0FC"/>
          </w:tcPr>
          <w:p>
            <w:pPr>
              <w:jc w:val="right"/>
              <w:ind w:right="30"/>
              <w:spacing w:after="0"/>
              <w:rPr>
                <w:sz w:val="20"/>
                <w:szCs w:val="20"/>
                <w:color w:val="auto"/>
              </w:rPr>
            </w:pPr>
            <w:r>
              <w:rPr>
                <w:rFonts w:ascii="Arial" w:cs="Arial" w:eastAsia="Arial" w:hAnsi="Arial"/>
                <w:sz w:val="16"/>
                <w:szCs w:val="16"/>
                <w:color w:val="auto"/>
              </w:rPr>
              <w:t>46.3 %</w:t>
            </w:r>
          </w:p>
        </w:tc>
        <w:tc>
          <w:tcPr>
            <w:tcW w:w="13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54.7 %</w:t>
            </w:r>
          </w:p>
        </w:tc>
        <w:tc>
          <w:tcPr>
            <w:tcW w:w="0" w:type="dxa"/>
            <w:vAlign w:val="bottom"/>
          </w:tcPr>
          <w:p>
            <w:pPr>
              <w:spacing w:after="0"/>
              <w:rPr>
                <w:sz w:val="1"/>
                <w:szCs w:val="1"/>
                <w:color w:val="auto"/>
              </w:rPr>
            </w:pPr>
          </w:p>
        </w:tc>
      </w:tr>
      <w:tr>
        <w:trPr>
          <w:trHeight w:val="203"/>
        </w:trPr>
        <w:tc>
          <w:tcPr>
            <w:tcW w:w="576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Provision for income taxes</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tcPr>
          <w:p>
            <w:pPr>
              <w:jc w:val="right"/>
              <w:ind w:right="150"/>
              <w:spacing w:after="0" w:line="202" w:lineRule="exact"/>
              <w:rPr>
                <w:sz w:val="20"/>
                <w:szCs w:val="20"/>
                <w:color w:val="auto"/>
              </w:rPr>
            </w:pPr>
            <w:r>
              <w:rPr>
                <w:rFonts w:ascii="Arial" w:cs="Arial" w:eastAsia="Arial" w:hAnsi="Arial"/>
                <w:sz w:val="18"/>
                <w:szCs w:val="18"/>
                <w:color w:val="auto"/>
              </w:rPr>
              <w:t>44.4</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jc w:val="right"/>
              <w:ind w:right="150"/>
              <w:spacing w:after="0" w:line="202" w:lineRule="exact"/>
              <w:rPr>
                <w:sz w:val="20"/>
                <w:szCs w:val="20"/>
                <w:color w:val="auto"/>
              </w:rPr>
            </w:pPr>
            <w:r>
              <w:rPr>
                <w:rFonts w:ascii="Arial" w:cs="Arial" w:eastAsia="Arial" w:hAnsi="Arial"/>
                <w:sz w:val="18"/>
                <w:szCs w:val="18"/>
                <w:color w:val="auto"/>
              </w:rPr>
              <w:t>31.0</w:t>
            </w:r>
          </w:p>
        </w:tc>
        <w:tc>
          <w:tcPr>
            <w:tcW w:w="1360" w:type="dxa"/>
            <w:vAlign w:val="bottom"/>
            <w:gridSpan w:val="2"/>
          </w:tcPr>
          <w:p>
            <w:pPr>
              <w:jc w:val="right"/>
              <w:ind w:right="30"/>
              <w:spacing w:after="0"/>
              <w:rPr>
                <w:sz w:val="20"/>
                <w:szCs w:val="20"/>
                <w:color w:val="auto"/>
              </w:rPr>
            </w:pPr>
            <w:r>
              <w:rPr>
                <w:rFonts w:ascii="Arial" w:cs="Arial" w:eastAsia="Arial" w:hAnsi="Arial"/>
                <w:sz w:val="16"/>
                <w:szCs w:val="16"/>
                <w:color w:val="auto"/>
              </w:rPr>
              <w:t>43.2 %</w:t>
            </w:r>
          </w:p>
        </w:tc>
        <w:tc>
          <w:tcPr>
            <w:tcW w:w="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60" w:type="dxa"/>
            <w:vAlign w:val="bottom"/>
            <w:tcBorders>
              <w:bottom w:val="single" w:sz="8" w:color="CFF0FC"/>
            </w:tcBorders>
            <w:gridSpan w:val="2"/>
            <w:shd w:val="clear" w:color="auto" w:fill="CFF0FC"/>
          </w:tcPr>
          <w:p>
            <w:pPr>
              <w:ind w:left="20"/>
              <w:spacing w:after="0" w:line="202" w:lineRule="exact"/>
              <w:rPr>
                <w:sz w:val="20"/>
                <w:szCs w:val="20"/>
                <w:color w:val="auto"/>
              </w:rPr>
            </w:pPr>
            <w:r>
              <w:rPr>
                <w:rFonts w:ascii="Arial" w:cs="Arial" w:eastAsia="Arial" w:hAnsi="Arial"/>
                <w:sz w:val="18"/>
                <w:szCs w:val="18"/>
                <w:i w:val="1"/>
                <w:iCs w:val="1"/>
                <w:color w:val="auto"/>
              </w:rPr>
              <w:t>Effective income tax rate</w:t>
            </w:r>
          </w:p>
        </w:tc>
        <w:tc>
          <w:tcPr>
            <w:tcW w:w="8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10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i w:val="1"/>
                <w:iCs w:val="1"/>
                <w:color w:val="auto"/>
              </w:rPr>
              <w:t>32.6 %</w:t>
            </w:r>
          </w:p>
        </w:tc>
        <w:tc>
          <w:tcPr>
            <w:tcW w:w="10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10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i w:val="1"/>
                <w:iCs w:val="1"/>
                <w:color w:val="auto"/>
              </w:rPr>
              <w:t>33.3 %</w:t>
            </w:r>
          </w:p>
        </w:tc>
        <w:tc>
          <w:tcPr>
            <w:tcW w:w="80" w:type="dxa"/>
            <w:vAlign w:val="bottom"/>
            <w:tcBorders>
              <w:bottom w:val="single" w:sz="8" w:color="CFF0FC"/>
            </w:tcBorders>
            <w:shd w:val="clear" w:color="auto" w:fill="CFF0FC"/>
          </w:tcPr>
          <w:p>
            <w:pPr>
              <w:spacing w:after="0"/>
              <w:rPr>
                <w:sz w:val="17"/>
                <w:szCs w:val="17"/>
                <w:color w:val="auto"/>
              </w:rPr>
            </w:pPr>
          </w:p>
        </w:tc>
        <w:tc>
          <w:tcPr>
            <w:tcW w:w="128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126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760" w:type="dxa"/>
            <w:vAlign w:val="bottom"/>
            <w:gridSpan w:val="2"/>
          </w:tcPr>
          <w:p>
            <w:pPr>
              <w:ind w:left="200"/>
              <w:spacing w:after="0" w:line="182" w:lineRule="exact"/>
              <w:rPr>
                <w:sz w:val="20"/>
                <w:szCs w:val="20"/>
                <w:color w:val="auto"/>
              </w:rPr>
            </w:pPr>
            <w:r>
              <w:rPr>
                <w:rFonts w:ascii="Arial" w:cs="Arial" w:eastAsia="Arial" w:hAnsi="Arial"/>
                <w:sz w:val="18"/>
                <w:szCs w:val="18"/>
                <w:color w:val="auto"/>
              </w:rPr>
              <w:t>Net earnings</w:t>
            </w:r>
          </w:p>
        </w:tc>
        <w:tc>
          <w:tcPr>
            <w:tcW w:w="320" w:type="dxa"/>
            <w:vAlign w:val="bottom"/>
            <w:gridSpan w:val="2"/>
          </w:tcPr>
          <w:p>
            <w:pPr>
              <w:jc w:val="right"/>
              <w:ind w:right="50"/>
              <w:spacing w:after="0" w:line="182" w:lineRule="exact"/>
              <w:rPr>
                <w:sz w:val="20"/>
                <w:szCs w:val="20"/>
                <w:color w:val="auto"/>
              </w:rPr>
            </w:pPr>
            <w:r>
              <w:rPr>
                <w:rFonts w:ascii="Arial" w:cs="Arial" w:eastAsia="Arial" w:hAnsi="Arial"/>
                <w:sz w:val="18"/>
                <w:szCs w:val="18"/>
                <w:color w:val="auto"/>
              </w:rPr>
              <w:t>$</w:t>
            </w:r>
          </w:p>
        </w:tc>
        <w:tc>
          <w:tcPr>
            <w:tcW w:w="1060" w:type="dxa"/>
            <w:vAlign w:val="bottom"/>
          </w:tcPr>
          <w:p>
            <w:pPr>
              <w:jc w:val="right"/>
              <w:ind w:right="150"/>
              <w:spacing w:after="0" w:line="182" w:lineRule="exact"/>
              <w:rPr>
                <w:sz w:val="20"/>
                <w:szCs w:val="20"/>
                <w:color w:val="auto"/>
              </w:rPr>
            </w:pPr>
            <w:r>
              <w:rPr>
                <w:rFonts w:ascii="Arial" w:cs="Arial" w:eastAsia="Arial" w:hAnsi="Arial"/>
                <w:sz w:val="18"/>
                <w:szCs w:val="18"/>
                <w:color w:val="auto"/>
              </w:rPr>
              <w:t>91.6</w:t>
            </w:r>
          </w:p>
        </w:tc>
        <w:tc>
          <w:tcPr>
            <w:tcW w:w="320" w:type="dxa"/>
            <w:vAlign w:val="bottom"/>
            <w:gridSpan w:val="2"/>
          </w:tcPr>
          <w:p>
            <w:pPr>
              <w:jc w:val="right"/>
              <w:ind w:right="30"/>
              <w:spacing w:after="0" w:line="182" w:lineRule="exact"/>
              <w:rPr>
                <w:sz w:val="20"/>
                <w:szCs w:val="20"/>
                <w:color w:val="auto"/>
              </w:rPr>
            </w:pPr>
            <w:r>
              <w:rPr>
                <w:rFonts w:ascii="Arial" w:cs="Arial" w:eastAsia="Arial" w:hAnsi="Arial"/>
                <w:sz w:val="18"/>
                <w:szCs w:val="18"/>
                <w:color w:val="auto"/>
              </w:rPr>
              <w:t>$</w:t>
            </w:r>
          </w:p>
        </w:tc>
        <w:tc>
          <w:tcPr>
            <w:tcW w:w="1080" w:type="dxa"/>
            <w:vAlign w:val="bottom"/>
          </w:tcPr>
          <w:p>
            <w:pPr>
              <w:jc w:val="right"/>
              <w:ind w:right="150"/>
              <w:spacing w:after="0" w:line="182" w:lineRule="exact"/>
              <w:rPr>
                <w:sz w:val="20"/>
                <w:szCs w:val="20"/>
                <w:color w:val="auto"/>
              </w:rPr>
            </w:pPr>
            <w:r>
              <w:rPr>
                <w:rFonts w:ascii="Arial" w:cs="Arial" w:eastAsia="Arial" w:hAnsi="Arial"/>
                <w:sz w:val="18"/>
                <w:szCs w:val="18"/>
                <w:color w:val="auto"/>
              </w:rPr>
              <w:t>62.0</w:t>
            </w:r>
          </w:p>
        </w:tc>
        <w:tc>
          <w:tcPr>
            <w:tcW w:w="1360" w:type="dxa"/>
            <w:vAlign w:val="bottom"/>
            <w:gridSpan w:val="2"/>
          </w:tcPr>
          <w:p>
            <w:pPr>
              <w:jc w:val="right"/>
              <w:ind w:right="30"/>
              <w:spacing w:after="0" w:line="183" w:lineRule="exact"/>
              <w:rPr>
                <w:sz w:val="20"/>
                <w:szCs w:val="20"/>
                <w:color w:val="auto"/>
              </w:rPr>
            </w:pPr>
            <w:r>
              <w:rPr>
                <w:rFonts w:ascii="Arial" w:cs="Arial" w:eastAsia="Arial" w:hAnsi="Arial"/>
                <w:sz w:val="16"/>
                <w:szCs w:val="16"/>
                <w:color w:val="auto"/>
              </w:rPr>
              <w:t>47.8 %</w:t>
            </w:r>
          </w:p>
        </w:tc>
        <w:tc>
          <w:tcPr>
            <w:tcW w:w="1340" w:type="dxa"/>
            <w:vAlign w:val="bottom"/>
            <w:gridSpan w:val="2"/>
          </w:tcPr>
          <w:p>
            <w:pPr>
              <w:jc w:val="right"/>
              <w:spacing w:after="0" w:line="183" w:lineRule="exact"/>
              <w:rPr>
                <w:sz w:val="20"/>
                <w:szCs w:val="20"/>
                <w:color w:val="auto"/>
              </w:rPr>
            </w:pPr>
            <w:r>
              <w:rPr>
                <w:rFonts w:ascii="Arial" w:cs="Arial" w:eastAsia="Arial" w:hAnsi="Arial"/>
                <w:sz w:val="16"/>
                <w:szCs w:val="16"/>
                <w:color w:val="auto"/>
              </w:rPr>
              <w:t>56.3 %</w:t>
            </w:r>
          </w:p>
        </w:tc>
        <w:tc>
          <w:tcPr>
            <w:tcW w:w="0" w:type="dxa"/>
            <w:vAlign w:val="bottom"/>
          </w:tcPr>
          <w:p>
            <w:pPr>
              <w:spacing w:after="0"/>
              <w:rPr>
                <w:sz w:val="1"/>
                <w:szCs w:val="1"/>
                <w:color w:val="auto"/>
              </w:rPr>
            </w:pPr>
          </w:p>
        </w:tc>
      </w:tr>
      <w:tr>
        <w:trPr>
          <w:trHeight w:val="20"/>
        </w:trPr>
        <w:tc>
          <w:tcPr>
            <w:tcW w:w="48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760" w:type="dxa"/>
            <w:vAlign w:val="bottom"/>
            <w:tcBorders>
              <w:bottom w:val="single" w:sz="8" w:color="CFF0FC"/>
            </w:tcBorders>
            <w:gridSpan w:val="2"/>
            <w:shd w:val="clear" w:color="auto" w:fill="CFF0FC"/>
          </w:tcPr>
          <w:p>
            <w:pPr>
              <w:ind w:left="20"/>
              <w:spacing w:after="0" w:line="182" w:lineRule="exact"/>
              <w:rPr>
                <w:sz w:val="20"/>
                <w:szCs w:val="20"/>
                <w:color w:val="auto"/>
              </w:rPr>
            </w:pPr>
            <w:r>
              <w:rPr>
                <w:rFonts w:ascii="Arial" w:cs="Arial" w:eastAsia="Arial" w:hAnsi="Arial"/>
                <w:sz w:val="18"/>
                <w:szCs w:val="18"/>
                <w:color w:val="auto"/>
              </w:rPr>
              <w:t>Net earnings per share – diluted</w:t>
            </w:r>
          </w:p>
        </w:tc>
        <w:tc>
          <w:tcPr>
            <w:tcW w:w="8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0"/>
              <w:spacing w:after="0" w:line="182" w:lineRule="exact"/>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FF0FC"/>
          </w:tcPr>
          <w:p>
            <w:pPr>
              <w:jc w:val="right"/>
              <w:ind w:right="150"/>
              <w:spacing w:after="0" w:line="182" w:lineRule="exact"/>
              <w:rPr>
                <w:sz w:val="20"/>
                <w:szCs w:val="20"/>
                <w:color w:val="auto"/>
              </w:rPr>
            </w:pPr>
            <w:r>
              <w:rPr>
                <w:rFonts w:ascii="Arial" w:cs="Arial" w:eastAsia="Arial" w:hAnsi="Arial"/>
                <w:sz w:val="18"/>
                <w:szCs w:val="18"/>
                <w:color w:val="auto"/>
              </w:rPr>
              <w:t>1.68</w:t>
            </w:r>
          </w:p>
        </w:tc>
        <w:tc>
          <w:tcPr>
            <w:tcW w:w="10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0"/>
              <w:spacing w:after="0" w:line="182" w:lineRule="exact"/>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FF0FC"/>
          </w:tcPr>
          <w:p>
            <w:pPr>
              <w:jc w:val="right"/>
              <w:ind w:right="150"/>
              <w:spacing w:after="0" w:line="182" w:lineRule="exact"/>
              <w:rPr>
                <w:sz w:val="20"/>
                <w:szCs w:val="20"/>
                <w:color w:val="auto"/>
              </w:rPr>
            </w:pPr>
            <w:r>
              <w:rPr>
                <w:rFonts w:ascii="Arial" w:cs="Arial" w:eastAsia="Arial" w:hAnsi="Arial"/>
                <w:sz w:val="18"/>
                <w:szCs w:val="18"/>
                <w:color w:val="auto"/>
              </w:rPr>
              <w:t>1.11</w:t>
            </w:r>
          </w:p>
        </w:tc>
        <w:tc>
          <w:tcPr>
            <w:tcW w:w="1360" w:type="dxa"/>
            <w:vAlign w:val="bottom"/>
            <w:tcBorders>
              <w:bottom w:val="single" w:sz="8" w:color="CFF0FC"/>
            </w:tcBorders>
            <w:gridSpan w:val="2"/>
            <w:shd w:val="clear" w:color="auto" w:fill="CFF0FC"/>
          </w:tcPr>
          <w:p>
            <w:pPr>
              <w:jc w:val="right"/>
              <w:ind w:right="30"/>
              <w:spacing w:after="0" w:line="183" w:lineRule="exact"/>
              <w:rPr>
                <w:sz w:val="20"/>
                <w:szCs w:val="20"/>
                <w:color w:val="auto"/>
              </w:rPr>
            </w:pPr>
            <w:r>
              <w:rPr>
                <w:rFonts w:ascii="Arial" w:cs="Arial" w:eastAsia="Arial" w:hAnsi="Arial"/>
                <w:sz w:val="16"/>
                <w:szCs w:val="16"/>
                <w:color w:val="auto"/>
              </w:rPr>
              <w:t>51.4 %</w:t>
            </w:r>
          </w:p>
        </w:tc>
        <w:tc>
          <w:tcPr>
            <w:tcW w:w="1340" w:type="dxa"/>
            <w:vAlign w:val="bottom"/>
            <w:tcBorders>
              <w:bottom w:val="single" w:sz="8" w:color="CFF0FC"/>
            </w:tcBorders>
            <w:gridSpan w:val="2"/>
            <w:shd w:val="clear" w:color="auto" w:fill="CFF0FC"/>
          </w:tcPr>
          <w:p>
            <w:pPr>
              <w:jc w:val="right"/>
              <w:spacing w:after="0" w:line="183" w:lineRule="exact"/>
              <w:rPr>
                <w:sz w:val="20"/>
                <w:szCs w:val="20"/>
                <w:color w:val="auto"/>
              </w:rPr>
            </w:pPr>
            <w:r>
              <w:rPr>
                <w:rFonts w:ascii="Arial" w:cs="Arial" w:eastAsia="Arial" w:hAnsi="Arial"/>
                <w:sz w:val="16"/>
                <w:szCs w:val="16"/>
                <w:color w:val="auto"/>
              </w:rPr>
              <w:t>60.4 %</w:t>
            </w:r>
          </w:p>
        </w:tc>
        <w:tc>
          <w:tcPr>
            <w:tcW w:w="0" w:type="dxa"/>
            <w:vAlign w:val="bottom"/>
          </w:tcPr>
          <w:p>
            <w:pPr>
              <w:spacing w:after="0"/>
              <w:rPr>
                <w:sz w:val="1"/>
                <w:szCs w:val="1"/>
                <w:color w:val="auto"/>
              </w:rPr>
            </w:pPr>
          </w:p>
        </w:tc>
      </w:tr>
      <w:tr>
        <w:trPr>
          <w:trHeight w:val="183"/>
        </w:trPr>
        <w:tc>
          <w:tcPr>
            <w:tcW w:w="5760" w:type="dxa"/>
            <w:vAlign w:val="bottom"/>
            <w:gridSpan w:val="2"/>
          </w:tcPr>
          <w:p>
            <w:pPr>
              <w:ind w:left="20"/>
              <w:spacing w:after="0" w:line="182" w:lineRule="exact"/>
              <w:rPr>
                <w:sz w:val="20"/>
                <w:szCs w:val="20"/>
                <w:color w:val="auto"/>
              </w:rPr>
            </w:pPr>
            <w:r>
              <w:rPr>
                <w:rFonts w:ascii="Arial" w:cs="Arial" w:eastAsia="Arial" w:hAnsi="Arial"/>
                <w:sz w:val="18"/>
                <w:szCs w:val="18"/>
                <w:color w:val="auto"/>
              </w:rPr>
              <w:t>Weighted average shares – diluted</w:t>
            </w:r>
          </w:p>
        </w:tc>
        <w:tc>
          <w:tcPr>
            <w:tcW w:w="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150"/>
              <w:spacing w:after="0" w:line="182" w:lineRule="exact"/>
              <w:rPr>
                <w:sz w:val="20"/>
                <w:szCs w:val="20"/>
                <w:color w:val="auto"/>
              </w:rPr>
            </w:pPr>
            <w:r>
              <w:rPr>
                <w:rFonts w:ascii="Arial" w:cs="Arial" w:eastAsia="Arial" w:hAnsi="Arial"/>
                <w:sz w:val="18"/>
                <w:szCs w:val="18"/>
                <w:color w:val="auto"/>
              </w:rPr>
              <w:t>54.4</w:t>
            </w:r>
          </w:p>
        </w:tc>
        <w:tc>
          <w:tcPr>
            <w:tcW w:w="1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150"/>
              <w:spacing w:after="0" w:line="182" w:lineRule="exact"/>
              <w:rPr>
                <w:sz w:val="20"/>
                <w:szCs w:val="20"/>
                <w:color w:val="auto"/>
              </w:rPr>
            </w:pPr>
            <w:r>
              <w:rPr>
                <w:rFonts w:ascii="Arial" w:cs="Arial" w:eastAsia="Arial" w:hAnsi="Arial"/>
                <w:sz w:val="18"/>
                <w:szCs w:val="18"/>
                <w:color w:val="auto"/>
              </w:rPr>
              <w:t>55.7</w:t>
            </w:r>
          </w:p>
        </w:tc>
        <w:tc>
          <w:tcPr>
            <w:tcW w:w="1360" w:type="dxa"/>
            <w:vAlign w:val="bottom"/>
            <w:gridSpan w:val="2"/>
          </w:tcPr>
          <w:p>
            <w:pPr>
              <w:jc w:val="right"/>
              <w:spacing w:after="0" w:line="183" w:lineRule="exact"/>
              <w:rPr>
                <w:sz w:val="20"/>
                <w:szCs w:val="20"/>
                <w:color w:val="auto"/>
              </w:rPr>
            </w:pPr>
            <w:r>
              <w:rPr>
                <w:rFonts w:ascii="Arial" w:cs="Arial" w:eastAsia="Arial" w:hAnsi="Arial"/>
                <w:sz w:val="16"/>
                <w:szCs w:val="16"/>
                <w:color w:val="auto"/>
              </w:rPr>
              <w:t>(2.3 )%</w:t>
            </w:r>
          </w:p>
        </w:tc>
        <w:tc>
          <w:tcPr>
            <w:tcW w:w="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8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4539615</wp:posOffset>
            </wp:positionH>
            <wp:positionV relativeFrom="paragraph">
              <wp:posOffset>-1256665</wp:posOffset>
            </wp:positionV>
            <wp:extent cx="51435" cy="571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-1256665</wp:posOffset>
            </wp:positionV>
            <wp:extent cx="51435" cy="571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-467995</wp:posOffset>
            </wp:positionV>
            <wp:extent cx="51435" cy="571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-467995</wp:posOffset>
            </wp:positionV>
            <wp:extent cx="51435" cy="571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-179070</wp:posOffset>
            </wp:positionV>
            <wp:extent cx="5143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-162560</wp:posOffset>
            </wp:positionV>
            <wp:extent cx="5143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-179070</wp:posOffset>
            </wp:positionV>
            <wp:extent cx="5143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-162560</wp:posOffset>
            </wp:positionV>
            <wp:extent cx="5143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color w:val="auto"/>
        </w:rPr>
        <w:t>The year-over-year increase in revenues from services of 4.4% (9.8% in constant currency and 6.5% in organic constant currency) was attributed to:</w:t>
      </w:r>
    </w:p>
    <w:p>
      <w:pPr>
        <w:spacing w:after="0" w:line="223" w:lineRule="exact"/>
        <w:rPr>
          <w:sz w:val="20"/>
          <w:szCs w:val="20"/>
          <w:color w:val="auto"/>
        </w:rPr>
      </w:pPr>
    </w:p>
    <w:p>
      <w:pPr>
        <w:ind w:left="760" w:right="100" w:hanging="378"/>
        <w:spacing w:after="0" w:line="295" w:lineRule="auto"/>
        <w:tabs>
          <w:tab w:leader="none" w:pos="7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revenue increase in the United States of 46.1% (15.2% on an organic basis) primarily driven by our Experis acquisition in the fourth quarter of 2021, increased demand for our staffing/interim services, an increase in our permanent recruitment business of 89.4% (78.0% on an organic basis), including our RPO offering, and increased demand for our MSP offering; and</w:t>
      </w:r>
    </w:p>
    <w:p>
      <w:pPr>
        <w:spacing w:after="0" w:line="141" w:lineRule="exact"/>
        <w:rPr>
          <w:rFonts w:ascii="Arial" w:cs="Arial" w:eastAsia="Arial" w:hAnsi="Arial"/>
          <w:sz w:val="18"/>
          <w:szCs w:val="18"/>
          <w:color w:val="auto"/>
        </w:rPr>
      </w:pPr>
    </w:p>
    <w:p>
      <w:pPr>
        <w:ind w:left="760" w:right="80" w:hanging="378"/>
        <w:spacing w:after="0" w:line="332" w:lineRule="auto"/>
        <w:tabs>
          <w:tab w:leader="none" w:pos="7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a revenue increase in Southern Europe of 1.6% (8.4% in constant currency). France, the largest market in Southern Europe, experienced a revenue increase of 0.3% (7.7% in constant currency), which was primarily due to the increased demand for our Manpower staffing services and a 29.7% increase (39.3% in constant currency) in the permanent recruitment business. Italy, also part of Southern Europe, experienced a revenue increase of 10.5% (18.6% in constant currency), which was primarily due to the increased demand for our Manpower staffing services and Experis interim services and a 38.7% increase (49.0% in constant currency) in the permanent recruitment business; partially offset by</w:t>
      </w:r>
    </w:p>
    <w:p>
      <w:pPr>
        <w:spacing w:after="0" w:line="131" w:lineRule="exact"/>
        <w:rPr>
          <w:rFonts w:ascii="Arial" w:cs="Arial" w:eastAsia="Arial" w:hAnsi="Arial"/>
          <w:sz w:val="16"/>
          <w:szCs w:val="16"/>
          <w:color w:val="auto"/>
        </w:rPr>
      </w:pPr>
    </w:p>
    <w:p>
      <w:pPr>
        <w:ind w:left="760" w:right="160" w:hanging="378"/>
        <w:spacing w:after="0" w:line="332" w:lineRule="auto"/>
        <w:tabs>
          <w:tab w:leader="none" w:pos="7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a revenue decrease in Northern Europe of 3.5% (increase of 2.0% in constant currency), primarily due to the unfavorable impact of foreign currency exchange rates and the disposition of our Russia business, partially offset by the 50.9% increase (59.8% in constant currency) in the permanent recruitment business. We experienced revenue decreases in the United Kingdom, Germany and the Netherlands of 3.1%, 10.1% and 9.1%, respectively (-0.3%, -3.5% and -2.4%, respectively, in constant currency). The decreases were partially offset by revenue increases in the Nordics and Belgium of 8.0% and 0.1%, respectively (15.9% and 7.5%, respectively, in constant currency);</w:t>
      </w:r>
    </w:p>
    <w:p>
      <w:pPr>
        <w:spacing w:after="0" w:line="117" w:lineRule="exact"/>
        <w:rPr>
          <w:rFonts w:ascii="Arial" w:cs="Arial" w:eastAsia="Arial" w:hAnsi="Arial"/>
          <w:sz w:val="16"/>
          <w:szCs w:val="16"/>
          <w:color w:val="auto"/>
        </w:rPr>
      </w:pPr>
    </w:p>
    <w:p>
      <w:pPr>
        <w:ind w:left="760" w:right="120" w:hanging="378"/>
        <w:spacing w:after="0" w:line="319" w:lineRule="auto"/>
        <w:tabs>
          <w:tab w:leader="none" w:pos="7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a revenue decrease in APME of 1.5% (increase of 6.0% in constant currency) primarily due to the increased demand for our staffing/interim services and a 10.2% increase (17.9% in constant currency) in our permanent recruitment business, partially offset by the unfavorable impact of change in currency exchange rates and the unfavorable impact of approximately one fewer billing day; and</w:t>
      </w:r>
    </w:p>
    <w:p>
      <w:pPr>
        <w:spacing w:after="0" w:line="125" w:lineRule="exact"/>
        <w:rPr>
          <w:rFonts w:ascii="Arial" w:cs="Arial" w:eastAsia="Arial" w:hAnsi="Arial"/>
          <w:sz w:val="17"/>
          <w:szCs w:val="17"/>
          <w:color w:val="auto"/>
        </w:rPr>
      </w:pPr>
    </w:p>
    <w:p>
      <w:pPr>
        <w:ind w:left="760" w:hanging="378"/>
        <w:spacing w:after="0"/>
        <w:tabs>
          <w:tab w:leader="none" w:pos="7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5.4% decrease due to the impact of changes in currency exchange rates.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86"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color w:val="auto"/>
        </w:rPr>
        <w:t>The year-over-year 180 basis point increase in gross profit margin was primarily attributed to:</w:t>
      </w:r>
    </w:p>
    <w:p>
      <w:pPr>
        <w:spacing w:after="0" w:line="185" w:lineRule="exact"/>
        <w:rPr>
          <w:sz w:val="20"/>
          <w:szCs w:val="20"/>
          <w:color w:val="auto"/>
        </w:rPr>
      </w:pPr>
    </w:p>
    <w:p>
      <w:pPr>
        <w:ind w:left="760" w:right="240" w:hanging="378"/>
        <w:spacing w:after="0" w:line="308" w:lineRule="auto"/>
        <w:tabs>
          <w:tab w:leader="none" w:pos="7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90 basis point favorable change in business mix as the higher-margin permanent recruitment business represented a higher percentage of the revenue mix;</w:t>
      </w:r>
    </w:p>
    <w:p>
      <w:pPr>
        <w:spacing w:after="0" w:line="143" w:lineRule="exact"/>
        <w:rPr>
          <w:rFonts w:ascii="Arial" w:cs="Arial" w:eastAsia="Arial" w:hAnsi="Arial"/>
          <w:sz w:val="18"/>
          <w:szCs w:val="18"/>
          <w:color w:val="auto"/>
        </w:rPr>
      </w:pPr>
    </w:p>
    <w:p>
      <w:pPr>
        <w:ind w:left="760" w:hanging="378"/>
        <w:spacing w:after="0"/>
        <w:tabs>
          <w:tab w:leader="none" w:pos="7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40 basis point favorable impact from the improvement in the staffing/interim margins;</w:t>
      </w:r>
    </w:p>
    <w:p>
      <w:pPr>
        <w:spacing w:after="0" w:line="211" w:lineRule="exact"/>
        <w:rPr>
          <w:rFonts w:ascii="Arial" w:cs="Arial" w:eastAsia="Arial" w:hAnsi="Arial"/>
          <w:sz w:val="18"/>
          <w:szCs w:val="18"/>
          <w:color w:val="auto"/>
        </w:rPr>
      </w:pPr>
    </w:p>
    <w:p>
      <w:pPr>
        <w:ind w:left="760" w:hanging="378"/>
        <w:spacing w:after="0"/>
        <w:tabs>
          <w:tab w:leader="none" w:pos="7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30 basis point favorable impact from the Experis acquisition in the United States;</w:t>
      </w:r>
    </w:p>
    <w:p>
      <w:pPr>
        <w:spacing w:after="0" w:line="211" w:lineRule="exact"/>
        <w:rPr>
          <w:rFonts w:ascii="Arial" w:cs="Arial" w:eastAsia="Arial" w:hAnsi="Arial"/>
          <w:sz w:val="18"/>
          <w:szCs w:val="18"/>
          <w:color w:val="auto"/>
        </w:rPr>
      </w:pPr>
    </w:p>
    <w:p>
      <w:pPr>
        <w:ind w:left="760" w:hanging="378"/>
        <w:spacing w:after="0"/>
        <w:tabs>
          <w:tab w:leader="none" w:pos="7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20 basis point favorable impact from the margin improvement in the non-staffing portion of our Experis business; and</w:t>
      </w:r>
    </w:p>
    <w:p>
      <w:pPr>
        <w:spacing w:after="0" w:line="225" w:lineRule="exact"/>
        <w:rPr>
          <w:rFonts w:ascii="Arial" w:cs="Arial" w:eastAsia="Arial" w:hAnsi="Arial"/>
          <w:sz w:val="18"/>
          <w:szCs w:val="18"/>
          <w:color w:val="auto"/>
        </w:rPr>
      </w:pPr>
    </w:p>
    <w:p>
      <w:pPr>
        <w:ind w:left="760" w:hanging="378"/>
        <w:spacing w:after="0"/>
        <w:tabs>
          <w:tab w:leader="none" w:pos="7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10 basis point favorable impact from direct cost adjustments in Northern Europe; partially offset by</w:t>
      </w:r>
    </w:p>
    <w:p>
      <w:pPr>
        <w:spacing w:after="0" w:line="211" w:lineRule="exact"/>
        <w:rPr>
          <w:rFonts w:ascii="Arial" w:cs="Arial" w:eastAsia="Arial" w:hAnsi="Arial"/>
          <w:sz w:val="18"/>
          <w:szCs w:val="18"/>
          <w:color w:val="auto"/>
        </w:rPr>
      </w:pPr>
    </w:p>
    <w:p>
      <w:pPr>
        <w:ind w:left="760" w:right="440" w:hanging="378"/>
        <w:spacing w:after="0" w:line="308" w:lineRule="auto"/>
        <w:tabs>
          <w:tab w:leader="none" w:pos="7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20 basis point unfavorable change in business mix as the higher-margin Right Management career transition business represented a lower percentage of the revenue mix.</w:t>
      </w:r>
    </w:p>
    <w:p>
      <w:pPr>
        <w:spacing w:after="0" w:line="130" w:lineRule="exact"/>
        <w:rPr>
          <w:sz w:val="20"/>
          <w:szCs w:val="20"/>
          <w:color w:val="auto"/>
        </w:rPr>
      </w:pPr>
    </w:p>
    <w:p>
      <w:pPr>
        <w:spacing w:after="0"/>
        <w:rPr>
          <w:sz w:val="20"/>
          <w:szCs w:val="20"/>
          <w:color w:val="auto"/>
        </w:rPr>
      </w:pPr>
      <w:r>
        <w:rPr>
          <w:rFonts w:ascii="Arial" w:cs="Arial" w:eastAsia="Arial" w:hAnsi="Arial"/>
          <w:sz w:val="16"/>
          <w:szCs w:val="16"/>
          <w:color w:val="auto"/>
        </w:rPr>
        <w:t>The 13.2% increase in selling and administrative expenses in the first quarter of 2022 (18.2% in constant currency; 13.6% in organic constant currency)</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was primarily attributed to:</w:t>
      </w:r>
    </w:p>
    <w:p>
      <w:pPr>
        <w:spacing w:after="0" w:line="225" w:lineRule="exact"/>
        <w:rPr>
          <w:sz w:val="20"/>
          <w:szCs w:val="20"/>
          <w:color w:val="auto"/>
        </w:rPr>
      </w:pPr>
    </w:p>
    <w:p>
      <w:pPr>
        <w:ind w:left="760" w:right="200" w:hanging="378"/>
        <w:spacing w:after="0" w:line="319" w:lineRule="auto"/>
        <w:tabs>
          <w:tab w:leader="none" w:pos="7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a 13.6% increase (18.5% in constant currency and 14.3% in organic constant currency) in personnel costs due to the increase in salary costs related to additional headcount as we invested in incremental recruiters and sales talent to support revenue growth. The increase in salary costs was also due to an increase in variable incentive costs as a result of increased profitability in most markets;</w:t>
      </w:r>
    </w:p>
    <w:p>
      <w:pPr>
        <w:spacing w:after="0" w:line="125" w:lineRule="exact"/>
        <w:rPr>
          <w:rFonts w:ascii="Arial" w:cs="Arial" w:eastAsia="Arial" w:hAnsi="Arial"/>
          <w:sz w:val="17"/>
          <w:szCs w:val="17"/>
          <w:color w:val="auto"/>
        </w:rPr>
      </w:pPr>
    </w:p>
    <w:p>
      <w:pPr>
        <w:ind w:left="760" w:right="560" w:hanging="378"/>
        <w:spacing w:after="0" w:line="377" w:lineRule="auto"/>
        <w:tabs>
          <w:tab w:leader="none" w:pos="7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a 5.3% increase (10.3% in constant currency and 7.8% in organic constant currency) in non-personnel related costs, excluding acquisition integration costs and loss on the sale of our Russia business incurred in the first quarter of 2022, to support the increase in revenues;</w:t>
      </w:r>
    </w:p>
    <w:p>
      <w:pPr>
        <w:spacing w:after="0" w:line="83" w:lineRule="exact"/>
        <w:rPr>
          <w:rFonts w:ascii="Arial" w:cs="Arial" w:eastAsia="Arial" w:hAnsi="Arial"/>
          <w:sz w:val="16"/>
          <w:szCs w:val="16"/>
          <w:color w:val="auto"/>
        </w:rPr>
      </w:pPr>
    </w:p>
    <w:p>
      <w:pPr>
        <w:ind w:left="760" w:hanging="378"/>
        <w:spacing w:after="0"/>
        <w:tabs>
          <w:tab w:leader="none" w:pos="7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loss on disposition of our Russia business of $9.7 million incurred in the first quarter of 2022;</w:t>
      </w:r>
    </w:p>
    <w:p>
      <w:pPr>
        <w:spacing w:after="0" w:line="225" w:lineRule="exact"/>
        <w:rPr>
          <w:rFonts w:ascii="Arial" w:cs="Arial" w:eastAsia="Arial" w:hAnsi="Arial"/>
          <w:sz w:val="18"/>
          <w:szCs w:val="18"/>
          <w:color w:val="auto"/>
        </w:rPr>
      </w:pPr>
    </w:p>
    <w:p>
      <w:pPr>
        <w:ind w:left="760" w:hanging="378"/>
        <w:spacing w:after="0"/>
        <w:tabs>
          <w:tab w:leader="none" w:pos="7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$3.7 million of acquisition integration costs incurred in the first quarter of 2022; and</w:t>
      </w:r>
    </w:p>
    <w:p>
      <w:pPr>
        <w:spacing w:after="0" w:line="211" w:lineRule="exact"/>
        <w:rPr>
          <w:rFonts w:ascii="Arial" w:cs="Arial" w:eastAsia="Arial" w:hAnsi="Arial"/>
          <w:sz w:val="18"/>
          <w:szCs w:val="18"/>
          <w:color w:val="auto"/>
        </w:rPr>
      </w:pPr>
    </w:p>
    <w:p>
      <w:pPr>
        <w:ind w:left="760" w:hanging="378"/>
        <w:spacing w:after="0"/>
        <w:tabs>
          <w:tab w:leader="none" w:pos="7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5.0% increase due to the impact of changes in currency exchange rates.</w:t>
      </w:r>
    </w:p>
    <w:p>
      <w:pPr>
        <w:spacing w:after="0" w:line="212" w:lineRule="exact"/>
        <w:rPr>
          <w:sz w:val="20"/>
          <w:szCs w:val="20"/>
          <w:color w:val="auto"/>
        </w:rPr>
      </w:pPr>
    </w:p>
    <w:p>
      <w:pPr>
        <w:spacing w:after="0" w:line="308" w:lineRule="auto"/>
        <w:rPr>
          <w:sz w:val="20"/>
          <w:szCs w:val="20"/>
          <w:color w:val="auto"/>
        </w:rPr>
      </w:pPr>
      <w:r>
        <w:rPr>
          <w:rFonts w:ascii="Arial" w:cs="Arial" w:eastAsia="Arial" w:hAnsi="Arial"/>
          <w:sz w:val="18"/>
          <w:szCs w:val="18"/>
          <w:color w:val="auto"/>
        </w:rPr>
        <w:t>Selling and administrative expenses as a percent of revenues increased 110 basis points in the first quarter of 2022 compared to the first quarter of 2021 due primarily to:</w:t>
      </w:r>
    </w:p>
    <w:p>
      <w:pPr>
        <w:spacing w:after="0" w:line="144" w:lineRule="exact"/>
        <w:rPr>
          <w:sz w:val="20"/>
          <w:szCs w:val="20"/>
          <w:color w:val="auto"/>
        </w:rPr>
      </w:pPr>
    </w:p>
    <w:p>
      <w:pPr>
        <w:ind w:left="760" w:right="580" w:hanging="378"/>
        <w:spacing w:after="0" w:line="308" w:lineRule="auto"/>
        <w:tabs>
          <w:tab w:leader="none" w:pos="7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70 basis point unfavorable impact as personnel costs increased, due to the investment in incremental recruiters and sales talent based on increased market activity, without a similar rate of increase in revenues;</w:t>
      </w:r>
    </w:p>
    <w:p>
      <w:pPr>
        <w:spacing w:after="0" w:line="130" w:lineRule="exact"/>
        <w:rPr>
          <w:rFonts w:ascii="Arial" w:cs="Arial" w:eastAsia="Arial" w:hAnsi="Arial"/>
          <w:sz w:val="18"/>
          <w:szCs w:val="18"/>
          <w:color w:val="auto"/>
        </w:rPr>
      </w:pPr>
    </w:p>
    <w:p>
      <w:pPr>
        <w:ind w:left="760" w:hanging="378"/>
        <w:spacing w:after="0"/>
        <w:tabs>
          <w:tab w:leader="none" w:pos="7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20 basis point unfavorable impact from the loss on disposition of our Russia business incurred in the first quarter of 2022; and</w:t>
      </w:r>
    </w:p>
    <w:p>
      <w:pPr>
        <w:spacing w:after="0" w:line="211" w:lineRule="exact"/>
        <w:rPr>
          <w:rFonts w:ascii="Arial" w:cs="Arial" w:eastAsia="Arial" w:hAnsi="Arial"/>
          <w:sz w:val="18"/>
          <w:szCs w:val="18"/>
          <w:color w:val="auto"/>
        </w:rPr>
      </w:pPr>
    </w:p>
    <w:p>
      <w:pPr>
        <w:ind w:left="760" w:hanging="378"/>
        <w:spacing w:after="0"/>
        <w:tabs>
          <w:tab w:leader="none" w:pos="7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10 basis point unfavorable impact from the Experis acquisition integration costs incurred in the first quarter of 2022.</w:t>
      </w: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8" w:right="359" w:bottom="1440" w:gutter="0" w:footer="0" w:header="0"/>
        </w:sectPr>
      </w:pPr>
    </w:p>
    <w:bookmarkStart w:id="26" w:name="page27"/>
    <w:bookmarkEnd w:id="26"/>
    <w:p>
      <w:pPr>
        <w:ind w:right="40"/>
        <w:spacing w:after="0" w:line="290" w:lineRule="auto"/>
        <w:rPr>
          <w:sz w:val="20"/>
          <w:szCs w:val="20"/>
          <w:color w:val="auto"/>
        </w:rPr>
      </w:pPr>
      <w:r>
        <w:rPr>
          <w:rFonts w:ascii="Arial" w:cs="Arial" w:eastAsia="Arial" w:hAnsi="Arial"/>
          <w:sz w:val="18"/>
          <w:szCs w:val="18"/>
          <w:color w:val="auto"/>
        </w:rPr>
        <w:t>Interest and other expenses, net is comprised of interest, foreign exchange gains and losses and other miscellaneous non-operating income and expenses, including noncontrolling interests. Interest and other expenses, net was $2.7 million in the first quarter of 2022 compared to $5.4 million in the first quarter of 2021. Miscellaneous income increased to $6.7 million in the first quarter of 2022 from $4.2 million in the first quarter of 2021 primarily due to a translation gain from the sale of a subsidiary and increase in the returns on pension plan assets.</w:t>
      </w:r>
    </w:p>
    <w:p>
      <w:pPr>
        <w:spacing w:after="0" w:line="161" w:lineRule="exact"/>
        <w:rPr>
          <w:sz w:val="20"/>
          <w:szCs w:val="20"/>
          <w:color w:val="auto"/>
        </w:rPr>
      </w:pPr>
    </w:p>
    <w:p>
      <w:pPr>
        <w:spacing w:after="0" w:line="309" w:lineRule="auto"/>
        <w:rPr>
          <w:sz w:val="20"/>
          <w:szCs w:val="20"/>
          <w:color w:val="auto"/>
        </w:rPr>
      </w:pPr>
      <w:r>
        <w:rPr>
          <w:rFonts w:ascii="Arial" w:cs="Arial" w:eastAsia="Arial" w:hAnsi="Arial"/>
          <w:sz w:val="17"/>
          <w:szCs w:val="17"/>
          <w:color w:val="auto"/>
        </w:rPr>
        <w:t>We recorded income tax expense at an effective rate of 32.6% for the three months ended March 31, 2022, as compared to an effective rate of 33.3% for the three months ended March 31, 2021. The 2022 rate was favorably impacted by the scheduled reduction in the French corporate tax rate to 25% and a higher level of pre-tax earnings with a more beneficial mix diluting the impact of the French business tax. The 32.6% effective tax rate in the first quarter of 2022 was higher than the United States Federal statutory rate of 21% primarily due to the French business tax, tax losses in certain countries for which we did not recognize a corresponding tax benefit due to valuation allowances, and the overall mix of earnings.</w:t>
      </w:r>
    </w:p>
    <w:p>
      <w:pPr>
        <w:spacing w:after="0" w:line="132" w:lineRule="exact"/>
        <w:rPr>
          <w:sz w:val="20"/>
          <w:szCs w:val="20"/>
          <w:color w:val="auto"/>
        </w:rPr>
      </w:pPr>
    </w:p>
    <w:p>
      <w:pPr>
        <w:ind w:right="40"/>
        <w:spacing w:after="0" w:line="337" w:lineRule="auto"/>
        <w:rPr>
          <w:sz w:val="20"/>
          <w:szCs w:val="20"/>
          <w:color w:val="auto"/>
        </w:rPr>
      </w:pPr>
      <w:r>
        <w:rPr>
          <w:rFonts w:ascii="Arial" w:cs="Arial" w:eastAsia="Arial" w:hAnsi="Arial"/>
          <w:sz w:val="16"/>
          <w:szCs w:val="16"/>
          <w:color w:val="auto"/>
        </w:rPr>
        <w:t>Net earnings per share - diluted was $1.68 in the first quarter of 2022 compared to $1.11 in the first quarter of 2021. Foreign currency exchange rates unfavorably impacted net earnings per share - diluted by approximately $0.10 per share in the first quarter of 2022. The net loss from the disposition of our Russia business in the first quarter of 2022 negatively impacted net earnings per share – diluted by approximately $0.15 in the first quarter of 2022. The acquisition integration costs in the first quarter of 2022 negatively impacted net earnings per share - diluted by approximately $0.05, net of tax.</w:t>
      </w:r>
    </w:p>
    <w:p>
      <w:pPr>
        <w:spacing w:after="0" w:line="114" w:lineRule="exact"/>
        <w:rPr>
          <w:sz w:val="20"/>
          <w:szCs w:val="20"/>
          <w:color w:val="auto"/>
        </w:rPr>
      </w:pPr>
    </w:p>
    <w:p>
      <w:pPr>
        <w:ind w:right="20"/>
        <w:spacing w:after="0" w:line="295" w:lineRule="auto"/>
        <w:rPr>
          <w:sz w:val="20"/>
          <w:szCs w:val="20"/>
          <w:color w:val="auto"/>
        </w:rPr>
      </w:pPr>
      <w:r>
        <w:rPr>
          <w:rFonts w:ascii="Arial" w:cs="Arial" w:eastAsia="Arial" w:hAnsi="Arial"/>
          <w:sz w:val="18"/>
          <w:szCs w:val="18"/>
          <w:color w:val="auto"/>
        </w:rPr>
        <w:t>Weighted average shares - diluted decreased to 54.4 million in the first quarter of 2022 from 55.7 million in the first quarter of 2021. This decrease was due to the impact of share repurchases completed since the first quarter of 2021, partially offset by shares issued as a result of exercises and vesting of share-based awards.</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17" w:right="359" w:bottom="1440" w:gutter="0" w:footer="0" w:header="0"/>
        </w:sectPr>
      </w:pPr>
    </w:p>
    <w:bookmarkStart w:id="27" w:name="page28"/>
    <w:bookmarkEnd w:id="27"/>
    <w:p>
      <w:pPr>
        <w:spacing w:after="0"/>
        <w:rPr>
          <w:sz w:val="20"/>
          <w:szCs w:val="20"/>
          <w:color w:val="auto"/>
        </w:rPr>
      </w:pPr>
      <w:r>
        <w:rPr>
          <w:rFonts w:ascii="Arial" w:cs="Arial" w:eastAsia="Arial" w:hAnsi="Arial"/>
          <w:sz w:val="18"/>
          <w:szCs w:val="18"/>
          <w:u w:val="single" w:color="auto"/>
          <w:color w:val="auto"/>
        </w:rPr>
        <w:t>Segment Operating Results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Americas</w:t>
      </w:r>
    </w:p>
    <w:p>
      <w:pPr>
        <w:spacing w:after="0" w:line="212" w:lineRule="exact"/>
        <w:rPr>
          <w:sz w:val="20"/>
          <w:szCs w:val="20"/>
          <w:color w:val="auto"/>
        </w:rPr>
      </w:pPr>
    </w:p>
    <w:p>
      <w:pPr>
        <w:ind w:right="200"/>
        <w:spacing w:after="0" w:line="316" w:lineRule="auto"/>
        <w:rPr>
          <w:sz w:val="20"/>
          <w:szCs w:val="20"/>
          <w:color w:val="auto"/>
        </w:rPr>
      </w:pPr>
      <w:r>
        <w:rPr>
          <w:rFonts w:ascii="Arial" w:cs="Arial" w:eastAsia="Arial" w:hAnsi="Arial"/>
          <w:sz w:val="16"/>
          <w:szCs w:val="16"/>
          <w:color w:val="auto"/>
        </w:rPr>
        <w:t>In the Americas, revenues from services increased 24.8% (25.7% in constant currency and 6.9% in organic constant currency) in the first quarter of 2022 compared to the first quarter of 2021. In the United States (which represents 71% of the America's revenues), revenues from services increased 46.1%</w:t>
      </w:r>
    </w:p>
    <w:p>
      <w:pPr>
        <w:spacing w:after="0" w:line="2" w:lineRule="exact"/>
        <w:rPr>
          <w:sz w:val="20"/>
          <w:szCs w:val="20"/>
          <w:color w:val="auto"/>
        </w:rPr>
      </w:pPr>
    </w:p>
    <w:p>
      <w:pPr>
        <w:spacing w:after="0" w:line="302" w:lineRule="auto"/>
        <w:rPr>
          <w:sz w:val="20"/>
          <w:szCs w:val="20"/>
          <w:color w:val="auto"/>
        </w:rPr>
      </w:pPr>
      <w:r>
        <w:rPr>
          <w:rFonts w:ascii="Arial" w:cs="Arial" w:eastAsia="Arial" w:hAnsi="Arial"/>
          <w:sz w:val="17"/>
          <w:szCs w:val="17"/>
          <w:color w:val="auto"/>
        </w:rPr>
        <w:t>(15.2% on an organic basis) in the first quarter of 2022 compared to the first quarter of 2021, primarily driven by the Experis acquisition in the United States in the fourth quarter of 2021, increased demand for our staffing/interim services, an increase in our permanent recruitment business of 89.4% (78.0% on an organic basis), including our RPO offering, and increased demand for our MSP offering. In Other Americas, revenues from services decreased 8.2% (-5.9% in constant currency) in the first quarter of 2022 compared to the first quarter of 2021 primarily due to decreased demand for our Manpower staffing services and the unfavorable impact of currency exchange rates, partially offset by the increase in our permanent recruitment business of 83.6% (89.5% in constant currency). This decline was driven by a decrease in Mexico of 61.6% (61.3% in constant currency) due to labor legislation implemented in the third quarter of 2021 that prohibits the provision of traditional temporary staffing services, only allowing outsourced worker assignments for specialized services outside of the client's core business. Although we believe the new labor legislation will continue to result in significant comparative revenue reductions in Mexico over the next two quarters, we believe the shift will improve the margins of our Mexico business over time. Our Mexico operations generated approximately 1.9% of our consolidated global revenues for the year ended December 31, 2021. The decline was partially offset by increases in Canada, Colombia, Argentina, Peru and Chile of 23.4%, 20.4%, 14.2%, 11.1% and 42.6%, respectively (23.5%, 32.3%, 18.0%, 15.5% and 59.2%, respectively, in constant currency).</w:t>
      </w:r>
    </w:p>
    <w:p>
      <w:pPr>
        <w:spacing w:after="0" w:line="140" w:lineRule="exact"/>
        <w:rPr>
          <w:sz w:val="20"/>
          <w:szCs w:val="20"/>
          <w:color w:val="auto"/>
        </w:rPr>
      </w:pPr>
    </w:p>
    <w:p>
      <w:pPr>
        <w:ind w:right="60"/>
        <w:spacing w:after="0" w:line="290" w:lineRule="auto"/>
        <w:rPr>
          <w:sz w:val="20"/>
          <w:szCs w:val="20"/>
          <w:color w:val="auto"/>
        </w:rPr>
      </w:pPr>
      <w:r>
        <w:rPr>
          <w:rFonts w:ascii="Arial" w:cs="Arial" w:eastAsia="Arial" w:hAnsi="Arial"/>
          <w:sz w:val="18"/>
          <w:szCs w:val="18"/>
          <w:color w:val="auto"/>
        </w:rPr>
        <w:t>Gross profit margin increased in the first quarter 2022 compared to the first quarter 2021 primarily due to the Experis acquisition, improvements in the staffing/interim margins, increases in our permanent recruitment business and increases in revenues from our higher-margin MSP and RPO offerings in the United States. These increases were partially offset by the unfavorable changes in business mix as the higher-margin Right Management career transition business represented a lower percentage of the revenue mix.</w:t>
      </w:r>
    </w:p>
    <w:p>
      <w:pPr>
        <w:spacing w:after="0" w:line="161" w:lineRule="exact"/>
        <w:rPr>
          <w:sz w:val="20"/>
          <w:szCs w:val="20"/>
          <w:color w:val="auto"/>
        </w:rPr>
      </w:pPr>
    </w:p>
    <w:p>
      <w:pPr>
        <w:ind w:right="60"/>
        <w:spacing w:after="0" w:line="288" w:lineRule="auto"/>
        <w:rPr>
          <w:sz w:val="20"/>
          <w:szCs w:val="20"/>
          <w:color w:val="auto"/>
        </w:rPr>
      </w:pPr>
      <w:r>
        <w:rPr>
          <w:rFonts w:ascii="Arial" w:cs="Arial" w:eastAsia="Arial" w:hAnsi="Arial"/>
          <w:sz w:val="18"/>
          <w:szCs w:val="18"/>
          <w:color w:val="auto"/>
        </w:rPr>
        <w:t>In the first quarter of 2022, selling and administrative expenses increased 35.6% (36.2% in constant currency and 20.3% in organic constant currency), primarily due to the Experis acquisition, an increase in salary-related costs as a result of a higher headcount as we invested in incremental recruiters and sales talent based on increased market activity. The increase in salary-related costs was also due to an increase in variable incentive costs as a result of increased profitability in certain markets. The increase was also due to acquisition integration costs of $3.7 million incurred in the first quarter of 2022 and an increase in consulting costs related to certain technology initiatives.</w:t>
      </w:r>
    </w:p>
    <w:p>
      <w:pPr>
        <w:spacing w:after="0" w:line="149" w:lineRule="exact"/>
        <w:rPr>
          <w:sz w:val="20"/>
          <w:szCs w:val="20"/>
          <w:color w:val="auto"/>
        </w:rPr>
      </w:pPr>
    </w:p>
    <w:p>
      <w:pPr>
        <w:spacing w:after="0" w:line="288" w:lineRule="auto"/>
        <w:rPr>
          <w:sz w:val="20"/>
          <w:szCs w:val="20"/>
          <w:color w:val="auto"/>
        </w:rPr>
      </w:pPr>
      <w:r>
        <w:rPr>
          <w:rFonts w:ascii="Arial" w:cs="Arial" w:eastAsia="Arial" w:hAnsi="Arial"/>
          <w:sz w:val="18"/>
          <w:szCs w:val="18"/>
          <w:color w:val="auto"/>
        </w:rPr>
        <w:t>Operating Unit Profit (“OUP”) margin in the Americas was 5.8% and 4.4% for the first quarter of 2022 and 2021, respectively. In the United States, OUP margin increased to 6.6% in the first quarter of 2022 from 4.8% in the first quarter of 2021 primarily due to the Experis acquisition, increased operating leverage, an increase in the gross profit margin and an increase in salary-related costs due to higher headcount, partially offset by the acquisition integration costs incurred in the first quarter of 2022. Other Americas OUP margin increased to 4.0% in the first quarter of 2022 from 3.8% in the first quarter of 2021 primarily due to the gross profit margin improvement.</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17" w:right="359" w:bottom="1440" w:gutter="0" w:footer="0" w:header="0"/>
        </w:sectPr>
      </w:pPr>
    </w:p>
    <w:bookmarkStart w:id="28" w:name="page29"/>
    <w:bookmarkEnd w:id="28"/>
    <w:p>
      <w:pPr>
        <w:spacing w:after="0"/>
        <w:rPr>
          <w:sz w:val="20"/>
          <w:szCs w:val="20"/>
          <w:color w:val="auto"/>
        </w:rPr>
      </w:pPr>
      <w:r>
        <w:rPr>
          <w:rFonts w:ascii="Arial" w:cs="Arial" w:eastAsia="Arial" w:hAnsi="Arial"/>
          <w:sz w:val="18"/>
          <w:szCs w:val="18"/>
          <w:i w:val="1"/>
          <w:iCs w:val="1"/>
          <w:color w:val="auto"/>
        </w:rPr>
        <w:t>Southern Europe</w:t>
      </w:r>
    </w:p>
    <w:p>
      <w:pPr>
        <w:spacing w:after="0" w:line="225" w:lineRule="exact"/>
        <w:rPr>
          <w:sz w:val="20"/>
          <w:szCs w:val="20"/>
          <w:color w:val="auto"/>
        </w:rPr>
      </w:pPr>
    </w:p>
    <w:p>
      <w:pPr>
        <w:spacing w:after="0" w:line="323" w:lineRule="auto"/>
        <w:rPr>
          <w:sz w:val="20"/>
          <w:szCs w:val="20"/>
          <w:color w:val="auto"/>
        </w:rPr>
      </w:pPr>
      <w:r>
        <w:rPr>
          <w:rFonts w:ascii="Arial" w:cs="Arial" w:eastAsia="Arial" w:hAnsi="Arial"/>
          <w:sz w:val="16"/>
          <w:szCs w:val="16"/>
          <w:color w:val="auto"/>
        </w:rPr>
        <w:t>In Southern Europe, revenues from services increased 1.6% (8.4% in constant currency) in the first quarter of 2022 compared to the first quarter of 2021. In the first quarter of 2022, revenues from services increased 0.3% (7.7% in constant currency) in France (which represents 54% of Southern Europe’s revenues) and increased 10.5% (18.6% in constant currency) in Italy (which represents 20% of Southern Europe’s revenues). The increase in France is primarily due to the increased demand for our Manpower staffing services, although supply chain constraints impacted the demand for our services from our automotive clients, a 29.7% increase (39.3% in constant currency) in the permanent recruitment business, partially offset by the unfavorable impact of changes in currency exchange rates. The increase in Italy was primarily due to the increased demand for our Manpower staffing services and Experis interim services and a 38.7% increase (49.0% in constant currency) in the permanent recruitment business, partially offset by the unfavorable impact of changes in currency exchange rates. In Other Southern Europe, revenues from services decreased 2.1% (2.7% increase in constant currency) during the first quarter of 2022 compared to the first quarter of 2021, due to the unfavorable impact of changes in currency exchange rates, partially offset by increased demand for our Manpower staffing services and an increase in our permanent recruitment business of 37.2% (45.3% in constant currency).</w:t>
      </w:r>
    </w:p>
    <w:p>
      <w:pPr>
        <w:spacing w:after="0" w:line="129" w:lineRule="exact"/>
        <w:rPr>
          <w:sz w:val="20"/>
          <w:szCs w:val="20"/>
          <w:color w:val="auto"/>
        </w:rPr>
      </w:pPr>
    </w:p>
    <w:p>
      <w:pPr>
        <w:ind w:right="540"/>
        <w:spacing w:after="0" w:line="377" w:lineRule="auto"/>
        <w:rPr>
          <w:sz w:val="20"/>
          <w:szCs w:val="20"/>
          <w:color w:val="auto"/>
        </w:rPr>
      </w:pPr>
      <w:r>
        <w:rPr>
          <w:rFonts w:ascii="Arial" w:cs="Arial" w:eastAsia="Arial" w:hAnsi="Arial"/>
          <w:sz w:val="16"/>
          <w:szCs w:val="16"/>
          <w:color w:val="auto"/>
        </w:rPr>
        <w:t>Gross profit margin increased in the first quarter of 2022 compared to the first quarter of 2021. The increase was primarily due to the increase in our staffing/interim margins in several markets and the increase of 34.8% (44.1% in constant currency) in the permanent recruitment business.</w:t>
      </w:r>
    </w:p>
    <w:p>
      <w:pPr>
        <w:spacing w:after="0" w:line="83" w:lineRule="exact"/>
        <w:rPr>
          <w:sz w:val="20"/>
          <w:szCs w:val="20"/>
          <w:color w:val="auto"/>
        </w:rPr>
      </w:pPr>
    </w:p>
    <w:p>
      <w:pPr>
        <w:ind w:right="260"/>
        <w:spacing w:after="0" w:line="290" w:lineRule="auto"/>
        <w:rPr>
          <w:sz w:val="20"/>
          <w:szCs w:val="20"/>
          <w:color w:val="auto"/>
        </w:rPr>
      </w:pPr>
      <w:r>
        <w:rPr>
          <w:rFonts w:ascii="Arial" w:cs="Arial" w:eastAsia="Arial" w:hAnsi="Arial"/>
          <w:sz w:val="18"/>
          <w:szCs w:val="18"/>
          <w:color w:val="auto"/>
        </w:rPr>
        <w:t>Selling and administrative expenses increased 1.0% (7.8% in constant currency) during the first quarter of 2022 compared to the first quarter of 2021 primarily due to the increase in salary-related costs due to higher headcount to support an increase in revenues in the quarter, and an increase in variable incentive costs as a result of increased profitability in certain markets. The increase is also due to the higher non-personnel related costs to support the growth in revenues and the unfavorable impact of changes in currency exchange rates.</w:t>
      </w:r>
    </w:p>
    <w:p>
      <w:pPr>
        <w:spacing w:after="0" w:line="161" w:lineRule="exact"/>
        <w:rPr>
          <w:sz w:val="20"/>
          <w:szCs w:val="20"/>
          <w:color w:val="auto"/>
        </w:rPr>
      </w:pPr>
    </w:p>
    <w:p>
      <w:pPr>
        <w:ind w:right="120"/>
        <w:spacing w:after="0" w:line="287" w:lineRule="auto"/>
        <w:rPr>
          <w:sz w:val="20"/>
          <w:szCs w:val="20"/>
          <w:color w:val="auto"/>
        </w:rPr>
      </w:pPr>
      <w:r>
        <w:rPr>
          <w:rFonts w:ascii="Arial" w:cs="Arial" w:eastAsia="Arial" w:hAnsi="Arial"/>
          <w:sz w:val="18"/>
          <w:szCs w:val="18"/>
          <w:color w:val="auto"/>
        </w:rPr>
        <w:t>OUP margin in Southern Europe was 4.3% for the first quarter of 2022 compared to 3.4% for the first quarter of 2021. In France, the OUP margin was 4.2% for the first quarter of 2022 compared to 3.6% for the first quarter of 2021. The increase in France was primarily due to our ability to increase revenues without a similar increase in expenses and the increase in the gross profit margin. In Italy, the OUP margin increased to 6.5% for the first quarter of 2022 from 4.8% for the first quarter of 2021 primarily due to our ability to increase revenues without a similar increase in expenses and the increase in the gross profit margin. Other Southern Europe’s OUP margin increased to 3.0% in the first quarter of 2022 from 2.0% in the first quarter of 2021, primarily due to the increase in the gross profit margin.</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Northern Europe</w:t>
      </w:r>
    </w:p>
    <w:p>
      <w:pPr>
        <w:spacing w:after="0" w:line="212" w:lineRule="exact"/>
        <w:rPr>
          <w:sz w:val="20"/>
          <w:szCs w:val="20"/>
          <w:color w:val="auto"/>
        </w:rPr>
      </w:pPr>
    </w:p>
    <w:p>
      <w:pPr>
        <w:ind w:right="40"/>
        <w:spacing w:after="0" w:line="285" w:lineRule="auto"/>
        <w:rPr>
          <w:sz w:val="20"/>
          <w:szCs w:val="20"/>
          <w:color w:val="auto"/>
        </w:rPr>
      </w:pPr>
      <w:r>
        <w:rPr>
          <w:rFonts w:ascii="Arial" w:cs="Arial" w:eastAsia="Arial" w:hAnsi="Arial"/>
          <w:sz w:val="18"/>
          <w:szCs w:val="18"/>
          <w:color w:val="auto"/>
        </w:rPr>
        <w:t>In Northern Europe, the largest country operations include the United Kingdom, the Nordics, Germany, the Netherlands and Belgium (comprising 38%, 23%, 13%, 10%, and 7%, respectively, of Northern Europe’s revenues), revenues from services decreased 3.5% (2.0% increase in constant currency and 3.8% in organic constant currency) in the first quarter of 2022 compared to the first quarter of 2021. We experienced revenue decreases in the United Kingdom, Germany and the Netherlands of 3.1%, 10.1% and 9.1%, respectively (-0.3%, -3.5% and -2.4%, respectively, in constant currency). The decreases were partially offset by revenue increases in the Nordics and Belgium of 8.0% and 0.1%, respectively (15.9% and 7.5%, respectively, in constant currency). The revenue decrease in Northern Europe was primarily due to the unfavorable impact of changes in currency exchange rates and the sale of our Russia business, partially offset by increased demand for our Experis staffing services and the 50.9% increase (59.8% in constant currency) in the permanent recruitment business.</w:t>
      </w:r>
    </w:p>
    <w:p>
      <w:pPr>
        <w:spacing w:after="0" w:line="167" w:lineRule="exact"/>
        <w:rPr>
          <w:sz w:val="20"/>
          <w:szCs w:val="20"/>
          <w:color w:val="auto"/>
        </w:rPr>
      </w:pPr>
    </w:p>
    <w:p>
      <w:pPr>
        <w:ind w:right="100"/>
        <w:spacing w:after="0" w:line="308" w:lineRule="auto"/>
        <w:rPr>
          <w:sz w:val="20"/>
          <w:szCs w:val="20"/>
          <w:color w:val="auto"/>
        </w:rPr>
      </w:pPr>
      <w:r>
        <w:rPr>
          <w:rFonts w:ascii="Arial" w:cs="Arial" w:eastAsia="Arial" w:hAnsi="Arial"/>
          <w:sz w:val="18"/>
          <w:szCs w:val="18"/>
          <w:color w:val="auto"/>
        </w:rPr>
        <w:t>Gross profit margin increased in the first quarter of 2022 compared to the first quarter of 2021 primarily due to increases in our staffing/interim margins, a direct cost adjustment and the increases in our permanent recruitment business.</w:t>
      </w:r>
    </w:p>
    <w:p>
      <w:pPr>
        <w:spacing w:after="0" w:line="130" w:lineRule="exact"/>
        <w:rPr>
          <w:sz w:val="20"/>
          <w:szCs w:val="20"/>
          <w:color w:val="auto"/>
        </w:rPr>
      </w:pPr>
    </w:p>
    <w:p>
      <w:pPr>
        <w:jc w:val="both"/>
        <w:ind w:right="260"/>
        <w:spacing w:after="0" w:line="295" w:lineRule="auto"/>
        <w:rPr>
          <w:sz w:val="20"/>
          <w:szCs w:val="20"/>
          <w:color w:val="auto"/>
        </w:rPr>
      </w:pPr>
      <w:r>
        <w:rPr>
          <w:rFonts w:ascii="Arial" w:cs="Arial" w:eastAsia="Arial" w:hAnsi="Arial"/>
          <w:sz w:val="18"/>
          <w:szCs w:val="18"/>
          <w:color w:val="auto"/>
        </w:rPr>
        <w:t>Selling and administrative expenses increased 10.0% (16.8% in constant currency) in the first quarter of 2022 compared to the first quarter of 2021. The increase is primarily due to the increase in salary-related costs due to higher headcount, the loss on the sale of our Russia business, and the increases in non-personnel related costs to support the increase in revenues.</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17" w:right="359" w:bottom="1440" w:gutter="0" w:footer="0" w:header="0"/>
        </w:sectPr>
      </w:pPr>
    </w:p>
    <w:bookmarkStart w:id="29" w:name="page30"/>
    <w:bookmarkEnd w:id="29"/>
    <w:p>
      <w:pPr>
        <w:ind w:right="220"/>
        <w:spacing w:after="0" w:line="308" w:lineRule="auto"/>
        <w:rPr>
          <w:sz w:val="20"/>
          <w:szCs w:val="20"/>
          <w:color w:val="auto"/>
        </w:rPr>
      </w:pPr>
      <w:r>
        <w:rPr>
          <w:rFonts w:ascii="Arial" w:cs="Arial" w:eastAsia="Arial" w:hAnsi="Arial"/>
          <w:sz w:val="18"/>
          <w:szCs w:val="18"/>
          <w:color w:val="auto"/>
        </w:rPr>
        <w:t>OUP margin for Northern Europe decreased to 0.3% in the first quarter of 2022 from 0.4% in the first quarter of 2021.The decrease was primarily due to the loss on the sale of our Russia business, partially offset by the increase in gross profit margin.</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APME</w:t>
      </w:r>
    </w:p>
    <w:p>
      <w:pPr>
        <w:spacing w:after="0" w:line="212" w:lineRule="exact"/>
        <w:rPr>
          <w:sz w:val="20"/>
          <w:szCs w:val="20"/>
          <w:color w:val="auto"/>
        </w:rPr>
      </w:pPr>
    </w:p>
    <w:p>
      <w:pPr>
        <w:spacing w:after="0" w:line="285" w:lineRule="auto"/>
        <w:rPr>
          <w:sz w:val="20"/>
          <w:szCs w:val="20"/>
          <w:color w:val="auto"/>
        </w:rPr>
      </w:pPr>
      <w:r>
        <w:rPr>
          <w:rFonts w:ascii="Arial" w:cs="Arial" w:eastAsia="Arial" w:hAnsi="Arial"/>
          <w:sz w:val="18"/>
          <w:szCs w:val="18"/>
          <w:color w:val="auto"/>
        </w:rPr>
        <w:t>Revenues from services decreased 1.5% (6.0% increase in constant currency) in the first quarter of 2022 compared to the first quarter of 2021. In Japan (which represents 47% of APME’s revenues), revenues from services increased 2.5% (12.5% in constant currency) due to the increase in our Experis business, increased demand for our Manpower staffing services and a 26.0% increase (38.1% in constant currency) in our permanent recruitment business, partially offset by the unfavorable impact of currency exchange rates. In Australia (which represents 12% of APME’s revenues), revenues from services decreased 31.7% (27.1% in constant currency) due to the exit of a low margin client arrangement in the second quarter of 2021. The revenue increase in the remaining markets in APME is primarily due the increased demand for our staffing/interim services and a 10.2% increase (17.9% in constant currency) in our permanent recruitment business, partially offset by the unfavorable impact of change in currency exchange rates and the unfavorable impact of approximately one fewer billing day.</w:t>
      </w:r>
    </w:p>
    <w:p>
      <w:pPr>
        <w:spacing w:after="0" w:line="153" w:lineRule="exact"/>
        <w:rPr>
          <w:sz w:val="20"/>
          <w:szCs w:val="20"/>
          <w:color w:val="auto"/>
        </w:rPr>
      </w:pPr>
    </w:p>
    <w:p>
      <w:pPr>
        <w:ind w:right="160"/>
        <w:spacing w:after="0" w:line="308" w:lineRule="auto"/>
        <w:rPr>
          <w:sz w:val="20"/>
          <w:szCs w:val="20"/>
          <w:color w:val="auto"/>
        </w:rPr>
      </w:pPr>
      <w:r>
        <w:rPr>
          <w:rFonts w:ascii="Arial" w:cs="Arial" w:eastAsia="Arial" w:hAnsi="Arial"/>
          <w:sz w:val="18"/>
          <w:szCs w:val="18"/>
          <w:color w:val="auto"/>
        </w:rPr>
        <w:t>Gross profit margin increased in the first quarter 2022 compared to the first quarter 2021 primarily due to the increase in our staffing/interim margins and the increase of 10.2% (17.9% in constant currency, respectively) in our permanent recruitment business.</w:t>
      </w:r>
    </w:p>
    <w:p>
      <w:pPr>
        <w:spacing w:after="0" w:line="144" w:lineRule="exact"/>
        <w:rPr>
          <w:sz w:val="20"/>
          <w:szCs w:val="20"/>
          <w:color w:val="auto"/>
        </w:rPr>
      </w:pPr>
    </w:p>
    <w:p>
      <w:pPr>
        <w:ind w:right="20"/>
        <w:spacing w:after="0" w:line="347" w:lineRule="auto"/>
        <w:rPr>
          <w:sz w:val="20"/>
          <w:szCs w:val="20"/>
          <w:color w:val="auto"/>
        </w:rPr>
      </w:pPr>
      <w:r>
        <w:rPr>
          <w:rFonts w:ascii="Arial" w:cs="Arial" w:eastAsia="Arial" w:hAnsi="Arial"/>
          <w:sz w:val="16"/>
          <w:szCs w:val="16"/>
          <w:color w:val="auto"/>
        </w:rPr>
        <w:t>Selling and administrative expenses increased 3.6% (11.3% in constant currency) in the first quarter of 2022 compared to the first quarter of 2021. The increase is primarily due to the increase in salary-related costs due to higher headcount to support an increase in revenues and increase in variable incentive costs as a result of increase in profitability in certain markets, and the increases in non-personnel related costs to support the increases in revenues.</w:t>
      </w:r>
    </w:p>
    <w:p>
      <w:pPr>
        <w:spacing w:after="0" w:line="106" w:lineRule="exact"/>
        <w:rPr>
          <w:sz w:val="20"/>
          <w:szCs w:val="20"/>
          <w:color w:val="auto"/>
        </w:rPr>
      </w:pPr>
    </w:p>
    <w:p>
      <w:pPr>
        <w:jc w:val="center"/>
        <w:ind w:right="180"/>
        <w:spacing w:after="0"/>
        <w:rPr>
          <w:sz w:val="20"/>
          <w:szCs w:val="20"/>
          <w:color w:val="auto"/>
        </w:rPr>
      </w:pPr>
      <w:r>
        <w:rPr>
          <w:rFonts w:ascii="Arial" w:cs="Arial" w:eastAsia="Arial" w:hAnsi="Arial"/>
          <w:sz w:val="16"/>
          <w:szCs w:val="16"/>
          <w:color w:val="auto"/>
        </w:rPr>
        <w:t>OUP margin for APME increased to 3.1% in the first quarter of 2022 from 3.0% in the first quarter of 2021 due to the increase in the gross profit margin.</w:t>
      </w: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17" w:right="359" w:bottom="1440" w:gutter="0" w:footer="0" w:header="0"/>
        </w:sectPr>
      </w:pPr>
    </w:p>
    <w:bookmarkStart w:id="30" w:name="page31"/>
    <w:bookmarkEnd w:id="30"/>
    <w:p>
      <w:pPr>
        <w:spacing w:after="0"/>
        <w:rPr>
          <w:sz w:val="20"/>
          <w:szCs w:val="20"/>
          <w:color w:val="auto"/>
        </w:rPr>
      </w:pPr>
      <w:r>
        <w:rPr>
          <w:rFonts w:ascii="Arial" w:cs="Arial" w:eastAsia="Arial" w:hAnsi="Arial"/>
          <w:sz w:val="18"/>
          <w:szCs w:val="18"/>
          <w:u w:val="single" w:color="auto"/>
          <w:color w:val="auto"/>
        </w:rPr>
        <w:t>Financial Measures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Constant Currency and Organic Constant Currency Reconciliation</w:t>
      </w:r>
    </w:p>
    <w:p>
      <w:pPr>
        <w:spacing w:after="0" w:line="212" w:lineRule="exact"/>
        <w:rPr>
          <w:sz w:val="20"/>
          <w:szCs w:val="20"/>
          <w:color w:val="auto"/>
        </w:rPr>
      </w:pPr>
    </w:p>
    <w:p>
      <w:pPr>
        <w:jc w:val="both"/>
        <w:ind w:right="360"/>
        <w:spacing w:after="0" w:line="295" w:lineRule="auto"/>
        <w:rPr>
          <w:sz w:val="20"/>
          <w:szCs w:val="20"/>
          <w:color w:val="auto"/>
        </w:rPr>
      </w:pPr>
      <w:r>
        <w:rPr>
          <w:rFonts w:ascii="Arial" w:cs="Arial" w:eastAsia="Arial" w:hAnsi="Arial"/>
          <w:sz w:val="18"/>
          <w:szCs w:val="18"/>
          <w:color w:val="auto"/>
        </w:rPr>
        <w:t>Changes in our financial results include the impact of changes in foreign currency exchange rates, acquisitions, and dispositions. We provide “constant currency” and “organic constant currency” calculations in this report to remove the impact of these items. We express year-over-year variances that are calculated in constant currency and organic constant currency as a percentage.</w:t>
      </w:r>
    </w:p>
    <w:p>
      <w:pPr>
        <w:spacing w:after="0" w:line="141" w:lineRule="exact"/>
        <w:rPr>
          <w:sz w:val="20"/>
          <w:szCs w:val="20"/>
          <w:color w:val="auto"/>
        </w:rPr>
      </w:pPr>
    </w:p>
    <w:p>
      <w:pPr>
        <w:ind w:right="80"/>
        <w:spacing w:after="0" w:line="329" w:lineRule="auto"/>
        <w:rPr>
          <w:sz w:val="20"/>
          <w:szCs w:val="20"/>
          <w:color w:val="auto"/>
        </w:rPr>
      </w:pPr>
      <w:r>
        <w:rPr>
          <w:rFonts w:ascii="Arial" w:cs="Arial" w:eastAsia="Arial" w:hAnsi="Arial"/>
          <w:sz w:val="16"/>
          <w:szCs w:val="16"/>
          <w:color w:val="auto"/>
        </w:rPr>
        <w:t>When we use the term “constant currency,” it means that we have translated financial data for a period into United States dollars using the same foreign currency exchange rates that we used to translate financial data for the previous period. We believe that this calculation is a useful measure, indicating the actual growth or decline of our operations. We use constant currency results in our analysis of subsidiary or segment performance. We also use constant currency when analyzing our performance against that of our competitors. Substantially all of our subsidiaries derive revenues and incur expenses within a single country and, consequently, do not generally incur currency risks in connection with the conduct of their normal business operations. Changes in foreign currency exchange rates primarily impact reported earnings and not our actual cash flow unless earnings are repatriated.</w:t>
      </w:r>
    </w:p>
    <w:p>
      <w:pPr>
        <w:spacing w:after="0" w:line="134" w:lineRule="exact"/>
        <w:rPr>
          <w:sz w:val="20"/>
          <w:szCs w:val="20"/>
          <w:color w:val="auto"/>
        </w:rPr>
      </w:pPr>
    </w:p>
    <w:p>
      <w:pPr>
        <w:ind w:right="100"/>
        <w:spacing w:after="0" w:line="295" w:lineRule="auto"/>
        <w:rPr>
          <w:sz w:val="20"/>
          <w:szCs w:val="20"/>
          <w:color w:val="auto"/>
        </w:rPr>
      </w:pPr>
      <w:r>
        <w:rPr>
          <w:rFonts w:ascii="Arial" w:cs="Arial" w:eastAsia="Arial" w:hAnsi="Arial"/>
          <w:sz w:val="18"/>
          <w:szCs w:val="18"/>
          <w:color w:val="auto"/>
        </w:rPr>
        <w:t>When we use the term “organic constant currency,” it means that we have further removed the impact of acquisitions in the current period and dispositions from the prior period from our constant currency calculation. We believe that this calculation is useful because it allows us to show the actual growth or decline of our ongoing business.</w:t>
      </w:r>
    </w:p>
    <w:p>
      <w:pPr>
        <w:spacing w:after="0" w:line="141" w:lineRule="exact"/>
        <w:rPr>
          <w:sz w:val="20"/>
          <w:szCs w:val="20"/>
          <w:color w:val="auto"/>
        </w:rPr>
      </w:pPr>
    </w:p>
    <w:p>
      <w:pPr>
        <w:ind w:right="20"/>
        <w:spacing w:after="0" w:line="337" w:lineRule="auto"/>
        <w:rPr>
          <w:sz w:val="20"/>
          <w:szCs w:val="20"/>
          <w:color w:val="auto"/>
        </w:rPr>
      </w:pPr>
      <w:r>
        <w:rPr>
          <w:rFonts w:ascii="Arial" w:cs="Arial" w:eastAsia="Arial" w:hAnsi="Arial"/>
          <w:sz w:val="16"/>
          <w:szCs w:val="16"/>
          <w:color w:val="auto"/>
        </w:rPr>
        <w:t>The constant currency and organic constant currency financial measures are used to supplement those measures that are in accordance with United States Generally Accepted Accounting Principles (“GAAP”). These Non-GAAP financial measures may not provide information that is directly comparable to that provided by other companies in our industry, as other companies may calculate such financial results differently. These Non-GAAP financial measures are not measurements of financial performance under GAAP, and should not be considered as alternatives to measures presented in accordance with GAAP.</w:t>
      </w:r>
    </w:p>
    <w:p>
      <w:pPr>
        <w:spacing w:after="0" w:line="114" w:lineRule="exact"/>
        <w:rPr>
          <w:sz w:val="20"/>
          <w:szCs w:val="20"/>
          <w:color w:val="auto"/>
        </w:rPr>
      </w:pPr>
    </w:p>
    <w:p>
      <w:pPr>
        <w:ind w:right="460"/>
        <w:spacing w:after="0" w:line="308" w:lineRule="auto"/>
        <w:rPr>
          <w:sz w:val="20"/>
          <w:szCs w:val="20"/>
          <w:color w:val="auto"/>
        </w:rPr>
      </w:pPr>
      <w:r>
        <w:rPr>
          <w:rFonts w:ascii="Arial" w:cs="Arial" w:eastAsia="Arial" w:hAnsi="Arial"/>
          <w:sz w:val="18"/>
          <w:szCs w:val="18"/>
          <w:color w:val="auto"/>
        </w:rPr>
        <w:t>Constant currency and organic constant currency percent variances, along with a reconciliation of these amounts to certain of our reported results, are provided below:</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060" w:type="dxa"/>
            <w:vAlign w:val="bottom"/>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720" w:type="dxa"/>
            <w:vAlign w:val="bottom"/>
            <w:tcBorders>
              <w:bottom w:val="single" w:sz="8" w:color="auto"/>
            </w:tcBorders>
            <w:gridSpan w:val="7"/>
          </w:tcPr>
          <w:p>
            <w:pPr>
              <w:jc w:val="right"/>
              <w:ind w:right="999"/>
              <w:spacing w:after="0"/>
              <w:rPr>
                <w:sz w:val="20"/>
                <w:szCs w:val="20"/>
                <w:color w:val="auto"/>
              </w:rPr>
            </w:pPr>
            <w:r>
              <w:rPr>
                <w:rFonts w:ascii="Arial" w:cs="Arial" w:eastAsia="Arial" w:hAnsi="Arial"/>
                <w:sz w:val="16"/>
                <w:szCs w:val="16"/>
                <w:b w:val="1"/>
                <w:bCs w:val="1"/>
                <w:color w:val="auto"/>
              </w:rPr>
              <w:t>Three Months Ended March 31, 2022 Compared to 2021</w:t>
            </w:r>
          </w:p>
        </w:tc>
        <w:tc>
          <w:tcPr>
            <w:tcW w:w="1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6"/>
        </w:trPr>
        <w:tc>
          <w:tcPr>
            <w:tcW w:w="30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60" w:type="dxa"/>
            <w:vAlign w:val="bottom"/>
          </w:tcPr>
          <w:p>
            <w:pPr>
              <w:jc w:val="center"/>
              <w:ind w:right="179"/>
              <w:spacing w:after="0" w:line="146" w:lineRule="exact"/>
              <w:rPr>
                <w:sz w:val="20"/>
                <w:szCs w:val="20"/>
                <w:color w:val="auto"/>
              </w:rPr>
            </w:pPr>
            <w:r>
              <w:rPr>
                <w:rFonts w:ascii="Arial" w:cs="Arial" w:eastAsia="Arial" w:hAnsi="Arial"/>
                <w:sz w:val="16"/>
                <w:szCs w:val="16"/>
                <w:color w:val="auto"/>
                <w:w w:val="94"/>
              </w:rPr>
              <w:t>Impact of</w:t>
            </w:r>
          </w:p>
        </w:tc>
        <w:tc>
          <w:tcPr>
            <w:tcW w:w="100" w:type="dxa"/>
            <w:vAlign w:val="bottom"/>
          </w:tcPr>
          <w:p>
            <w:pPr>
              <w:spacing w:after="0"/>
              <w:rPr>
                <w:sz w:val="12"/>
                <w:szCs w:val="12"/>
                <w:color w:val="auto"/>
              </w:rPr>
            </w:pPr>
          </w:p>
        </w:tc>
        <w:tc>
          <w:tcPr>
            <w:tcW w:w="1100" w:type="dxa"/>
            <w:vAlign w:val="bottom"/>
            <w:vMerge w:val="restart"/>
          </w:tcPr>
          <w:p>
            <w:pPr>
              <w:jc w:val="center"/>
              <w:ind w:right="179"/>
              <w:spacing w:after="0"/>
              <w:rPr>
                <w:sz w:val="20"/>
                <w:szCs w:val="20"/>
                <w:color w:val="auto"/>
              </w:rPr>
            </w:pPr>
            <w:r>
              <w:rPr>
                <w:rFonts w:ascii="Arial" w:cs="Arial" w:eastAsia="Arial" w:hAnsi="Arial"/>
                <w:sz w:val="16"/>
                <w:szCs w:val="16"/>
                <w:color w:val="auto"/>
                <w:w w:val="92"/>
              </w:rPr>
              <w:t>Organic</w:t>
            </w:r>
          </w:p>
        </w:tc>
        <w:tc>
          <w:tcPr>
            <w:tcW w:w="0" w:type="dxa"/>
            <w:vAlign w:val="bottom"/>
          </w:tcPr>
          <w:p>
            <w:pPr>
              <w:spacing w:after="0"/>
              <w:rPr>
                <w:sz w:val="1"/>
                <w:szCs w:val="1"/>
                <w:color w:val="auto"/>
              </w:rPr>
            </w:pPr>
          </w:p>
        </w:tc>
      </w:tr>
      <w:tr>
        <w:trPr>
          <w:trHeight w:val="162"/>
        </w:trPr>
        <w:tc>
          <w:tcPr>
            <w:tcW w:w="30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vMerge w:val="restart"/>
          </w:tcPr>
          <w:p>
            <w:pPr>
              <w:ind w:left="220"/>
              <w:spacing w:after="0"/>
              <w:rPr>
                <w:sz w:val="20"/>
                <w:szCs w:val="20"/>
                <w:color w:val="auto"/>
              </w:rPr>
            </w:pPr>
            <w:r>
              <w:rPr>
                <w:rFonts w:ascii="Arial" w:cs="Arial" w:eastAsia="Arial" w:hAnsi="Arial"/>
                <w:sz w:val="16"/>
                <w:szCs w:val="16"/>
                <w:color w:val="auto"/>
              </w:rPr>
              <w:t>Constant</w:t>
            </w:r>
          </w:p>
        </w:tc>
        <w:tc>
          <w:tcPr>
            <w:tcW w:w="100" w:type="dxa"/>
            <w:vAlign w:val="bottom"/>
          </w:tcPr>
          <w:p>
            <w:pPr>
              <w:spacing w:after="0"/>
              <w:rPr>
                <w:sz w:val="14"/>
                <w:szCs w:val="14"/>
                <w:color w:val="auto"/>
              </w:rPr>
            </w:pPr>
          </w:p>
        </w:tc>
        <w:tc>
          <w:tcPr>
            <w:tcW w:w="1560" w:type="dxa"/>
            <w:vAlign w:val="bottom"/>
          </w:tcPr>
          <w:p>
            <w:pPr>
              <w:jc w:val="center"/>
              <w:ind w:right="179"/>
              <w:spacing w:after="0" w:line="162" w:lineRule="exact"/>
              <w:rPr>
                <w:sz w:val="20"/>
                <w:szCs w:val="20"/>
                <w:color w:val="auto"/>
              </w:rPr>
            </w:pPr>
            <w:r>
              <w:rPr>
                <w:rFonts w:ascii="Arial" w:cs="Arial" w:eastAsia="Arial" w:hAnsi="Arial"/>
                <w:sz w:val="16"/>
                <w:szCs w:val="16"/>
                <w:color w:val="auto"/>
                <w:w w:val="96"/>
              </w:rPr>
              <w:t>Acquisitions</w:t>
            </w:r>
          </w:p>
        </w:tc>
        <w:tc>
          <w:tcPr>
            <w:tcW w:w="10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060" w:type="dxa"/>
            <w:vAlign w:val="bottom"/>
          </w:tcPr>
          <w:p>
            <w:pPr>
              <w:spacing w:after="0"/>
              <w:rPr>
                <w:sz w:val="14"/>
                <w:szCs w:val="14"/>
                <w:color w:val="auto"/>
              </w:rPr>
            </w:pPr>
          </w:p>
        </w:tc>
        <w:tc>
          <w:tcPr>
            <w:tcW w:w="1140" w:type="dxa"/>
            <w:vAlign w:val="bottom"/>
            <w:vMerge w:val="restart"/>
          </w:tcPr>
          <w:p>
            <w:pPr>
              <w:jc w:val="right"/>
              <w:ind w:right="259"/>
              <w:spacing w:after="0"/>
              <w:rPr>
                <w:sz w:val="20"/>
                <w:szCs w:val="20"/>
                <w:color w:val="auto"/>
              </w:rPr>
            </w:pPr>
            <w:r>
              <w:rPr>
                <w:rFonts w:ascii="Arial" w:cs="Arial" w:eastAsia="Arial" w:hAnsi="Arial"/>
                <w:sz w:val="16"/>
                <w:szCs w:val="16"/>
                <w:color w:val="auto"/>
              </w:rPr>
              <w:t>Reported</w:t>
            </w:r>
          </w:p>
        </w:tc>
        <w:tc>
          <w:tcPr>
            <w:tcW w:w="120" w:type="dxa"/>
            <w:vAlign w:val="bottom"/>
          </w:tcPr>
          <w:p>
            <w:pPr>
              <w:spacing w:after="0"/>
              <w:rPr>
                <w:sz w:val="14"/>
                <w:szCs w:val="14"/>
                <w:color w:val="auto"/>
              </w:rPr>
            </w:pPr>
          </w:p>
        </w:tc>
        <w:tc>
          <w:tcPr>
            <w:tcW w:w="1320" w:type="dxa"/>
            <w:vAlign w:val="bottom"/>
            <w:vMerge w:val="restart"/>
          </w:tcPr>
          <w:p>
            <w:pPr>
              <w:jc w:val="right"/>
              <w:ind w:right="419"/>
              <w:spacing w:after="0"/>
              <w:rPr>
                <w:sz w:val="20"/>
                <w:szCs w:val="20"/>
                <w:color w:val="auto"/>
              </w:rPr>
            </w:pPr>
            <w:r>
              <w:rPr>
                <w:rFonts w:ascii="Arial" w:cs="Arial" w:eastAsia="Arial" w:hAnsi="Arial"/>
                <w:sz w:val="16"/>
                <w:szCs w:val="16"/>
                <w:color w:val="auto"/>
              </w:rPr>
              <w:t>Reported</w:t>
            </w:r>
          </w:p>
        </w:tc>
        <w:tc>
          <w:tcPr>
            <w:tcW w:w="120" w:type="dxa"/>
            <w:vAlign w:val="bottom"/>
          </w:tcPr>
          <w:p>
            <w:pPr>
              <w:spacing w:after="0"/>
              <w:rPr>
                <w:sz w:val="14"/>
                <w:szCs w:val="14"/>
                <w:color w:val="auto"/>
              </w:rPr>
            </w:pPr>
          </w:p>
        </w:tc>
        <w:tc>
          <w:tcPr>
            <w:tcW w:w="1240" w:type="dxa"/>
            <w:vAlign w:val="bottom"/>
            <w:vMerge w:val="restart"/>
          </w:tcPr>
          <w:p>
            <w:pPr>
              <w:jc w:val="right"/>
              <w:ind w:right="379"/>
              <w:spacing w:after="0"/>
              <w:rPr>
                <w:sz w:val="20"/>
                <w:szCs w:val="20"/>
                <w:color w:val="auto"/>
              </w:rPr>
            </w:pPr>
            <w:r>
              <w:rPr>
                <w:rFonts w:ascii="Arial" w:cs="Arial" w:eastAsia="Arial" w:hAnsi="Arial"/>
                <w:sz w:val="16"/>
                <w:szCs w:val="16"/>
                <w:color w:val="auto"/>
              </w:rPr>
              <w:t>Impact of</w:t>
            </w:r>
          </w:p>
        </w:tc>
        <w:tc>
          <w:tcPr>
            <w:tcW w:w="100" w:type="dxa"/>
            <w:vAlign w:val="bottom"/>
          </w:tcPr>
          <w:p>
            <w:pPr>
              <w:spacing w:after="0"/>
              <w:rPr>
                <w:sz w:val="14"/>
                <w:szCs w:val="14"/>
                <w:color w:val="auto"/>
              </w:rPr>
            </w:pPr>
          </w:p>
        </w:tc>
        <w:tc>
          <w:tcPr>
            <w:tcW w:w="12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tcPr>
          <w:p>
            <w:pPr>
              <w:jc w:val="center"/>
              <w:ind w:right="199"/>
              <w:spacing w:after="0" w:line="162" w:lineRule="exact"/>
              <w:rPr>
                <w:sz w:val="20"/>
                <w:szCs w:val="20"/>
                <w:color w:val="auto"/>
              </w:rPr>
            </w:pPr>
            <w:r>
              <w:rPr>
                <w:rFonts w:ascii="Arial" w:cs="Arial" w:eastAsia="Arial" w:hAnsi="Arial"/>
                <w:sz w:val="16"/>
                <w:szCs w:val="16"/>
                <w:color w:val="auto"/>
                <w:w w:val="91"/>
              </w:rPr>
              <w:t>and Dispositions</w:t>
            </w:r>
          </w:p>
        </w:tc>
        <w:tc>
          <w:tcPr>
            <w:tcW w:w="100" w:type="dxa"/>
            <w:vAlign w:val="bottom"/>
          </w:tcPr>
          <w:p>
            <w:pPr>
              <w:spacing w:after="0"/>
              <w:rPr>
                <w:sz w:val="14"/>
                <w:szCs w:val="14"/>
                <w:color w:val="auto"/>
              </w:rPr>
            </w:pPr>
          </w:p>
        </w:tc>
        <w:tc>
          <w:tcPr>
            <w:tcW w:w="1100" w:type="dxa"/>
            <w:vAlign w:val="bottom"/>
          </w:tcPr>
          <w:p>
            <w:pPr>
              <w:jc w:val="center"/>
              <w:ind w:right="179"/>
              <w:spacing w:after="0" w:line="162" w:lineRule="exact"/>
              <w:rPr>
                <w:sz w:val="20"/>
                <w:szCs w:val="20"/>
                <w:color w:val="auto"/>
              </w:rPr>
            </w:pPr>
            <w:r>
              <w:rPr>
                <w:rFonts w:ascii="Arial" w:cs="Arial" w:eastAsia="Arial" w:hAnsi="Arial"/>
                <w:sz w:val="16"/>
                <w:szCs w:val="16"/>
                <w:color w:val="auto"/>
                <w:w w:val="87"/>
              </w:rPr>
              <w:t>Constant</w:t>
            </w:r>
          </w:p>
        </w:tc>
        <w:tc>
          <w:tcPr>
            <w:tcW w:w="0" w:type="dxa"/>
            <w:vAlign w:val="bottom"/>
          </w:tcPr>
          <w:p>
            <w:pPr>
              <w:spacing w:after="0"/>
              <w:rPr>
                <w:sz w:val="1"/>
                <w:szCs w:val="1"/>
                <w:color w:val="auto"/>
              </w:rPr>
            </w:pPr>
          </w:p>
        </w:tc>
      </w:tr>
      <w:tr>
        <w:trPr>
          <w:trHeight w:val="158"/>
        </w:trPr>
        <w:tc>
          <w:tcPr>
            <w:tcW w:w="3060" w:type="dxa"/>
            <w:vAlign w:val="bottom"/>
          </w:tcPr>
          <w:p>
            <w:pPr>
              <w:spacing w:after="0"/>
              <w:rPr>
                <w:sz w:val="13"/>
                <w:szCs w:val="13"/>
                <w:color w:val="auto"/>
              </w:rPr>
            </w:pPr>
          </w:p>
        </w:tc>
        <w:tc>
          <w:tcPr>
            <w:tcW w:w="114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tcPr>
          <w:p>
            <w:pPr>
              <w:ind w:left="200"/>
              <w:spacing w:after="0" w:line="158" w:lineRule="exact"/>
              <w:rPr>
                <w:sz w:val="20"/>
                <w:szCs w:val="20"/>
                <w:color w:val="auto"/>
              </w:rPr>
            </w:pPr>
            <w:r>
              <w:rPr>
                <w:rFonts w:ascii="Arial" w:cs="Arial" w:eastAsia="Arial" w:hAnsi="Arial"/>
                <w:sz w:val="16"/>
                <w:szCs w:val="16"/>
                <w:color w:val="auto"/>
              </w:rPr>
              <w:t>Currency</w:t>
            </w:r>
          </w:p>
        </w:tc>
        <w:tc>
          <w:tcPr>
            <w:tcW w:w="100" w:type="dxa"/>
            <w:vAlign w:val="bottom"/>
          </w:tcPr>
          <w:p>
            <w:pPr>
              <w:spacing w:after="0"/>
              <w:rPr>
                <w:sz w:val="13"/>
                <w:szCs w:val="13"/>
                <w:color w:val="auto"/>
              </w:rPr>
            </w:pPr>
          </w:p>
        </w:tc>
        <w:tc>
          <w:tcPr>
            <w:tcW w:w="1560" w:type="dxa"/>
            <w:vAlign w:val="bottom"/>
          </w:tcPr>
          <w:p>
            <w:pPr>
              <w:jc w:val="center"/>
              <w:ind w:right="179"/>
              <w:spacing w:after="0" w:line="158" w:lineRule="exact"/>
              <w:rPr>
                <w:sz w:val="20"/>
                <w:szCs w:val="20"/>
                <w:color w:val="auto"/>
              </w:rPr>
            </w:pPr>
            <w:r>
              <w:rPr>
                <w:rFonts w:ascii="Arial" w:cs="Arial" w:eastAsia="Arial" w:hAnsi="Arial"/>
                <w:sz w:val="16"/>
                <w:szCs w:val="16"/>
                <w:color w:val="auto"/>
                <w:w w:val="94"/>
              </w:rPr>
              <w:t>(In Constant</w:t>
            </w:r>
          </w:p>
        </w:tc>
        <w:tc>
          <w:tcPr>
            <w:tcW w:w="100" w:type="dxa"/>
            <w:vAlign w:val="bottom"/>
          </w:tcPr>
          <w:p>
            <w:pPr>
              <w:spacing w:after="0"/>
              <w:rPr>
                <w:sz w:val="13"/>
                <w:szCs w:val="13"/>
                <w:color w:val="auto"/>
              </w:rPr>
            </w:pPr>
          </w:p>
        </w:tc>
        <w:tc>
          <w:tcPr>
            <w:tcW w:w="1100" w:type="dxa"/>
            <w:vAlign w:val="bottom"/>
          </w:tcPr>
          <w:p>
            <w:pPr>
              <w:jc w:val="center"/>
              <w:ind w:right="179"/>
              <w:spacing w:after="0" w:line="158" w:lineRule="exact"/>
              <w:rPr>
                <w:sz w:val="20"/>
                <w:szCs w:val="20"/>
                <w:color w:val="auto"/>
              </w:rPr>
            </w:pPr>
            <w:r>
              <w:rPr>
                <w:rFonts w:ascii="Arial" w:cs="Arial" w:eastAsia="Arial" w:hAnsi="Arial"/>
                <w:sz w:val="16"/>
                <w:szCs w:val="16"/>
                <w:color w:val="auto"/>
                <w:w w:val="92"/>
              </w:rPr>
              <w:t>Currency</w:t>
            </w:r>
          </w:p>
        </w:tc>
        <w:tc>
          <w:tcPr>
            <w:tcW w:w="0" w:type="dxa"/>
            <w:vAlign w:val="bottom"/>
          </w:tcPr>
          <w:p>
            <w:pPr>
              <w:spacing w:after="0"/>
              <w:rPr>
                <w:sz w:val="1"/>
                <w:szCs w:val="1"/>
                <w:color w:val="auto"/>
              </w:rPr>
            </w:pPr>
          </w:p>
        </w:tc>
      </w:tr>
      <w:tr>
        <w:trPr>
          <w:trHeight w:val="203"/>
        </w:trPr>
        <w:tc>
          <w:tcPr>
            <w:tcW w:w="3060" w:type="dxa"/>
            <w:vAlign w:val="bottom"/>
          </w:tcPr>
          <w:p>
            <w:pPr>
              <w:spacing w:after="0"/>
              <w:rPr>
                <w:sz w:val="17"/>
                <w:szCs w:val="17"/>
                <w:color w:val="auto"/>
              </w:rPr>
            </w:pPr>
          </w:p>
        </w:tc>
        <w:tc>
          <w:tcPr>
            <w:tcW w:w="1140" w:type="dxa"/>
            <w:vAlign w:val="bottom"/>
            <w:tcBorders>
              <w:bottom w:val="single" w:sz="8" w:color="auto"/>
            </w:tcBorders>
          </w:tcPr>
          <w:p>
            <w:pPr>
              <w:jc w:val="right"/>
              <w:ind w:right="219"/>
              <w:spacing w:after="0" w:line="203" w:lineRule="exact"/>
              <w:rPr>
                <w:sz w:val="20"/>
                <w:szCs w:val="20"/>
                <w:color w:val="auto"/>
              </w:rPr>
            </w:pPr>
            <w:r>
              <w:rPr>
                <w:rFonts w:ascii="Arial" w:cs="Arial" w:eastAsia="Arial" w:hAnsi="Arial"/>
                <w:sz w:val="16"/>
                <w:szCs w:val="16"/>
                <w:color w:val="auto"/>
              </w:rPr>
              <w:t>Amount</w:t>
            </w:r>
            <w:r>
              <w:rPr>
                <w:rFonts w:ascii="Arial" w:cs="Arial" w:eastAsia="Arial" w:hAnsi="Arial"/>
                <w:sz w:val="21"/>
                <w:szCs w:val="21"/>
                <w:color w:val="auto"/>
                <w:vertAlign w:val="superscript"/>
              </w:rPr>
              <w:t>(a)</w:t>
            </w:r>
          </w:p>
        </w:tc>
        <w:tc>
          <w:tcPr>
            <w:tcW w:w="120" w:type="dxa"/>
            <w:vAlign w:val="bottom"/>
          </w:tcPr>
          <w:p>
            <w:pPr>
              <w:spacing w:after="0"/>
              <w:rPr>
                <w:sz w:val="17"/>
                <w:szCs w:val="17"/>
                <w:color w:val="auto"/>
              </w:rPr>
            </w:pPr>
          </w:p>
        </w:tc>
        <w:tc>
          <w:tcPr>
            <w:tcW w:w="132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color w:val="auto"/>
              </w:rPr>
              <w:t>Variance</w:t>
            </w:r>
          </w:p>
        </w:tc>
        <w:tc>
          <w:tcPr>
            <w:tcW w:w="120" w:type="dxa"/>
            <w:vAlign w:val="bottom"/>
          </w:tcPr>
          <w:p>
            <w:pPr>
              <w:spacing w:after="0"/>
              <w:rPr>
                <w:sz w:val="17"/>
                <w:szCs w:val="17"/>
                <w:color w:val="auto"/>
              </w:rPr>
            </w:pPr>
          </w:p>
        </w:tc>
        <w:tc>
          <w:tcPr>
            <w:tcW w:w="124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color w:val="auto"/>
              </w:rPr>
              <w:t>Currency</w:t>
            </w:r>
          </w:p>
        </w:tc>
        <w:tc>
          <w:tcPr>
            <w:tcW w:w="100" w:type="dxa"/>
            <w:vAlign w:val="bottom"/>
          </w:tcPr>
          <w:p>
            <w:pPr>
              <w:spacing w:after="0"/>
              <w:rPr>
                <w:sz w:val="17"/>
                <w:szCs w:val="17"/>
                <w:color w:val="auto"/>
              </w:rPr>
            </w:pPr>
          </w:p>
        </w:tc>
        <w:tc>
          <w:tcPr>
            <w:tcW w:w="128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Variance</w:t>
            </w:r>
          </w:p>
        </w:tc>
        <w:tc>
          <w:tcPr>
            <w:tcW w:w="100" w:type="dxa"/>
            <w:vAlign w:val="bottom"/>
          </w:tcPr>
          <w:p>
            <w:pPr>
              <w:spacing w:after="0"/>
              <w:rPr>
                <w:sz w:val="17"/>
                <w:szCs w:val="17"/>
                <w:color w:val="auto"/>
              </w:rPr>
            </w:pPr>
          </w:p>
        </w:tc>
        <w:tc>
          <w:tcPr>
            <w:tcW w:w="1560" w:type="dxa"/>
            <w:vAlign w:val="bottom"/>
            <w:tcBorders>
              <w:bottom w:val="single" w:sz="8" w:color="auto"/>
            </w:tcBorders>
          </w:tcPr>
          <w:p>
            <w:pPr>
              <w:jc w:val="center"/>
              <w:ind w:right="179"/>
              <w:spacing w:after="0"/>
              <w:rPr>
                <w:sz w:val="20"/>
                <w:szCs w:val="20"/>
                <w:color w:val="auto"/>
              </w:rPr>
            </w:pPr>
            <w:r>
              <w:rPr>
                <w:rFonts w:ascii="Arial" w:cs="Arial" w:eastAsia="Arial" w:hAnsi="Arial"/>
                <w:sz w:val="16"/>
                <w:szCs w:val="16"/>
                <w:color w:val="auto"/>
                <w:w w:val="93"/>
              </w:rPr>
              <w:t>Currency)</w:t>
            </w:r>
          </w:p>
        </w:tc>
        <w:tc>
          <w:tcPr>
            <w:tcW w:w="100" w:type="dxa"/>
            <w:vAlign w:val="bottom"/>
          </w:tcPr>
          <w:p>
            <w:pPr>
              <w:spacing w:after="0"/>
              <w:rPr>
                <w:sz w:val="17"/>
                <w:szCs w:val="17"/>
                <w:color w:val="auto"/>
              </w:rPr>
            </w:pPr>
          </w:p>
        </w:tc>
        <w:tc>
          <w:tcPr>
            <w:tcW w:w="1100" w:type="dxa"/>
            <w:vAlign w:val="bottom"/>
            <w:tcBorders>
              <w:bottom w:val="single" w:sz="8" w:color="auto"/>
            </w:tcBorders>
          </w:tcPr>
          <w:p>
            <w:pPr>
              <w:jc w:val="center"/>
              <w:ind w:right="179"/>
              <w:spacing w:after="0"/>
              <w:rPr>
                <w:sz w:val="20"/>
                <w:szCs w:val="20"/>
                <w:color w:val="auto"/>
              </w:rPr>
            </w:pPr>
            <w:r>
              <w:rPr>
                <w:rFonts w:ascii="Arial" w:cs="Arial" w:eastAsia="Arial" w:hAnsi="Arial"/>
                <w:sz w:val="16"/>
                <w:szCs w:val="16"/>
                <w:color w:val="auto"/>
                <w:w w:val="88"/>
              </w:rPr>
              <w:t>Variance</w:t>
            </w:r>
          </w:p>
        </w:tc>
        <w:tc>
          <w:tcPr>
            <w:tcW w:w="0" w:type="dxa"/>
            <w:vAlign w:val="bottom"/>
          </w:tcPr>
          <w:p>
            <w:pPr>
              <w:spacing w:after="0"/>
              <w:rPr>
                <w:sz w:val="1"/>
                <w:szCs w:val="1"/>
                <w:color w:val="auto"/>
              </w:rPr>
            </w:pPr>
          </w:p>
        </w:tc>
      </w:tr>
      <w:tr>
        <w:trPr>
          <w:trHeight w:val="183"/>
        </w:trPr>
        <w:tc>
          <w:tcPr>
            <w:tcW w:w="3060" w:type="dxa"/>
            <w:vAlign w:val="bottom"/>
            <w:shd w:val="clear" w:color="auto" w:fill="CFF0FC"/>
          </w:tcPr>
          <w:p>
            <w:pPr>
              <w:ind w:left="20"/>
              <w:spacing w:after="0" w:line="183" w:lineRule="exact"/>
              <w:rPr>
                <w:sz w:val="20"/>
                <w:szCs w:val="20"/>
                <w:color w:val="auto"/>
              </w:rPr>
            </w:pPr>
            <w:r>
              <w:rPr>
                <w:rFonts w:ascii="Arial" w:cs="Arial" w:eastAsia="Arial" w:hAnsi="Arial"/>
                <w:sz w:val="16"/>
                <w:szCs w:val="16"/>
                <w:color w:val="auto"/>
              </w:rPr>
              <w:t>Revenues from services:</w:t>
            </w:r>
          </w:p>
        </w:tc>
        <w:tc>
          <w:tcPr>
            <w:tcW w:w="11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3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5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060" w:type="dxa"/>
            <w:vAlign w:val="bottom"/>
          </w:tcPr>
          <w:p>
            <w:pPr>
              <w:ind w:left="20"/>
              <w:spacing w:after="0"/>
              <w:rPr>
                <w:sz w:val="20"/>
                <w:szCs w:val="20"/>
                <w:color w:val="auto"/>
              </w:rPr>
            </w:pPr>
            <w:r>
              <w:rPr>
                <w:rFonts w:ascii="Arial" w:cs="Arial" w:eastAsia="Arial" w:hAnsi="Arial"/>
                <w:sz w:val="16"/>
                <w:szCs w:val="16"/>
                <w:color w:val="auto"/>
              </w:rPr>
              <w:t>Americas:</w:t>
            </w: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060" w:type="dxa"/>
            <w:vAlign w:val="bottom"/>
            <w:shd w:val="clear" w:color="auto" w:fill="CFF0FC"/>
          </w:tcPr>
          <w:p>
            <w:pPr>
              <w:ind w:left="200"/>
              <w:spacing w:after="0"/>
              <w:rPr>
                <w:sz w:val="20"/>
                <w:szCs w:val="20"/>
                <w:color w:val="auto"/>
              </w:rPr>
            </w:pPr>
            <w:r>
              <w:rPr>
                <w:rFonts w:ascii="Arial" w:cs="Arial" w:eastAsia="Arial" w:hAnsi="Arial"/>
                <w:sz w:val="16"/>
                <w:szCs w:val="16"/>
                <w:color w:val="auto"/>
              </w:rPr>
              <w:t>United States</w:t>
            </w:r>
          </w:p>
        </w:tc>
        <w:tc>
          <w:tcPr>
            <w:tcW w:w="11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889.4</w:t>
            </w:r>
          </w:p>
        </w:tc>
        <w:tc>
          <w:tcPr>
            <w:tcW w:w="1440" w:type="dxa"/>
            <w:vAlign w:val="bottom"/>
            <w:gridSpan w:val="2"/>
            <w:shd w:val="clear" w:color="auto" w:fill="CFF0FC"/>
          </w:tcPr>
          <w:p>
            <w:pPr>
              <w:jc w:val="right"/>
              <w:ind w:right="59"/>
              <w:spacing w:after="0"/>
              <w:rPr>
                <w:sz w:val="20"/>
                <w:szCs w:val="20"/>
                <w:color w:val="auto"/>
              </w:rPr>
            </w:pPr>
            <w:r>
              <w:rPr>
                <w:rFonts w:ascii="Arial" w:cs="Arial" w:eastAsia="Arial" w:hAnsi="Arial"/>
                <w:sz w:val="16"/>
                <w:szCs w:val="16"/>
                <w:color w:val="auto"/>
              </w:rPr>
              <w:t>46.1 %</w:t>
            </w:r>
          </w:p>
        </w:tc>
        <w:tc>
          <w:tcPr>
            <w:tcW w:w="120" w:type="dxa"/>
            <w:vAlign w:val="bottom"/>
            <w:shd w:val="clear" w:color="auto" w:fill="CFF0FC"/>
          </w:tcPr>
          <w:p>
            <w:pPr>
              <w:spacing w:after="0"/>
              <w:rPr>
                <w:sz w:val="16"/>
                <w:szCs w:val="16"/>
                <w:color w:val="auto"/>
              </w:rPr>
            </w:pPr>
          </w:p>
        </w:tc>
        <w:tc>
          <w:tcPr>
            <w:tcW w:w="1240" w:type="dxa"/>
            <w:vAlign w:val="bottom"/>
            <w:shd w:val="clear" w:color="auto" w:fill="CFF0FC"/>
          </w:tcPr>
          <w:p>
            <w:pPr>
              <w:jc w:val="right"/>
              <w:ind w:right="259"/>
              <w:spacing w:after="0"/>
              <w:rPr>
                <w:sz w:val="20"/>
                <w:szCs w:val="20"/>
                <w:color w:val="auto"/>
              </w:rPr>
            </w:pPr>
            <w:r>
              <w:rPr>
                <w:rFonts w:ascii="Arial" w:cs="Arial" w:eastAsia="Arial" w:hAnsi="Arial"/>
                <w:sz w:val="16"/>
                <w:szCs w:val="16"/>
                <w:color w:val="auto"/>
              </w:rPr>
              <w:t>—</w:t>
            </w:r>
          </w:p>
        </w:tc>
        <w:tc>
          <w:tcPr>
            <w:tcW w:w="1380" w:type="dxa"/>
            <w:vAlign w:val="bottom"/>
            <w:gridSpan w:val="2"/>
            <w:shd w:val="clear" w:color="auto" w:fill="CFF0FC"/>
          </w:tcPr>
          <w:p>
            <w:pPr>
              <w:jc w:val="right"/>
              <w:ind w:right="39"/>
              <w:spacing w:after="0"/>
              <w:rPr>
                <w:sz w:val="20"/>
                <w:szCs w:val="20"/>
                <w:color w:val="auto"/>
              </w:rPr>
            </w:pPr>
            <w:r>
              <w:rPr>
                <w:rFonts w:ascii="Arial" w:cs="Arial" w:eastAsia="Arial" w:hAnsi="Arial"/>
                <w:sz w:val="16"/>
                <w:szCs w:val="16"/>
                <w:color w:val="auto"/>
              </w:rPr>
              <w:t>46.1 %</w:t>
            </w:r>
          </w:p>
        </w:tc>
        <w:tc>
          <w:tcPr>
            <w:tcW w:w="1660" w:type="dxa"/>
            <w:vAlign w:val="bottom"/>
            <w:gridSpan w:val="2"/>
            <w:shd w:val="clear" w:color="auto" w:fill="CFF0FC"/>
          </w:tcPr>
          <w:p>
            <w:pPr>
              <w:jc w:val="right"/>
              <w:ind w:right="39"/>
              <w:spacing w:after="0"/>
              <w:rPr>
                <w:sz w:val="20"/>
                <w:szCs w:val="20"/>
                <w:color w:val="auto"/>
              </w:rPr>
            </w:pPr>
            <w:r>
              <w:rPr>
                <w:rFonts w:ascii="Arial" w:cs="Arial" w:eastAsia="Arial" w:hAnsi="Arial"/>
                <w:sz w:val="16"/>
                <w:szCs w:val="16"/>
                <w:color w:val="auto"/>
              </w:rPr>
              <w:t>30.9 %</w:t>
            </w:r>
          </w:p>
        </w:tc>
        <w:tc>
          <w:tcPr>
            <w:tcW w:w="1200" w:type="dxa"/>
            <w:vAlign w:val="bottom"/>
            <w:gridSpan w:val="2"/>
            <w:shd w:val="clear" w:color="auto" w:fill="CFF0FC"/>
          </w:tcPr>
          <w:p>
            <w:pPr>
              <w:jc w:val="right"/>
              <w:ind w:right="39"/>
              <w:spacing w:after="0"/>
              <w:rPr>
                <w:sz w:val="20"/>
                <w:szCs w:val="20"/>
                <w:color w:val="auto"/>
              </w:rPr>
            </w:pPr>
            <w:r>
              <w:rPr>
                <w:rFonts w:ascii="Arial" w:cs="Arial" w:eastAsia="Arial" w:hAnsi="Arial"/>
                <w:sz w:val="16"/>
                <w:szCs w:val="16"/>
                <w:color w:val="auto"/>
              </w:rPr>
              <w:t>15.2 %</w:t>
            </w:r>
          </w:p>
        </w:tc>
        <w:tc>
          <w:tcPr>
            <w:tcW w:w="0" w:type="dxa"/>
            <w:vAlign w:val="bottom"/>
          </w:tcPr>
          <w:p>
            <w:pPr>
              <w:spacing w:after="0"/>
              <w:rPr>
                <w:sz w:val="1"/>
                <w:szCs w:val="1"/>
                <w:color w:val="auto"/>
              </w:rPr>
            </w:pPr>
          </w:p>
        </w:tc>
      </w:tr>
      <w:tr>
        <w:trPr>
          <w:trHeight w:val="189"/>
        </w:trPr>
        <w:tc>
          <w:tcPr>
            <w:tcW w:w="3060" w:type="dxa"/>
            <w:vAlign w:val="bottom"/>
          </w:tcPr>
          <w:p>
            <w:pPr>
              <w:ind w:left="200"/>
              <w:spacing w:after="0"/>
              <w:rPr>
                <w:sz w:val="20"/>
                <w:szCs w:val="20"/>
                <w:color w:val="auto"/>
              </w:rPr>
            </w:pPr>
            <w:r>
              <w:rPr>
                <w:rFonts w:ascii="Arial" w:cs="Arial" w:eastAsia="Arial" w:hAnsi="Arial"/>
                <w:sz w:val="16"/>
                <w:szCs w:val="16"/>
                <w:color w:val="auto"/>
              </w:rPr>
              <w:t>Other Americas</w:t>
            </w:r>
          </w:p>
        </w:tc>
        <w:tc>
          <w:tcPr>
            <w:tcW w:w="11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361.8</w:t>
            </w:r>
          </w:p>
        </w:tc>
        <w:tc>
          <w:tcPr>
            <w:tcW w:w="1440" w:type="dxa"/>
            <w:vAlign w:val="bottom"/>
            <w:gridSpan w:val="2"/>
          </w:tcPr>
          <w:p>
            <w:pPr>
              <w:jc w:val="right"/>
              <w:spacing w:after="0"/>
              <w:rPr>
                <w:sz w:val="20"/>
                <w:szCs w:val="20"/>
                <w:color w:val="auto"/>
              </w:rPr>
            </w:pPr>
            <w:r>
              <w:rPr>
                <w:rFonts w:ascii="Arial" w:cs="Arial" w:eastAsia="Arial" w:hAnsi="Arial"/>
                <w:sz w:val="16"/>
                <w:szCs w:val="16"/>
                <w:color w:val="auto"/>
              </w:rPr>
              <w:t>(8.2 )%</w:t>
            </w:r>
          </w:p>
        </w:tc>
        <w:tc>
          <w:tcPr>
            <w:tcW w:w="1360" w:type="dxa"/>
            <w:vAlign w:val="bottom"/>
            <w:gridSpan w:val="2"/>
          </w:tcPr>
          <w:p>
            <w:pPr>
              <w:jc w:val="right"/>
              <w:ind w:right="39"/>
              <w:spacing w:after="0"/>
              <w:rPr>
                <w:sz w:val="20"/>
                <w:szCs w:val="20"/>
                <w:color w:val="auto"/>
              </w:rPr>
            </w:pPr>
            <w:r>
              <w:rPr>
                <w:rFonts w:ascii="Arial" w:cs="Arial" w:eastAsia="Arial" w:hAnsi="Arial"/>
                <w:sz w:val="16"/>
                <w:szCs w:val="16"/>
                <w:color w:val="auto"/>
              </w:rPr>
              <w:t>(2.3 )%</w:t>
            </w:r>
          </w:p>
        </w:tc>
        <w:tc>
          <w:tcPr>
            <w:tcW w:w="1380" w:type="dxa"/>
            <w:vAlign w:val="bottom"/>
            <w:gridSpan w:val="2"/>
          </w:tcPr>
          <w:p>
            <w:pPr>
              <w:jc w:val="right"/>
              <w:spacing w:after="0"/>
              <w:rPr>
                <w:sz w:val="20"/>
                <w:szCs w:val="20"/>
                <w:color w:val="auto"/>
              </w:rPr>
            </w:pPr>
            <w:r>
              <w:rPr>
                <w:rFonts w:ascii="Arial" w:cs="Arial" w:eastAsia="Arial" w:hAnsi="Arial"/>
                <w:sz w:val="16"/>
                <w:szCs w:val="16"/>
                <w:color w:val="auto"/>
              </w:rPr>
              <w:t>(5.9 )%</w:t>
            </w:r>
          </w:p>
        </w:tc>
        <w:tc>
          <w:tcPr>
            <w:tcW w:w="100" w:type="dxa"/>
            <w:vAlign w:val="bottom"/>
          </w:tcPr>
          <w:p>
            <w:pPr>
              <w:spacing w:after="0"/>
              <w:rPr>
                <w:sz w:val="16"/>
                <w:szCs w:val="16"/>
                <w:color w:val="auto"/>
              </w:rPr>
            </w:pPr>
          </w:p>
        </w:tc>
        <w:tc>
          <w:tcPr>
            <w:tcW w:w="156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200" w:type="dxa"/>
            <w:vAlign w:val="bottom"/>
            <w:gridSpan w:val="2"/>
          </w:tcPr>
          <w:p>
            <w:pPr>
              <w:jc w:val="right"/>
              <w:spacing w:after="0"/>
              <w:rPr>
                <w:sz w:val="20"/>
                <w:szCs w:val="20"/>
                <w:color w:val="auto"/>
              </w:rPr>
            </w:pPr>
            <w:r>
              <w:rPr>
                <w:rFonts w:ascii="Arial" w:cs="Arial" w:eastAsia="Arial" w:hAnsi="Arial"/>
                <w:sz w:val="16"/>
                <w:szCs w:val="16"/>
                <w:color w:val="auto"/>
              </w:rPr>
              <w:t>(5.9 )%</w:t>
            </w:r>
          </w:p>
        </w:tc>
        <w:tc>
          <w:tcPr>
            <w:tcW w:w="0" w:type="dxa"/>
            <w:vAlign w:val="bottom"/>
          </w:tcPr>
          <w:p>
            <w:pPr>
              <w:spacing w:after="0"/>
              <w:rPr>
                <w:sz w:val="1"/>
                <w:szCs w:val="1"/>
                <w:color w:val="auto"/>
              </w:rPr>
            </w:pPr>
          </w:p>
        </w:tc>
      </w:tr>
      <w:tr>
        <w:trPr>
          <w:trHeight w:val="183"/>
        </w:trPr>
        <w:tc>
          <w:tcPr>
            <w:tcW w:w="3060" w:type="dxa"/>
            <w:vAlign w:val="bottom"/>
            <w:tcBorders>
              <w:bottom w:val="single" w:sz="8" w:color="CFF0FC"/>
            </w:tcBorders>
            <w:shd w:val="clear" w:color="auto" w:fill="CFF0FC"/>
          </w:tcPr>
          <w:p>
            <w:pPr>
              <w:spacing w:after="0"/>
              <w:rPr>
                <w:sz w:val="15"/>
                <w:szCs w:val="15"/>
                <w:color w:val="auto"/>
              </w:rPr>
            </w:pPr>
          </w:p>
        </w:tc>
        <w:tc>
          <w:tcPr>
            <w:tcW w:w="1140" w:type="dxa"/>
            <w:vAlign w:val="bottom"/>
            <w:tcBorders>
              <w:bottom w:val="single" w:sz="8" w:color="auto"/>
            </w:tcBorders>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1,251.2</w:t>
            </w:r>
          </w:p>
        </w:tc>
        <w:tc>
          <w:tcPr>
            <w:tcW w:w="1440" w:type="dxa"/>
            <w:vAlign w:val="bottom"/>
            <w:tcBorders>
              <w:bottom w:val="single" w:sz="8" w:color="CFF0FC"/>
            </w:tcBorders>
            <w:gridSpan w:val="2"/>
            <w:shd w:val="clear" w:color="auto" w:fill="CFF0FC"/>
          </w:tcPr>
          <w:p>
            <w:pPr>
              <w:jc w:val="right"/>
              <w:ind w:right="59"/>
              <w:spacing w:after="0" w:line="183" w:lineRule="exact"/>
              <w:rPr>
                <w:sz w:val="20"/>
                <w:szCs w:val="20"/>
                <w:color w:val="auto"/>
              </w:rPr>
            </w:pPr>
            <w:r>
              <w:rPr>
                <w:rFonts w:ascii="Arial" w:cs="Arial" w:eastAsia="Arial" w:hAnsi="Arial"/>
                <w:sz w:val="16"/>
                <w:szCs w:val="16"/>
                <w:color w:val="auto"/>
              </w:rPr>
              <w:t>24.8 %</w:t>
            </w:r>
          </w:p>
        </w:tc>
        <w:tc>
          <w:tcPr>
            <w:tcW w:w="1360" w:type="dxa"/>
            <w:vAlign w:val="bottom"/>
            <w:tcBorders>
              <w:bottom w:val="single" w:sz="8" w:color="CFF0FC"/>
            </w:tcBorders>
            <w:gridSpan w:val="2"/>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(0.9 )%</w:t>
            </w:r>
          </w:p>
        </w:tc>
        <w:tc>
          <w:tcPr>
            <w:tcW w:w="1380" w:type="dxa"/>
            <w:vAlign w:val="bottom"/>
            <w:tcBorders>
              <w:bottom w:val="single" w:sz="8" w:color="CFF0FC"/>
            </w:tcBorders>
            <w:gridSpan w:val="2"/>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25.7 %</w:t>
            </w:r>
          </w:p>
        </w:tc>
        <w:tc>
          <w:tcPr>
            <w:tcW w:w="1660" w:type="dxa"/>
            <w:vAlign w:val="bottom"/>
            <w:tcBorders>
              <w:bottom w:val="single" w:sz="8" w:color="CFF0FC"/>
            </w:tcBorders>
            <w:gridSpan w:val="2"/>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18.8 %</w:t>
            </w:r>
          </w:p>
        </w:tc>
        <w:tc>
          <w:tcPr>
            <w:tcW w:w="1200" w:type="dxa"/>
            <w:vAlign w:val="bottom"/>
            <w:tcBorders>
              <w:bottom w:val="single" w:sz="8" w:color="CFF0FC"/>
            </w:tcBorders>
            <w:gridSpan w:val="2"/>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6.9 %</w:t>
            </w:r>
          </w:p>
        </w:tc>
        <w:tc>
          <w:tcPr>
            <w:tcW w:w="0" w:type="dxa"/>
            <w:vAlign w:val="bottom"/>
          </w:tcPr>
          <w:p>
            <w:pPr>
              <w:spacing w:after="0"/>
              <w:rPr>
                <w:sz w:val="1"/>
                <w:szCs w:val="1"/>
                <w:color w:val="auto"/>
              </w:rPr>
            </w:pPr>
          </w:p>
        </w:tc>
      </w:tr>
      <w:tr>
        <w:trPr>
          <w:trHeight w:val="183"/>
        </w:trPr>
        <w:tc>
          <w:tcPr>
            <w:tcW w:w="3060" w:type="dxa"/>
            <w:vAlign w:val="bottom"/>
          </w:tcPr>
          <w:p>
            <w:pPr>
              <w:ind w:left="20"/>
              <w:spacing w:after="0" w:line="183" w:lineRule="exact"/>
              <w:rPr>
                <w:sz w:val="20"/>
                <w:szCs w:val="20"/>
                <w:color w:val="auto"/>
              </w:rPr>
            </w:pPr>
            <w:r>
              <w:rPr>
                <w:rFonts w:ascii="Arial" w:cs="Arial" w:eastAsia="Arial" w:hAnsi="Arial"/>
                <w:sz w:val="16"/>
                <w:szCs w:val="16"/>
                <w:color w:val="auto"/>
              </w:rPr>
              <w:t>Southern Europe:</w:t>
            </w: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060" w:type="dxa"/>
            <w:vAlign w:val="bottom"/>
            <w:shd w:val="clear" w:color="auto" w:fill="CFF0FC"/>
          </w:tcPr>
          <w:p>
            <w:pPr>
              <w:ind w:left="200"/>
              <w:spacing w:after="0"/>
              <w:rPr>
                <w:sz w:val="20"/>
                <w:szCs w:val="20"/>
                <w:color w:val="auto"/>
              </w:rPr>
            </w:pPr>
            <w:r>
              <w:rPr>
                <w:rFonts w:ascii="Arial" w:cs="Arial" w:eastAsia="Arial" w:hAnsi="Arial"/>
                <w:sz w:val="16"/>
                <w:szCs w:val="16"/>
                <w:color w:val="auto"/>
              </w:rPr>
              <w:t>France</w:t>
            </w:r>
          </w:p>
        </w:tc>
        <w:tc>
          <w:tcPr>
            <w:tcW w:w="11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1,192.4</w:t>
            </w:r>
          </w:p>
        </w:tc>
        <w:tc>
          <w:tcPr>
            <w:tcW w:w="1440" w:type="dxa"/>
            <w:vAlign w:val="bottom"/>
            <w:gridSpan w:val="2"/>
            <w:shd w:val="clear" w:color="auto" w:fill="CFF0FC"/>
          </w:tcPr>
          <w:p>
            <w:pPr>
              <w:jc w:val="right"/>
              <w:ind w:right="59"/>
              <w:spacing w:after="0"/>
              <w:rPr>
                <w:sz w:val="20"/>
                <w:szCs w:val="20"/>
                <w:color w:val="auto"/>
              </w:rPr>
            </w:pPr>
            <w:r>
              <w:rPr>
                <w:rFonts w:ascii="Arial" w:cs="Arial" w:eastAsia="Arial" w:hAnsi="Arial"/>
                <w:sz w:val="16"/>
                <w:szCs w:val="16"/>
                <w:color w:val="auto"/>
              </w:rPr>
              <w:t>0.3 %</w:t>
            </w:r>
          </w:p>
        </w:tc>
        <w:tc>
          <w:tcPr>
            <w:tcW w:w="1360" w:type="dxa"/>
            <w:vAlign w:val="bottom"/>
            <w:gridSpan w:val="2"/>
            <w:shd w:val="clear" w:color="auto" w:fill="CFF0FC"/>
          </w:tcPr>
          <w:p>
            <w:pPr>
              <w:jc w:val="right"/>
              <w:ind w:right="39"/>
              <w:spacing w:after="0"/>
              <w:rPr>
                <w:sz w:val="20"/>
                <w:szCs w:val="20"/>
                <w:color w:val="auto"/>
              </w:rPr>
            </w:pPr>
            <w:r>
              <w:rPr>
                <w:rFonts w:ascii="Arial" w:cs="Arial" w:eastAsia="Arial" w:hAnsi="Arial"/>
                <w:sz w:val="16"/>
                <w:szCs w:val="16"/>
                <w:color w:val="auto"/>
              </w:rPr>
              <w:t>(7.4 )%</w:t>
            </w:r>
          </w:p>
        </w:tc>
        <w:tc>
          <w:tcPr>
            <w:tcW w:w="1380" w:type="dxa"/>
            <w:vAlign w:val="bottom"/>
            <w:gridSpan w:val="2"/>
            <w:shd w:val="clear" w:color="auto" w:fill="CFF0FC"/>
          </w:tcPr>
          <w:p>
            <w:pPr>
              <w:jc w:val="right"/>
              <w:ind w:right="39"/>
              <w:spacing w:after="0"/>
              <w:rPr>
                <w:sz w:val="20"/>
                <w:szCs w:val="20"/>
                <w:color w:val="auto"/>
              </w:rPr>
            </w:pPr>
            <w:r>
              <w:rPr>
                <w:rFonts w:ascii="Arial" w:cs="Arial" w:eastAsia="Arial" w:hAnsi="Arial"/>
                <w:sz w:val="16"/>
                <w:szCs w:val="16"/>
                <w:color w:val="auto"/>
              </w:rPr>
              <w:t>7.7 %</w:t>
            </w:r>
          </w:p>
        </w:tc>
        <w:tc>
          <w:tcPr>
            <w:tcW w:w="100" w:type="dxa"/>
            <w:vAlign w:val="bottom"/>
            <w:shd w:val="clear" w:color="auto" w:fill="CFF0FC"/>
          </w:tcPr>
          <w:p>
            <w:pPr>
              <w:spacing w:after="0"/>
              <w:rPr>
                <w:sz w:val="16"/>
                <w:szCs w:val="16"/>
                <w:color w:val="auto"/>
              </w:rPr>
            </w:pPr>
          </w:p>
        </w:tc>
        <w:tc>
          <w:tcPr>
            <w:tcW w:w="1560" w:type="dxa"/>
            <w:vAlign w:val="bottom"/>
            <w:shd w:val="clear" w:color="auto" w:fill="CFF0FC"/>
          </w:tcPr>
          <w:p>
            <w:pPr>
              <w:jc w:val="right"/>
              <w:ind w:right="199"/>
              <w:spacing w:after="0"/>
              <w:rPr>
                <w:sz w:val="20"/>
                <w:szCs w:val="20"/>
                <w:color w:val="auto"/>
              </w:rPr>
            </w:pPr>
            <w:r>
              <w:rPr>
                <w:rFonts w:ascii="Arial" w:cs="Arial" w:eastAsia="Arial" w:hAnsi="Arial"/>
                <w:sz w:val="16"/>
                <w:szCs w:val="16"/>
                <w:color w:val="auto"/>
              </w:rPr>
              <w:t>—</w:t>
            </w:r>
          </w:p>
        </w:tc>
        <w:tc>
          <w:tcPr>
            <w:tcW w:w="1200" w:type="dxa"/>
            <w:vAlign w:val="bottom"/>
            <w:gridSpan w:val="2"/>
            <w:shd w:val="clear" w:color="auto" w:fill="CFF0FC"/>
          </w:tcPr>
          <w:p>
            <w:pPr>
              <w:jc w:val="right"/>
              <w:ind w:right="39"/>
              <w:spacing w:after="0"/>
              <w:rPr>
                <w:sz w:val="20"/>
                <w:szCs w:val="20"/>
                <w:color w:val="auto"/>
              </w:rPr>
            </w:pPr>
            <w:r>
              <w:rPr>
                <w:rFonts w:ascii="Arial" w:cs="Arial" w:eastAsia="Arial" w:hAnsi="Arial"/>
                <w:sz w:val="16"/>
                <w:szCs w:val="16"/>
                <w:color w:val="auto"/>
              </w:rPr>
              <w:t>7.7 %</w:t>
            </w:r>
          </w:p>
        </w:tc>
        <w:tc>
          <w:tcPr>
            <w:tcW w:w="0" w:type="dxa"/>
            <w:vAlign w:val="bottom"/>
          </w:tcPr>
          <w:p>
            <w:pPr>
              <w:spacing w:after="0"/>
              <w:rPr>
                <w:sz w:val="1"/>
                <w:szCs w:val="1"/>
                <w:color w:val="auto"/>
              </w:rPr>
            </w:pPr>
          </w:p>
        </w:tc>
      </w:tr>
      <w:tr>
        <w:trPr>
          <w:trHeight w:val="189"/>
        </w:trPr>
        <w:tc>
          <w:tcPr>
            <w:tcW w:w="3060" w:type="dxa"/>
            <w:vAlign w:val="bottom"/>
          </w:tcPr>
          <w:p>
            <w:pPr>
              <w:ind w:left="200"/>
              <w:spacing w:after="0"/>
              <w:rPr>
                <w:sz w:val="20"/>
                <w:szCs w:val="20"/>
                <w:color w:val="auto"/>
              </w:rPr>
            </w:pPr>
            <w:r>
              <w:rPr>
                <w:rFonts w:ascii="Arial" w:cs="Arial" w:eastAsia="Arial" w:hAnsi="Arial"/>
                <w:sz w:val="16"/>
                <w:szCs w:val="16"/>
                <w:color w:val="auto"/>
              </w:rPr>
              <w:t>Italy</w:t>
            </w: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445.0</w:t>
            </w:r>
          </w:p>
        </w:tc>
        <w:tc>
          <w:tcPr>
            <w:tcW w:w="1440" w:type="dxa"/>
            <w:vAlign w:val="bottom"/>
            <w:gridSpan w:val="2"/>
          </w:tcPr>
          <w:p>
            <w:pPr>
              <w:jc w:val="right"/>
              <w:ind w:right="59"/>
              <w:spacing w:after="0"/>
              <w:rPr>
                <w:sz w:val="20"/>
                <w:szCs w:val="20"/>
                <w:color w:val="auto"/>
              </w:rPr>
            </w:pPr>
            <w:r>
              <w:rPr>
                <w:rFonts w:ascii="Arial" w:cs="Arial" w:eastAsia="Arial" w:hAnsi="Arial"/>
                <w:sz w:val="16"/>
                <w:szCs w:val="16"/>
                <w:color w:val="auto"/>
              </w:rPr>
              <w:t>10.5 %</w:t>
            </w:r>
          </w:p>
        </w:tc>
        <w:tc>
          <w:tcPr>
            <w:tcW w:w="1360" w:type="dxa"/>
            <w:vAlign w:val="bottom"/>
            <w:gridSpan w:val="2"/>
          </w:tcPr>
          <w:p>
            <w:pPr>
              <w:jc w:val="right"/>
              <w:ind w:right="39"/>
              <w:spacing w:after="0"/>
              <w:rPr>
                <w:sz w:val="20"/>
                <w:szCs w:val="20"/>
                <w:color w:val="auto"/>
              </w:rPr>
            </w:pPr>
            <w:r>
              <w:rPr>
                <w:rFonts w:ascii="Arial" w:cs="Arial" w:eastAsia="Arial" w:hAnsi="Arial"/>
                <w:sz w:val="16"/>
                <w:szCs w:val="16"/>
                <w:color w:val="auto"/>
              </w:rPr>
              <w:t>(8.1 )%</w:t>
            </w:r>
          </w:p>
        </w:tc>
        <w:tc>
          <w:tcPr>
            <w:tcW w:w="1380" w:type="dxa"/>
            <w:vAlign w:val="bottom"/>
            <w:gridSpan w:val="2"/>
          </w:tcPr>
          <w:p>
            <w:pPr>
              <w:jc w:val="right"/>
              <w:ind w:right="39"/>
              <w:spacing w:after="0"/>
              <w:rPr>
                <w:sz w:val="20"/>
                <w:szCs w:val="20"/>
                <w:color w:val="auto"/>
              </w:rPr>
            </w:pPr>
            <w:r>
              <w:rPr>
                <w:rFonts w:ascii="Arial" w:cs="Arial" w:eastAsia="Arial" w:hAnsi="Arial"/>
                <w:sz w:val="16"/>
                <w:szCs w:val="16"/>
                <w:color w:val="auto"/>
              </w:rPr>
              <w:t>18.6 %</w:t>
            </w:r>
          </w:p>
        </w:tc>
        <w:tc>
          <w:tcPr>
            <w:tcW w:w="100" w:type="dxa"/>
            <w:vAlign w:val="bottom"/>
          </w:tcPr>
          <w:p>
            <w:pPr>
              <w:spacing w:after="0"/>
              <w:rPr>
                <w:sz w:val="16"/>
                <w:szCs w:val="16"/>
                <w:color w:val="auto"/>
              </w:rPr>
            </w:pPr>
          </w:p>
        </w:tc>
        <w:tc>
          <w:tcPr>
            <w:tcW w:w="156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200" w:type="dxa"/>
            <w:vAlign w:val="bottom"/>
            <w:gridSpan w:val="2"/>
          </w:tcPr>
          <w:p>
            <w:pPr>
              <w:jc w:val="right"/>
              <w:ind w:right="39"/>
              <w:spacing w:after="0"/>
              <w:rPr>
                <w:sz w:val="20"/>
                <w:szCs w:val="20"/>
                <w:color w:val="auto"/>
              </w:rPr>
            </w:pPr>
            <w:r>
              <w:rPr>
                <w:rFonts w:ascii="Arial" w:cs="Arial" w:eastAsia="Arial" w:hAnsi="Arial"/>
                <w:sz w:val="16"/>
                <w:szCs w:val="16"/>
                <w:color w:val="auto"/>
              </w:rPr>
              <w:t>18.6 %</w:t>
            </w:r>
          </w:p>
        </w:tc>
        <w:tc>
          <w:tcPr>
            <w:tcW w:w="0" w:type="dxa"/>
            <w:vAlign w:val="bottom"/>
          </w:tcPr>
          <w:p>
            <w:pPr>
              <w:spacing w:after="0"/>
              <w:rPr>
                <w:sz w:val="1"/>
                <w:szCs w:val="1"/>
                <w:color w:val="auto"/>
              </w:rPr>
            </w:pPr>
          </w:p>
        </w:tc>
      </w:tr>
      <w:tr>
        <w:trPr>
          <w:trHeight w:val="189"/>
        </w:trPr>
        <w:tc>
          <w:tcPr>
            <w:tcW w:w="306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6"/>
                <w:szCs w:val="16"/>
                <w:color w:val="auto"/>
              </w:rPr>
              <w:t>Other Southern Europe</w:t>
            </w:r>
          </w:p>
        </w:tc>
        <w:tc>
          <w:tcPr>
            <w:tcW w:w="114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556.5</w:t>
            </w:r>
          </w:p>
        </w:tc>
        <w:tc>
          <w:tcPr>
            <w:tcW w:w="144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6"/>
                <w:szCs w:val="16"/>
                <w:color w:val="auto"/>
              </w:rPr>
              <w:t>(2.1 )%</w:t>
            </w:r>
          </w:p>
        </w:tc>
        <w:tc>
          <w:tcPr>
            <w:tcW w:w="1360" w:type="dxa"/>
            <w:vAlign w:val="bottom"/>
            <w:tcBorders>
              <w:bottom w:val="single" w:sz="8" w:color="CFF0FC"/>
            </w:tcBorders>
            <w:gridSpan w:val="2"/>
            <w:shd w:val="clear" w:color="auto" w:fill="CFF0FC"/>
          </w:tcPr>
          <w:p>
            <w:pPr>
              <w:jc w:val="right"/>
              <w:ind w:right="39"/>
              <w:spacing w:after="0"/>
              <w:rPr>
                <w:sz w:val="20"/>
                <w:szCs w:val="20"/>
                <w:color w:val="auto"/>
              </w:rPr>
            </w:pPr>
            <w:r>
              <w:rPr>
                <w:rFonts w:ascii="Arial" w:cs="Arial" w:eastAsia="Arial" w:hAnsi="Arial"/>
                <w:sz w:val="16"/>
                <w:szCs w:val="16"/>
                <w:color w:val="auto"/>
              </w:rPr>
              <w:t>(4.8 )%</w:t>
            </w:r>
          </w:p>
        </w:tc>
        <w:tc>
          <w:tcPr>
            <w:tcW w:w="1380" w:type="dxa"/>
            <w:vAlign w:val="bottom"/>
            <w:tcBorders>
              <w:bottom w:val="single" w:sz="8" w:color="CFF0FC"/>
            </w:tcBorders>
            <w:gridSpan w:val="2"/>
            <w:shd w:val="clear" w:color="auto" w:fill="CFF0FC"/>
          </w:tcPr>
          <w:p>
            <w:pPr>
              <w:jc w:val="right"/>
              <w:ind w:right="39"/>
              <w:spacing w:after="0"/>
              <w:rPr>
                <w:sz w:val="20"/>
                <w:szCs w:val="20"/>
                <w:color w:val="auto"/>
              </w:rPr>
            </w:pPr>
            <w:r>
              <w:rPr>
                <w:rFonts w:ascii="Arial" w:cs="Arial" w:eastAsia="Arial" w:hAnsi="Arial"/>
                <w:sz w:val="16"/>
                <w:szCs w:val="16"/>
                <w:color w:val="auto"/>
              </w:rPr>
              <w:t>2.7 %</w:t>
            </w:r>
          </w:p>
        </w:tc>
        <w:tc>
          <w:tcPr>
            <w:tcW w:w="100" w:type="dxa"/>
            <w:vAlign w:val="bottom"/>
            <w:tcBorders>
              <w:bottom w:val="single" w:sz="8" w:color="CFF0FC"/>
            </w:tcBorders>
            <w:shd w:val="clear" w:color="auto" w:fill="CFF0FC"/>
          </w:tcPr>
          <w:p>
            <w:pPr>
              <w:spacing w:after="0"/>
              <w:rPr>
                <w:sz w:val="16"/>
                <w:szCs w:val="16"/>
                <w:color w:val="auto"/>
              </w:rPr>
            </w:pPr>
          </w:p>
        </w:tc>
        <w:tc>
          <w:tcPr>
            <w:tcW w:w="1560" w:type="dxa"/>
            <w:vAlign w:val="bottom"/>
            <w:tcBorders>
              <w:bottom w:val="single" w:sz="8" w:color="CFF0FC"/>
            </w:tcBorders>
            <w:shd w:val="clear" w:color="auto" w:fill="CFF0FC"/>
          </w:tcPr>
          <w:p>
            <w:pPr>
              <w:jc w:val="right"/>
              <w:ind w:right="19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FF0FC"/>
            </w:tcBorders>
            <w:gridSpan w:val="2"/>
            <w:shd w:val="clear" w:color="auto" w:fill="CFF0FC"/>
          </w:tcPr>
          <w:p>
            <w:pPr>
              <w:jc w:val="right"/>
              <w:ind w:right="39"/>
              <w:spacing w:after="0"/>
              <w:rPr>
                <w:sz w:val="20"/>
                <w:szCs w:val="20"/>
                <w:color w:val="auto"/>
              </w:rPr>
            </w:pPr>
            <w:r>
              <w:rPr>
                <w:rFonts w:ascii="Arial" w:cs="Arial" w:eastAsia="Arial" w:hAnsi="Arial"/>
                <w:sz w:val="16"/>
                <w:szCs w:val="16"/>
                <w:color w:val="auto"/>
              </w:rPr>
              <w:t>2.7 %</w:t>
            </w:r>
          </w:p>
        </w:tc>
        <w:tc>
          <w:tcPr>
            <w:tcW w:w="0" w:type="dxa"/>
            <w:vAlign w:val="bottom"/>
          </w:tcPr>
          <w:p>
            <w:pPr>
              <w:spacing w:after="0"/>
              <w:rPr>
                <w:sz w:val="1"/>
                <w:szCs w:val="1"/>
                <w:color w:val="auto"/>
              </w:rPr>
            </w:pPr>
          </w:p>
        </w:tc>
      </w:tr>
      <w:tr>
        <w:trPr>
          <w:trHeight w:val="183"/>
        </w:trPr>
        <w:tc>
          <w:tcPr>
            <w:tcW w:w="3060" w:type="dxa"/>
            <w:vAlign w:val="bottom"/>
          </w:tcPr>
          <w:p>
            <w:pPr>
              <w:spacing w:after="0"/>
              <w:rPr>
                <w:sz w:val="15"/>
                <w:szCs w:val="15"/>
                <w:color w:val="auto"/>
              </w:rPr>
            </w:pPr>
          </w:p>
        </w:tc>
        <w:tc>
          <w:tcPr>
            <w:tcW w:w="1140" w:type="dxa"/>
            <w:vAlign w:val="bottom"/>
            <w:tcBorders>
              <w:bottom w:val="single" w:sz="8" w:color="auto"/>
            </w:tcBorders>
          </w:tcPr>
          <w:p>
            <w:pPr>
              <w:jc w:val="right"/>
              <w:ind w:right="39"/>
              <w:spacing w:after="0" w:line="183" w:lineRule="exact"/>
              <w:rPr>
                <w:sz w:val="20"/>
                <w:szCs w:val="20"/>
                <w:color w:val="auto"/>
              </w:rPr>
            </w:pPr>
            <w:r>
              <w:rPr>
                <w:rFonts w:ascii="Arial" w:cs="Arial" w:eastAsia="Arial" w:hAnsi="Arial"/>
                <w:sz w:val="16"/>
                <w:szCs w:val="16"/>
                <w:color w:val="auto"/>
              </w:rPr>
              <w:t>2,193.9</w:t>
            </w:r>
          </w:p>
        </w:tc>
        <w:tc>
          <w:tcPr>
            <w:tcW w:w="1440" w:type="dxa"/>
            <w:vAlign w:val="bottom"/>
            <w:gridSpan w:val="2"/>
          </w:tcPr>
          <w:p>
            <w:pPr>
              <w:jc w:val="right"/>
              <w:ind w:right="59"/>
              <w:spacing w:after="0" w:line="183" w:lineRule="exact"/>
              <w:rPr>
                <w:sz w:val="20"/>
                <w:szCs w:val="20"/>
                <w:color w:val="auto"/>
              </w:rPr>
            </w:pPr>
            <w:r>
              <w:rPr>
                <w:rFonts w:ascii="Arial" w:cs="Arial" w:eastAsia="Arial" w:hAnsi="Arial"/>
                <w:sz w:val="16"/>
                <w:szCs w:val="16"/>
                <w:color w:val="auto"/>
              </w:rPr>
              <w:t>1.6 %</w:t>
            </w:r>
          </w:p>
        </w:tc>
        <w:tc>
          <w:tcPr>
            <w:tcW w:w="1360" w:type="dxa"/>
            <w:vAlign w:val="bottom"/>
            <w:gridSpan w:val="2"/>
          </w:tcPr>
          <w:p>
            <w:pPr>
              <w:jc w:val="right"/>
              <w:ind w:right="39"/>
              <w:spacing w:after="0" w:line="183" w:lineRule="exact"/>
              <w:rPr>
                <w:sz w:val="20"/>
                <w:szCs w:val="20"/>
                <w:color w:val="auto"/>
              </w:rPr>
            </w:pPr>
            <w:r>
              <w:rPr>
                <w:rFonts w:ascii="Arial" w:cs="Arial" w:eastAsia="Arial" w:hAnsi="Arial"/>
                <w:sz w:val="16"/>
                <w:szCs w:val="16"/>
                <w:color w:val="auto"/>
              </w:rPr>
              <w:t>(6.8 )%</w:t>
            </w:r>
          </w:p>
        </w:tc>
        <w:tc>
          <w:tcPr>
            <w:tcW w:w="1380" w:type="dxa"/>
            <w:vAlign w:val="bottom"/>
            <w:gridSpan w:val="2"/>
          </w:tcPr>
          <w:p>
            <w:pPr>
              <w:jc w:val="right"/>
              <w:ind w:right="39"/>
              <w:spacing w:after="0" w:line="183" w:lineRule="exact"/>
              <w:rPr>
                <w:sz w:val="20"/>
                <w:szCs w:val="20"/>
                <w:color w:val="auto"/>
              </w:rPr>
            </w:pPr>
            <w:r>
              <w:rPr>
                <w:rFonts w:ascii="Arial" w:cs="Arial" w:eastAsia="Arial" w:hAnsi="Arial"/>
                <w:sz w:val="16"/>
                <w:szCs w:val="16"/>
                <w:color w:val="auto"/>
              </w:rPr>
              <w:t>8.4 %</w:t>
            </w:r>
          </w:p>
        </w:tc>
        <w:tc>
          <w:tcPr>
            <w:tcW w:w="100" w:type="dxa"/>
            <w:vAlign w:val="bottom"/>
          </w:tcPr>
          <w:p>
            <w:pPr>
              <w:spacing w:after="0"/>
              <w:rPr>
                <w:sz w:val="15"/>
                <w:szCs w:val="15"/>
                <w:color w:val="auto"/>
              </w:rPr>
            </w:pPr>
          </w:p>
        </w:tc>
        <w:tc>
          <w:tcPr>
            <w:tcW w:w="1560" w:type="dxa"/>
            <w:vAlign w:val="bottom"/>
          </w:tcPr>
          <w:p>
            <w:pPr>
              <w:jc w:val="right"/>
              <w:ind w:right="199"/>
              <w:spacing w:after="0" w:line="183" w:lineRule="exact"/>
              <w:rPr>
                <w:sz w:val="20"/>
                <w:szCs w:val="20"/>
                <w:color w:val="auto"/>
              </w:rPr>
            </w:pPr>
            <w:r>
              <w:rPr>
                <w:rFonts w:ascii="Arial" w:cs="Arial" w:eastAsia="Arial" w:hAnsi="Arial"/>
                <w:sz w:val="16"/>
                <w:szCs w:val="16"/>
                <w:color w:val="auto"/>
              </w:rPr>
              <w:t>—</w:t>
            </w:r>
          </w:p>
        </w:tc>
        <w:tc>
          <w:tcPr>
            <w:tcW w:w="1200" w:type="dxa"/>
            <w:vAlign w:val="bottom"/>
            <w:gridSpan w:val="2"/>
          </w:tcPr>
          <w:p>
            <w:pPr>
              <w:jc w:val="right"/>
              <w:ind w:right="39"/>
              <w:spacing w:after="0" w:line="183" w:lineRule="exact"/>
              <w:rPr>
                <w:sz w:val="20"/>
                <w:szCs w:val="20"/>
                <w:color w:val="auto"/>
              </w:rPr>
            </w:pPr>
            <w:r>
              <w:rPr>
                <w:rFonts w:ascii="Arial" w:cs="Arial" w:eastAsia="Arial" w:hAnsi="Arial"/>
                <w:sz w:val="16"/>
                <w:szCs w:val="16"/>
                <w:color w:val="auto"/>
              </w:rPr>
              <w:t>8.4 %</w:t>
            </w:r>
          </w:p>
        </w:tc>
        <w:tc>
          <w:tcPr>
            <w:tcW w:w="0" w:type="dxa"/>
            <w:vAlign w:val="bottom"/>
          </w:tcPr>
          <w:p>
            <w:pPr>
              <w:spacing w:after="0"/>
              <w:rPr>
                <w:sz w:val="1"/>
                <w:szCs w:val="1"/>
                <w:color w:val="auto"/>
              </w:rPr>
            </w:pPr>
          </w:p>
        </w:tc>
      </w:tr>
      <w:tr>
        <w:trPr>
          <w:trHeight w:val="183"/>
        </w:trPr>
        <w:tc>
          <w:tcPr>
            <w:tcW w:w="3060" w:type="dxa"/>
            <w:vAlign w:val="bottom"/>
            <w:shd w:val="clear" w:color="auto" w:fill="CFF0FC"/>
          </w:tcPr>
          <w:p>
            <w:pPr>
              <w:ind w:left="20"/>
              <w:spacing w:after="0" w:line="183" w:lineRule="exact"/>
              <w:rPr>
                <w:sz w:val="20"/>
                <w:szCs w:val="20"/>
                <w:color w:val="auto"/>
              </w:rPr>
            </w:pPr>
            <w:r>
              <w:rPr>
                <w:rFonts w:ascii="Arial" w:cs="Arial" w:eastAsia="Arial" w:hAnsi="Arial"/>
                <w:sz w:val="16"/>
                <w:szCs w:val="16"/>
                <w:color w:val="auto"/>
              </w:rPr>
              <w:t>Northern Europe</w:t>
            </w:r>
          </w:p>
        </w:tc>
        <w:tc>
          <w:tcPr>
            <w:tcW w:w="1140" w:type="dxa"/>
            <w:vAlign w:val="bottom"/>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1,094.5</w:t>
            </w:r>
          </w:p>
        </w:tc>
        <w:tc>
          <w:tcPr>
            <w:tcW w:w="1440" w:type="dxa"/>
            <w:vAlign w:val="bottom"/>
            <w:gridSpan w:val="2"/>
            <w:shd w:val="clear" w:color="auto" w:fill="CFF0FC"/>
          </w:tcPr>
          <w:p>
            <w:pPr>
              <w:jc w:val="right"/>
              <w:spacing w:after="0" w:line="183" w:lineRule="exact"/>
              <w:rPr>
                <w:sz w:val="20"/>
                <w:szCs w:val="20"/>
                <w:color w:val="auto"/>
              </w:rPr>
            </w:pPr>
            <w:r>
              <w:rPr>
                <w:rFonts w:ascii="Arial" w:cs="Arial" w:eastAsia="Arial" w:hAnsi="Arial"/>
                <w:sz w:val="16"/>
                <w:szCs w:val="16"/>
                <w:color w:val="auto"/>
              </w:rPr>
              <w:t>(3.5 )%</w:t>
            </w:r>
          </w:p>
        </w:tc>
        <w:tc>
          <w:tcPr>
            <w:tcW w:w="1360" w:type="dxa"/>
            <w:vAlign w:val="bottom"/>
            <w:gridSpan w:val="2"/>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(5.5 )%</w:t>
            </w:r>
          </w:p>
        </w:tc>
        <w:tc>
          <w:tcPr>
            <w:tcW w:w="1380" w:type="dxa"/>
            <w:vAlign w:val="bottom"/>
            <w:gridSpan w:val="2"/>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2.0 %</w:t>
            </w:r>
          </w:p>
        </w:tc>
        <w:tc>
          <w:tcPr>
            <w:tcW w:w="1660" w:type="dxa"/>
            <w:vAlign w:val="bottom"/>
            <w:gridSpan w:val="2"/>
            <w:shd w:val="clear" w:color="auto" w:fill="CFF0FC"/>
          </w:tcPr>
          <w:p>
            <w:pPr>
              <w:jc w:val="right"/>
              <w:spacing w:after="0" w:line="183" w:lineRule="exact"/>
              <w:rPr>
                <w:sz w:val="20"/>
                <w:szCs w:val="20"/>
                <w:color w:val="auto"/>
              </w:rPr>
            </w:pPr>
            <w:r>
              <w:rPr>
                <w:rFonts w:ascii="Arial" w:cs="Arial" w:eastAsia="Arial" w:hAnsi="Arial"/>
                <w:sz w:val="16"/>
                <w:szCs w:val="16"/>
                <w:color w:val="auto"/>
              </w:rPr>
              <w:t>(1.8 )%</w:t>
            </w:r>
          </w:p>
        </w:tc>
        <w:tc>
          <w:tcPr>
            <w:tcW w:w="1200" w:type="dxa"/>
            <w:vAlign w:val="bottom"/>
            <w:gridSpan w:val="2"/>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3.8 %</w:t>
            </w:r>
          </w:p>
        </w:tc>
        <w:tc>
          <w:tcPr>
            <w:tcW w:w="0" w:type="dxa"/>
            <w:vAlign w:val="bottom"/>
          </w:tcPr>
          <w:p>
            <w:pPr>
              <w:spacing w:after="0"/>
              <w:rPr>
                <w:sz w:val="1"/>
                <w:szCs w:val="1"/>
                <w:color w:val="auto"/>
              </w:rPr>
            </w:pPr>
          </w:p>
        </w:tc>
      </w:tr>
      <w:tr>
        <w:trPr>
          <w:trHeight w:val="189"/>
        </w:trPr>
        <w:tc>
          <w:tcPr>
            <w:tcW w:w="3060" w:type="dxa"/>
            <w:vAlign w:val="bottom"/>
          </w:tcPr>
          <w:p>
            <w:pPr>
              <w:ind w:left="20"/>
              <w:spacing w:after="0"/>
              <w:rPr>
                <w:sz w:val="20"/>
                <w:szCs w:val="20"/>
                <w:color w:val="auto"/>
              </w:rPr>
            </w:pPr>
            <w:r>
              <w:rPr>
                <w:rFonts w:ascii="Arial" w:cs="Arial" w:eastAsia="Arial" w:hAnsi="Arial"/>
                <w:sz w:val="16"/>
                <w:szCs w:val="16"/>
                <w:color w:val="auto"/>
              </w:rPr>
              <w:t>APME</w:t>
            </w:r>
          </w:p>
        </w:tc>
        <w:tc>
          <w:tcPr>
            <w:tcW w:w="11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618.2</w:t>
            </w:r>
          </w:p>
        </w:tc>
        <w:tc>
          <w:tcPr>
            <w:tcW w:w="1440" w:type="dxa"/>
            <w:vAlign w:val="bottom"/>
            <w:gridSpan w:val="2"/>
          </w:tcPr>
          <w:p>
            <w:pPr>
              <w:jc w:val="right"/>
              <w:spacing w:after="0"/>
              <w:rPr>
                <w:sz w:val="20"/>
                <w:szCs w:val="20"/>
                <w:color w:val="auto"/>
              </w:rPr>
            </w:pPr>
            <w:r>
              <w:rPr>
                <w:rFonts w:ascii="Arial" w:cs="Arial" w:eastAsia="Arial" w:hAnsi="Arial"/>
                <w:sz w:val="16"/>
                <w:szCs w:val="16"/>
                <w:color w:val="auto"/>
              </w:rPr>
              <w:t>(1.5 )%</w:t>
            </w:r>
          </w:p>
        </w:tc>
        <w:tc>
          <w:tcPr>
            <w:tcW w:w="1360" w:type="dxa"/>
            <w:vAlign w:val="bottom"/>
            <w:gridSpan w:val="2"/>
          </w:tcPr>
          <w:p>
            <w:pPr>
              <w:jc w:val="right"/>
              <w:ind w:right="39"/>
              <w:spacing w:after="0"/>
              <w:rPr>
                <w:sz w:val="20"/>
                <w:szCs w:val="20"/>
                <w:color w:val="auto"/>
              </w:rPr>
            </w:pPr>
            <w:r>
              <w:rPr>
                <w:rFonts w:ascii="Arial" w:cs="Arial" w:eastAsia="Arial" w:hAnsi="Arial"/>
                <w:sz w:val="16"/>
                <w:szCs w:val="16"/>
                <w:color w:val="auto"/>
              </w:rPr>
              <w:t>(7.5 )%</w:t>
            </w:r>
          </w:p>
        </w:tc>
        <w:tc>
          <w:tcPr>
            <w:tcW w:w="1380" w:type="dxa"/>
            <w:vAlign w:val="bottom"/>
            <w:gridSpan w:val="2"/>
          </w:tcPr>
          <w:p>
            <w:pPr>
              <w:jc w:val="right"/>
              <w:ind w:right="39"/>
              <w:spacing w:after="0"/>
              <w:rPr>
                <w:sz w:val="20"/>
                <w:szCs w:val="20"/>
                <w:color w:val="auto"/>
              </w:rPr>
            </w:pPr>
            <w:r>
              <w:rPr>
                <w:rFonts w:ascii="Arial" w:cs="Arial" w:eastAsia="Arial" w:hAnsi="Arial"/>
                <w:sz w:val="16"/>
                <w:szCs w:val="16"/>
                <w:color w:val="auto"/>
              </w:rPr>
              <w:t>6.0 %</w:t>
            </w:r>
          </w:p>
        </w:tc>
        <w:tc>
          <w:tcPr>
            <w:tcW w:w="100" w:type="dxa"/>
            <w:vAlign w:val="bottom"/>
          </w:tcPr>
          <w:p>
            <w:pPr>
              <w:spacing w:after="0"/>
              <w:rPr>
                <w:sz w:val="16"/>
                <w:szCs w:val="16"/>
                <w:color w:val="auto"/>
              </w:rPr>
            </w:pPr>
          </w:p>
        </w:tc>
        <w:tc>
          <w:tcPr>
            <w:tcW w:w="156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200" w:type="dxa"/>
            <w:vAlign w:val="bottom"/>
            <w:gridSpan w:val="2"/>
          </w:tcPr>
          <w:p>
            <w:pPr>
              <w:jc w:val="right"/>
              <w:ind w:right="39"/>
              <w:spacing w:after="0"/>
              <w:rPr>
                <w:sz w:val="20"/>
                <w:szCs w:val="20"/>
                <w:color w:val="auto"/>
              </w:rPr>
            </w:pPr>
            <w:r>
              <w:rPr>
                <w:rFonts w:ascii="Arial" w:cs="Arial" w:eastAsia="Arial" w:hAnsi="Arial"/>
                <w:sz w:val="16"/>
                <w:szCs w:val="16"/>
                <w:color w:val="auto"/>
              </w:rPr>
              <w:t>6.0 %</w:t>
            </w:r>
          </w:p>
        </w:tc>
        <w:tc>
          <w:tcPr>
            <w:tcW w:w="0" w:type="dxa"/>
            <w:vAlign w:val="bottom"/>
          </w:tcPr>
          <w:p>
            <w:pPr>
              <w:spacing w:after="0"/>
              <w:rPr>
                <w:sz w:val="1"/>
                <w:szCs w:val="1"/>
                <w:color w:val="auto"/>
              </w:rPr>
            </w:pPr>
          </w:p>
        </w:tc>
      </w:tr>
      <w:tr>
        <w:trPr>
          <w:trHeight w:val="183"/>
        </w:trPr>
        <w:tc>
          <w:tcPr>
            <w:tcW w:w="3060" w:type="dxa"/>
            <w:vAlign w:val="bottom"/>
            <w:tcBorders>
              <w:bottom w:val="single" w:sz="8" w:color="CFF0FC"/>
            </w:tcBorders>
            <w:shd w:val="clear" w:color="auto" w:fill="CFF0FC"/>
          </w:tcPr>
          <w:p>
            <w:pPr>
              <w:spacing w:after="0"/>
              <w:rPr>
                <w:sz w:val="15"/>
                <w:szCs w:val="15"/>
                <w:color w:val="auto"/>
              </w:rPr>
            </w:pPr>
          </w:p>
        </w:tc>
        <w:tc>
          <w:tcPr>
            <w:tcW w:w="1140" w:type="dxa"/>
            <w:vAlign w:val="bottom"/>
            <w:tcBorders>
              <w:bottom w:val="single" w:sz="8" w:color="auto"/>
            </w:tcBorders>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5,157.8</w:t>
            </w:r>
          </w:p>
        </w:tc>
        <w:tc>
          <w:tcPr>
            <w:tcW w:w="120" w:type="dxa"/>
            <w:vAlign w:val="bottom"/>
            <w:tcBorders>
              <w:bottom w:val="single" w:sz="8" w:color="CFF0FC"/>
            </w:tcBorders>
            <w:shd w:val="clear" w:color="auto" w:fill="CFF0FC"/>
          </w:tcPr>
          <w:p>
            <w:pPr>
              <w:spacing w:after="0"/>
              <w:rPr>
                <w:sz w:val="15"/>
                <w:szCs w:val="15"/>
                <w:color w:val="auto"/>
              </w:rPr>
            </w:pPr>
          </w:p>
        </w:tc>
        <w:tc>
          <w:tcPr>
            <w:tcW w:w="132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124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128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156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1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060" w:type="dxa"/>
            <w:vAlign w:val="bottom"/>
          </w:tcPr>
          <w:p>
            <w:pPr>
              <w:ind w:left="20"/>
              <w:spacing w:after="0" w:line="183" w:lineRule="exact"/>
              <w:rPr>
                <w:sz w:val="20"/>
                <w:szCs w:val="20"/>
                <w:color w:val="auto"/>
              </w:rPr>
            </w:pPr>
            <w:r>
              <w:rPr>
                <w:rFonts w:ascii="Arial" w:cs="Arial" w:eastAsia="Arial" w:hAnsi="Arial"/>
                <w:sz w:val="16"/>
                <w:szCs w:val="16"/>
                <w:color w:val="auto"/>
              </w:rPr>
              <w:t>Intercompany Eliminations</w:t>
            </w:r>
          </w:p>
        </w:tc>
        <w:tc>
          <w:tcPr>
            <w:tcW w:w="11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(14.5 )</w:t>
            </w:r>
          </w:p>
        </w:tc>
        <w:tc>
          <w:tcPr>
            <w:tcW w:w="1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3060" w:type="dxa"/>
            <w:vAlign w:val="bottom"/>
            <w:tcBorders>
              <w:bottom w:val="single" w:sz="8" w:color="CFF0FC"/>
            </w:tcBorders>
            <w:shd w:val="clear" w:color="auto" w:fill="CFF0FC"/>
          </w:tcPr>
          <w:p>
            <w:pPr>
              <w:ind w:left="20"/>
              <w:spacing w:after="0" w:line="169" w:lineRule="exact"/>
              <w:rPr>
                <w:sz w:val="20"/>
                <w:szCs w:val="20"/>
                <w:color w:val="auto"/>
              </w:rPr>
            </w:pPr>
            <w:r>
              <w:rPr>
                <w:rFonts w:ascii="Arial" w:cs="Arial" w:eastAsia="Arial" w:hAnsi="Arial"/>
                <w:sz w:val="16"/>
                <w:szCs w:val="16"/>
                <w:color w:val="auto"/>
              </w:rPr>
              <w:t>Consolidated</w:t>
            </w:r>
          </w:p>
        </w:tc>
        <w:tc>
          <w:tcPr>
            <w:tcW w:w="1140" w:type="dxa"/>
            <w:vAlign w:val="bottom"/>
            <w:tcBorders>
              <w:bottom w:val="single" w:sz="8" w:color="auto"/>
            </w:tcBorders>
            <w:shd w:val="clear" w:color="auto" w:fill="CFF0FC"/>
          </w:tcPr>
          <w:p>
            <w:pPr>
              <w:jc w:val="right"/>
              <w:ind w:right="39"/>
              <w:spacing w:after="0" w:line="169" w:lineRule="exact"/>
              <w:rPr>
                <w:sz w:val="20"/>
                <w:szCs w:val="20"/>
                <w:color w:val="auto"/>
              </w:rPr>
            </w:pPr>
            <w:r>
              <w:rPr>
                <w:rFonts w:ascii="Arial" w:cs="Arial" w:eastAsia="Arial" w:hAnsi="Arial"/>
                <w:sz w:val="16"/>
                <w:szCs w:val="16"/>
                <w:color w:val="auto"/>
              </w:rPr>
              <w:t>5,143.3</w:t>
            </w:r>
          </w:p>
        </w:tc>
        <w:tc>
          <w:tcPr>
            <w:tcW w:w="1440" w:type="dxa"/>
            <w:vAlign w:val="bottom"/>
            <w:tcBorders>
              <w:bottom w:val="single" w:sz="8" w:color="CFF0FC"/>
            </w:tcBorders>
            <w:gridSpan w:val="2"/>
            <w:shd w:val="clear" w:color="auto" w:fill="CFF0FC"/>
          </w:tcPr>
          <w:p>
            <w:pPr>
              <w:jc w:val="right"/>
              <w:ind w:right="59"/>
              <w:spacing w:after="0" w:line="169" w:lineRule="exact"/>
              <w:rPr>
                <w:sz w:val="20"/>
                <w:szCs w:val="20"/>
                <w:color w:val="auto"/>
              </w:rPr>
            </w:pPr>
            <w:r>
              <w:rPr>
                <w:rFonts w:ascii="Arial" w:cs="Arial" w:eastAsia="Arial" w:hAnsi="Arial"/>
                <w:sz w:val="16"/>
                <w:szCs w:val="16"/>
                <w:color w:val="auto"/>
              </w:rPr>
              <w:t>4.4 %</w:t>
            </w:r>
          </w:p>
        </w:tc>
        <w:tc>
          <w:tcPr>
            <w:tcW w:w="1360" w:type="dxa"/>
            <w:vAlign w:val="bottom"/>
            <w:tcBorders>
              <w:bottom w:val="single" w:sz="8" w:color="CFF0FC"/>
            </w:tcBorders>
            <w:gridSpan w:val="2"/>
            <w:shd w:val="clear" w:color="auto" w:fill="CFF0FC"/>
          </w:tcPr>
          <w:p>
            <w:pPr>
              <w:jc w:val="right"/>
              <w:ind w:right="39"/>
              <w:spacing w:after="0" w:line="169" w:lineRule="exact"/>
              <w:rPr>
                <w:sz w:val="20"/>
                <w:szCs w:val="20"/>
                <w:color w:val="auto"/>
              </w:rPr>
            </w:pPr>
            <w:r>
              <w:rPr>
                <w:rFonts w:ascii="Arial" w:cs="Arial" w:eastAsia="Arial" w:hAnsi="Arial"/>
                <w:sz w:val="16"/>
                <w:szCs w:val="16"/>
                <w:color w:val="auto"/>
              </w:rPr>
              <w:t>(5.4 )%</w:t>
            </w:r>
          </w:p>
        </w:tc>
        <w:tc>
          <w:tcPr>
            <w:tcW w:w="1380" w:type="dxa"/>
            <w:vAlign w:val="bottom"/>
            <w:tcBorders>
              <w:bottom w:val="single" w:sz="8" w:color="CFF0FC"/>
            </w:tcBorders>
            <w:gridSpan w:val="2"/>
            <w:shd w:val="clear" w:color="auto" w:fill="CFF0FC"/>
          </w:tcPr>
          <w:p>
            <w:pPr>
              <w:jc w:val="right"/>
              <w:ind w:right="39"/>
              <w:spacing w:after="0" w:line="169" w:lineRule="exact"/>
              <w:rPr>
                <w:sz w:val="20"/>
                <w:szCs w:val="20"/>
                <w:color w:val="auto"/>
              </w:rPr>
            </w:pPr>
            <w:r>
              <w:rPr>
                <w:rFonts w:ascii="Arial" w:cs="Arial" w:eastAsia="Arial" w:hAnsi="Arial"/>
                <w:sz w:val="16"/>
                <w:szCs w:val="16"/>
                <w:color w:val="auto"/>
              </w:rPr>
              <w:t>9.8 %</w:t>
            </w:r>
          </w:p>
        </w:tc>
        <w:tc>
          <w:tcPr>
            <w:tcW w:w="1660" w:type="dxa"/>
            <w:vAlign w:val="bottom"/>
            <w:tcBorders>
              <w:bottom w:val="single" w:sz="8" w:color="CFF0FC"/>
            </w:tcBorders>
            <w:gridSpan w:val="2"/>
            <w:shd w:val="clear" w:color="auto" w:fill="CFF0FC"/>
          </w:tcPr>
          <w:p>
            <w:pPr>
              <w:jc w:val="right"/>
              <w:ind w:right="39"/>
              <w:spacing w:after="0" w:line="169" w:lineRule="exact"/>
              <w:rPr>
                <w:sz w:val="20"/>
                <w:szCs w:val="20"/>
                <w:color w:val="auto"/>
              </w:rPr>
            </w:pPr>
            <w:r>
              <w:rPr>
                <w:rFonts w:ascii="Arial" w:cs="Arial" w:eastAsia="Arial" w:hAnsi="Arial"/>
                <w:sz w:val="16"/>
                <w:szCs w:val="16"/>
                <w:color w:val="auto"/>
              </w:rPr>
              <w:t>3.3 %</w:t>
            </w:r>
          </w:p>
        </w:tc>
        <w:tc>
          <w:tcPr>
            <w:tcW w:w="1200" w:type="dxa"/>
            <w:vAlign w:val="bottom"/>
            <w:tcBorders>
              <w:bottom w:val="single" w:sz="8" w:color="CFF0FC"/>
            </w:tcBorders>
            <w:gridSpan w:val="2"/>
            <w:shd w:val="clear" w:color="auto" w:fill="CFF0FC"/>
          </w:tcPr>
          <w:p>
            <w:pPr>
              <w:jc w:val="right"/>
              <w:ind w:right="39"/>
              <w:spacing w:after="0" w:line="169" w:lineRule="exact"/>
              <w:rPr>
                <w:sz w:val="20"/>
                <w:szCs w:val="20"/>
                <w:color w:val="auto"/>
              </w:rPr>
            </w:pPr>
            <w:r>
              <w:rPr>
                <w:rFonts w:ascii="Arial" w:cs="Arial" w:eastAsia="Arial" w:hAnsi="Arial"/>
                <w:sz w:val="16"/>
                <w:szCs w:val="16"/>
                <w:color w:val="auto"/>
              </w:rPr>
              <w:t>6.5 %</w:t>
            </w:r>
          </w:p>
        </w:tc>
        <w:tc>
          <w:tcPr>
            <w:tcW w:w="0" w:type="dxa"/>
            <w:vAlign w:val="bottom"/>
          </w:tcPr>
          <w:p>
            <w:pPr>
              <w:spacing w:after="0"/>
              <w:rPr>
                <w:sz w:val="1"/>
                <w:szCs w:val="1"/>
                <w:color w:val="auto"/>
              </w:rPr>
            </w:pPr>
          </w:p>
        </w:tc>
      </w:tr>
      <w:tr>
        <w:trPr>
          <w:trHeight w:val="170"/>
        </w:trPr>
        <w:tc>
          <w:tcPr>
            <w:tcW w:w="3060" w:type="dxa"/>
            <w:vAlign w:val="bottom"/>
          </w:tcPr>
          <w:p>
            <w:pPr>
              <w:ind w:left="20"/>
              <w:spacing w:after="0" w:line="170" w:lineRule="exact"/>
              <w:rPr>
                <w:sz w:val="20"/>
                <w:szCs w:val="20"/>
                <w:color w:val="auto"/>
              </w:rPr>
            </w:pPr>
            <w:r>
              <w:rPr>
                <w:rFonts w:ascii="Arial" w:cs="Arial" w:eastAsia="Arial" w:hAnsi="Arial"/>
                <w:sz w:val="16"/>
                <w:szCs w:val="16"/>
                <w:color w:val="auto"/>
              </w:rPr>
              <w:t>Gross Profit</w:t>
            </w:r>
          </w:p>
        </w:tc>
        <w:tc>
          <w:tcPr>
            <w:tcW w:w="1140" w:type="dxa"/>
            <w:vAlign w:val="bottom"/>
          </w:tcPr>
          <w:p>
            <w:pPr>
              <w:jc w:val="right"/>
              <w:ind w:right="39"/>
              <w:spacing w:after="0" w:line="170" w:lineRule="exact"/>
              <w:rPr>
                <w:sz w:val="20"/>
                <w:szCs w:val="20"/>
                <w:color w:val="auto"/>
              </w:rPr>
            </w:pPr>
            <w:r>
              <w:rPr>
                <w:rFonts w:ascii="Arial" w:cs="Arial" w:eastAsia="Arial" w:hAnsi="Arial"/>
                <w:sz w:val="16"/>
                <w:szCs w:val="16"/>
                <w:color w:val="auto"/>
              </w:rPr>
              <w:t>897.1</w:t>
            </w:r>
          </w:p>
        </w:tc>
        <w:tc>
          <w:tcPr>
            <w:tcW w:w="1440" w:type="dxa"/>
            <w:vAlign w:val="bottom"/>
            <w:gridSpan w:val="2"/>
          </w:tcPr>
          <w:p>
            <w:pPr>
              <w:jc w:val="right"/>
              <w:ind w:right="59"/>
              <w:spacing w:after="0" w:line="170" w:lineRule="exact"/>
              <w:rPr>
                <w:sz w:val="20"/>
                <w:szCs w:val="20"/>
                <w:color w:val="auto"/>
              </w:rPr>
            </w:pPr>
            <w:r>
              <w:rPr>
                <w:rFonts w:ascii="Arial" w:cs="Arial" w:eastAsia="Arial" w:hAnsi="Arial"/>
                <w:sz w:val="16"/>
                <w:szCs w:val="16"/>
                <w:color w:val="auto"/>
              </w:rPr>
              <w:t>16.8 %</w:t>
            </w:r>
          </w:p>
        </w:tc>
        <w:tc>
          <w:tcPr>
            <w:tcW w:w="1360" w:type="dxa"/>
            <w:vAlign w:val="bottom"/>
            <w:gridSpan w:val="2"/>
          </w:tcPr>
          <w:p>
            <w:pPr>
              <w:jc w:val="right"/>
              <w:ind w:right="39"/>
              <w:spacing w:after="0" w:line="170" w:lineRule="exact"/>
              <w:rPr>
                <w:sz w:val="20"/>
                <w:szCs w:val="20"/>
                <w:color w:val="auto"/>
              </w:rPr>
            </w:pPr>
            <w:r>
              <w:rPr>
                <w:rFonts w:ascii="Arial" w:cs="Arial" w:eastAsia="Arial" w:hAnsi="Arial"/>
                <w:sz w:val="16"/>
                <w:szCs w:val="16"/>
                <w:color w:val="auto"/>
              </w:rPr>
              <w:t>(5.4 )%</w:t>
            </w:r>
          </w:p>
        </w:tc>
        <w:tc>
          <w:tcPr>
            <w:tcW w:w="1380" w:type="dxa"/>
            <w:vAlign w:val="bottom"/>
            <w:gridSpan w:val="2"/>
          </w:tcPr>
          <w:p>
            <w:pPr>
              <w:jc w:val="right"/>
              <w:ind w:right="39"/>
              <w:spacing w:after="0" w:line="170" w:lineRule="exact"/>
              <w:rPr>
                <w:sz w:val="20"/>
                <w:szCs w:val="20"/>
                <w:color w:val="auto"/>
              </w:rPr>
            </w:pPr>
            <w:r>
              <w:rPr>
                <w:rFonts w:ascii="Arial" w:cs="Arial" w:eastAsia="Arial" w:hAnsi="Arial"/>
                <w:sz w:val="16"/>
                <w:szCs w:val="16"/>
                <w:color w:val="auto"/>
              </w:rPr>
              <w:t>22.2 %</w:t>
            </w:r>
          </w:p>
        </w:tc>
        <w:tc>
          <w:tcPr>
            <w:tcW w:w="1660" w:type="dxa"/>
            <w:vAlign w:val="bottom"/>
            <w:gridSpan w:val="2"/>
          </w:tcPr>
          <w:p>
            <w:pPr>
              <w:jc w:val="right"/>
              <w:ind w:right="39"/>
              <w:spacing w:after="0" w:line="170" w:lineRule="exact"/>
              <w:rPr>
                <w:sz w:val="20"/>
                <w:szCs w:val="20"/>
                <w:color w:val="auto"/>
              </w:rPr>
            </w:pPr>
            <w:r>
              <w:rPr>
                <w:rFonts w:ascii="Arial" w:cs="Arial" w:eastAsia="Arial" w:hAnsi="Arial"/>
                <w:sz w:val="16"/>
                <w:szCs w:val="16"/>
                <w:color w:val="auto"/>
              </w:rPr>
              <w:t>5.6 %</w:t>
            </w:r>
          </w:p>
        </w:tc>
        <w:tc>
          <w:tcPr>
            <w:tcW w:w="1200" w:type="dxa"/>
            <w:vAlign w:val="bottom"/>
            <w:gridSpan w:val="2"/>
          </w:tcPr>
          <w:p>
            <w:pPr>
              <w:jc w:val="right"/>
              <w:ind w:right="39"/>
              <w:spacing w:after="0" w:line="170" w:lineRule="exact"/>
              <w:rPr>
                <w:sz w:val="20"/>
                <w:szCs w:val="20"/>
                <w:color w:val="auto"/>
              </w:rPr>
            </w:pPr>
            <w:r>
              <w:rPr>
                <w:rFonts w:ascii="Arial" w:cs="Arial" w:eastAsia="Arial" w:hAnsi="Arial"/>
                <w:sz w:val="16"/>
                <w:szCs w:val="16"/>
                <w:color w:val="auto"/>
              </w:rPr>
              <w:t>16.6 %</w:t>
            </w:r>
          </w:p>
        </w:tc>
        <w:tc>
          <w:tcPr>
            <w:tcW w:w="0" w:type="dxa"/>
            <w:vAlign w:val="bottom"/>
          </w:tcPr>
          <w:p>
            <w:pPr>
              <w:spacing w:after="0"/>
              <w:rPr>
                <w:sz w:val="1"/>
                <w:szCs w:val="1"/>
                <w:color w:val="auto"/>
              </w:rPr>
            </w:pPr>
          </w:p>
        </w:tc>
      </w:tr>
      <w:tr>
        <w:trPr>
          <w:trHeight w:val="189"/>
        </w:trPr>
        <w:tc>
          <w:tcPr>
            <w:tcW w:w="3060" w:type="dxa"/>
            <w:vAlign w:val="bottom"/>
            <w:shd w:val="clear" w:color="auto" w:fill="CFF0FC"/>
          </w:tcPr>
          <w:p>
            <w:pPr>
              <w:ind w:left="20"/>
              <w:spacing w:after="0"/>
              <w:rPr>
                <w:sz w:val="20"/>
                <w:szCs w:val="20"/>
                <w:color w:val="auto"/>
              </w:rPr>
            </w:pPr>
            <w:r>
              <w:rPr>
                <w:rFonts w:ascii="Arial" w:cs="Arial" w:eastAsia="Arial" w:hAnsi="Arial"/>
                <w:sz w:val="16"/>
                <w:szCs w:val="16"/>
                <w:color w:val="auto"/>
              </w:rPr>
              <w:t>Selling and Administrative Expenses</w:t>
            </w:r>
          </w:p>
        </w:tc>
        <w:tc>
          <w:tcPr>
            <w:tcW w:w="11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758.4</w:t>
            </w:r>
          </w:p>
        </w:tc>
        <w:tc>
          <w:tcPr>
            <w:tcW w:w="1440" w:type="dxa"/>
            <w:vAlign w:val="bottom"/>
            <w:gridSpan w:val="2"/>
            <w:shd w:val="clear" w:color="auto" w:fill="CFF0FC"/>
          </w:tcPr>
          <w:p>
            <w:pPr>
              <w:jc w:val="right"/>
              <w:ind w:right="59"/>
              <w:spacing w:after="0"/>
              <w:rPr>
                <w:sz w:val="20"/>
                <w:szCs w:val="20"/>
                <w:color w:val="auto"/>
              </w:rPr>
            </w:pPr>
            <w:r>
              <w:rPr>
                <w:rFonts w:ascii="Arial" w:cs="Arial" w:eastAsia="Arial" w:hAnsi="Arial"/>
                <w:sz w:val="16"/>
                <w:szCs w:val="16"/>
                <w:color w:val="auto"/>
              </w:rPr>
              <w:t>13.2 %</w:t>
            </w:r>
          </w:p>
        </w:tc>
        <w:tc>
          <w:tcPr>
            <w:tcW w:w="1360" w:type="dxa"/>
            <w:vAlign w:val="bottom"/>
            <w:gridSpan w:val="2"/>
            <w:shd w:val="clear" w:color="auto" w:fill="CFF0FC"/>
          </w:tcPr>
          <w:p>
            <w:pPr>
              <w:jc w:val="right"/>
              <w:ind w:right="39"/>
              <w:spacing w:after="0"/>
              <w:rPr>
                <w:sz w:val="20"/>
                <w:szCs w:val="20"/>
                <w:color w:val="auto"/>
              </w:rPr>
            </w:pPr>
            <w:r>
              <w:rPr>
                <w:rFonts w:ascii="Arial" w:cs="Arial" w:eastAsia="Arial" w:hAnsi="Arial"/>
                <w:sz w:val="16"/>
                <w:szCs w:val="16"/>
                <w:color w:val="auto"/>
              </w:rPr>
              <w:t>(5.0 )%</w:t>
            </w:r>
          </w:p>
        </w:tc>
        <w:tc>
          <w:tcPr>
            <w:tcW w:w="1380" w:type="dxa"/>
            <w:vAlign w:val="bottom"/>
            <w:gridSpan w:val="2"/>
            <w:shd w:val="clear" w:color="auto" w:fill="CFF0FC"/>
          </w:tcPr>
          <w:p>
            <w:pPr>
              <w:jc w:val="right"/>
              <w:ind w:right="39"/>
              <w:spacing w:after="0"/>
              <w:rPr>
                <w:sz w:val="20"/>
                <w:szCs w:val="20"/>
                <w:color w:val="auto"/>
              </w:rPr>
            </w:pPr>
            <w:r>
              <w:rPr>
                <w:rFonts w:ascii="Arial" w:cs="Arial" w:eastAsia="Arial" w:hAnsi="Arial"/>
                <w:sz w:val="16"/>
                <w:szCs w:val="16"/>
                <w:color w:val="auto"/>
              </w:rPr>
              <w:t>18.2 %</w:t>
            </w:r>
          </w:p>
        </w:tc>
        <w:tc>
          <w:tcPr>
            <w:tcW w:w="1660" w:type="dxa"/>
            <w:vAlign w:val="bottom"/>
            <w:gridSpan w:val="2"/>
            <w:shd w:val="clear" w:color="auto" w:fill="CFF0FC"/>
          </w:tcPr>
          <w:p>
            <w:pPr>
              <w:jc w:val="right"/>
              <w:ind w:right="39"/>
              <w:spacing w:after="0"/>
              <w:rPr>
                <w:sz w:val="20"/>
                <w:szCs w:val="20"/>
                <w:color w:val="auto"/>
              </w:rPr>
            </w:pPr>
            <w:r>
              <w:rPr>
                <w:rFonts w:ascii="Arial" w:cs="Arial" w:eastAsia="Arial" w:hAnsi="Arial"/>
                <w:sz w:val="16"/>
                <w:szCs w:val="16"/>
                <w:color w:val="auto"/>
              </w:rPr>
              <w:t>4.6 %</w:t>
            </w:r>
          </w:p>
        </w:tc>
        <w:tc>
          <w:tcPr>
            <w:tcW w:w="1200" w:type="dxa"/>
            <w:vAlign w:val="bottom"/>
            <w:gridSpan w:val="2"/>
            <w:shd w:val="clear" w:color="auto" w:fill="CFF0FC"/>
          </w:tcPr>
          <w:p>
            <w:pPr>
              <w:jc w:val="right"/>
              <w:ind w:right="39"/>
              <w:spacing w:after="0"/>
              <w:rPr>
                <w:sz w:val="20"/>
                <w:szCs w:val="20"/>
                <w:color w:val="auto"/>
              </w:rPr>
            </w:pPr>
            <w:r>
              <w:rPr>
                <w:rFonts w:ascii="Arial" w:cs="Arial" w:eastAsia="Arial" w:hAnsi="Arial"/>
                <w:sz w:val="16"/>
                <w:szCs w:val="16"/>
                <w:color w:val="auto"/>
              </w:rPr>
              <w:t>13.6 %</w:t>
            </w:r>
          </w:p>
        </w:tc>
        <w:tc>
          <w:tcPr>
            <w:tcW w:w="0" w:type="dxa"/>
            <w:vAlign w:val="bottom"/>
          </w:tcPr>
          <w:p>
            <w:pPr>
              <w:spacing w:after="0"/>
              <w:rPr>
                <w:sz w:val="1"/>
                <w:szCs w:val="1"/>
                <w:color w:val="auto"/>
              </w:rPr>
            </w:pPr>
          </w:p>
        </w:tc>
      </w:tr>
      <w:tr>
        <w:trPr>
          <w:trHeight w:val="204"/>
        </w:trPr>
        <w:tc>
          <w:tcPr>
            <w:tcW w:w="3060" w:type="dxa"/>
            <w:vAlign w:val="bottom"/>
          </w:tcPr>
          <w:p>
            <w:pPr>
              <w:ind w:left="20"/>
              <w:spacing w:after="0"/>
              <w:rPr>
                <w:sz w:val="20"/>
                <w:szCs w:val="20"/>
                <w:color w:val="auto"/>
              </w:rPr>
            </w:pPr>
            <w:r>
              <w:rPr>
                <w:rFonts w:ascii="Arial" w:cs="Arial" w:eastAsia="Arial" w:hAnsi="Arial"/>
                <w:sz w:val="16"/>
                <w:szCs w:val="16"/>
                <w:color w:val="auto"/>
              </w:rPr>
              <w:t>Operating Profit</w:t>
            </w: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138.7</w:t>
            </w:r>
          </w:p>
        </w:tc>
        <w:tc>
          <w:tcPr>
            <w:tcW w:w="1440" w:type="dxa"/>
            <w:vAlign w:val="bottom"/>
            <w:gridSpan w:val="2"/>
          </w:tcPr>
          <w:p>
            <w:pPr>
              <w:jc w:val="right"/>
              <w:ind w:right="59"/>
              <w:spacing w:after="0"/>
              <w:rPr>
                <w:sz w:val="20"/>
                <w:szCs w:val="20"/>
                <w:color w:val="auto"/>
              </w:rPr>
            </w:pPr>
            <w:r>
              <w:rPr>
                <w:rFonts w:ascii="Arial" w:cs="Arial" w:eastAsia="Arial" w:hAnsi="Arial"/>
                <w:sz w:val="16"/>
                <w:szCs w:val="16"/>
                <w:color w:val="auto"/>
              </w:rPr>
              <w:t>40.9 %</w:t>
            </w:r>
          </w:p>
        </w:tc>
        <w:tc>
          <w:tcPr>
            <w:tcW w:w="1360" w:type="dxa"/>
            <w:vAlign w:val="bottom"/>
            <w:gridSpan w:val="2"/>
          </w:tcPr>
          <w:p>
            <w:pPr>
              <w:jc w:val="right"/>
              <w:ind w:right="39"/>
              <w:spacing w:after="0"/>
              <w:rPr>
                <w:sz w:val="20"/>
                <w:szCs w:val="20"/>
                <w:color w:val="auto"/>
              </w:rPr>
            </w:pPr>
            <w:r>
              <w:rPr>
                <w:rFonts w:ascii="Arial" w:cs="Arial" w:eastAsia="Arial" w:hAnsi="Arial"/>
                <w:sz w:val="16"/>
                <w:szCs w:val="16"/>
                <w:color w:val="auto"/>
              </w:rPr>
              <w:t>(8.4 )%</w:t>
            </w:r>
          </w:p>
        </w:tc>
        <w:tc>
          <w:tcPr>
            <w:tcW w:w="1380" w:type="dxa"/>
            <w:vAlign w:val="bottom"/>
            <w:gridSpan w:val="2"/>
          </w:tcPr>
          <w:p>
            <w:pPr>
              <w:jc w:val="right"/>
              <w:ind w:right="39"/>
              <w:spacing w:after="0"/>
              <w:rPr>
                <w:sz w:val="20"/>
                <w:szCs w:val="20"/>
                <w:color w:val="auto"/>
              </w:rPr>
            </w:pPr>
            <w:r>
              <w:rPr>
                <w:rFonts w:ascii="Arial" w:cs="Arial" w:eastAsia="Arial" w:hAnsi="Arial"/>
                <w:sz w:val="16"/>
                <w:szCs w:val="16"/>
                <w:color w:val="auto"/>
              </w:rPr>
              <w:t>49.3 %</w:t>
            </w:r>
          </w:p>
        </w:tc>
        <w:tc>
          <w:tcPr>
            <w:tcW w:w="1660" w:type="dxa"/>
            <w:vAlign w:val="bottom"/>
            <w:gridSpan w:val="2"/>
          </w:tcPr>
          <w:p>
            <w:pPr>
              <w:jc w:val="right"/>
              <w:ind w:right="39"/>
              <w:spacing w:after="0"/>
              <w:rPr>
                <w:sz w:val="20"/>
                <w:szCs w:val="20"/>
                <w:color w:val="auto"/>
              </w:rPr>
            </w:pPr>
            <w:r>
              <w:rPr>
                <w:rFonts w:ascii="Arial" w:cs="Arial" w:eastAsia="Arial" w:hAnsi="Arial"/>
                <w:sz w:val="16"/>
                <w:szCs w:val="16"/>
                <w:color w:val="auto"/>
              </w:rPr>
              <w:t>12.9 %</w:t>
            </w:r>
          </w:p>
        </w:tc>
        <w:tc>
          <w:tcPr>
            <w:tcW w:w="1200" w:type="dxa"/>
            <w:vAlign w:val="bottom"/>
            <w:gridSpan w:val="2"/>
          </w:tcPr>
          <w:p>
            <w:pPr>
              <w:jc w:val="right"/>
              <w:ind w:right="39"/>
              <w:spacing w:after="0"/>
              <w:rPr>
                <w:sz w:val="20"/>
                <w:szCs w:val="20"/>
                <w:color w:val="auto"/>
              </w:rPr>
            </w:pPr>
            <w:r>
              <w:rPr>
                <w:rFonts w:ascii="Arial" w:cs="Arial" w:eastAsia="Arial" w:hAnsi="Arial"/>
                <w:sz w:val="16"/>
                <w:szCs w:val="16"/>
                <w:color w:val="auto"/>
              </w:rPr>
              <w:t>36.4 %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2670810</wp:posOffset>
            </wp:positionH>
            <wp:positionV relativeFrom="paragraph">
              <wp:posOffset>-1643380</wp:posOffset>
            </wp:positionV>
            <wp:extent cx="76835" cy="571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2670810</wp:posOffset>
            </wp:positionH>
            <wp:positionV relativeFrom="paragraph">
              <wp:posOffset>-1155065</wp:posOffset>
            </wp:positionV>
            <wp:extent cx="76835" cy="571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2670810</wp:posOffset>
            </wp:positionH>
            <wp:positionV relativeFrom="paragraph">
              <wp:posOffset>-648970</wp:posOffset>
            </wp:positionV>
            <wp:extent cx="76835" cy="571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2670810</wp:posOffset>
            </wp:positionH>
            <wp:positionV relativeFrom="paragraph">
              <wp:posOffset>-394970</wp:posOffset>
            </wp:positionV>
            <wp:extent cx="76835"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2670810</wp:posOffset>
            </wp:positionH>
            <wp:positionV relativeFrom="paragraph">
              <wp:posOffset>-377825</wp:posOffset>
            </wp:positionV>
            <wp:extent cx="76835"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6835" cy="8890"/>
                    </a:xfrm>
                    <a:prstGeom prst="rect">
                      <a:avLst/>
                    </a:prstGeom>
                    <a:noFill/>
                  </pic:spPr>
                </pic:pic>
              </a:graphicData>
            </a:graphic>
          </wp:anchor>
        </w:drawing>
      </w:r>
    </w:p>
    <w:p>
      <w:pPr>
        <w:ind w:left="480" w:hanging="472"/>
        <w:spacing w:after="0"/>
        <w:tabs>
          <w:tab w:leader="none" w:pos="4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 millions for the three months ended March 31, 2022.</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u w:val="single" w:color="auto"/>
          <w:color w:val="auto"/>
        </w:rPr>
        <w:t>Liquidity and Capital Resources</w:t>
      </w:r>
    </w:p>
    <w:p>
      <w:pPr>
        <w:spacing w:after="0" w:line="225" w:lineRule="exact"/>
        <w:rPr>
          <w:sz w:val="20"/>
          <w:szCs w:val="20"/>
          <w:color w:val="auto"/>
        </w:rPr>
      </w:pPr>
    </w:p>
    <w:p>
      <w:pPr>
        <w:ind w:right="80"/>
        <w:spacing w:after="0" w:line="309" w:lineRule="auto"/>
        <w:rPr>
          <w:sz w:val="20"/>
          <w:szCs w:val="20"/>
          <w:color w:val="auto"/>
        </w:rPr>
      </w:pPr>
      <w:r>
        <w:rPr>
          <w:rFonts w:ascii="Arial" w:cs="Arial" w:eastAsia="Arial" w:hAnsi="Arial"/>
          <w:sz w:val="17"/>
          <w:szCs w:val="17"/>
          <w:color w:val="auto"/>
        </w:rPr>
        <w:t>Cash used to fund our operations is primarily generated through operating activities and provided by our existing credit facilities. We believe our available cash and existing credit facilities are sufficient to cover our cash needs for the foreseeable future. We assess and monitor our liquidity and capital resources globally. We use a global cash pooling arrangement, intercompany borrowing, and some local credit lines to meet funding needs and allocate our capital resources among our various entities. As of March 31, 2022, we had $703.0 million of cash held by foreign subsidiaries. We have historically made and anticipate future cash repatriations to the United States from certain foreign subsidiaries to fund domestic operations.</w:t>
      </w:r>
    </w:p>
    <w:p>
      <w:pPr>
        <w:spacing w:after="0" w:line="132" w:lineRule="exact"/>
        <w:rPr>
          <w:sz w:val="20"/>
          <w:szCs w:val="20"/>
          <w:color w:val="auto"/>
        </w:rPr>
      </w:pPr>
    </w:p>
    <w:p>
      <w:pPr>
        <w:spacing w:after="0" w:line="306" w:lineRule="auto"/>
        <w:rPr>
          <w:sz w:val="20"/>
          <w:szCs w:val="20"/>
          <w:color w:val="auto"/>
        </w:rPr>
      </w:pPr>
      <w:r>
        <w:rPr>
          <w:rFonts w:ascii="Arial" w:cs="Arial" w:eastAsia="Arial" w:hAnsi="Arial"/>
          <w:sz w:val="17"/>
          <w:szCs w:val="17"/>
          <w:color w:val="auto"/>
        </w:rPr>
        <w:t>Cash provided by operating activities was $70.6 million and $140.9 million during the three months ended March 31, 2022 and 2021, respectively. Changes in operating assets and liabilities utilized $66.1 million of cash during the three months ended March 31, 2022 compared to $58.9 million generated during the three months ended March 31, 2021. These changes were primarily attributable to the decrease in accounts payable due to timing. Accounts receivable decreased to $5,440.0 million as of March 31, 2022 from $5,448.2 million as of December 31, 2021 due to the impact of changes in currency exchange rates. Days Sales Outstanding ("DSO") increased by two days to 57 days as of March 31, 2022 from December 31, 2021 due to higher activity levels and to unfavorable mix changes, with higher growth in countries with a higher average DSO.</w:t>
      </w:r>
    </w:p>
    <w:p>
      <w:pPr>
        <w:spacing w:after="0" w:line="138" w:lineRule="exact"/>
        <w:rPr>
          <w:sz w:val="20"/>
          <w:szCs w:val="20"/>
          <w:color w:val="auto"/>
        </w:rPr>
      </w:pPr>
    </w:p>
    <w:p>
      <w:pPr>
        <w:jc w:val="both"/>
        <w:ind w:right="380"/>
        <w:spacing w:after="0" w:line="337" w:lineRule="auto"/>
        <w:rPr>
          <w:sz w:val="20"/>
          <w:szCs w:val="20"/>
          <w:color w:val="auto"/>
        </w:rPr>
      </w:pPr>
      <w:r>
        <w:rPr>
          <w:rFonts w:ascii="Arial" w:cs="Arial" w:eastAsia="Arial" w:hAnsi="Arial"/>
          <w:sz w:val="16"/>
          <w:szCs w:val="16"/>
          <w:color w:val="auto"/>
        </w:rPr>
        <w:t>The nature of our operations is such that our most significant current asset is accounts receivable and our most significant current liabilities are payroll related costs, which are generally paid either weekly or monthly. As the demand for our services increases, as we experienced during the three months ended March 31, 2022, we generally experience an increase in our working capital needs, as we continue to pay our associates on a weekly or monthly basis while the related accounts receivable is outstanding for much longer, which may result in a decline in operating cash flows.</w:t>
      </w:r>
    </w:p>
    <w:p>
      <w:pPr>
        <w:spacing w:after="0" w:line="128" w:lineRule="exact"/>
        <w:rPr>
          <w:sz w:val="20"/>
          <w:szCs w:val="20"/>
          <w:color w:val="auto"/>
        </w:rPr>
      </w:pPr>
    </w:p>
    <w:p>
      <w:pPr>
        <w:ind w:right="140"/>
        <w:spacing w:after="0" w:line="312" w:lineRule="auto"/>
        <w:rPr>
          <w:sz w:val="20"/>
          <w:szCs w:val="20"/>
          <w:color w:val="auto"/>
        </w:rPr>
      </w:pPr>
      <w:r>
        <w:rPr>
          <w:rFonts w:ascii="Arial" w:cs="Arial" w:eastAsia="Arial" w:hAnsi="Arial"/>
          <w:sz w:val="17"/>
          <w:szCs w:val="17"/>
          <w:color w:val="auto"/>
        </w:rPr>
        <w:t>Conversely, as the demand for our services declines, we generally experience a decrease in our working capital needs, as the existing accounts receivable are collected and not replaced at the same level, resulting in a decline of our accounts receivable balance, with less of an effect on current liabilities due to the shorter cycle time of the payroll related items. This may result in an increase in our operating cash flows; however, any such increase would not be expected to be sustained in the event that an economic downturn continued for an extended period.</w:t>
      </w:r>
    </w:p>
    <w:p>
      <w:pPr>
        <w:spacing w:after="0" w:line="131" w:lineRule="exact"/>
        <w:rPr>
          <w:sz w:val="20"/>
          <w:szCs w:val="20"/>
          <w:color w:val="auto"/>
        </w:rPr>
      </w:pPr>
    </w:p>
    <w:p>
      <w:pPr>
        <w:ind w:right="20"/>
        <w:spacing w:after="0" w:line="290" w:lineRule="auto"/>
        <w:rPr>
          <w:sz w:val="20"/>
          <w:szCs w:val="20"/>
          <w:color w:val="auto"/>
        </w:rPr>
      </w:pPr>
      <w:r>
        <w:rPr>
          <w:rFonts w:ascii="Arial" w:cs="Arial" w:eastAsia="Arial" w:hAnsi="Arial"/>
          <w:sz w:val="18"/>
          <w:szCs w:val="18"/>
          <w:color w:val="auto"/>
        </w:rPr>
        <w:t>Capital expenditures were $19.4 million for the three months ended March 31, 2022 compared to $12.7 million for the three months ended March 31, 2021. These expenditures were primarily comprised of purchases of computer equipment, office furniture and other costs related to office openings and refurbishments, as well as capitalized software costs. The higher expenditures in 2022 compared to 2021 are primarily due to additional technology investments and the timing of capital expenditures.</w:t>
      </w:r>
    </w:p>
    <w:p>
      <w:pPr>
        <w:spacing w:after="0" w:line="147" w:lineRule="exact"/>
        <w:rPr>
          <w:sz w:val="20"/>
          <w:szCs w:val="20"/>
          <w:color w:val="auto"/>
        </w:rPr>
      </w:pPr>
    </w:p>
    <w:p>
      <w:pPr>
        <w:ind w:right="40"/>
        <w:spacing w:after="0" w:line="290" w:lineRule="auto"/>
        <w:rPr>
          <w:sz w:val="20"/>
          <w:szCs w:val="20"/>
          <w:color w:val="auto"/>
        </w:rPr>
      </w:pPr>
      <w:r>
        <w:rPr>
          <w:rFonts w:ascii="Arial" w:cs="Arial" w:eastAsia="Arial" w:hAnsi="Arial"/>
          <w:sz w:val="18"/>
          <w:szCs w:val="18"/>
          <w:color w:val="auto"/>
        </w:rPr>
        <w:t>From time to time, we acquire and invest in companies throughout the world, including franchises. No cash consideration was paid during the three months ended March 31, 2022. For the three months ended March 31, 2021, the total cash consideration paid for acquisitions, net of cash acquired, was $12.9 million, which represents consideration payments for franchises in the United States and contingent consideration payments related to previous acquisitions.</w:t>
      </w:r>
    </w:p>
    <w:p>
      <w:pPr>
        <w:spacing w:after="0" w:line="161" w:lineRule="exact"/>
        <w:rPr>
          <w:sz w:val="20"/>
          <w:szCs w:val="20"/>
          <w:color w:val="auto"/>
        </w:rPr>
      </w:pPr>
    </w:p>
    <w:p>
      <w:pPr>
        <w:ind w:right="60"/>
        <w:spacing w:after="0" w:line="290" w:lineRule="auto"/>
        <w:rPr>
          <w:sz w:val="20"/>
          <w:szCs w:val="20"/>
          <w:color w:val="auto"/>
        </w:rPr>
      </w:pPr>
      <w:r>
        <w:rPr>
          <w:rFonts w:ascii="Arial" w:cs="Arial" w:eastAsia="Arial" w:hAnsi="Arial"/>
          <w:sz w:val="18"/>
          <w:szCs w:val="18"/>
          <w:color w:val="auto"/>
        </w:rPr>
        <w:t>Occasionally, we dispose of parts of our operations based on risk considerations and to optimize our global strategic and geographic footprint and overall efficiency. On January 17, 2022, we disposed of our Russia business in our Northern Europe segment for cash proceeds of $3.2 million and simultaneously entered into a franchise agreement with the new owner of the Russia business. In connection with the disposition, we recognized a one-time net loss on disposition of $8.0 million.</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32" w:name="page33"/>
    <w:bookmarkEnd w:id="32"/>
    <w:p>
      <w:pPr>
        <w:ind w:right="160"/>
        <w:spacing w:after="0" w:line="290" w:lineRule="auto"/>
        <w:rPr>
          <w:sz w:val="20"/>
          <w:szCs w:val="20"/>
          <w:color w:val="auto"/>
        </w:rPr>
      </w:pPr>
      <w:r>
        <w:rPr>
          <w:rFonts w:ascii="Arial" w:cs="Arial" w:eastAsia="Arial" w:hAnsi="Arial"/>
          <w:sz w:val="18"/>
          <w:szCs w:val="18"/>
          <w:color w:val="auto"/>
        </w:rPr>
        <w:t>Net debt payments were $28.0 million in the three months ended March 31, 2022, as compared to net debt borrowings of $2.8 million in the three months ended March 31, 2021. The 2022 payments include a $25.0 million repayment into our revolving debt facility, against which we had outstanding borrowings of $75.0 million as of December 31, 2021 related to the Experis acquisition. We intend to repay the remaining $50.0 million over the next six months.</w:t>
      </w:r>
    </w:p>
    <w:p>
      <w:pPr>
        <w:spacing w:after="0" w:line="161" w:lineRule="exact"/>
        <w:rPr>
          <w:sz w:val="20"/>
          <w:szCs w:val="20"/>
          <w:color w:val="auto"/>
        </w:rPr>
      </w:pPr>
    </w:p>
    <w:p>
      <w:pPr>
        <w:spacing w:after="0" w:line="288" w:lineRule="auto"/>
        <w:rPr>
          <w:sz w:val="20"/>
          <w:szCs w:val="20"/>
          <w:color w:val="auto"/>
        </w:rPr>
      </w:pPr>
      <w:r>
        <w:rPr>
          <w:rFonts w:ascii="Arial" w:cs="Arial" w:eastAsia="Arial" w:hAnsi="Arial"/>
          <w:sz w:val="18"/>
          <w:szCs w:val="18"/>
          <w:color w:val="auto"/>
        </w:rPr>
        <w:t>Our €500.0 million notes and €400.0 million notes are due June 2026 and September 2022, respectively. We plan to refinance the €400.0 million notes. When the €500.0 million notes mature, we plan to either repay the amounts with available cash or borrowings under our $600.0 million revolving credit facility or a new borrowing. The credit terms, including interest rate and facility fees, of any replacement borrowings will be dependent upon the condition of the credit markets at that time. We currently do not anticipate any problems accessing the credit markets upon replacement of either the €500.0 million or €400.0 million notes.</w:t>
      </w:r>
    </w:p>
    <w:p>
      <w:pPr>
        <w:spacing w:after="0" w:line="149" w:lineRule="exact"/>
        <w:rPr>
          <w:sz w:val="20"/>
          <w:szCs w:val="20"/>
          <w:color w:val="auto"/>
        </w:rPr>
      </w:pPr>
    </w:p>
    <w:p>
      <w:pPr>
        <w:spacing w:after="0"/>
        <w:rPr>
          <w:sz w:val="20"/>
          <w:szCs w:val="20"/>
          <w:color w:val="auto"/>
        </w:rPr>
      </w:pPr>
      <w:r>
        <w:rPr>
          <w:rFonts w:ascii="Arial" w:cs="Arial" w:eastAsia="Arial" w:hAnsi="Arial"/>
          <w:sz w:val="17"/>
          <w:szCs w:val="17"/>
          <w:color w:val="auto"/>
        </w:rPr>
        <w:t>As of March 31, 2022, we had $50.0 million borrowings and letters of credit of $0.4 million issued under our $600.0 million revolving credit facility.</w:t>
      </w: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color w:val="auto"/>
        </w:rPr>
        <w:t>Additional borrowings of $549.6 million were available to us under the facility as of March 31, 2022.</w:t>
      </w:r>
    </w:p>
    <w:p>
      <w:pPr>
        <w:spacing w:after="0" w:line="212" w:lineRule="exact"/>
        <w:rPr>
          <w:sz w:val="20"/>
          <w:szCs w:val="20"/>
          <w:color w:val="auto"/>
        </w:rPr>
      </w:pPr>
    </w:p>
    <w:p>
      <w:pPr>
        <w:ind w:right="60"/>
        <w:spacing w:after="0" w:line="288" w:lineRule="auto"/>
        <w:rPr>
          <w:sz w:val="20"/>
          <w:szCs w:val="20"/>
          <w:color w:val="auto"/>
        </w:rPr>
      </w:pPr>
      <w:r>
        <w:rPr>
          <w:rFonts w:ascii="Arial" w:cs="Arial" w:eastAsia="Arial" w:hAnsi="Arial"/>
          <w:sz w:val="18"/>
          <w:szCs w:val="18"/>
          <w:color w:val="auto"/>
        </w:rPr>
        <w:t>The $600.0 million revolving credit agreement requires that we comply with a leverage ratio (Net Debt-to-Net Earnings before interest and other expenses, provision for income taxes, intangible asset amortization expense, depreciation and amortization expense ("EBITDA")) of not greater than 3.5 to 1 and a fixed charge coverage ratio of not less than 1.5 to 1. As defined in the agreement, we had a Net Debt-to-EBITDA ratio of 0.92 to 1 and a fixed charge coverage ratio of 5.56 to 1 as of March 31, 2022. Based on our current forecast, we expect to be in compliance with our financial covenants for the next 12 months.</w:t>
      </w:r>
    </w:p>
    <w:p>
      <w:pPr>
        <w:spacing w:after="0" w:line="162" w:lineRule="exact"/>
        <w:rPr>
          <w:sz w:val="20"/>
          <w:szCs w:val="20"/>
          <w:color w:val="auto"/>
        </w:rPr>
      </w:pPr>
    </w:p>
    <w:p>
      <w:pPr>
        <w:ind w:right="120"/>
        <w:spacing w:after="0" w:line="337" w:lineRule="auto"/>
        <w:rPr>
          <w:sz w:val="20"/>
          <w:szCs w:val="20"/>
          <w:color w:val="auto"/>
        </w:rPr>
      </w:pPr>
      <w:r>
        <w:rPr>
          <w:rFonts w:ascii="Arial" w:cs="Arial" w:eastAsia="Arial" w:hAnsi="Arial"/>
          <w:sz w:val="16"/>
          <w:szCs w:val="16"/>
          <w:color w:val="auto"/>
        </w:rPr>
        <w:t>In addition to the previously mentioned facilities, we maintain separate bank credit lines with financial institutions to meet working capital needs of our subsidiary operations. As of March 31, 2022, such uncommitted credit lines totaled $340.9 million, of which $319.7 million was unused. Under the Credit Agreement, total subsidiary borrowings cannot exceed $300.0 million in the first, second and fourth quarters, and $600.0 million in the third quarter of each year. Due to these limitations, additional borrowings of $278.8 million could have been made under these lines as of March 31, 2022.</w:t>
      </w:r>
    </w:p>
    <w:p>
      <w:pPr>
        <w:spacing w:after="0" w:line="114" w:lineRule="exact"/>
        <w:rPr>
          <w:sz w:val="20"/>
          <w:szCs w:val="20"/>
          <w:color w:val="auto"/>
        </w:rPr>
      </w:pPr>
    </w:p>
    <w:p>
      <w:pPr>
        <w:ind w:right="80"/>
        <w:spacing w:after="0" w:line="325" w:lineRule="auto"/>
        <w:rPr>
          <w:sz w:val="20"/>
          <w:szCs w:val="20"/>
          <w:color w:val="auto"/>
        </w:rPr>
      </w:pPr>
      <w:r>
        <w:rPr>
          <w:rFonts w:ascii="Arial" w:cs="Arial" w:eastAsia="Arial" w:hAnsi="Arial"/>
          <w:sz w:val="16"/>
          <w:szCs w:val="16"/>
          <w:color w:val="auto"/>
        </w:rPr>
        <w:t>We have assessed our liquidity position as of March 31, 2022 and for the near future. As of March 31, 2022, our cash and cash equivalents balance was $777.3 million. We also have access to the previously mentioned revolving credit facility that could have immediately provided us with up to $600.0 million of additional cash, of which just $50.0 million was used as of March 31, 2022, and we have an option to request an increase to the total availability under the revolving credit facility by an additional $200.0 million and each lender may participate in the requested increase at their discretion. In addition, we have access to the previously mentioned credit lines of up to $300.0 million ($600.0 million in the third quarter) to meet the working capital needs of our subsidiaries, of which $278.8 million was available to use as of March 31, 2022. Our €500.0 million notes and €400.0 million notes that total $992.7 million as of March 31, 2022 mature in June 2026 and September 2022, and we plan to refinance the €400.0 million note in 2022. Based on the above, we believe we have sufficient liquidity and capital resources to satisfy future requirements and meet our obligations currently and in the near future.</w:t>
      </w:r>
    </w:p>
    <w:p>
      <w:pPr>
        <w:spacing w:after="0" w:line="126" w:lineRule="exact"/>
        <w:rPr>
          <w:sz w:val="20"/>
          <w:szCs w:val="20"/>
          <w:color w:val="auto"/>
        </w:rPr>
      </w:pPr>
    </w:p>
    <w:p>
      <w:pPr>
        <w:ind w:right="120"/>
        <w:spacing w:after="0" w:line="295" w:lineRule="auto"/>
        <w:rPr>
          <w:sz w:val="20"/>
          <w:szCs w:val="20"/>
          <w:color w:val="auto"/>
        </w:rPr>
      </w:pPr>
      <w:r>
        <w:rPr>
          <w:rFonts w:ascii="Arial" w:cs="Arial" w:eastAsia="Arial" w:hAnsi="Arial"/>
          <w:sz w:val="18"/>
          <w:szCs w:val="18"/>
          <w:color w:val="auto"/>
        </w:rPr>
        <w:t>The Board of Directors declared a semi-annual dividend of $1.36 and $1.26 per share, respectively, on May 6, 2022 and May 7, 2021, respectively. The 2022 dividends are payable on June 15, 2022 to shareholders of record as of June 1, 2022. The 2021 dividends were paid on June 15, 2021 to shareholders of record as of June 1, 2021.</w:t>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color w:val="auto"/>
        </w:rPr>
        <w:t>In August 2021, the Board of Directors authorized the repurchase of 4.0 million shares of our common stock, with terms consistent with the previous</w:t>
      </w:r>
    </w:p>
    <w:p>
      <w:pPr>
        <w:spacing w:after="0" w:line="48" w:lineRule="exact"/>
        <w:rPr>
          <w:sz w:val="20"/>
          <w:szCs w:val="20"/>
          <w:color w:val="auto"/>
        </w:rPr>
      </w:pPr>
    </w:p>
    <w:p>
      <w:pPr>
        <w:spacing w:after="0"/>
        <w:rPr>
          <w:sz w:val="20"/>
          <w:szCs w:val="20"/>
          <w:color w:val="auto"/>
        </w:rPr>
      </w:pPr>
      <w:r>
        <w:rPr>
          <w:rFonts w:ascii="Arial" w:cs="Arial" w:eastAsia="Arial" w:hAnsi="Arial"/>
          <w:sz w:val="17"/>
          <w:szCs w:val="17"/>
          <w:color w:val="auto"/>
        </w:rPr>
        <w:t>authorizations. This authorization was in addition to the August 2019 Board authorization to purchase 6.0 million shares of our common stock. Share</w:t>
      </w:r>
    </w:p>
    <w:p>
      <w:pPr>
        <w:spacing w:after="0" w:line="48" w:lineRule="exact"/>
        <w:rPr>
          <w:sz w:val="20"/>
          <w:szCs w:val="20"/>
          <w:color w:val="auto"/>
        </w:rPr>
      </w:pPr>
    </w:p>
    <w:p>
      <w:pPr>
        <w:spacing w:after="0"/>
        <w:rPr>
          <w:sz w:val="20"/>
          <w:szCs w:val="20"/>
          <w:color w:val="auto"/>
        </w:rPr>
      </w:pPr>
      <w:r>
        <w:rPr>
          <w:rFonts w:ascii="Arial" w:cs="Arial" w:eastAsia="Arial" w:hAnsi="Arial"/>
          <w:sz w:val="17"/>
          <w:szCs w:val="17"/>
          <w:color w:val="auto"/>
        </w:rPr>
        <w:t>repurchases may be made from time to time through a variety of methods, including open market purchases, block transactions, privately negotiated</w:t>
      </w:r>
    </w:p>
    <w:p>
      <w:pPr>
        <w:spacing w:after="0" w:line="48" w:lineRule="exact"/>
        <w:rPr>
          <w:sz w:val="20"/>
          <w:szCs w:val="20"/>
          <w:color w:val="auto"/>
        </w:rPr>
      </w:pPr>
    </w:p>
    <w:p>
      <w:pPr>
        <w:spacing w:after="0"/>
        <w:rPr>
          <w:sz w:val="20"/>
          <w:szCs w:val="20"/>
          <w:color w:val="auto"/>
        </w:rPr>
      </w:pPr>
      <w:r>
        <w:rPr>
          <w:rFonts w:ascii="Arial" w:cs="Arial" w:eastAsia="Arial" w:hAnsi="Arial"/>
          <w:sz w:val="17"/>
          <w:szCs w:val="17"/>
          <w:color w:val="auto"/>
        </w:rPr>
        <w:t>transactions or similar facilities. During the first quarter of 2022, we repurchased a total of 0.6 million shares under the 2019 authorization at a cost of</w:t>
      </w: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$59.9 million. During the first quarter of 2021, we repurchased a total of 1.1 million shares under the 2019 authorization at a cost of $100.1 million. As of</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March 31, 2022, there were 4.0 million and 0.6 million shares remaining authorized for repurchase under the 2021 authorization and 2019 authorization,</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respectively.</w:t>
      </w:r>
    </w:p>
    <w:p>
      <w:pPr>
        <w:spacing w:after="0" w:line="212" w:lineRule="exact"/>
        <w:rPr>
          <w:sz w:val="20"/>
          <w:szCs w:val="20"/>
          <w:color w:val="auto"/>
        </w:rPr>
      </w:pPr>
    </w:p>
    <w:p>
      <w:pPr>
        <w:ind w:right="220"/>
        <w:spacing w:after="0" w:line="308" w:lineRule="auto"/>
        <w:rPr>
          <w:sz w:val="20"/>
          <w:szCs w:val="20"/>
          <w:color w:val="auto"/>
        </w:rPr>
      </w:pPr>
      <w:r>
        <w:rPr>
          <w:rFonts w:ascii="Arial" w:cs="Arial" w:eastAsia="Arial" w:hAnsi="Arial"/>
          <w:sz w:val="18"/>
          <w:szCs w:val="18"/>
          <w:color w:val="auto"/>
        </w:rPr>
        <w:t>We had aggregate commitments of $2,061.7 million as of March 31, 2022 related to debt, operating leases, severances and office closure costs, transition tax resulting from the Tax Act and certain other commitments compared to $2,156.7 million as of December 31, 2021.</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33" w:name="page34"/>
    <w:bookmarkEnd w:id="33"/>
    <w:p>
      <w:pPr>
        <w:ind w:right="60"/>
        <w:spacing w:after="0" w:line="291" w:lineRule="auto"/>
        <w:rPr>
          <w:sz w:val="20"/>
          <w:szCs w:val="20"/>
          <w:color w:val="auto"/>
        </w:rPr>
      </w:pPr>
      <w:r>
        <w:rPr>
          <w:rFonts w:ascii="Arial" w:cs="Arial" w:eastAsia="Arial" w:hAnsi="Arial"/>
          <w:sz w:val="16"/>
          <w:szCs w:val="16"/>
          <w:color w:val="auto"/>
        </w:rPr>
        <w:t>We also have entered into guarantee contracts and stand-by letters of credit totaling $766.4 million and $769.3 million as of March 31, 2022 and December 31, 2021, respectively ($718.8 million and $717.7 million for guarantees, respectively, and $47.6 million and $51.6 million for stand-by letters of credit as of March 31, 2022 and December 31, 2021, respectively). The guarantees primarily relate to staffing license requirements, operating leases and indebtedness. The stand-by letters of credit mainly relate to workers’ compensation in the United States. If certain conditions were met under these arrangements, we would be required to satisfy our obligations in cash. Due to the nature of these arrangements and our historical experience, we do not expect any significant payments under these arrangements. Therefore, they have been excluded from our aggregate commitments. The cost of these guarantees and letters of credit was $0.4 million and $0.5 million for the three months ended March 31, 2022 and 2021, respectively.</w:t>
      </w:r>
    </w:p>
    <w:p>
      <w:pPr>
        <w:spacing w:after="0" w:line="139"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We did not record any restructuring costs during the three months ended March 31, 2022 or 2021. During the three months ended March 31, 2022, we made payments of $3.2 million out of our restructuring reserve, which is used for severances and office closures and consolidations in multiple countries and territories. We expect a majority of the remaining $20.1 million reserve will be paid by the end of 2022.</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u w:val="single" w:color="auto"/>
          <w:color w:val="auto"/>
        </w:rPr>
        <w:t>Recently Issued Accounting Standards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See Note 2 to the Consolidated Financial Statements.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3 – Quantitative and Qualitative Disclosures About Market Risk</w:t>
      </w:r>
    </w:p>
    <w:p>
      <w:pPr>
        <w:spacing w:after="0" w:line="225" w:lineRule="exact"/>
        <w:rPr>
          <w:sz w:val="20"/>
          <w:szCs w:val="20"/>
          <w:color w:val="auto"/>
        </w:rPr>
      </w:pPr>
    </w:p>
    <w:p>
      <w:pPr>
        <w:ind w:right="860"/>
        <w:spacing w:after="0" w:line="308" w:lineRule="auto"/>
        <w:rPr>
          <w:sz w:val="20"/>
          <w:szCs w:val="20"/>
          <w:color w:val="auto"/>
        </w:rPr>
      </w:pPr>
      <w:r>
        <w:rPr>
          <w:rFonts w:ascii="Arial" w:cs="Arial" w:eastAsia="Arial" w:hAnsi="Arial"/>
          <w:sz w:val="18"/>
          <w:szCs w:val="18"/>
          <w:color w:val="auto"/>
        </w:rPr>
        <w:t>Our 2021 Annual Report on Form 10-K contains certain disclosures about market risks affecting us. There have been no material changes to the information provided which would require additional disclosures as of the date of this filing.</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4 – Controls and Procedures</w:t>
      </w:r>
    </w:p>
    <w:p>
      <w:pPr>
        <w:spacing w:after="0" w:line="212" w:lineRule="exact"/>
        <w:rPr>
          <w:sz w:val="20"/>
          <w:szCs w:val="20"/>
          <w:color w:val="auto"/>
        </w:rPr>
      </w:pPr>
    </w:p>
    <w:p>
      <w:pPr>
        <w:spacing w:after="0" w:line="325" w:lineRule="auto"/>
        <w:rPr>
          <w:sz w:val="20"/>
          <w:szCs w:val="20"/>
          <w:color w:val="auto"/>
        </w:rPr>
      </w:pPr>
      <w:r>
        <w:rPr>
          <w:rFonts w:ascii="Arial" w:cs="Arial" w:eastAsia="Arial" w:hAnsi="Arial"/>
          <w:sz w:val="16"/>
          <w:szCs w:val="16"/>
          <w:color w:val="auto"/>
        </w:rPr>
        <w:t>We maintain a set of disclosure controls and procedures that are designed to ensure that information required to be disclosed by us in the reports filed by us under the Securities Exchange Act of 1934, as amended (the “Exchange Act”), is recorded, processed, summarized and reported within the time periods specified in the SEC’s rules and forms and that such information is accumulated and communicated to management of the company, including its Chief Executive Officer and Chief Financial Officer, as appropriate, to allow timely decisions regarding timely disclosure. We carried out an evaluation, under the supervision and with the participation of our management, including our Chief Executive Officer and our Executive Vice President and Chief Financial Officer, of the effectiveness of the design and operation of our disclosure controls and procedures at a reasonable assurance level pursuant to Rule 13a-15 of the Exchange Act. Based on that evaluation, our Chief Executive Officer and our Executive Vice President and Chief Financial Officer concluded that, as of the end of the period covered by this report, our disclosure controls and procedures were effective at the reasonable assurance level.</w:t>
      </w:r>
    </w:p>
    <w:p>
      <w:pPr>
        <w:spacing w:after="0" w:line="140" w:lineRule="exact"/>
        <w:rPr>
          <w:sz w:val="20"/>
          <w:szCs w:val="20"/>
          <w:color w:val="auto"/>
        </w:rPr>
      </w:pPr>
    </w:p>
    <w:p>
      <w:pPr>
        <w:ind w:right="460"/>
        <w:spacing w:after="0" w:line="377" w:lineRule="auto"/>
        <w:rPr>
          <w:sz w:val="20"/>
          <w:szCs w:val="20"/>
          <w:color w:val="auto"/>
        </w:rPr>
      </w:pPr>
      <w:r>
        <w:rPr>
          <w:rFonts w:ascii="Arial" w:cs="Arial" w:eastAsia="Arial" w:hAnsi="Arial"/>
          <w:sz w:val="16"/>
          <w:szCs w:val="16"/>
          <w:color w:val="auto"/>
        </w:rPr>
        <w:t>There have been no changes in our internal control over financial reporting identified in connection with the evaluation discussed above that occurred during our last fiscal quarter that have materially affected, or are reasonably likely to materially affect, our internal control over financial reporting.</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9" w:right="339" w:bottom="1440" w:gutter="0" w:footer="0" w:header="0"/>
        </w:sectPr>
      </w:pPr>
    </w:p>
    <w:bookmarkStart w:id="35" w:name="page36"/>
    <w:bookmarkEnd w:id="35"/>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1A – Risk Factors</w:t>
      </w:r>
    </w:p>
    <w:p>
      <w:pPr>
        <w:spacing w:after="0" w:line="225" w:lineRule="exact"/>
        <w:rPr>
          <w:sz w:val="20"/>
          <w:szCs w:val="20"/>
          <w:color w:val="auto"/>
        </w:rPr>
      </w:pPr>
    </w:p>
    <w:p>
      <w:pPr>
        <w:ind w:right="300"/>
        <w:spacing w:after="0" w:line="308" w:lineRule="auto"/>
        <w:rPr>
          <w:sz w:val="20"/>
          <w:szCs w:val="20"/>
          <w:color w:val="auto"/>
        </w:rPr>
      </w:pPr>
      <w:r>
        <w:rPr>
          <w:rFonts w:ascii="Arial" w:cs="Arial" w:eastAsia="Arial" w:hAnsi="Arial"/>
          <w:sz w:val="18"/>
          <w:szCs w:val="18"/>
          <w:color w:val="auto"/>
        </w:rPr>
        <w:t>As of the date of this filing, the Company and its operations continue to be subject to the risk factors previously disclosed in the “Risk Factors” sections contained in the 2021 Annual Report on Form 10-K.</w:t>
      </w:r>
    </w:p>
    <w:p>
      <w:pPr>
        <w:spacing w:after="0" w:line="126" w:lineRule="exact"/>
        <w:rPr>
          <w:sz w:val="20"/>
          <w:szCs w:val="20"/>
          <w:color w:val="auto"/>
        </w:rPr>
      </w:pPr>
    </w:p>
    <w:p>
      <w:pPr>
        <w:jc w:val="both"/>
        <w:ind w:right="180"/>
        <w:spacing w:after="0" w:line="297" w:lineRule="auto"/>
        <w:rPr>
          <w:sz w:val="20"/>
          <w:szCs w:val="20"/>
          <w:color w:val="auto"/>
        </w:rPr>
      </w:pPr>
      <w:r>
        <w:rPr>
          <w:rFonts w:ascii="Arial" w:cs="Arial" w:eastAsia="Arial" w:hAnsi="Arial"/>
          <w:sz w:val="18"/>
          <w:szCs w:val="18"/>
          <w:b w:val="1"/>
          <w:bCs w:val="1"/>
          <w:color w:val="auto"/>
        </w:rPr>
        <w:t>The following information updates the fourth paragraph under the heading “Risk Factors— Our results of operations have been and may in the future be materially adversely affected by volatile, negative, or uncertain economic conditions” in our Annual Report on Form 10-K for the year ended December 31, 2021.</w:t>
      </w:r>
    </w:p>
    <w:p>
      <w:pPr>
        <w:spacing w:after="0" w:line="140" w:lineRule="exact"/>
        <w:rPr>
          <w:sz w:val="20"/>
          <w:szCs w:val="20"/>
          <w:color w:val="auto"/>
        </w:rPr>
      </w:pPr>
    </w:p>
    <w:p>
      <w:pPr>
        <w:ind w:right="60"/>
        <w:spacing w:after="0" w:line="303" w:lineRule="auto"/>
        <w:rPr>
          <w:sz w:val="20"/>
          <w:szCs w:val="20"/>
          <w:color w:val="auto"/>
        </w:rPr>
      </w:pPr>
      <w:r>
        <w:rPr>
          <w:rFonts w:ascii="Arial" w:cs="Arial" w:eastAsia="Arial" w:hAnsi="Arial"/>
          <w:sz w:val="17"/>
          <w:szCs w:val="17"/>
          <w:color w:val="auto"/>
        </w:rPr>
        <w:t>There is a risk that economic conditions in European markets may continue to be negatively impacted by events in recent years which, in addition to COVID-19, have included labor unrest, civil protest, heightened trade tensions, and uncertainty around the impacts of the exit of the United Kingdom from the European Union. These events have most recently included the Russia-Ukraine war. There is substantial uncertainty about the future impact of this war on the European economy and the global economy generally. Numerous countries have instituted sanctions and other penalties against Russia. The measures that have been taken, and could be taken in the future, by the U.S., European Union, and others could result in retaliatory action by the Russian government, leading to an escalation and/or expansion in the scope of this conflict. The consequences of this are difficult to predict but may result in further sanctions, regional instability and geopolitical shifts, heightened cybersecurity threats, further disruptions in the global supply chain, volatility in foreign exchange rates and inflationary pressures. Any of these events or trends could have a material adverse effect on our business and operating results, particularly our European operations.</w:t>
      </w:r>
    </w:p>
    <w:p>
      <w:pPr>
        <w:spacing w:after="0" w:line="155" w:lineRule="exact"/>
        <w:rPr>
          <w:sz w:val="20"/>
          <w:szCs w:val="20"/>
          <w:color w:val="auto"/>
        </w:rPr>
      </w:pPr>
    </w:p>
    <w:p>
      <w:pPr>
        <w:ind w:right="20"/>
        <w:spacing w:after="0" w:line="377" w:lineRule="auto"/>
        <w:rPr>
          <w:sz w:val="20"/>
          <w:szCs w:val="20"/>
          <w:color w:val="auto"/>
        </w:rPr>
      </w:pPr>
      <w:r>
        <w:rPr>
          <w:rFonts w:ascii="Arial" w:cs="Arial" w:eastAsia="Arial" w:hAnsi="Arial"/>
          <w:sz w:val="16"/>
          <w:szCs w:val="16"/>
          <w:color w:val="auto"/>
        </w:rPr>
        <w:t>In addition, the continuation or extent to which the Russia-Ukraine war may intensify or expand could exacerbate or heighten many of the other risk factors described in Part I, Item 1A. “Risk Factors” of the 2021 Form 10-K and may have a material adverse effect on our business and operating results.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 – Unregistered Sales of Equity Securities and Use of Proceeds</w:t>
      </w:r>
    </w:p>
    <w:p>
      <w:pPr>
        <w:spacing w:after="0" w:line="212" w:lineRule="exact"/>
        <w:rPr>
          <w:sz w:val="20"/>
          <w:szCs w:val="20"/>
          <w:color w:val="auto"/>
        </w:rPr>
      </w:pPr>
    </w:p>
    <w:p>
      <w:pPr>
        <w:ind w:right="20"/>
        <w:spacing w:after="0" w:line="288" w:lineRule="auto"/>
        <w:rPr>
          <w:sz w:val="20"/>
          <w:szCs w:val="20"/>
          <w:color w:val="auto"/>
        </w:rPr>
      </w:pPr>
      <w:r>
        <w:rPr>
          <w:rFonts w:ascii="Arial" w:cs="Arial" w:eastAsia="Arial" w:hAnsi="Arial"/>
          <w:sz w:val="18"/>
          <w:szCs w:val="18"/>
          <w:color w:val="auto"/>
        </w:rPr>
        <w:t>In August 2021, the Board of Directors authorized the repurchase of 4.0 million shares of our common stock. This authorization was in addition to the August 2019 Board authorization to purchase 6.0 million shares of our common stock. We conduct share repurchases from time to time through a variety of methods, including open market purchases, block transactions, privately negotiated transactions or similar facilities. The following table shows the total number of shares repurchased during the first quarter of 2022. As of March 31, 2022, there were 4.0 million and 0.6 million shares remaining authorized for repurchase under the 2021 authorization and 2019 authorization, respectively.</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580" w:type="dxa"/>
            <w:vAlign w:val="bottom"/>
          </w:tcPr>
          <w:p>
            <w:pPr>
              <w:spacing w:after="0"/>
              <w:rPr>
                <w:sz w:val="20"/>
                <w:szCs w:val="20"/>
                <w:color w:val="auto"/>
              </w:rPr>
            </w:pPr>
          </w:p>
        </w:tc>
        <w:tc>
          <w:tcPr>
            <w:tcW w:w="5020" w:type="dxa"/>
            <w:vAlign w:val="bottom"/>
            <w:gridSpan w:val="6"/>
          </w:tcPr>
          <w:p>
            <w:pPr>
              <w:ind w:left="1000"/>
              <w:spacing w:after="0"/>
              <w:rPr>
                <w:sz w:val="20"/>
                <w:szCs w:val="20"/>
                <w:color w:val="auto"/>
              </w:rPr>
            </w:pPr>
            <w:r>
              <w:rPr>
                <w:rFonts w:ascii="Arial" w:cs="Arial" w:eastAsia="Arial" w:hAnsi="Arial"/>
                <w:sz w:val="18"/>
                <w:szCs w:val="18"/>
                <w:b w:val="1"/>
                <w:bCs w:val="1"/>
                <w:color w:val="auto"/>
                <w:w w:val="99"/>
              </w:rPr>
              <w:t>ISSUER PURCHASES OF EQUITY SECURITIES</w:t>
            </w:r>
          </w:p>
        </w:tc>
        <w:tc>
          <w:tcPr>
            <w:tcW w:w="1740" w:type="dxa"/>
            <w:vAlign w:val="bottom"/>
            <w:vMerge w:val="restart"/>
          </w:tcPr>
          <w:p>
            <w:pPr>
              <w:jc w:val="center"/>
              <w:ind w:right="10"/>
              <w:spacing w:after="0"/>
              <w:rPr>
                <w:sz w:val="20"/>
                <w:szCs w:val="20"/>
                <w:color w:val="auto"/>
              </w:rPr>
            </w:pPr>
            <w:r>
              <w:rPr>
                <w:rFonts w:ascii="Arial" w:cs="Arial" w:eastAsia="Arial" w:hAnsi="Arial"/>
                <w:sz w:val="18"/>
                <w:szCs w:val="18"/>
                <w:b w:val="1"/>
                <w:bCs w:val="1"/>
                <w:color w:val="auto"/>
                <w:w w:val="91"/>
              </w:rPr>
              <w:t>Total number</w:t>
            </w:r>
          </w:p>
        </w:tc>
        <w:tc>
          <w:tcPr>
            <w:tcW w:w="16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8"/>
        </w:trPr>
        <w:tc>
          <w:tcPr>
            <w:tcW w:w="25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4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5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740" w:type="dxa"/>
            <w:vAlign w:val="bottom"/>
          </w:tcPr>
          <w:p>
            <w:pPr>
              <w:jc w:val="center"/>
              <w:ind w:right="10"/>
              <w:spacing w:after="0" w:line="176" w:lineRule="exact"/>
              <w:rPr>
                <w:sz w:val="20"/>
                <w:szCs w:val="20"/>
                <w:color w:val="auto"/>
              </w:rPr>
            </w:pPr>
            <w:r>
              <w:rPr>
                <w:rFonts w:ascii="Arial" w:cs="Arial" w:eastAsia="Arial" w:hAnsi="Arial"/>
                <w:sz w:val="18"/>
                <w:szCs w:val="18"/>
                <w:b w:val="1"/>
                <w:bCs w:val="1"/>
                <w:color w:val="auto"/>
                <w:w w:val="84"/>
              </w:rPr>
              <w:t>of shares</w:t>
            </w:r>
          </w:p>
        </w:tc>
        <w:tc>
          <w:tcPr>
            <w:tcW w:w="160" w:type="dxa"/>
            <w:vAlign w:val="bottom"/>
          </w:tcPr>
          <w:p>
            <w:pPr>
              <w:spacing w:after="0"/>
              <w:rPr>
                <w:sz w:val="15"/>
                <w:szCs w:val="15"/>
                <w:color w:val="auto"/>
              </w:rPr>
            </w:pPr>
          </w:p>
        </w:tc>
        <w:tc>
          <w:tcPr>
            <w:tcW w:w="1740" w:type="dxa"/>
            <w:vAlign w:val="bottom"/>
            <w:vMerge w:val="restart"/>
          </w:tcPr>
          <w:p>
            <w:pPr>
              <w:ind w:left="420"/>
              <w:spacing w:after="0"/>
              <w:rPr>
                <w:sz w:val="20"/>
                <w:szCs w:val="20"/>
                <w:color w:val="auto"/>
              </w:rPr>
            </w:pPr>
            <w:r>
              <w:rPr>
                <w:rFonts w:ascii="Arial" w:cs="Arial" w:eastAsia="Arial" w:hAnsi="Arial"/>
                <w:sz w:val="18"/>
                <w:szCs w:val="18"/>
                <w:b w:val="1"/>
                <w:bCs w:val="1"/>
                <w:color w:val="auto"/>
              </w:rPr>
              <w:t>Maximum</w:t>
            </w:r>
          </w:p>
        </w:tc>
        <w:tc>
          <w:tcPr>
            <w:tcW w:w="0" w:type="dxa"/>
            <w:vAlign w:val="bottom"/>
          </w:tcPr>
          <w:p>
            <w:pPr>
              <w:spacing w:after="0"/>
              <w:rPr>
                <w:sz w:val="1"/>
                <w:szCs w:val="1"/>
                <w:color w:val="auto"/>
              </w:rPr>
            </w:pPr>
          </w:p>
        </w:tc>
      </w:tr>
      <w:tr>
        <w:trPr>
          <w:trHeight w:val="175"/>
        </w:trPr>
        <w:tc>
          <w:tcPr>
            <w:tcW w:w="25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780" w:type="dxa"/>
            <w:vAlign w:val="bottom"/>
            <w:vMerge w:val="restart"/>
          </w:tcPr>
          <w:p>
            <w:pPr>
              <w:jc w:val="center"/>
              <w:ind w:right="50"/>
              <w:spacing w:after="0"/>
              <w:rPr>
                <w:sz w:val="20"/>
                <w:szCs w:val="20"/>
                <w:color w:val="auto"/>
              </w:rPr>
            </w:pPr>
            <w:r>
              <w:rPr>
                <w:rFonts w:ascii="Arial" w:cs="Arial" w:eastAsia="Arial" w:hAnsi="Arial"/>
                <w:sz w:val="18"/>
                <w:szCs w:val="18"/>
                <w:b w:val="1"/>
                <w:bCs w:val="1"/>
                <w:color w:val="auto"/>
                <w:w w:val="92"/>
              </w:rPr>
              <w:t>Total</w:t>
            </w: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740" w:type="dxa"/>
            <w:vAlign w:val="bottom"/>
          </w:tcPr>
          <w:p>
            <w:pPr>
              <w:jc w:val="center"/>
              <w:ind w:right="10"/>
              <w:spacing w:after="0" w:line="176" w:lineRule="exact"/>
              <w:rPr>
                <w:sz w:val="20"/>
                <w:szCs w:val="20"/>
                <w:color w:val="auto"/>
              </w:rPr>
            </w:pPr>
            <w:r>
              <w:rPr>
                <w:rFonts w:ascii="Arial" w:cs="Arial" w:eastAsia="Arial" w:hAnsi="Arial"/>
                <w:sz w:val="18"/>
                <w:szCs w:val="18"/>
                <w:b w:val="1"/>
                <w:bCs w:val="1"/>
                <w:color w:val="auto"/>
                <w:w w:val="86"/>
              </w:rPr>
              <w:t>purchased as</w:t>
            </w:r>
          </w:p>
        </w:tc>
        <w:tc>
          <w:tcPr>
            <w:tcW w:w="160" w:type="dxa"/>
            <w:vAlign w:val="bottom"/>
          </w:tcPr>
          <w:p>
            <w:pPr>
              <w:spacing w:after="0"/>
              <w:rPr>
                <w:sz w:val="15"/>
                <w:szCs w:val="15"/>
                <w:color w:val="auto"/>
              </w:rPr>
            </w:pPr>
          </w:p>
        </w:tc>
        <w:tc>
          <w:tcPr>
            <w:tcW w:w="17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5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78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740" w:type="dxa"/>
            <w:vAlign w:val="bottom"/>
          </w:tcPr>
          <w:p>
            <w:pPr>
              <w:jc w:val="center"/>
              <w:ind w:right="10"/>
              <w:spacing w:after="0" w:line="176" w:lineRule="exact"/>
              <w:rPr>
                <w:sz w:val="20"/>
                <w:szCs w:val="20"/>
                <w:color w:val="auto"/>
              </w:rPr>
            </w:pPr>
            <w:r>
              <w:rPr>
                <w:rFonts w:ascii="Arial" w:cs="Arial" w:eastAsia="Arial" w:hAnsi="Arial"/>
                <w:sz w:val="18"/>
                <w:szCs w:val="18"/>
                <w:b w:val="1"/>
                <w:bCs w:val="1"/>
                <w:color w:val="auto"/>
                <w:w w:val="92"/>
              </w:rPr>
              <w:t>part of</w:t>
            </w:r>
          </w:p>
        </w:tc>
        <w:tc>
          <w:tcPr>
            <w:tcW w:w="160" w:type="dxa"/>
            <w:vAlign w:val="bottom"/>
          </w:tcPr>
          <w:p>
            <w:pPr>
              <w:spacing w:after="0"/>
              <w:rPr>
                <w:sz w:val="15"/>
                <w:szCs w:val="15"/>
                <w:color w:val="auto"/>
              </w:rPr>
            </w:pPr>
          </w:p>
        </w:tc>
        <w:tc>
          <w:tcPr>
            <w:tcW w:w="1740" w:type="dxa"/>
            <w:vAlign w:val="bottom"/>
          </w:tcPr>
          <w:p>
            <w:pPr>
              <w:ind w:left="420"/>
              <w:spacing w:after="0" w:line="176" w:lineRule="exact"/>
              <w:rPr>
                <w:sz w:val="20"/>
                <w:szCs w:val="20"/>
                <w:color w:val="auto"/>
              </w:rPr>
            </w:pPr>
            <w:r>
              <w:rPr>
                <w:rFonts w:ascii="Arial" w:cs="Arial" w:eastAsia="Arial" w:hAnsi="Arial"/>
                <w:sz w:val="18"/>
                <w:szCs w:val="18"/>
                <w:b w:val="1"/>
                <w:bCs w:val="1"/>
                <w:color w:val="auto"/>
              </w:rPr>
              <w:t>number of</w:t>
            </w:r>
          </w:p>
        </w:tc>
        <w:tc>
          <w:tcPr>
            <w:tcW w:w="0" w:type="dxa"/>
            <w:vAlign w:val="bottom"/>
          </w:tcPr>
          <w:p>
            <w:pPr>
              <w:spacing w:after="0"/>
              <w:rPr>
                <w:sz w:val="1"/>
                <w:szCs w:val="1"/>
                <w:color w:val="auto"/>
              </w:rPr>
            </w:pPr>
          </w:p>
        </w:tc>
      </w:tr>
      <w:tr>
        <w:trPr>
          <w:trHeight w:val="176"/>
        </w:trPr>
        <w:tc>
          <w:tcPr>
            <w:tcW w:w="25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780" w:type="dxa"/>
            <w:vAlign w:val="bottom"/>
          </w:tcPr>
          <w:p>
            <w:pPr>
              <w:jc w:val="center"/>
              <w:ind w:right="50"/>
              <w:spacing w:after="0" w:line="176" w:lineRule="exact"/>
              <w:rPr>
                <w:sz w:val="20"/>
                <w:szCs w:val="20"/>
                <w:color w:val="auto"/>
              </w:rPr>
            </w:pPr>
            <w:r>
              <w:rPr>
                <w:rFonts w:ascii="Arial" w:cs="Arial" w:eastAsia="Arial" w:hAnsi="Arial"/>
                <w:sz w:val="18"/>
                <w:szCs w:val="18"/>
                <w:b w:val="1"/>
                <w:bCs w:val="1"/>
                <w:color w:val="auto"/>
                <w:w w:val="90"/>
              </w:rPr>
              <w:t>number</w:t>
            </w: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20" w:type="dxa"/>
            <w:vAlign w:val="bottom"/>
            <w:gridSpan w:val="2"/>
            <w:vMerge w:val="restart"/>
          </w:tcPr>
          <w:p>
            <w:pPr>
              <w:ind w:left="100"/>
              <w:spacing w:after="0"/>
              <w:rPr>
                <w:sz w:val="20"/>
                <w:szCs w:val="20"/>
                <w:color w:val="auto"/>
              </w:rPr>
            </w:pPr>
            <w:r>
              <w:rPr>
                <w:rFonts w:ascii="Arial" w:cs="Arial" w:eastAsia="Arial" w:hAnsi="Arial"/>
                <w:sz w:val="18"/>
                <w:szCs w:val="18"/>
                <w:b w:val="1"/>
                <w:bCs w:val="1"/>
                <w:color w:val="auto"/>
              </w:rPr>
              <w:t>Average price</w:t>
            </w:r>
          </w:p>
        </w:tc>
        <w:tc>
          <w:tcPr>
            <w:tcW w:w="174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1"/>
              </w:rPr>
              <w:t>publicly</w:t>
            </w:r>
          </w:p>
        </w:tc>
        <w:tc>
          <w:tcPr>
            <w:tcW w:w="160" w:type="dxa"/>
            <w:vAlign w:val="bottom"/>
          </w:tcPr>
          <w:p>
            <w:pPr>
              <w:spacing w:after="0"/>
              <w:rPr>
                <w:sz w:val="15"/>
                <w:szCs w:val="15"/>
                <w:color w:val="auto"/>
              </w:rPr>
            </w:pPr>
          </w:p>
        </w:tc>
        <w:tc>
          <w:tcPr>
            <w:tcW w:w="1740" w:type="dxa"/>
            <w:vAlign w:val="bottom"/>
          </w:tcPr>
          <w:p>
            <w:pPr>
              <w:ind w:left="400"/>
              <w:spacing w:after="0" w:line="176" w:lineRule="exact"/>
              <w:rPr>
                <w:sz w:val="20"/>
                <w:szCs w:val="20"/>
                <w:color w:val="auto"/>
              </w:rPr>
            </w:pPr>
            <w:r>
              <w:rPr>
                <w:rFonts w:ascii="Arial" w:cs="Arial" w:eastAsia="Arial" w:hAnsi="Arial"/>
                <w:sz w:val="18"/>
                <w:szCs w:val="18"/>
                <w:b w:val="1"/>
                <w:bCs w:val="1"/>
                <w:color w:val="auto"/>
              </w:rPr>
              <w:t>shares that</w:t>
            </w:r>
          </w:p>
        </w:tc>
        <w:tc>
          <w:tcPr>
            <w:tcW w:w="0" w:type="dxa"/>
            <w:vAlign w:val="bottom"/>
          </w:tcPr>
          <w:p>
            <w:pPr>
              <w:spacing w:after="0"/>
              <w:rPr>
                <w:sz w:val="1"/>
                <w:szCs w:val="1"/>
                <w:color w:val="auto"/>
              </w:rPr>
            </w:pPr>
          </w:p>
        </w:tc>
      </w:tr>
      <w:tr>
        <w:trPr>
          <w:trHeight w:val="175"/>
        </w:trPr>
        <w:tc>
          <w:tcPr>
            <w:tcW w:w="25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780" w:type="dxa"/>
            <w:vAlign w:val="bottom"/>
          </w:tcPr>
          <w:p>
            <w:pPr>
              <w:jc w:val="center"/>
              <w:ind w:right="50"/>
              <w:spacing w:after="0" w:line="176" w:lineRule="exact"/>
              <w:rPr>
                <w:sz w:val="20"/>
                <w:szCs w:val="20"/>
                <w:color w:val="auto"/>
              </w:rPr>
            </w:pPr>
            <w:r>
              <w:rPr>
                <w:rFonts w:ascii="Arial" w:cs="Arial" w:eastAsia="Arial" w:hAnsi="Arial"/>
                <w:sz w:val="18"/>
                <w:szCs w:val="18"/>
                <w:b w:val="1"/>
                <w:bCs w:val="1"/>
                <w:color w:val="auto"/>
                <w:w w:val="84"/>
              </w:rPr>
              <w:t>of shares</w:t>
            </w: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20" w:type="dxa"/>
            <w:vAlign w:val="bottom"/>
            <w:gridSpan w:val="2"/>
            <w:vMerge w:val="continue"/>
          </w:tcPr>
          <w:p>
            <w:pPr>
              <w:spacing w:after="0"/>
              <w:rPr>
                <w:sz w:val="15"/>
                <w:szCs w:val="15"/>
                <w:color w:val="auto"/>
              </w:rPr>
            </w:pPr>
          </w:p>
        </w:tc>
        <w:tc>
          <w:tcPr>
            <w:tcW w:w="1740" w:type="dxa"/>
            <w:vAlign w:val="bottom"/>
          </w:tcPr>
          <w:p>
            <w:pPr>
              <w:jc w:val="center"/>
              <w:ind w:right="10"/>
              <w:spacing w:after="0" w:line="176" w:lineRule="exact"/>
              <w:rPr>
                <w:sz w:val="20"/>
                <w:szCs w:val="20"/>
                <w:color w:val="auto"/>
              </w:rPr>
            </w:pPr>
            <w:r>
              <w:rPr>
                <w:rFonts w:ascii="Arial" w:cs="Arial" w:eastAsia="Arial" w:hAnsi="Arial"/>
                <w:sz w:val="18"/>
                <w:szCs w:val="18"/>
                <w:b w:val="1"/>
                <w:bCs w:val="1"/>
                <w:color w:val="auto"/>
                <w:w w:val="87"/>
              </w:rPr>
              <w:t>announced</w:t>
            </w:r>
          </w:p>
        </w:tc>
        <w:tc>
          <w:tcPr>
            <w:tcW w:w="160" w:type="dxa"/>
            <w:vAlign w:val="bottom"/>
          </w:tcPr>
          <w:p>
            <w:pPr>
              <w:spacing w:after="0"/>
              <w:rPr>
                <w:sz w:val="15"/>
                <w:szCs w:val="15"/>
                <w:color w:val="auto"/>
              </w:rPr>
            </w:pPr>
          </w:p>
        </w:tc>
        <w:tc>
          <w:tcPr>
            <w:tcW w:w="1740" w:type="dxa"/>
            <w:vAlign w:val="bottom"/>
          </w:tcPr>
          <w:p>
            <w:pPr>
              <w:ind w:left="400"/>
              <w:spacing w:after="0" w:line="176" w:lineRule="exact"/>
              <w:rPr>
                <w:sz w:val="20"/>
                <w:szCs w:val="20"/>
                <w:color w:val="auto"/>
              </w:rPr>
            </w:pPr>
            <w:r>
              <w:rPr>
                <w:rFonts w:ascii="Arial" w:cs="Arial" w:eastAsia="Arial" w:hAnsi="Arial"/>
                <w:sz w:val="18"/>
                <w:szCs w:val="18"/>
                <w:b w:val="1"/>
                <w:bCs w:val="1"/>
                <w:color w:val="auto"/>
              </w:rPr>
              <w:t>may yet be</w:t>
            </w:r>
          </w:p>
        </w:tc>
        <w:tc>
          <w:tcPr>
            <w:tcW w:w="0" w:type="dxa"/>
            <w:vAlign w:val="bottom"/>
          </w:tcPr>
          <w:p>
            <w:pPr>
              <w:spacing w:after="0"/>
              <w:rPr>
                <w:sz w:val="1"/>
                <w:szCs w:val="1"/>
                <w:color w:val="auto"/>
              </w:rPr>
            </w:pPr>
          </w:p>
        </w:tc>
      </w:tr>
      <w:tr>
        <w:trPr>
          <w:trHeight w:val="216"/>
        </w:trPr>
        <w:tc>
          <w:tcPr>
            <w:tcW w:w="25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780" w:type="dxa"/>
            <w:vAlign w:val="bottom"/>
          </w:tcPr>
          <w:p>
            <w:pPr>
              <w:jc w:val="center"/>
              <w:ind w:right="50"/>
              <w:spacing w:after="0"/>
              <w:rPr>
                <w:sz w:val="20"/>
                <w:szCs w:val="20"/>
                <w:color w:val="auto"/>
              </w:rPr>
            </w:pPr>
            <w:r>
              <w:rPr>
                <w:rFonts w:ascii="Arial" w:cs="Arial" w:eastAsia="Arial" w:hAnsi="Arial"/>
                <w:sz w:val="18"/>
                <w:szCs w:val="18"/>
                <w:b w:val="1"/>
                <w:bCs w:val="1"/>
                <w:color w:val="auto"/>
                <w:w w:val="87"/>
              </w:rPr>
              <w:t>purchased</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20" w:type="dxa"/>
            <w:vAlign w:val="bottom"/>
            <w:gridSpan w:val="2"/>
          </w:tcPr>
          <w:p>
            <w:pPr>
              <w:ind w:left="80"/>
              <w:spacing w:after="0"/>
              <w:rPr>
                <w:sz w:val="20"/>
                <w:szCs w:val="20"/>
                <w:color w:val="auto"/>
              </w:rPr>
            </w:pPr>
            <w:r>
              <w:rPr>
                <w:rFonts w:ascii="Arial" w:cs="Arial" w:eastAsia="Arial" w:hAnsi="Arial"/>
                <w:sz w:val="18"/>
                <w:szCs w:val="18"/>
                <w:b w:val="1"/>
                <w:bCs w:val="1"/>
                <w:color w:val="auto"/>
              </w:rPr>
              <w:t>paid per share</w:t>
            </w:r>
          </w:p>
        </w:tc>
        <w:tc>
          <w:tcPr>
            <w:tcW w:w="1740" w:type="dxa"/>
            <w:vAlign w:val="bottom"/>
          </w:tcPr>
          <w:p>
            <w:pPr>
              <w:jc w:val="center"/>
              <w:spacing w:after="0"/>
              <w:rPr>
                <w:sz w:val="20"/>
                <w:szCs w:val="20"/>
                <w:color w:val="auto"/>
              </w:rPr>
            </w:pPr>
            <w:r>
              <w:rPr>
                <w:rFonts w:ascii="Arial" w:cs="Arial" w:eastAsia="Arial" w:hAnsi="Arial"/>
                <w:sz w:val="18"/>
                <w:szCs w:val="18"/>
                <w:b w:val="1"/>
                <w:bCs w:val="1"/>
                <w:color w:val="auto"/>
                <w:w w:val="91"/>
              </w:rPr>
              <w:t>plan</w:t>
            </w:r>
          </w:p>
        </w:tc>
        <w:tc>
          <w:tcPr>
            <w:tcW w:w="160" w:type="dxa"/>
            <w:vAlign w:val="bottom"/>
          </w:tcPr>
          <w:p>
            <w:pPr>
              <w:spacing w:after="0"/>
              <w:rPr>
                <w:sz w:val="18"/>
                <w:szCs w:val="18"/>
                <w:color w:val="auto"/>
              </w:rPr>
            </w:pPr>
          </w:p>
        </w:tc>
        <w:tc>
          <w:tcPr>
            <w:tcW w:w="1740" w:type="dxa"/>
            <w:vAlign w:val="bottom"/>
          </w:tcPr>
          <w:p>
            <w:pPr>
              <w:ind w:left="420"/>
              <w:spacing w:after="0"/>
              <w:rPr>
                <w:sz w:val="20"/>
                <w:szCs w:val="20"/>
                <w:color w:val="auto"/>
              </w:rPr>
            </w:pPr>
            <w:r>
              <w:rPr>
                <w:rFonts w:ascii="Arial" w:cs="Arial" w:eastAsia="Arial" w:hAnsi="Arial"/>
                <w:sz w:val="18"/>
                <w:szCs w:val="18"/>
                <w:b w:val="1"/>
                <w:bCs w:val="1"/>
                <w:color w:val="auto"/>
              </w:rPr>
              <w:t>purchased</w:t>
            </w:r>
          </w:p>
        </w:tc>
        <w:tc>
          <w:tcPr>
            <w:tcW w:w="0" w:type="dxa"/>
            <w:vAlign w:val="bottom"/>
          </w:tcPr>
          <w:p>
            <w:pPr>
              <w:spacing w:after="0"/>
              <w:rPr>
                <w:sz w:val="1"/>
                <w:szCs w:val="1"/>
                <w:color w:val="auto"/>
              </w:rPr>
            </w:pPr>
          </w:p>
        </w:tc>
      </w:tr>
      <w:tr>
        <w:trPr>
          <w:trHeight w:val="196"/>
        </w:trPr>
        <w:tc>
          <w:tcPr>
            <w:tcW w:w="25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January 1 - 31, 2022</w:t>
            </w:r>
          </w:p>
        </w:tc>
        <w:tc>
          <w:tcPr>
            <w:tcW w:w="1040" w:type="dxa"/>
            <w:vAlign w:val="bottom"/>
            <w:shd w:val="clear" w:color="auto" w:fill="CFF0FC"/>
          </w:tcPr>
          <w:p>
            <w:pPr>
              <w:spacing w:after="0"/>
              <w:rPr>
                <w:sz w:val="17"/>
                <w:szCs w:val="17"/>
                <w:color w:val="auto"/>
              </w:rPr>
            </w:pPr>
          </w:p>
        </w:tc>
        <w:tc>
          <w:tcPr>
            <w:tcW w:w="1780" w:type="dxa"/>
            <w:vAlign w:val="bottom"/>
            <w:tcBorders>
              <w:top w:val="single" w:sz="8" w:color="auto"/>
            </w:tcBorders>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580" w:type="dxa"/>
            <w:vAlign w:val="bottom"/>
            <w:tcBorders>
              <w:top w:val="single" w:sz="8" w:color="auto"/>
            </w:tcBorders>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7"/>
                <w:szCs w:val="17"/>
                <w:color w:val="auto"/>
              </w:rPr>
            </w:pPr>
          </w:p>
        </w:tc>
        <w:tc>
          <w:tcPr>
            <w:tcW w:w="1740" w:type="dxa"/>
            <w:vAlign w:val="bottom"/>
            <w:tcBorders>
              <w:top w:val="single" w:sz="8" w:color="auto"/>
            </w:tcBorders>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7"/>
                <w:szCs w:val="17"/>
                <w:color w:val="auto"/>
              </w:rPr>
            </w:pPr>
          </w:p>
        </w:tc>
        <w:tc>
          <w:tcPr>
            <w:tcW w:w="1740" w:type="dxa"/>
            <w:vAlign w:val="bottom"/>
            <w:tcBorders>
              <w:top w:val="single" w:sz="8" w:color="auto"/>
            </w:tcBorders>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rPr>
              <w:t>5,222,640</w:t>
            </w:r>
          </w:p>
        </w:tc>
        <w:tc>
          <w:tcPr>
            <w:tcW w:w="0" w:type="dxa"/>
            <w:vAlign w:val="bottom"/>
          </w:tcPr>
          <w:p>
            <w:pPr>
              <w:spacing w:after="0"/>
              <w:rPr>
                <w:sz w:val="1"/>
                <w:szCs w:val="1"/>
                <w:color w:val="auto"/>
              </w:rPr>
            </w:pPr>
          </w:p>
        </w:tc>
      </w:tr>
      <w:tr>
        <w:trPr>
          <w:trHeight w:val="202"/>
        </w:trPr>
        <w:tc>
          <w:tcPr>
            <w:tcW w:w="2580" w:type="dxa"/>
            <w:vAlign w:val="bottom"/>
          </w:tcPr>
          <w:p>
            <w:pPr>
              <w:ind w:left="20"/>
              <w:spacing w:after="0" w:line="202" w:lineRule="exact"/>
              <w:rPr>
                <w:sz w:val="20"/>
                <w:szCs w:val="20"/>
                <w:color w:val="auto"/>
              </w:rPr>
            </w:pPr>
            <w:r>
              <w:rPr>
                <w:rFonts w:ascii="Arial" w:cs="Arial" w:eastAsia="Arial" w:hAnsi="Arial"/>
                <w:sz w:val="18"/>
                <w:szCs w:val="18"/>
                <w:color w:val="auto"/>
              </w:rPr>
              <w:t>February 1 - 28, 2022</w:t>
            </w:r>
          </w:p>
        </w:tc>
        <w:tc>
          <w:tcPr>
            <w:tcW w:w="2820" w:type="dxa"/>
            <w:vAlign w:val="bottom"/>
            <w:gridSpan w:val="2"/>
          </w:tcPr>
          <w:p>
            <w:pPr>
              <w:jc w:val="right"/>
              <w:ind w:right="50"/>
              <w:spacing w:after="0" w:line="202" w:lineRule="exact"/>
              <w:rPr>
                <w:sz w:val="20"/>
                <w:szCs w:val="20"/>
                <w:color w:val="auto"/>
              </w:rPr>
            </w:pPr>
            <w:r>
              <w:rPr>
                <w:rFonts w:ascii="Arial" w:cs="Arial" w:eastAsia="Arial" w:hAnsi="Arial"/>
                <w:sz w:val="18"/>
                <w:szCs w:val="18"/>
                <w:color w:val="auto"/>
              </w:rPr>
              <w:t>378,073</w:t>
            </w:r>
          </w:p>
        </w:tc>
        <w:tc>
          <w:tcPr>
            <w:tcW w:w="280" w:type="dxa"/>
            <w:vAlign w:val="bottom"/>
          </w:tcPr>
          <w:p>
            <w:pPr>
              <w:jc w:val="right"/>
              <w:ind w:right="80"/>
              <w:spacing w:after="0"/>
              <w:rPr>
                <w:sz w:val="20"/>
                <w:szCs w:val="20"/>
                <w:color w:val="auto"/>
              </w:rPr>
            </w:pPr>
            <w:r>
              <w:rPr>
                <w:rFonts w:ascii="Arial" w:cs="Arial" w:eastAsia="Arial" w:hAnsi="Arial"/>
                <w:sz w:val="12"/>
                <w:szCs w:val="12"/>
                <w:color w:val="auto"/>
                <w:w w:val="81"/>
              </w:rPr>
              <w:t>(1)</w:t>
            </w:r>
          </w:p>
        </w:tc>
        <w:tc>
          <w:tcPr>
            <w:tcW w:w="200" w:type="dxa"/>
            <w:vAlign w:val="bottom"/>
          </w:tcPr>
          <w:p>
            <w:pPr>
              <w:jc w:val="right"/>
              <w:ind w:right="10"/>
              <w:spacing w:after="0" w:line="202" w:lineRule="exact"/>
              <w:rPr>
                <w:sz w:val="20"/>
                <w:szCs w:val="20"/>
                <w:color w:val="auto"/>
              </w:rPr>
            </w:pPr>
            <w:r>
              <w:rPr>
                <w:rFonts w:ascii="Arial" w:cs="Arial" w:eastAsia="Arial" w:hAnsi="Arial"/>
                <w:sz w:val="18"/>
                <w:szCs w:val="18"/>
                <w:color w:val="auto"/>
                <w:w w:val="79"/>
              </w:rPr>
              <w:t>$</w:t>
            </w:r>
          </w:p>
        </w:tc>
        <w:tc>
          <w:tcPr>
            <w:tcW w:w="1580" w:type="dxa"/>
            <w:vAlign w:val="bottom"/>
          </w:tcPr>
          <w:p>
            <w:pPr>
              <w:jc w:val="right"/>
              <w:ind w:right="30"/>
              <w:spacing w:after="0" w:line="202" w:lineRule="exact"/>
              <w:rPr>
                <w:sz w:val="20"/>
                <w:szCs w:val="20"/>
                <w:color w:val="auto"/>
              </w:rPr>
            </w:pPr>
            <w:r>
              <w:rPr>
                <w:rFonts w:ascii="Arial" w:cs="Arial" w:eastAsia="Arial" w:hAnsi="Arial"/>
                <w:sz w:val="18"/>
                <w:szCs w:val="18"/>
                <w:color w:val="auto"/>
              </w:rPr>
              <w:t>110.47</w:t>
            </w:r>
          </w:p>
        </w:tc>
        <w:tc>
          <w:tcPr>
            <w:tcW w:w="140" w:type="dxa"/>
            <w:vAlign w:val="bottom"/>
          </w:tcPr>
          <w:p>
            <w:pPr>
              <w:spacing w:after="0"/>
              <w:rPr>
                <w:sz w:val="17"/>
                <w:szCs w:val="17"/>
                <w:color w:val="auto"/>
              </w:rPr>
            </w:pPr>
          </w:p>
        </w:tc>
        <w:tc>
          <w:tcPr>
            <w:tcW w:w="1740" w:type="dxa"/>
            <w:vAlign w:val="bottom"/>
          </w:tcPr>
          <w:p>
            <w:pPr>
              <w:jc w:val="right"/>
              <w:ind w:right="30"/>
              <w:spacing w:after="0" w:line="202" w:lineRule="exact"/>
              <w:rPr>
                <w:sz w:val="20"/>
                <w:szCs w:val="20"/>
                <w:color w:val="auto"/>
              </w:rPr>
            </w:pPr>
            <w:r>
              <w:rPr>
                <w:rFonts w:ascii="Arial" w:cs="Arial" w:eastAsia="Arial" w:hAnsi="Arial"/>
                <w:sz w:val="18"/>
                <w:szCs w:val="18"/>
                <w:color w:val="auto"/>
              </w:rPr>
              <w:t>297,717</w:t>
            </w:r>
          </w:p>
        </w:tc>
        <w:tc>
          <w:tcPr>
            <w:tcW w:w="1900" w:type="dxa"/>
            <w:vAlign w:val="bottom"/>
            <w:gridSpan w:val="2"/>
          </w:tcPr>
          <w:p>
            <w:pPr>
              <w:jc w:val="right"/>
              <w:ind w:right="30"/>
              <w:spacing w:after="0" w:line="202" w:lineRule="exact"/>
              <w:rPr>
                <w:sz w:val="20"/>
                <w:szCs w:val="20"/>
                <w:color w:val="auto"/>
              </w:rPr>
            </w:pPr>
            <w:r>
              <w:rPr>
                <w:rFonts w:ascii="Arial" w:cs="Arial" w:eastAsia="Arial" w:hAnsi="Arial"/>
                <w:sz w:val="18"/>
                <w:szCs w:val="18"/>
                <w:color w:val="auto"/>
              </w:rPr>
              <w:t>4,924,923</w:t>
            </w:r>
          </w:p>
        </w:tc>
        <w:tc>
          <w:tcPr>
            <w:tcW w:w="0" w:type="dxa"/>
            <w:vAlign w:val="bottom"/>
          </w:tcPr>
          <w:p>
            <w:pPr>
              <w:spacing w:after="0"/>
              <w:rPr>
                <w:sz w:val="1"/>
                <w:szCs w:val="1"/>
                <w:color w:val="auto"/>
              </w:rPr>
            </w:pPr>
          </w:p>
        </w:tc>
      </w:tr>
      <w:tr>
        <w:trPr>
          <w:trHeight w:val="203"/>
        </w:trPr>
        <w:tc>
          <w:tcPr>
            <w:tcW w:w="258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March 1 - 31, 2022</w:t>
            </w:r>
          </w:p>
        </w:tc>
        <w:tc>
          <w:tcPr>
            <w:tcW w:w="1040" w:type="dxa"/>
            <w:vAlign w:val="bottom"/>
            <w:tcBorders>
              <w:bottom w:val="single" w:sz="8" w:color="CFF0FC"/>
            </w:tcBorders>
            <w:shd w:val="clear" w:color="auto" w:fill="CFF0FC"/>
          </w:tcPr>
          <w:p>
            <w:pPr>
              <w:spacing w:after="0"/>
              <w:rPr>
                <w:sz w:val="17"/>
                <w:szCs w:val="17"/>
                <w:color w:val="auto"/>
              </w:rPr>
            </w:pPr>
          </w:p>
        </w:tc>
        <w:tc>
          <w:tcPr>
            <w:tcW w:w="1780" w:type="dxa"/>
            <w:vAlign w:val="bottom"/>
            <w:tcBorders>
              <w:bottom w:val="single" w:sz="8" w:color="auto"/>
            </w:tcBorders>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rPr>
              <w:t>279,986</w:t>
            </w:r>
          </w:p>
        </w:tc>
        <w:tc>
          <w:tcPr>
            <w:tcW w:w="280" w:type="dxa"/>
            <w:vAlign w:val="bottom"/>
            <w:tcBorders>
              <w:bottom w:val="single" w:sz="8" w:color="CFF0FC"/>
            </w:tcBorders>
            <w:shd w:val="clear" w:color="auto" w:fill="CFF0FC"/>
          </w:tcPr>
          <w:p>
            <w:pPr>
              <w:jc w:val="right"/>
              <w:ind w:right="80"/>
              <w:spacing w:after="0"/>
              <w:rPr>
                <w:sz w:val="20"/>
                <w:szCs w:val="20"/>
                <w:color w:val="auto"/>
              </w:rPr>
            </w:pPr>
            <w:r>
              <w:rPr>
                <w:rFonts w:ascii="Arial" w:cs="Arial" w:eastAsia="Arial" w:hAnsi="Arial"/>
                <w:sz w:val="12"/>
                <w:szCs w:val="12"/>
                <w:color w:val="auto"/>
                <w:w w:val="81"/>
              </w:rPr>
              <w:t>(2)</w:t>
            </w:r>
          </w:p>
        </w:tc>
        <w:tc>
          <w:tcPr>
            <w:tcW w:w="200" w:type="dxa"/>
            <w:vAlign w:val="bottom"/>
            <w:tcBorders>
              <w:bottom w:val="single" w:sz="8" w:color="CFF0FC"/>
            </w:tcBorders>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CFF0FC"/>
            </w:tcBorders>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96.83</w:t>
            </w:r>
          </w:p>
        </w:tc>
        <w:tc>
          <w:tcPr>
            <w:tcW w:w="140" w:type="dxa"/>
            <w:vAlign w:val="bottom"/>
            <w:tcBorders>
              <w:bottom w:val="single" w:sz="8" w:color="CFF0FC"/>
            </w:tcBorders>
            <w:shd w:val="clear" w:color="auto" w:fill="CFF0FC"/>
          </w:tcPr>
          <w:p>
            <w:pPr>
              <w:spacing w:after="0"/>
              <w:rPr>
                <w:sz w:val="17"/>
                <w:szCs w:val="17"/>
                <w:color w:val="auto"/>
              </w:rPr>
            </w:pPr>
          </w:p>
        </w:tc>
        <w:tc>
          <w:tcPr>
            <w:tcW w:w="1740" w:type="dxa"/>
            <w:vAlign w:val="bottom"/>
            <w:tcBorders>
              <w:bottom w:val="single" w:sz="8" w:color="auto"/>
            </w:tcBorders>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279,903</w:t>
            </w:r>
          </w:p>
        </w:tc>
        <w:tc>
          <w:tcPr>
            <w:tcW w:w="1900" w:type="dxa"/>
            <w:vAlign w:val="bottom"/>
            <w:tcBorders>
              <w:bottom w:val="single" w:sz="8" w:color="CFF0FC"/>
            </w:tcBorders>
            <w:gridSpan w:val="2"/>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4,645,020</w:t>
            </w:r>
          </w:p>
        </w:tc>
        <w:tc>
          <w:tcPr>
            <w:tcW w:w="0" w:type="dxa"/>
            <w:vAlign w:val="bottom"/>
          </w:tcPr>
          <w:p>
            <w:pPr>
              <w:spacing w:after="0"/>
              <w:rPr>
                <w:sz w:val="1"/>
                <w:szCs w:val="1"/>
                <w:color w:val="auto"/>
              </w:rPr>
            </w:pPr>
          </w:p>
        </w:tc>
      </w:tr>
      <w:tr>
        <w:trPr>
          <w:trHeight w:val="196"/>
        </w:trPr>
        <w:tc>
          <w:tcPr>
            <w:tcW w:w="2580" w:type="dxa"/>
            <w:vAlign w:val="bottom"/>
          </w:tcPr>
          <w:p>
            <w:pPr>
              <w:ind w:left="20"/>
              <w:spacing w:after="0" w:line="182" w:lineRule="exact"/>
              <w:rPr>
                <w:sz w:val="20"/>
                <w:szCs w:val="20"/>
                <w:color w:val="auto"/>
              </w:rPr>
            </w:pPr>
            <w:r>
              <w:rPr>
                <w:rFonts w:ascii="Arial" w:cs="Arial" w:eastAsia="Arial" w:hAnsi="Arial"/>
                <w:sz w:val="18"/>
                <w:szCs w:val="18"/>
                <w:color w:val="auto"/>
              </w:rPr>
              <w:t>Total</w:t>
            </w:r>
          </w:p>
        </w:tc>
        <w:tc>
          <w:tcPr>
            <w:tcW w:w="2820" w:type="dxa"/>
            <w:vAlign w:val="bottom"/>
            <w:gridSpan w:val="2"/>
          </w:tcPr>
          <w:p>
            <w:pPr>
              <w:jc w:val="right"/>
              <w:ind w:right="50"/>
              <w:spacing w:after="0" w:line="182" w:lineRule="exact"/>
              <w:rPr>
                <w:sz w:val="20"/>
                <w:szCs w:val="20"/>
                <w:color w:val="auto"/>
              </w:rPr>
            </w:pPr>
            <w:r>
              <w:rPr>
                <w:rFonts w:ascii="Arial" w:cs="Arial" w:eastAsia="Arial" w:hAnsi="Arial"/>
                <w:sz w:val="18"/>
                <w:szCs w:val="18"/>
                <w:color w:val="auto"/>
              </w:rPr>
              <w:t>658,059</w:t>
            </w:r>
          </w:p>
        </w:tc>
        <w:tc>
          <w:tcPr>
            <w:tcW w:w="280" w:type="dxa"/>
            <w:vAlign w:val="bottom"/>
          </w:tcPr>
          <w:p>
            <w:pPr>
              <w:spacing w:after="0"/>
              <w:rPr>
                <w:sz w:val="17"/>
                <w:szCs w:val="17"/>
                <w:color w:val="auto"/>
              </w:rPr>
            </w:pPr>
          </w:p>
        </w:tc>
        <w:tc>
          <w:tcPr>
            <w:tcW w:w="200" w:type="dxa"/>
            <w:vAlign w:val="bottom"/>
          </w:tcPr>
          <w:p>
            <w:pPr>
              <w:jc w:val="right"/>
              <w:ind w:right="10"/>
              <w:spacing w:after="0" w:line="182" w:lineRule="exact"/>
              <w:rPr>
                <w:sz w:val="20"/>
                <w:szCs w:val="20"/>
                <w:color w:val="auto"/>
              </w:rPr>
            </w:pPr>
            <w:r>
              <w:rPr>
                <w:rFonts w:ascii="Arial" w:cs="Arial" w:eastAsia="Arial" w:hAnsi="Arial"/>
                <w:sz w:val="18"/>
                <w:szCs w:val="18"/>
                <w:color w:val="auto"/>
                <w:w w:val="79"/>
              </w:rPr>
              <w:t>$</w:t>
            </w:r>
          </w:p>
        </w:tc>
        <w:tc>
          <w:tcPr>
            <w:tcW w:w="1580" w:type="dxa"/>
            <w:vAlign w:val="bottom"/>
          </w:tcPr>
          <w:p>
            <w:pPr>
              <w:jc w:val="right"/>
              <w:ind w:right="30"/>
              <w:spacing w:after="0" w:line="182" w:lineRule="exact"/>
              <w:rPr>
                <w:sz w:val="20"/>
                <w:szCs w:val="20"/>
                <w:color w:val="auto"/>
              </w:rPr>
            </w:pPr>
            <w:r>
              <w:rPr>
                <w:rFonts w:ascii="Arial" w:cs="Arial" w:eastAsia="Arial" w:hAnsi="Arial"/>
                <w:sz w:val="18"/>
                <w:szCs w:val="18"/>
                <w:color w:val="auto"/>
              </w:rPr>
              <w:t>103.86</w:t>
            </w:r>
          </w:p>
        </w:tc>
        <w:tc>
          <w:tcPr>
            <w:tcW w:w="140" w:type="dxa"/>
            <w:vAlign w:val="bottom"/>
          </w:tcPr>
          <w:p>
            <w:pPr>
              <w:spacing w:after="0"/>
              <w:rPr>
                <w:sz w:val="17"/>
                <w:szCs w:val="17"/>
                <w:color w:val="auto"/>
              </w:rPr>
            </w:pPr>
          </w:p>
        </w:tc>
        <w:tc>
          <w:tcPr>
            <w:tcW w:w="1740" w:type="dxa"/>
            <w:vAlign w:val="bottom"/>
          </w:tcPr>
          <w:p>
            <w:pPr>
              <w:jc w:val="right"/>
              <w:ind w:right="30"/>
              <w:spacing w:after="0" w:line="182" w:lineRule="exact"/>
              <w:rPr>
                <w:sz w:val="20"/>
                <w:szCs w:val="20"/>
                <w:color w:val="auto"/>
              </w:rPr>
            </w:pPr>
            <w:r>
              <w:rPr>
                <w:rFonts w:ascii="Arial" w:cs="Arial" w:eastAsia="Arial" w:hAnsi="Arial"/>
                <w:sz w:val="18"/>
                <w:szCs w:val="18"/>
                <w:color w:val="auto"/>
              </w:rPr>
              <w:t>577,620</w:t>
            </w:r>
          </w:p>
        </w:tc>
        <w:tc>
          <w:tcPr>
            <w:tcW w:w="1900" w:type="dxa"/>
            <w:vAlign w:val="bottom"/>
            <w:gridSpan w:val="2"/>
          </w:tcPr>
          <w:p>
            <w:pPr>
              <w:jc w:val="right"/>
              <w:ind w:right="30"/>
              <w:spacing w:after="0" w:line="182" w:lineRule="exact"/>
              <w:rPr>
                <w:sz w:val="20"/>
                <w:szCs w:val="20"/>
                <w:color w:val="auto"/>
              </w:rPr>
            </w:pPr>
            <w:r>
              <w:rPr>
                <w:rFonts w:ascii="Arial" w:cs="Arial" w:eastAsia="Arial" w:hAnsi="Arial"/>
                <w:sz w:val="18"/>
                <w:szCs w:val="18"/>
                <w:color w:val="auto"/>
              </w:rPr>
              <w:t>4,645,020</w:t>
            </w:r>
          </w:p>
        </w:tc>
        <w:tc>
          <w:tcPr>
            <w:tcW w:w="0" w:type="dxa"/>
            <w:vAlign w:val="bottom"/>
          </w:tcPr>
          <w:p>
            <w:pPr>
              <w:spacing w:after="0"/>
              <w:rPr>
                <w:sz w:val="1"/>
                <w:szCs w:val="1"/>
                <w:color w:val="auto"/>
              </w:rPr>
            </w:pPr>
          </w:p>
        </w:tc>
      </w:tr>
      <w:tr>
        <w:trPr>
          <w:trHeight w:val="20"/>
        </w:trPr>
        <w:tc>
          <w:tcPr>
            <w:tcW w:w="25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3425190</wp:posOffset>
            </wp:positionH>
            <wp:positionV relativeFrom="paragraph">
              <wp:posOffset>-159385</wp:posOffset>
            </wp:positionV>
            <wp:extent cx="179705" cy="571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79705" cy="571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-159385</wp:posOffset>
            </wp:positionV>
            <wp:extent cx="94615" cy="571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94615" cy="5715"/>
                    </a:xfrm>
                    <a:prstGeom prst="rect">
                      <a:avLst/>
                    </a:prstGeom>
                    <a:noFill/>
                  </pic:spPr>
                </pic:pic>
              </a:graphicData>
            </a:graphic>
          </wp:anchor>
        </w:drawing>
      </w:r>
    </w:p>
    <w:p>
      <w:pPr>
        <w:spacing w:after="0" w:line="209" w:lineRule="exact"/>
        <w:rPr>
          <w:sz w:val="20"/>
          <w:szCs w:val="20"/>
          <w:color w:val="auto"/>
        </w:rPr>
      </w:pPr>
    </w:p>
    <w:p>
      <w:pPr>
        <w:ind w:right="220" w:firstLine="8"/>
        <w:spacing w:after="0" w:line="244" w:lineRule="auto"/>
        <w:tabs>
          <w:tab w:leader="none" w:pos="2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Includes 80,356 shares of common stock withheld by ManpowerGroup to satisfy tax withholding obligations on shares acquired by certain officers in settlement of restricted stock and performance share units.</w:t>
      </w:r>
    </w:p>
    <w:p>
      <w:pPr>
        <w:ind w:right="520" w:firstLine="8"/>
        <w:spacing w:after="0" w:line="243" w:lineRule="auto"/>
        <w:tabs>
          <w:tab w:leader="none" w:pos="2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Includes 83 shares of common stock withheld by ManpowerGroup to satisfy tax withholding obligations on shares acquired by certain officers in settlement of restricted stock.</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u w:val="single" w:color="auto"/>
          <w:color w:val="auto"/>
        </w:rPr>
        <w:t>Item 5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Audit Committee Approval of Audit-Related and Non-Audit Services</w:t>
      </w:r>
    </w:p>
    <w:p>
      <w:pPr>
        <w:spacing w:after="0" w:line="212" w:lineRule="exact"/>
        <w:rPr>
          <w:sz w:val="20"/>
          <w:szCs w:val="20"/>
          <w:color w:val="auto"/>
        </w:rPr>
      </w:pPr>
    </w:p>
    <w:p>
      <w:pPr>
        <w:spacing w:after="0" w:line="308" w:lineRule="auto"/>
        <w:rPr>
          <w:sz w:val="20"/>
          <w:szCs w:val="20"/>
          <w:color w:val="auto"/>
        </w:rPr>
      </w:pPr>
      <w:r>
        <w:rPr>
          <w:rFonts w:ascii="Arial" w:cs="Arial" w:eastAsia="Arial" w:hAnsi="Arial"/>
          <w:sz w:val="18"/>
          <w:szCs w:val="18"/>
          <w:color w:val="auto"/>
        </w:rPr>
        <w:t>The Audit Committee of our Board of Directors has approved the following audit-related and non-audit services performed or to be performed for us by our independent registered public accounting firm, Deloitte &amp; Touche LLP and affiliates, to date in 2022:</w:t>
      </w:r>
    </w:p>
    <w:p>
      <w:pPr>
        <w:spacing w:after="0" w:line="130" w:lineRule="exact"/>
        <w:rPr>
          <w:sz w:val="20"/>
          <w:szCs w:val="20"/>
          <w:color w:val="auto"/>
        </w:rPr>
      </w:pPr>
    </w:p>
    <w:p>
      <w:pPr>
        <w:ind w:right="260" w:firstLine="8"/>
        <w:spacing w:after="0" w:line="308" w:lineRule="auto"/>
        <w:tabs>
          <w:tab w:leader="none" w:pos="245"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preparation and/or review of tax returns, including sales and use tax, excise tax, income tax, local tax, property tax, and value added tax, consultation regarding appropriate handling of items on the United States and international tax returns;</w:t>
      </w:r>
    </w:p>
    <w:p>
      <w:pPr>
        <w:spacing w:after="0" w:line="143" w:lineRule="exact"/>
        <w:rPr>
          <w:rFonts w:ascii="Arial" w:cs="Arial" w:eastAsia="Arial" w:hAnsi="Arial"/>
          <w:sz w:val="18"/>
          <w:szCs w:val="18"/>
          <w:color w:val="auto"/>
        </w:rPr>
      </w:pPr>
    </w:p>
    <w:p>
      <w:pPr>
        <w:ind w:right="440" w:firstLine="8"/>
        <w:spacing w:after="0" w:line="308" w:lineRule="auto"/>
        <w:tabs>
          <w:tab w:leader="none" w:pos="2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advice and assistance with respect to transfer pricing matters, as well as communicating with various taxing authorities regarding the requirements associated with royalties and inter-company pricing, and tax audits; and</w:t>
      </w:r>
    </w:p>
    <w:p>
      <w:pPr>
        <w:spacing w:after="0" w:line="130" w:lineRule="exact"/>
        <w:rPr>
          <w:rFonts w:ascii="Arial" w:cs="Arial" w:eastAsia="Arial" w:hAnsi="Arial"/>
          <w:sz w:val="18"/>
          <w:szCs w:val="18"/>
          <w:color w:val="auto"/>
        </w:rPr>
      </w:pPr>
    </w:p>
    <w:p>
      <w:pPr>
        <w:ind w:left="260" w:hanging="252"/>
        <w:spacing w:after="0"/>
        <w:tabs>
          <w:tab w:leader="none" w:pos="2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audit services with respect to certain procedures and certifications where required.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u w:val="single" w:color="auto"/>
          <w:color w:val="auto"/>
        </w:rPr>
        <w:t>Item 6 – Exhibits</w:t>
      </w:r>
    </w:p>
    <w:p>
      <w:pPr>
        <w:spacing w:after="0" w:line="200" w:lineRule="exact"/>
        <w:rPr>
          <w:sz w:val="20"/>
          <w:szCs w:val="20"/>
          <w:color w:val="auto"/>
        </w:rPr>
      </w:pPr>
    </w:p>
    <w:p>
      <w:pPr>
        <w:spacing w:after="0" w:line="210"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160" w:type="dxa"/>
            <w:vAlign w:val="bottom"/>
          </w:tcPr>
          <w:p>
            <w:pPr>
              <w:spacing w:after="0"/>
              <w:rPr>
                <w:sz w:val="20"/>
                <w:szCs w:val="20"/>
                <w:color w:val="auto"/>
              </w:rPr>
            </w:pPr>
            <w:r>
              <w:rPr>
                <w:rFonts w:ascii="Arial" w:cs="Arial" w:eastAsia="Arial" w:hAnsi="Arial"/>
                <w:sz w:val="18"/>
                <w:szCs w:val="18"/>
                <w:color w:val="auto"/>
              </w:rPr>
              <w:t>10.1</w:t>
            </w:r>
          </w:p>
        </w:tc>
        <w:tc>
          <w:tcPr>
            <w:tcW w:w="10000" w:type="dxa"/>
            <w:vAlign w:val="bottom"/>
            <w:gridSpan w:val="8"/>
          </w:tcPr>
          <w:p>
            <w:pPr>
              <w:spacing w:after="0"/>
              <w:rPr>
                <w:rFonts w:ascii="Arial" w:cs="Arial" w:eastAsia="Arial" w:hAnsi="Arial"/>
                <w:sz w:val="18"/>
                <w:szCs w:val="18"/>
                <w:color w:val="0000FF"/>
              </w:rPr>
            </w:pPr>
            <w:hyperlink w:anchor="page40">
              <w:r>
                <w:rPr>
                  <w:rFonts w:ascii="Arial" w:cs="Arial" w:eastAsia="Arial" w:hAnsi="Arial"/>
                  <w:sz w:val="18"/>
                  <w:szCs w:val="18"/>
                  <w:color w:val="0000FF"/>
                </w:rPr>
                <w:t>Form of 2022 Performance Share Unit Agreement under the 2011 Equity Incentive Plan of ManpowerGroup Inc.</w:t>
              </w:r>
            </w:hyperlink>
          </w:p>
        </w:tc>
      </w:tr>
      <w:tr>
        <w:trPr>
          <w:trHeight w:val="20"/>
        </w:trPr>
        <w:tc>
          <w:tcPr>
            <w:tcW w:w="1160" w:type="dxa"/>
            <w:vAlign w:val="bottom"/>
            <w:tcBorders>
              <w:right w:val="single" w:sz="8" w:color="0000FF"/>
            </w:tcBorders>
          </w:tcPr>
          <w:p>
            <w:pPr>
              <w:spacing w:after="0" w:line="20" w:lineRule="exact"/>
              <w:rPr>
                <w:sz w:val="1"/>
                <w:szCs w:val="1"/>
                <w:color w:val="auto"/>
              </w:rPr>
            </w:pPr>
          </w:p>
        </w:tc>
        <w:tc>
          <w:tcPr>
            <w:tcW w:w="16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380" w:type="dxa"/>
            <w:vAlign w:val="bottom"/>
            <w:tcBorders>
              <w:right w:val="single" w:sz="8" w:color="0000EE"/>
            </w:tcBorders>
            <w:shd w:val="clear" w:color="auto" w:fill="0000EE"/>
          </w:tcPr>
          <w:p>
            <w:pPr>
              <w:spacing w:after="0" w:line="20" w:lineRule="exact"/>
              <w:rPr>
                <w:sz w:val="1"/>
                <w:szCs w:val="1"/>
                <w:color w:val="auto"/>
              </w:rPr>
            </w:pPr>
          </w:p>
        </w:tc>
        <w:tc>
          <w:tcPr>
            <w:tcW w:w="212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385"/>
        </w:trPr>
        <w:tc>
          <w:tcPr>
            <w:tcW w:w="1160" w:type="dxa"/>
            <w:vAlign w:val="bottom"/>
          </w:tcPr>
          <w:p>
            <w:pPr>
              <w:spacing w:after="0"/>
              <w:rPr>
                <w:sz w:val="20"/>
                <w:szCs w:val="20"/>
                <w:color w:val="auto"/>
              </w:rPr>
            </w:pPr>
            <w:r>
              <w:rPr>
                <w:rFonts w:ascii="Arial" w:cs="Arial" w:eastAsia="Arial" w:hAnsi="Arial"/>
                <w:sz w:val="18"/>
                <w:szCs w:val="18"/>
                <w:color w:val="auto"/>
              </w:rPr>
              <w:t>31.1</w:t>
            </w:r>
          </w:p>
        </w:tc>
        <w:tc>
          <w:tcPr>
            <w:tcW w:w="10000" w:type="dxa"/>
            <w:vAlign w:val="bottom"/>
            <w:gridSpan w:val="8"/>
          </w:tcPr>
          <w:p>
            <w:pPr>
              <w:spacing w:after="0"/>
              <w:rPr>
                <w:rFonts w:ascii="Arial" w:cs="Arial" w:eastAsia="Arial" w:hAnsi="Arial"/>
                <w:sz w:val="18"/>
                <w:szCs w:val="18"/>
                <w:color w:val="0000FF"/>
              </w:rPr>
            </w:pPr>
            <w:hyperlink w:anchor="page48">
              <w:r>
                <w:rPr>
                  <w:rFonts w:ascii="Arial" w:cs="Arial" w:eastAsia="Arial" w:hAnsi="Arial"/>
                  <w:sz w:val="18"/>
                  <w:szCs w:val="18"/>
                  <w:color w:val="0000FF"/>
                </w:rPr>
                <w:t>Certification of Jonas Prising, Chief Executive Officer, pursuant to Section 13a-14(a) of the Securities Exchange Act of 1934.</w:t>
              </w:r>
            </w:hyperlink>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16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380" w:type="dxa"/>
            <w:vAlign w:val="bottom"/>
            <w:tcBorders>
              <w:right w:val="single" w:sz="8" w:color="0000FF"/>
            </w:tcBorders>
            <w:shd w:val="clear" w:color="auto" w:fill="0000FF"/>
          </w:tcPr>
          <w:p>
            <w:pPr>
              <w:spacing w:after="0" w:line="20" w:lineRule="exact"/>
              <w:rPr>
                <w:sz w:val="1"/>
                <w:szCs w:val="1"/>
                <w:color w:val="auto"/>
              </w:rPr>
            </w:pPr>
          </w:p>
        </w:tc>
        <w:tc>
          <w:tcPr>
            <w:tcW w:w="2440" w:type="dxa"/>
            <w:vAlign w:val="bottom"/>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385"/>
        </w:trPr>
        <w:tc>
          <w:tcPr>
            <w:tcW w:w="1160" w:type="dxa"/>
            <w:vAlign w:val="bottom"/>
          </w:tcPr>
          <w:p>
            <w:pPr>
              <w:spacing w:after="0"/>
              <w:rPr>
                <w:sz w:val="20"/>
                <w:szCs w:val="20"/>
                <w:color w:val="auto"/>
              </w:rPr>
            </w:pPr>
            <w:r>
              <w:rPr>
                <w:rFonts w:ascii="Arial" w:cs="Arial" w:eastAsia="Arial" w:hAnsi="Arial"/>
                <w:sz w:val="18"/>
                <w:szCs w:val="18"/>
                <w:color w:val="auto"/>
              </w:rPr>
              <w:t>31.2</w:t>
            </w:r>
          </w:p>
        </w:tc>
        <w:tc>
          <w:tcPr>
            <w:tcW w:w="10000" w:type="dxa"/>
            <w:vAlign w:val="bottom"/>
            <w:gridSpan w:val="8"/>
          </w:tcPr>
          <w:p>
            <w:pPr>
              <w:spacing w:after="0"/>
              <w:rPr>
                <w:rFonts w:ascii="Arial" w:cs="Arial" w:eastAsia="Arial" w:hAnsi="Arial"/>
                <w:sz w:val="18"/>
                <w:szCs w:val="18"/>
                <w:color w:val="0000FF"/>
                <w:w w:val="93"/>
              </w:rPr>
            </w:pPr>
            <w:hyperlink w:anchor="page49">
              <w:r>
                <w:rPr>
                  <w:rFonts w:ascii="Arial" w:cs="Arial" w:eastAsia="Arial" w:hAnsi="Arial"/>
                  <w:sz w:val="18"/>
                  <w:szCs w:val="18"/>
                  <w:color w:val="0000FF"/>
                  <w:w w:val="93"/>
                </w:rPr>
                <w:t>Certification of John T. McGinnis, Executive Vice President and Chief Financial Officer, pursuant to Section 13a-14(a) of the Securities</w:t>
              </w:r>
            </w:hyperlink>
          </w:p>
        </w:tc>
      </w:tr>
      <w:tr>
        <w:trPr>
          <w:trHeight w:val="156"/>
        </w:trPr>
        <w:tc>
          <w:tcPr>
            <w:tcW w:w="1160" w:type="dxa"/>
            <w:vAlign w:val="bottom"/>
          </w:tcPr>
          <w:p>
            <w:pPr>
              <w:spacing w:after="0"/>
              <w:rPr>
                <w:sz w:val="13"/>
                <w:szCs w:val="13"/>
                <w:color w:val="auto"/>
              </w:rPr>
            </w:pPr>
          </w:p>
        </w:tc>
        <w:tc>
          <w:tcPr>
            <w:tcW w:w="164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89"/>
              </w:rPr>
            </w:pPr>
            <w:hyperlink w:anchor="page49">
              <w:r>
                <w:rPr>
                  <w:rFonts w:ascii="Arial" w:cs="Arial" w:eastAsia="Arial" w:hAnsi="Arial"/>
                  <w:sz w:val="18"/>
                  <w:szCs w:val="18"/>
                  <w:color w:val="0000FF"/>
                  <w:w w:val="89"/>
                </w:rPr>
                <w:t>Exchange Act of 1934.</w:t>
              </w:r>
            </w:hyperlink>
          </w:p>
        </w:tc>
        <w:tc>
          <w:tcPr>
            <w:tcW w:w="20" w:type="dxa"/>
            <w:vAlign w:val="bottom"/>
            <w:tcBorders>
              <w:top w:val="single" w:sz="8" w:color="0000FF"/>
              <w:bottom w:val="single" w:sz="8" w:color="0000EE"/>
            </w:tcBorders>
          </w:tcPr>
          <w:p>
            <w:pPr>
              <w:spacing w:after="0"/>
              <w:rPr>
                <w:sz w:val="13"/>
                <w:szCs w:val="13"/>
                <w:color w:val="auto"/>
              </w:rPr>
            </w:pPr>
          </w:p>
        </w:tc>
        <w:tc>
          <w:tcPr>
            <w:tcW w:w="8160" w:type="dxa"/>
            <w:vAlign w:val="bottom"/>
            <w:tcBorders>
              <w:top w:val="single" w:sz="8" w:color="0000FF"/>
            </w:tcBorders>
            <w:gridSpan w:val="5"/>
          </w:tcPr>
          <w:p>
            <w:pPr>
              <w:spacing w:after="0"/>
              <w:rPr>
                <w:sz w:val="13"/>
                <w:szCs w:val="13"/>
                <w:color w:val="auto"/>
              </w:rPr>
            </w:pPr>
          </w:p>
        </w:tc>
        <w:tc>
          <w:tcPr>
            <w:tcW w:w="180" w:type="dxa"/>
            <w:vAlign w:val="bottom"/>
          </w:tcPr>
          <w:p>
            <w:pPr>
              <w:spacing w:after="0"/>
              <w:rPr>
                <w:sz w:val="13"/>
                <w:szCs w:val="13"/>
                <w:color w:val="auto"/>
              </w:rPr>
            </w:pPr>
          </w:p>
        </w:tc>
      </w:tr>
      <w:tr>
        <w:trPr>
          <w:trHeight w:val="385"/>
        </w:trPr>
        <w:tc>
          <w:tcPr>
            <w:tcW w:w="1160" w:type="dxa"/>
            <w:vAlign w:val="bottom"/>
          </w:tcPr>
          <w:p>
            <w:pPr>
              <w:spacing w:after="0"/>
              <w:rPr>
                <w:sz w:val="20"/>
                <w:szCs w:val="20"/>
                <w:color w:val="auto"/>
              </w:rPr>
            </w:pPr>
            <w:r>
              <w:rPr>
                <w:rFonts w:ascii="Arial" w:cs="Arial" w:eastAsia="Arial" w:hAnsi="Arial"/>
                <w:sz w:val="18"/>
                <w:szCs w:val="18"/>
                <w:color w:val="auto"/>
              </w:rPr>
              <w:t>32.1</w:t>
            </w:r>
          </w:p>
        </w:tc>
        <w:tc>
          <w:tcPr>
            <w:tcW w:w="10000" w:type="dxa"/>
            <w:vAlign w:val="bottom"/>
            <w:gridSpan w:val="8"/>
          </w:tcPr>
          <w:p>
            <w:pPr>
              <w:spacing w:after="0"/>
              <w:rPr>
                <w:rFonts w:ascii="Arial" w:cs="Arial" w:eastAsia="Arial" w:hAnsi="Arial"/>
                <w:sz w:val="18"/>
                <w:szCs w:val="18"/>
                <w:color w:val="0000FF"/>
              </w:rPr>
            </w:pPr>
            <w:hyperlink w:anchor="page50">
              <w:r>
                <w:rPr>
                  <w:rFonts w:ascii="Arial" w:cs="Arial" w:eastAsia="Arial" w:hAnsi="Arial"/>
                  <w:sz w:val="18"/>
                  <w:szCs w:val="18"/>
                  <w:color w:val="0000FF"/>
                </w:rPr>
                <w:t>Statement of Jonas Prising, Chief Executive Officer, pursuant to 18 U.S.C. ss. 1350.</w:t>
              </w:r>
            </w:hyperlink>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6040" w:type="dxa"/>
            <w:vAlign w:val="bottom"/>
            <w:tcBorders>
              <w:right w:val="single" w:sz="8" w:color="0000EE"/>
            </w:tcBorders>
            <w:gridSpan w:val="3"/>
            <w:shd w:val="clear" w:color="auto" w:fill="0000FF"/>
          </w:tcPr>
          <w:p>
            <w:pPr>
              <w:spacing w:after="0" w:line="20" w:lineRule="exact"/>
              <w:rPr>
                <w:sz w:val="1"/>
                <w:szCs w:val="1"/>
                <w:color w:val="auto"/>
              </w:rPr>
            </w:pPr>
          </w:p>
        </w:tc>
        <w:tc>
          <w:tcPr>
            <w:tcW w:w="2440" w:type="dxa"/>
            <w:vAlign w:val="bottom"/>
            <w:gridSpan w:val="2"/>
          </w:tcPr>
          <w:p>
            <w:pPr>
              <w:spacing w:after="0" w:line="20" w:lineRule="exact"/>
              <w:rPr>
                <w:sz w:val="1"/>
                <w:szCs w:val="1"/>
                <w:color w:val="auto"/>
              </w:rPr>
            </w:pPr>
          </w:p>
        </w:tc>
        <w:tc>
          <w:tcPr>
            <w:tcW w:w="1520" w:type="dxa"/>
            <w:vAlign w:val="bottom"/>
            <w:gridSpan w:val="3"/>
          </w:tcPr>
          <w:p>
            <w:pPr>
              <w:spacing w:after="0" w:line="20" w:lineRule="exact"/>
              <w:rPr>
                <w:sz w:val="1"/>
                <w:szCs w:val="1"/>
                <w:color w:val="auto"/>
              </w:rPr>
            </w:pPr>
          </w:p>
        </w:tc>
      </w:tr>
      <w:tr>
        <w:trPr>
          <w:trHeight w:val="385"/>
        </w:trPr>
        <w:tc>
          <w:tcPr>
            <w:tcW w:w="1160" w:type="dxa"/>
            <w:vAlign w:val="bottom"/>
          </w:tcPr>
          <w:p>
            <w:pPr>
              <w:spacing w:after="0"/>
              <w:rPr>
                <w:sz w:val="20"/>
                <w:szCs w:val="20"/>
                <w:color w:val="auto"/>
              </w:rPr>
            </w:pPr>
            <w:r>
              <w:rPr>
                <w:rFonts w:ascii="Arial" w:cs="Arial" w:eastAsia="Arial" w:hAnsi="Arial"/>
                <w:sz w:val="18"/>
                <w:szCs w:val="18"/>
                <w:color w:val="auto"/>
              </w:rPr>
              <w:t>32.2</w:t>
            </w:r>
          </w:p>
        </w:tc>
        <w:tc>
          <w:tcPr>
            <w:tcW w:w="10000" w:type="dxa"/>
            <w:vAlign w:val="bottom"/>
            <w:gridSpan w:val="8"/>
          </w:tcPr>
          <w:p>
            <w:pPr>
              <w:spacing w:after="0"/>
              <w:rPr>
                <w:rFonts w:ascii="Arial" w:cs="Arial" w:eastAsia="Arial" w:hAnsi="Arial"/>
                <w:sz w:val="18"/>
                <w:szCs w:val="18"/>
                <w:color w:val="0000FF"/>
              </w:rPr>
            </w:pPr>
            <w:hyperlink w:anchor="page51">
              <w:r>
                <w:rPr>
                  <w:rFonts w:ascii="Arial" w:cs="Arial" w:eastAsia="Arial" w:hAnsi="Arial"/>
                  <w:sz w:val="18"/>
                  <w:szCs w:val="18"/>
                  <w:color w:val="0000FF"/>
                </w:rPr>
                <w:t>Statement of John T. McGinnis, Executive Vice President and Chief Financial Officer, pursuant to 18 U.S.C. ss. 1350.</w:t>
              </w:r>
            </w:hyperlink>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8480" w:type="dxa"/>
            <w:vAlign w:val="bottom"/>
            <w:gridSpan w:val="5"/>
            <w:shd w:val="clear" w:color="auto" w:fill="0000FF"/>
          </w:tcPr>
          <w:p>
            <w:pPr>
              <w:spacing w:after="0" w:line="20" w:lineRule="exact"/>
              <w:rPr>
                <w:sz w:val="1"/>
                <w:szCs w:val="1"/>
                <w:color w:val="auto"/>
              </w:rPr>
            </w:pPr>
          </w:p>
        </w:tc>
        <w:tc>
          <w:tcPr>
            <w:tcW w:w="1520" w:type="dxa"/>
            <w:vAlign w:val="bottom"/>
            <w:gridSpan w:val="3"/>
          </w:tcPr>
          <w:p>
            <w:pPr>
              <w:spacing w:after="0" w:line="20" w:lineRule="exact"/>
              <w:rPr>
                <w:sz w:val="1"/>
                <w:szCs w:val="1"/>
                <w:color w:val="auto"/>
              </w:rPr>
            </w:pPr>
          </w:p>
        </w:tc>
      </w:tr>
      <w:tr>
        <w:trPr>
          <w:trHeight w:val="372"/>
        </w:trPr>
        <w:tc>
          <w:tcPr>
            <w:tcW w:w="1160" w:type="dxa"/>
            <w:vAlign w:val="bottom"/>
          </w:tcPr>
          <w:p>
            <w:pPr>
              <w:spacing w:after="0"/>
              <w:rPr>
                <w:sz w:val="20"/>
                <w:szCs w:val="20"/>
                <w:color w:val="auto"/>
              </w:rPr>
            </w:pPr>
            <w:r>
              <w:rPr>
                <w:rFonts w:ascii="Arial" w:cs="Arial" w:eastAsia="Arial" w:hAnsi="Arial"/>
                <w:sz w:val="18"/>
                <w:szCs w:val="18"/>
                <w:color w:val="auto"/>
              </w:rPr>
              <w:t>101.INS</w:t>
            </w:r>
          </w:p>
        </w:tc>
        <w:tc>
          <w:tcPr>
            <w:tcW w:w="10000" w:type="dxa"/>
            <w:vAlign w:val="bottom"/>
            <w:gridSpan w:val="8"/>
          </w:tcPr>
          <w:p>
            <w:pPr>
              <w:spacing w:after="0"/>
              <w:rPr>
                <w:sz w:val="20"/>
                <w:szCs w:val="20"/>
                <w:color w:val="auto"/>
              </w:rPr>
            </w:pPr>
            <w:r>
              <w:rPr>
                <w:rFonts w:ascii="Arial" w:cs="Arial" w:eastAsia="Arial" w:hAnsi="Arial"/>
                <w:sz w:val="18"/>
                <w:szCs w:val="18"/>
                <w:color w:val="auto"/>
                <w:w w:val="89"/>
              </w:rPr>
              <w:t xml:space="preserve">Inline </w:t>
            </w:r>
            <w:r>
              <w:rPr>
                <w:rFonts w:ascii="Arial" w:cs="Arial" w:eastAsia="Arial" w:hAnsi="Arial"/>
                <w:sz w:val="18"/>
                <w:szCs w:val="18"/>
                <w:color w:val="212529"/>
                <w:w w:val="89"/>
              </w:rPr>
              <w:t>XBRL Instance Document</w:t>
            </w:r>
            <w:r>
              <w:rPr>
                <w:rFonts w:ascii="Arial" w:cs="Arial" w:eastAsia="Arial" w:hAnsi="Arial"/>
                <w:sz w:val="18"/>
                <w:szCs w:val="18"/>
                <w:color w:val="auto"/>
                <w:w w:val="89"/>
              </w:rPr>
              <w:t xml:space="preserve"> - the instance document does not appear in the Interactive Data File because its XBRL tags are embedded</w:t>
            </w:r>
          </w:p>
        </w:tc>
      </w:tr>
      <w:tr>
        <w:trPr>
          <w:trHeight w:val="230"/>
        </w:trPr>
        <w:tc>
          <w:tcPr>
            <w:tcW w:w="1160" w:type="dxa"/>
            <w:vAlign w:val="bottom"/>
          </w:tcPr>
          <w:p>
            <w:pPr>
              <w:spacing w:after="0"/>
              <w:rPr>
                <w:sz w:val="20"/>
                <w:szCs w:val="20"/>
                <w:color w:val="auto"/>
              </w:rPr>
            </w:pPr>
          </w:p>
        </w:tc>
        <w:tc>
          <w:tcPr>
            <w:tcW w:w="10000" w:type="dxa"/>
            <w:vAlign w:val="bottom"/>
            <w:gridSpan w:val="8"/>
          </w:tcPr>
          <w:p>
            <w:pPr>
              <w:spacing w:after="0"/>
              <w:rPr>
                <w:sz w:val="20"/>
                <w:szCs w:val="20"/>
                <w:color w:val="auto"/>
              </w:rPr>
            </w:pPr>
            <w:r>
              <w:rPr>
                <w:rFonts w:ascii="Arial" w:cs="Arial" w:eastAsia="Arial" w:hAnsi="Arial"/>
                <w:sz w:val="18"/>
                <w:szCs w:val="18"/>
                <w:color w:val="auto"/>
              </w:rPr>
              <w:t>within the Inline XBRL document.</w:t>
            </w:r>
          </w:p>
        </w:tc>
      </w:tr>
      <w:tr>
        <w:trPr>
          <w:trHeight w:val="404"/>
        </w:trPr>
        <w:tc>
          <w:tcPr>
            <w:tcW w:w="1160" w:type="dxa"/>
            <w:vAlign w:val="bottom"/>
          </w:tcPr>
          <w:p>
            <w:pPr>
              <w:spacing w:after="0"/>
              <w:rPr>
                <w:sz w:val="20"/>
                <w:szCs w:val="20"/>
                <w:color w:val="auto"/>
              </w:rPr>
            </w:pPr>
            <w:r>
              <w:rPr>
                <w:rFonts w:ascii="Arial" w:cs="Arial" w:eastAsia="Arial" w:hAnsi="Arial"/>
                <w:sz w:val="18"/>
                <w:szCs w:val="18"/>
                <w:color w:val="auto"/>
              </w:rPr>
              <w:t>101.SCH</w:t>
            </w:r>
          </w:p>
        </w:tc>
        <w:tc>
          <w:tcPr>
            <w:tcW w:w="10000" w:type="dxa"/>
            <w:vAlign w:val="bottom"/>
            <w:gridSpan w:val="8"/>
          </w:tcPr>
          <w:p>
            <w:pPr>
              <w:spacing w:after="0"/>
              <w:rPr>
                <w:sz w:val="20"/>
                <w:szCs w:val="20"/>
                <w:color w:val="auto"/>
              </w:rPr>
            </w:pPr>
            <w:r>
              <w:rPr>
                <w:rFonts w:ascii="Arial" w:cs="Arial" w:eastAsia="Arial" w:hAnsi="Arial"/>
                <w:sz w:val="18"/>
                <w:szCs w:val="18"/>
                <w:color w:val="212529"/>
              </w:rPr>
              <w:t>Inline XBRL Taxonomy Extension Schema Document</w:t>
            </w:r>
          </w:p>
        </w:tc>
      </w:tr>
      <w:tr>
        <w:trPr>
          <w:trHeight w:val="405"/>
        </w:trPr>
        <w:tc>
          <w:tcPr>
            <w:tcW w:w="1160" w:type="dxa"/>
            <w:vAlign w:val="bottom"/>
          </w:tcPr>
          <w:p>
            <w:pPr>
              <w:spacing w:after="0"/>
              <w:rPr>
                <w:sz w:val="20"/>
                <w:szCs w:val="20"/>
                <w:color w:val="auto"/>
              </w:rPr>
            </w:pPr>
            <w:r>
              <w:rPr>
                <w:rFonts w:ascii="Arial" w:cs="Arial" w:eastAsia="Arial" w:hAnsi="Arial"/>
                <w:sz w:val="18"/>
                <w:szCs w:val="18"/>
                <w:color w:val="auto"/>
              </w:rPr>
              <w:t>101.CAL</w:t>
            </w:r>
          </w:p>
        </w:tc>
        <w:tc>
          <w:tcPr>
            <w:tcW w:w="10000" w:type="dxa"/>
            <w:vAlign w:val="bottom"/>
            <w:gridSpan w:val="8"/>
          </w:tcPr>
          <w:p>
            <w:pPr>
              <w:spacing w:after="0"/>
              <w:rPr>
                <w:sz w:val="20"/>
                <w:szCs w:val="20"/>
                <w:color w:val="auto"/>
              </w:rPr>
            </w:pPr>
            <w:r>
              <w:rPr>
                <w:rFonts w:ascii="Arial" w:cs="Arial" w:eastAsia="Arial" w:hAnsi="Arial"/>
                <w:sz w:val="18"/>
                <w:szCs w:val="18"/>
                <w:color w:val="auto"/>
              </w:rPr>
              <w:t xml:space="preserve">Inline </w:t>
            </w:r>
            <w:r>
              <w:rPr>
                <w:rFonts w:ascii="Arial" w:cs="Arial" w:eastAsia="Arial" w:hAnsi="Arial"/>
                <w:sz w:val="18"/>
                <w:szCs w:val="18"/>
                <w:color w:val="212529"/>
              </w:rPr>
              <w:t>XBRL Taxonomy Extension Calculation Linkbase Document</w:t>
            </w:r>
          </w:p>
        </w:tc>
      </w:tr>
      <w:tr>
        <w:trPr>
          <w:trHeight w:val="405"/>
        </w:trPr>
        <w:tc>
          <w:tcPr>
            <w:tcW w:w="1160" w:type="dxa"/>
            <w:vAlign w:val="bottom"/>
          </w:tcPr>
          <w:p>
            <w:pPr>
              <w:spacing w:after="0"/>
              <w:rPr>
                <w:sz w:val="20"/>
                <w:szCs w:val="20"/>
                <w:color w:val="auto"/>
              </w:rPr>
            </w:pPr>
            <w:r>
              <w:rPr>
                <w:rFonts w:ascii="Arial" w:cs="Arial" w:eastAsia="Arial" w:hAnsi="Arial"/>
                <w:sz w:val="18"/>
                <w:szCs w:val="18"/>
                <w:color w:val="auto"/>
              </w:rPr>
              <w:t>101.DEF</w:t>
            </w:r>
          </w:p>
        </w:tc>
        <w:tc>
          <w:tcPr>
            <w:tcW w:w="10000" w:type="dxa"/>
            <w:vAlign w:val="bottom"/>
            <w:gridSpan w:val="8"/>
          </w:tcPr>
          <w:p>
            <w:pPr>
              <w:spacing w:after="0"/>
              <w:rPr>
                <w:sz w:val="20"/>
                <w:szCs w:val="20"/>
                <w:color w:val="auto"/>
              </w:rPr>
            </w:pPr>
            <w:r>
              <w:rPr>
                <w:rFonts w:ascii="Arial" w:cs="Arial" w:eastAsia="Arial" w:hAnsi="Arial"/>
                <w:sz w:val="18"/>
                <w:szCs w:val="18"/>
                <w:color w:val="auto"/>
              </w:rPr>
              <w:t xml:space="preserve">Inline </w:t>
            </w:r>
            <w:r>
              <w:rPr>
                <w:rFonts w:ascii="Arial" w:cs="Arial" w:eastAsia="Arial" w:hAnsi="Arial"/>
                <w:sz w:val="18"/>
                <w:szCs w:val="18"/>
                <w:color w:val="212529"/>
              </w:rPr>
              <w:t>XBRL Taxonomy Extension Definition Linkbase Document</w:t>
            </w:r>
          </w:p>
        </w:tc>
      </w:tr>
      <w:tr>
        <w:trPr>
          <w:trHeight w:val="405"/>
        </w:trPr>
        <w:tc>
          <w:tcPr>
            <w:tcW w:w="1160" w:type="dxa"/>
            <w:vAlign w:val="bottom"/>
          </w:tcPr>
          <w:p>
            <w:pPr>
              <w:spacing w:after="0"/>
              <w:rPr>
                <w:sz w:val="20"/>
                <w:szCs w:val="20"/>
                <w:color w:val="auto"/>
              </w:rPr>
            </w:pPr>
            <w:r>
              <w:rPr>
                <w:rFonts w:ascii="Arial" w:cs="Arial" w:eastAsia="Arial" w:hAnsi="Arial"/>
                <w:sz w:val="18"/>
                <w:szCs w:val="18"/>
                <w:color w:val="auto"/>
              </w:rPr>
              <w:t>101.LAB</w:t>
            </w:r>
          </w:p>
        </w:tc>
        <w:tc>
          <w:tcPr>
            <w:tcW w:w="10000" w:type="dxa"/>
            <w:vAlign w:val="bottom"/>
            <w:gridSpan w:val="8"/>
          </w:tcPr>
          <w:p>
            <w:pPr>
              <w:spacing w:after="0"/>
              <w:rPr>
                <w:sz w:val="20"/>
                <w:szCs w:val="20"/>
                <w:color w:val="auto"/>
              </w:rPr>
            </w:pPr>
            <w:r>
              <w:rPr>
                <w:rFonts w:ascii="Arial" w:cs="Arial" w:eastAsia="Arial" w:hAnsi="Arial"/>
                <w:sz w:val="18"/>
                <w:szCs w:val="18"/>
                <w:color w:val="auto"/>
              </w:rPr>
              <w:t xml:space="preserve">Inline </w:t>
            </w:r>
            <w:r>
              <w:rPr>
                <w:rFonts w:ascii="Arial" w:cs="Arial" w:eastAsia="Arial" w:hAnsi="Arial"/>
                <w:sz w:val="18"/>
                <w:szCs w:val="18"/>
                <w:color w:val="212529"/>
              </w:rPr>
              <w:t>XBRL Taxonomy Extension Label Linkbase Document</w:t>
            </w:r>
          </w:p>
        </w:tc>
      </w:tr>
      <w:tr>
        <w:trPr>
          <w:trHeight w:val="405"/>
        </w:trPr>
        <w:tc>
          <w:tcPr>
            <w:tcW w:w="1160" w:type="dxa"/>
            <w:vAlign w:val="bottom"/>
          </w:tcPr>
          <w:p>
            <w:pPr>
              <w:spacing w:after="0"/>
              <w:rPr>
                <w:sz w:val="20"/>
                <w:szCs w:val="20"/>
                <w:color w:val="auto"/>
              </w:rPr>
            </w:pPr>
            <w:r>
              <w:rPr>
                <w:rFonts w:ascii="Arial" w:cs="Arial" w:eastAsia="Arial" w:hAnsi="Arial"/>
                <w:sz w:val="18"/>
                <w:szCs w:val="18"/>
                <w:color w:val="auto"/>
              </w:rPr>
              <w:t>101.PRE</w:t>
            </w:r>
          </w:p>
        </w:tc>
        <w:tc>
          <w:tcPr>
            <w:tcW w:w="10000" w:type="dxa"/>
            <w:vAlign w:val="bottom"/>
            <w:gridSpan w:val="8"/>
          </w:tcPr>
          <w:p>
            <w:pPr>
              <w:spacing w:after="0"/>
              <w:rPr>
                <w:sz w:val="20"/>
                <w:szCs w:val="20"/>
                <w:color w:val="auto"/>
              </w:rPr>
            </w:pPr>
            <w:r>
              <w:rPr>
                <w:rFonts w:ascii="Arial" w:cs="Arial" w:eastAsia="Arial" w:hAnsi="Arial"/>
                <w:sz w:val="18"/>
                <w:szCs w:val="18"/>
                <w:color w:val="auto"/>
              </w:rPr>
              <w:t xml:space="preserve">Inline </w:t>
            </w:r>
            <w:r>
              <w:rPr>
                <w:rFonts w:ascii="Arial" w:cs="Arial" w:eastAsia="Arial" w:hAnsi="Arial"/>
                <w:sz w:val="18"/>
                <w:szCs w:val="18"/>
                <w:color w:val="212529"/>
              </w:rPr>
              <w:t>XBRL Taxonomy Extension Presentation Linkbase Document</w:t>
            </w:r>
          </w:p>
        </w:tc>
      </w:tr>
    </w:tbl>
    <w:p>
      <w:pPr>
        <w:spacing w:after="0" w:line="175" w:lineRule="exact"/>
        <w:rPr>
          <w:sz w:val="20"/>
          <w:szCs w:val="20"/>
          <w:color w:val="auto"/>
        </w:rPr>
      </w:pPr>
    </w:p>
    <w:p>
      <w:pPr>
        <w:ind w:left="1160" w:right="240" w:hanging="1139"/>
        <w:spacing w:after="0" w:line="235" w:lineRule="auto"/>
        <w:tabs>
          <w:tab w:leader="none" w:pos="11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cover page from the Company’s Quarterly Report on Form 10-Q for the quarter ended March 31, 2022 has been formatted in Inline XBRL (Inline Extensible Business Reporting Language) and contained in Exhibits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41" w:right="399" w:bottom="1440" w:gutter="0" w:footer="0" w:header="0"/>
        </w:sectPr>
      </w:pPr>
    </w:p>
    <w:bookmarkStart w:id="38" w:name="page39"/>
    <w:bookmarkEnd w:id="38"/>
    <w:p>
      <w:pPr>
        <w:ind w:left="5040"/>
        <w:spacing w:after="0"/>
        <w:rPr>
          <w:sz w:val="20"/>
          <w:szCs w:val="20"/>
          <w:color w:val="auto"/>
        </w:rPr>
      </w:pPr>
      <w:r>
        <w:rPr>
          <w:rFonts w:ascii="Arial" w:cs="Arial" w:eastAsia="Arial" w:hAnsi="Arial"/>
          <w:sz w:val="18"/>
          <w:szCs w:val="18"/>
          <w:b w:val="1"/>
          <w:bCs w:val="1"/>
          <w:color w:val="auto"/>
        </w:rPr>
        <w:t>SIGNATURES</w:t>
      </w:r>
    </w:p>
    <w:p>
      <w:pPr>
        <w:spacing w:after="0" w:line="283" w:lineRule="exact"/>
        <w:rPr>
          <w:sz w:val="20"/>
          <w:szCs w:val="20"/>
          <w:color w:val="auto"/>
        </w:rPr>
      </w:pPr>
    </w:p>
    <w:p>
      <w:pPr>
        <w:spacing w:after="0" w:line="30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25" w:lineRule="exact"/>
        <w:rPr>
          <w:sz w:val="20"/>
          <w:szCs w:val="20"/>
          <w:color w:val="auto"/>
        </w:rPr>
      </w:pPr>
    </w:p>
    <w:p>
      <w:pPr>
        <w:ind w:left="4160"/>
        <w:spacing w:after="0"/>
        <w:rPr>
          <w:sz w:val="20"/>
          <w:szCs w:val="20"/>
          <w:color w:val="auto"/>
        </w:rPr>
      </w:pPr>
      <w:r>
        <w:rPr>
          <w:rFonts w:ascii="Arial" w:cs="Arial" w:eastAsia="Arial" w:hAnsi="Arial"/>
          <w:sz w:val="18"/>
          <w:szCs w:val="18"/>
          <w:color w:val="auto"/>
        </w:rPr>
        <w:t>ManpowerGroup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2602230</wp:posOffset>
            </wp:positionH>
            <wp:positionV relativeFrom="paragraph">
              <wp:posOffset>31750</wp:posOffset>
            </wp:positionV>
            <wp:extent cx="194564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945640" cy="8890"/>
                    </a:xfrm>
                    <a:prstGeom prst="rect">
                      <a:avLst/>
                    </a:prstGeom>
                    <a:noFill/>
                  </pic:spPr>
                </pic:pic>
              </a:graphicData>
            </a:graphic>
          </wp:anchor>
        </w:drawing>
      </w:r>
    </w:p>
    <w:p>
      <w:pPr>
        <w:spacing w:after="0" w:line="70"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60"/>
        <w:spacing w:after="0"/>
        <w:rPr>
          <w:sz w:val="20"/>
          <w:szCs w:val="20"/>
          <w:color w:val="auto"/>
        </w:rPr>
      </w:pPr>
      <w:r>
        <w:rPr>
          <w:rFonts w:ascii="Arial" w:cs="Arial" w:eastAsia="Arial" w:hAnsi="Arial"/>
          <w:sz w:val="18"/>
          <w:szCs w:val="18"/>
          <w:color w:val="auto"/>
        </w:rPr>
        <w:t>Date: May 6, 2022</w:t>
      </w:r>
    </w:p>
    <w:p>
      <w:pPr>
        <w:spacing w:after="0" w:line="198" w:lineRule="exact"/>
        <w:rPr>
          <w:sz w:val="20"/>
          <w:szCs w:val="20"/>
          <w:color w:val="auto"/>
        </w:rPr>
      </w:pPr>
    </w:p>
    <w:p>
      <w:pPr>
        <w:ind w:left="2420"/>
        <w:spacing w:after="0"/>
        <w:rPr>
          <w:sz w:val="20"/>
          <w:szCs w:val="20"/>
          <w:color w:val="auto"/>
        </w:rPr>
      </w:pPr>
      <w:r>
        <w:rPr>
          <w:rFonts w:ascii="Arial" w:cs="Arial" w:eastAsia="Arial" w:hAnsi="Arial"/>
          <w:sz w:val="18"/>
          <w:szCs w:val="18"/>
          <w:color w:val="auto"/>
        </w:rPr>
        <w:t>/s/ John T. McGinnis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1496695</wp:posOffset>
            </wp:positionH>
            <wp:positionV relativeFrom="paragraph">
              <wp:posOffset>6350</wp:posOffset>
            </wp:positionV>
            <wp:extent cx="414020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4140200" cy="8890"/>
                    </a:xfrm>
                    <a:prstGeom prst="rect">
                      <a:avLst/>
                    </a:prstGeom>
                    <a:noFill/>
                  </pic:spPr>
                </pic:pic>
              </a:graphicData>
            </a:graphic>
          </wp:anchor>
        </w:drawing>
      </w:r>
    </w:p>
    <w:p>
      <w:pPr>
        <w:spacing w:after="0" w:line="3" w:lineRule="exact"/>
        <w:rPr>
          <w:sz w:val="20"/>
          <w:szCs w:val="20"/>
          <w:color w:val="auto"/>
        </w:rPr>
      </w:pPr>
    </w:p>
    <w:p>
      <w:pPr>
        <w:ind w:left="2420"/>
        <w:spacing w:after="0"/>
        <w:rPr>
          <w:sz w:val="20"/>
          <w:szCs w:val="20"/>
          <w:color w:val="auto"/>
        </w:rPr>
      </w:pPr>
      <w:r>
        <w:rPr>
          <w:rFonts w:ascii="Arial" w:cs="Arial" w:eastAsia="Arial" w:hAnsi="Arial"/>
          <w:sz w:val="18"/>
          <w:szCs w:val="18"/>
          <w:color w:val="auto"/>
        </w:rPr>
        <w:t>John T. McGinnis</w:t>
      </w:r>
    </w:p>
    <w:p>
      <w:pPr>
        <w:spacing w:after="0" w:line="9" w:lineRule="exact"/>
        <w:rPr>
          <w:sz w:val="20"/>
          <w:szCs w:val="20"/>
          <w:color w:val="auto"/>
        </w:rPr>
      </w:pPr>
    </w:p>
    <w:p>
      <w:pPr>
        <w:ind w:left="2420"/>
        <w:spacing w:after="0"/>
        <w:rPr>
          <w:sz w:val="20"/>
          <w:szCs w:val="20"/>
          <w:color w:val="auto"/>
        </w:rPr>
      </w:pPr>
      <w:r>
        <w:rPr>
          <w:rFonts w:ascii="Arial" w:cs="Arial" w:eastAsia="Arial" w:hAnsi="Arial"/>
          <w:sz w:val="18"/>
          <w:szCs w:val="18"/>
          <w:color w:val="auto"/>
        </w:rPr>
        <w:t>Executive Vice President and Chief Financial Officer</w:t>
      </w:r>
    </w:p>
    <w:p>
      <w:pPr>
        <w:spacing w:after="0" w:line="9" w:lineRule="exact"/>
        <w:rPr>
          <w:sz w:val="20"/>
          <w:szCs w:val="20"/>
          <w:color w:val="auto"/>
        </w:rPr>
      </w:pPr>
    </w:p>
    <w:p>
      <w:pPr>
        <w:ind w:left="2420"/>
        <w:spacing w:after="0"/>
        <w:rPr>
          <w:sz w:val="20"/>
          <w:szCs w:val="20"/>
          <w:color w:val="auto"/>
        </w:rPr>
      </w:pPr>
      <w:r>
        <w:rPr>
          <w:rFonts w:ascii="Arial" w:cs="Arial" w:eastAsia="Arial" w:hAnsi="Arial"/>
          <w:sz w:val="18"/>
          <w:szCs w:val="18"/>
          <w:color w:val="auto"/>
        </w:rPr>
        <w:t>(Signing on behalf of the Registrant and as the Principal Financial Officer)</w:t>
      </w:r>
    </w:p>
    <w:p>
      <w:pPr>
        <w:spacing w:after="0" w:line="211" w:lineRule="exact"/>
        <w:rPr>
          <w:sz w:val="20"/>
          <w:szCs w:val="20"/>
          <w:color w:val="auto"/>
        </w:rPr>
      </w:pPr>
    </w:p>
    <w:p>
      <w:pPr>
        <w:ind w:left="2420"/>
        <w:spacing w:after="0"/>
        <w:rPr>
          <w:sz w:val="20"/>
          <w:szCs w:val="20"/>
          <w:color w:val="auto"/>
        </w:rPr>
      </w:pPr>
      <w:r>
        <w:rPr>
          <w:rFonts w:ascii="Arial" w:cs="Arial" w:eastAsia="Arial" w:hAnsi="Arial"/>
          <w:sz w:val="18"/>
          <w:szCs w:val="18"/>
          <w:color w:val="auto"/>
        </w:rPr>
        <w:t>/s/ Donald Mondano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1496695</wp:posOffset>
            </wp:positionH>
            <wp:positionV relativeFrom="paragraph">
              <wp:posOffset>6350</wp:posOffset>
            </wp:positionV>
            <wp:extent cx="414020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4140200" cy="8255"/>
                    </a:xfrm>
                    <a:prstGeom prst="rect">
                      <a:avLst/>
                    </a:prstGeom>
                    <a:noFill/>
                  </pic:spPr>
                </pic:pic>
              </a:graphicData>
            </a:graphic>
          </wp:anchor>
        </w:drawing>
      </w:r>
    </w:p>
    <w:p>
      <w:pPr>
        <w:spacing w:after="0" w:line="3" w:lineRule="exact"/>
        <w:rPr>
          <w:sz w:val="20"/>
          <w:szCs w:val="20"/>
          <w:color w:val="auto"/>
        </w:rPr>
      </w:pPr>
    </w:p>
    <w:p>
      <w:pPr>
        <w:ind w:left="2420"/>
        <w:spacing w:after="0"/>
        <w:rPr>
          <w:sz w:val="20"/>
          <w:szCs w:val="20"/>
          <w:color w:val="auto"/>
        </w:rPr>
      </w:pPr>
      <w:r>
        <w:rPr>
          <w:rFonts w:ascii="Arial" w:cs="Arial" w:eastAsia="Arial" w:hAnsi="Arial"/>
          <w:sz w:val="18"/>
          <w:szCs w:val="18"/>
          <w:color w:val="auto"/>
        </w:rPr>
        <w:t>Donald Mondano</w:t>
      </w:r>
    </w:p>
    <w:p>
      <w:pPr>
        <w:spacing w:after="0" w:line="9" w:lineRule="exact"/>
        <w:rPr>
          <w:sz w:val="20"/>
          <w:szCs w:val="20"/>
          <w:color w:val="auto"/>
        </w:rPr>
      </w:pPr>
    </w:p>
    <w:p>
      <w:pPr>
        <w:ind w:left="2420"/>
        <w:spacing w:after="0"/>
        <w:rPr>
          <w:sz w:val="20"/>
          <w:szCs w:val="20"/>
          <w:color w:val="auto"/>
        </w:rPr>
      </w:pPr>
      <w:r>
        <w:rPr>
          <w:rFonts w:ascii="Arial" w:cs="Arial" w:eastAsia="Arial" w:hAnsi="Arial"/>
          <w:sz w:val="18"/>
          <w:szCs w:val="18"/>
          <w:color w:val="auto"/>
        </w:rPr>
        <w:t>Senior Vice President, Global Controller and Treasurer (Principal Accounting Officer)</w:t>
      </w:r>
    </w:p>
    <w:p>
      <w:pPr>
        <w:spacing w:after="0" w:line="200" w:lineRule="exact"/>
        <w:rPr>
          <w:sz w:val="20"/>
          <w:szCs w:val="20"/>
          <w:color w:val="auto"/>
        </w:rPr>
      </w:pPr>
    </w:p>
    <w:p>
      <w:pPr>
        <w:spacing w:after="0" w:line="267"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340"/>
          </w:cols>
          <w:pgMar w:left="320" w:top="337" w:right="1239" w:bottom="1440" w:gutter="0" w:footer="0" w:header="0"/>
        </w:sectPr>
      </w:pPr>
    </w:p>
    <w:bookmarkStart w:id="39" w:name="page40"/>
    <w:bookmarkEnd w:id="39"/>
    <w:p>
      <w:pPr>
        <w:jc w:val="right"/>
        <w:spacing w:after="0"/>
        <w:rPr>
          <w:sz w:val="20"/>
          <w:szCs w:val="20"/>
          <w:color w:val="auto"/>
        </w:rPr>
      </w:pPr>
      <w:r>
        <w:rPr>
          <w:rFonts w:ascii="Arial" w:cs="Arial" w:eastAsia="Arial" w:hAnsi="Arial"/>
          <w:sz w:val="20"/>
          <w:szCs w:val="20"/>
          <w:b w:val="1"/>
          <w:bCs w:val="1"/>
          <w:color w:val="auto"/>
        </w:rPr>
        <w:t>EXHIBIT 10.1</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ManpowerGroup Inc.</w:t>
      </w:r>
    </w:p>
    <w:p>
      <w:pPr>
        <w:spacing w:after="0" w:line="183" w:lineRule="exact"/>
        <w:rPr>
          <w:sz w:val="20"/>
          <w:szCs w:val="20"/>
          <w:color w:val="auto"/>
        </w:rPr>
      </w:pPr>
    </w:p>
    <w:p>
      <w:pPr>
        <w:jc w:val="center"/>
        <w:ind w:right="40"/>
        <w:spacing w:after="0"/>
        <w:rPr>
          <w:sz w:val="20"/>
          <w:szCs w:val="20"/>
          <w:color w:val="auto"/>
        </w:rPr>
      </w:pPr>
      <w:r>
        <w:rPr>
          <w:rFonts w:ascii="Arial" w:cs="Arial" w:eastAsia="Arial" w:hAnsi="Arial"/>
          <w:sz w:val="20"/>
          <w:szCs w:val="20"/>
          <w:b w:val="1"/>
          <w:bCs w:val="1"/>
          <w:color w:val="auto"/>
        </w:rPr>
        <w:t>EXECUTIVE OFFICER PERFORMANCE SHARE UNIT AGREEMENT</w:t>
      </w:r>
    </w:p>
    <w:p>
      <w:pPr>
        <w:spacing w:after="0" w:line="202" w:lineRule="exact"/>
        <w:rPr>
          <w:sz w:val="20"/>
          <w:szCs w:val="20"/>
          <w:color w:val="auto"/>
        </w:rPr>
      </w:pPr>
    </w:p>
    <w:p>
      <w:pPr>
        <w:ind w:left="760"/>
        <w:spacing w:after="0"/>
        <w:rPr>
          <w:sz w:val="20"/>
          <w:szCs w:val="20"/>
          <w:color w:val="auto"/>
        </w:rPr>
      </w:pPr>
      <w:r>
        <w:rPr>
          <w:rFonts w:ascii="Arial" w:cs="Arial" w:eastAsia="Arial" w:hAnsi="Arial"/>
          <w:sz w:val="20"/>
          <w:szCs w:val="20"/>
          <w:color w:val="auto"/>
        </w:rPr>
        <w:t xml:space="preserve">This Performance Share Unit Agreement (this “Agreement”) is executed as of </w:t>
      </w:r>
      <w:r>
        <w:rPr>
          <w:rFonts w:ascii="Arial" w:cs="Arial" w:eastAsia="Arial" w:hAnsi="Arial"/>
          <w:sz w:val="20"/>
          <w:szCs w:val="20"/>
          <w:b w:val="1"/>
          <w:bCs w:val="1"/>
          <w:color w:val="auto"/>
        </w:rPr>
        <w:t>_____________</w:t>
      </w:r>
      <w:r>
        <w:rPr>
          <w:rFonts w:ascii="Arial" w:cs="Arial" w:eastAsia="Arial" w:hAnsi="Arial"/>
          <w:sz w:val="20"/>
          <w:szCs w:val="20"/>
          <w:color w:val="auto"/>
        </w:rPr>
        <w:t xml:space="preserve"> by and between</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ManpowerGroup Inc., a Wisconsin corporation (the “Corporation”), and </w:t>
      </w:r>
      <w:r>
        <w:rPr>
          <w:rFonts w:ascii="Arial" w:cs="Arial" w:eastAsia="Arial" w:hAnsi="Arial"/>
          <w:sz w:val="20"/>
          <w:szCs w:val="20"/>
          <w:b w:val="1"/>
          <w:bCs w:val="1"/>
          <w:color w:val="auto"/>
        </w:rPr>
        <w:t>_____________</w:t>
      </w:r>
      <w:r>
        <w:rPr>
          <w:rFonts w:ascii="Arial" w:cs="Arial" w:eastAsia="Arial" w:hAnsi="Arial"/>
          <w:sz w:val="20"/>
          <w:szCs w:val="20"/>
          <w:color w:val="auto"/>
        </w:rPr>
        <w:t xml:space="preserve"> (the “Employee”).</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W I T N E S S E T H:</w:t>
      </w:r>
    </w:p>
    <w:p>
      <w:pPr>
        <w:spacing w:after="0" w:line="202" w:lineRule="exact"/>
        <w:rPr>
          <w:sz w:val="20"/>
          <w:szCs w:val="20"/>
          <w:color w:val="auto"/>
        </w:rPr>
      </w:pPr>
    </w:p>
    <w:p>
      <w:pPr>
        <w:ind w:right="260" w:firstLine="749"/>
        <w:spacing w:after="0" w:line="236" w:lineRule="auto"/>
        <w:rPr>
          <w:sz w:val="20"/>
          <w:szCs w:val="20"/>
          <w:color w:val="auto"/>
        </w:rPr>
      </w:pPr>
      <w:r>
        <w:rPr>
          <w:rFonts w:ascii="Arial" w:cs="Arial" w:eastAsia="Arial" w:hAnsi="Arial"/>
          <w:sz w:val="20"/>
          <w:szCs w:val="20"/>
          <w:color w:val="auto"/>
        </w:rPr>
        <w:t>WHEREAS the Board of Directors of the Corporation has established the 2011 Equity Incentive Plan (the “Plan”) with the approval of the shareholders of the Corporation; and</w:t>
      </w:r>
    </w:p>
    <w:p>
      <w:pPr>
        <w:spacing w:after="0" w:line="196" w:lineRule="exact"/>
        <w:rPr>
          <w:sz w:val="20"/>
          <w:szCs w:val="20"/>
          <w:color w:val="auto"/>
        </w:rPr>
      </w:pPr>
    </w:p>
    <w:p>
      <w:pPr>
        <w:ind w:right="140" w:firstLine="749"/>
        <w:spacing w:after="0" w:line="236" w:lineRule="auto"/>
        <w:rPr>
          <w:sz w:val="20"/>
          <w:szCs w:val="20"/>
          <w:color w:val="auto"/>
        </w:rPr>
      </w:pPr>
      <w:r>
        <w:rPr>
          <w:rFonts w:ascii="Arial" w:cs="Arial" w:eastAsia="Arial" w:hAnsi="Arial"/>
          <w:sz w:val="20"/>
          <w:szCs w:val="20"/>
          <w:color w:val="auto"/>
        </w:rPr>
        <w:t>WHEREAS, the Employee has been granted Performance Share Units under the Plan subject to the terms provided in this Agreement and the Plan.</w:t>
      </w:r>
    </w:p>
    <w:p>
      <w:pPr>
        <w:spacing w:after="0" w:line="196" w:lineRule="exact"/>
        <w:rPr>
          <w:sz w:val="20"/>
          <w:szCs w:val="20"/>
          <w:color w:val="auto"/>
        </w:rPr>
      </w:pPr>
    </w:p>
    <w:p>
      <w:pPr>
        <w:ind w:left="760"/>
        <w:spacing w:after="0"/>
        <w:rPr>
          <w:sz w:val="20"/>
          <w:szCs w:val="20"/>
          <w:color w:val="auto"/>
        </w:rPr>
      </w:pPr>
      <w:r>
        <w:rPr>
          <w:rFonts w:ascii="Arial" w:cs="Arial" w:eastAsia="Arial" w:hAnsi="Arial"/>
          <w:sz w:val="20"/>
          <w:szCs w:val="20"/>
          <w:color w:val="auto"/>
        </w:rPr>
        <w:t>NOW, THEREFORE, the Corporation and the Employee hereby agree as follows:</w:t>
      </w:r>
    </w:p>
    <w:p>
      <w:pPr>
        <w:spacing w:after="0" w:line="202" w:lineRule="exact"/>
        <w:rPr>
          <w:sz w:val="20"/>
          <w:szCs w:val="20"/>
          <w:color w:val="auto"/>
        </w:rPr>
      </w:pPr>
    </w:p>
    <w:p>
      <w:pPr>
        <w:ind w:right="120" w:firstLine="757"/>
        <w:spacing w:after="0" w:line="229" w:lineRule="auto"/>
        <w:tabs>
          <w:tab w:leader="none" w:pos="1498" w:val="left"/>
        </w:tabs>
        <w:numPr>
          <w:ilvl w:val="0"/>
          <w:numId w:val="27"/>
        </w:numPr>
        <w:rPr>
          <w:rFonts w:ascii="Arial" w:cs="Arial" w:eastAsia="Arial" w:hAnsi="Arial"/>
          <w:sz w:val="20"/>
          <w:szCs w:val="20"/>
          <w:color w:val="auto"/>
        </w:rPr>
      </w:pPr>
      <w:r>
        <w:rPr>
          <w:rFonts w:ascii="Arial" w:cs="Arial" w:eastAsia="Arial" w:hAnsi="Arial"/>
          <w:sz w:val="20"/>
          <w:szCs w:val="20"/>
          <w:u w:val="single" w:color="auto"/>
          <w:color w:val="auto"/>
        </w:rPr>
        <w:t>Provisions of Plan Control</w:t>
      </w:r>
      <w:r>
        <w:rPr>
          <w:rFonts w:ascii="Arial" w:cs="Arial" w:eastAsia="Arial" w:hAnsi="Arial"/>
          <w:sz w:val="20"/>
          <w:szCs w:val="20"/>
          <w:color w:val="auto"/>
        </w:rPr>
        <w:t>. This Agreement shall be governed by the provisions of the Plan, the terms and conditions of which are incorporated herein by reference. The Plan empowers the Administrator to make interpretations, rules and regulations thereunder, and, in general, provides that determinations of the Administrator with respect to the Plan shall be binding upon the Employee. Unless otherwise provided herein, all capitalized terms in this Agreement shall have the meanings ascribed to them in the Plan. A copy of the Plan will be delivered to the Employee upon reasonable request.</w:t>
      </w:r>
    </w:p>
    <w:p>
      <w:pPr>
        <w:spacing w:after="0" w:line="174" w:lineRule="exact"/>
        <w:rPr>
          <w:rFonts w:ascii="Arial" w:cs="Arial" w:eastAsia="Arial" w:hAnsi="Arial"/>
          <w:sz w:val="20"/>
          <w:szCs w:val="20"/>
          <w:color w:val="auto"/>
        </w:rPr>
      </w:pPr>
    </w:p>
    <w:p>
      <w:pPr>
        <w:ind w:left="1500" w:hanging="743"/>
        <w:spacing w:after="0"/>
        <w:tabs>
          <w:tab w:leader="none" w:pos="1500" w:val="left"/>
        </w:tabs>
        <w:numPr>
          <w:ilvl w:val="0"/>
          <w:numId w:val="27"/>
        </w:numPr>
        <w:rPr>
          <w:rFonts w:ascii="Arial" w:cs="Arial" w:eastAsia="Arial" w:hAnsi="Arial"/>
          <w:sz w:val="20"/>
          <w:szCs w:val="20"/>
          <w:color w:val="auto"/>
        </w:rPr>
      </w:pPr>
      <w:r>
        <w:rPr>
          <w:rFonts w:ascii="Arial" w:cs="Arial" w:eastAsia="Arial" w:hAnsi="Arial"/>
          <w:sz w:val="20"/>
          <w:szCs w:val="20"/>
          <w:u w:val="single" w:color="auto"/>
          <w:color w:val="auto"/>
        </w:rPr>
        <w:t>Terms of Award and Performance Goal</w:t>
      </w:r>
      <w:r>
        <w:rPr>
          <w:rFonts w:ascii="Arial" w:cs="Arial" w:eastAsia="Arial" w:hAnsi="Arial"/>
          <w:sz w:val="20"/>
          <w:szCs w:val="20"/>
          <w:color w:val="auto"/>
        </w:rPr>
        <w:t xml:space="preserve">. The Employee has been granted a Target Grant of </w:t>
      </w:r>
      <w:r>
        <w:rPr>
          <w:rFonts w:ascii="Arial" w:cs="Arial" w:eastAsia="Arial" w:hAnsi="Arial"/>
          <w:sz w:val="20"/>
          <w:szCs w:val="20"/>
          <w:b w:val="1"/>
          <w:bCs w:val="1"/>
          <w:color w:val="auto"/>
        </w:rPr>
        <w:t>______</w:t>
      </w:r>
    </w:p>
    <w:p>
      <w:pPr>
        <w:spacing w:after="0" w:line="10" w:lineRule="exact"/>
        <w:rPr>
          <w:rFonts w:ascii="Arial" w:cs="Arial" w:eastAsia="Arial" w:hAnsi="Arial"/>
          <w:sz w:val="20"/>
          <w:szCs w:val="20"/>
          <w:color w:val="auto"/>
        </w:rPr>
      </w:pPr>
    </w:p>
    <w:p>
      <w:pPr>
        <w:ind w:right="60"/>
        <w:spacing w:after="0" w:line="229" w:lineRule="auto"/>
        <w:rPr>
          <w:rFonts w:ascii="Arial" w:cs="Arial" w:eastAsia="Arial" w:hAnsi="Arial"/>
          <w:sz w:val="20"/>
          <w:szCs w:val="20"/>
          <w:color w:val="auto"/>
        </w:rPr>
      </w:pPr>
      <w:r>
        <w:rPr>
          <w:rFonts w:ascii="Arial" w:cs="Arial" w:eastAsia="Arial" w:hAnsi="Arial"/>
          <w:sz w:val="20"/>
          <w:szCs w:val="20"/>
          <w:color w:val="auto"/>
        </w:rPr>
        <w:t>Performance Share Units under the Plan. The actual number of Performance Share Units that may be earned by Employee will be determined as described below, based upon the actual results for the Performance Period compared to the Performance Goal. If the Conditions are not satisfied, then except as otherwise provided in this Agreement, or the Plan (to the extent not superseded by this Agreement), no Performance Share Units shall be vested. The Performance Goal and the number of Performance Share Units that may be earned based on actual results for the average EBITAMP for the Performance Period will be as follows:</w:t>
      </w:r>
    </w:p>
    <w:p>
      <w:pPr>
        <w:spacing w:after="0" w:line="195" w:lineRule="exact"/>
        <w:rPr>
          <w:rFonts w:ascii="Arial" w:cs="Arial" w:eastAsia="Arial" w:hAnsi="Arial"/>
          <w:sz w:val="20"/>
          <w:szCs w:val="20"/>
          <w:color w:val="auto"/>
        </w:rPr>
      </w:pPr>
    </w:p>
    <w:p>
      <w:pPr>
        <w:ind w:left="1940" w:hanging="435"/>
        <w:spacing w:after="0"/>
        <w:tabs>
          <w:tab w:leader="none" w:pos="1940" w:val="left"/>
        </w:tabs>
        <w:numPr>
          <w:ilvl w:val="1"/>
          <w:numId w:val="27"/>
        </w:numPr>
        <w:rPr>
          <w:rFonts w:ascii="Arial" w:cs="Arial" w:eastAsia="Arial" w:hAnsi="Arial"/>
          <w:sz w:val="20"/>
          <w:szCs w:val="20"/>
          <w:color w:val="auto"/>
        </w:rPr>
      </w:pPr>
      <w:r>
        <w:rPr>
          <w:rFonts w:ascii="Arial" w:cs="Arial" w:eastAsia="Arial" w:hAnsi="Arial"/>
          <w:sz w:val="20"/>
          <w:szCs w:val="20"/>
          <w:color w:val="auto"/>
        </w:rPr>
        <w:t>Initial Calculation of Performance Share Units Earned</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180" w:type="dxa"/>
            <w:vAlign w:val="bottom"/>
            <w:gridSpan w:val="4"/>
          </w:tcPr>
          <w:p>
            <w:pPr>
              <w:spacing w:after="0"/>
              <w:rPr>
                <w:sz w:val="20"/>
                <w:szCs w:val="20"/>
                <w:color w:val="auto"/>
              </w:rPr>
            </w:pPr>
            <w:r>
              <w:rPr>
                <w:rFonts w:ascii="Arial" w:cs="Arial" w:eastAsia="Arial" w:hAnsi="Arial"/>
                <w:sz w:val="20"/>
                <w:szCs w:val="20"/>
                <w:color w:val="auto"/>
              </w:rPr>
              <w:t>Average EBITAMP for the Performance Period</w:t>
            </w:r>
          </w:p>
        </w:tc>
        <w:tc>
          <w:tcPr>
            <w:tcW w:w="2960" w:type="dxa"/>
            <w:vAlign w:val="bottom"/>
            <w:gridSpan w:val="2"/>
          </w:tcPr>
          <w:p>
            <w:pPr>
              <w:ind w:left="220"/>
              <w:spacing w:after="0"/>
              <w:rPr>
                <w:sz w:val="20"/>
                <w:szCs w:val="20"/>
                <w:color w:val="auto"/>
              </w:rPr>
            </w:pPr>
            <w:r>
              <w:rPr>
                <w:rFonts w:ascii="Arial" w:cs="Arial" w:eastAsia="Arial" w:hAnsi="Arial"/>
                <w:sz w:val="20"/>
                <w:szCs w:val="20"/>
                <w:color w:val="auto"/>
                <w:w w:val="98"/>
              </w:rPr>
              <w:t>Initial Performance Share Units</w:t>
            </w:r>
          </w:p>
        </w:tc>
      </w:tr>
      <w:tr>
        <w:trPr>
          <w:trHeight w:val="196"/>
        </w:trPr>
        <w:tc>
          <w:tcPr>
            <w:tcW w:w="1760" w:type="dxa"/>
            <w:vAlign w:val="bottom"/>
            <w:tcBorders>
              <w:top w:val="single" w:sz="8" w:color="auto"/>
            </w:tcBorders>
          </w:tcPr>
          <w:p>
            <w:pPr>
              <w:spacing w:after="0"/>
              <w:rPr>
                <w:sz w:val="17"/>
                <w:szCs w:val="17"/>
                <w:color w:val="auto"/>
              </w:rPr>
            </w:pPr>
          </w:p>
        </w:tc>
        <w:tc>
          <w:tcPr>
            <w:tcW w:w="2320" w:type="dxa"/>
            <w:vAlign w:val="bottom"/>
            <w:tcBorders>
              <w:top w:val="single" w:sz="8" w:color="auto"/>
            </w:tcBorders>
            <w:gridSpan w:val="2"/>
          </w:tcPr>
          <w:p>
            <w:pPr>
              <w:spacing w:after="0" w:line="196" w:lineRule="exact"/>
              <w:rPr>
                <w:sz w:val="20"/>
                <w:szCs w:val="20"/>
                <w:color w:val="auto"/>
              </w:rPr>
            </w:pPr>
            <w:r>
              <w:rPr>
                <w:rFonts w:ascii="Arial" w:cs="Arial" w:eastAsia="Arial" w:hAnsi="Arial"/>
                <w:sz w:val="20"/>
                <w:szCs w:val="20"/>
                <w:color w:val="auto"/>
              </w:rPr>
              <w:t>Earned</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740" w:type="dxa"/>
            <w:vAlign w:val="bottom"/>
            <w:tcBorders>
              <w:top w:val="single" w:sz="8" w:color="auto"/>
            </w:tcBorders>
          </w:tcPr>
          <w:p>
            <w:pPr>
              <w:spacing w:after="0"/>
              <w:rPr>
                <w:sz w:val="17"/>
                <w:szCs w:val="17"/>
                <w:color w:val="auto"/>
              </w:rPr>
            </w:pPr>
          </w:p>
        </w:tc>
      </w:tr>
      <w:tr>
        <w:trPr>
          <w:trHeight w:val="20"/>
        </w:trPr>
        <w:tc>
          <w:tcPr>
            <w:tcW w:w="17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2960" w:type="dxa"/>
            <w:vAlign w:val="bottom"/>
            <w:gridSpan w:val="2"/>
          </w:tcPr>
          <w:p>
            <w:pPr>
              <w:spacing w:after="0" w:line="20" w:lineRule="exact"/>
              <w:rPr>
                <w:sz w:val="1"/>
                <w:szCs w:val="1"/>
                <w:color w:val="auto"/>
              </w:rPr>
            </w:pPr>
          </w:p>
        </w:tc>
      </w:tr>
      <w:tr>
        <w:trPr>
          <w:trHeight w:val="411"/>
        </w:trPr>
        <w:tc>
          <w:tcPr>
            <w:tcW w:w="4180" w:type="dxa"/>
            <w:vAlign w:val="bottom"/>
            <w:gridSpan w:val="4"/>
          </w:tcPr>
          <w:p>
            <w:pPr>
              <w:ind w:left="760"/>
              <w:spacing w:after="0"/>
              <w:rPr>
                <w:sz w:val="20"/>
                <w:szCs w:val="20"/>
                <w:color w:val="auto"/>
              </w:rPr>
            </w:pPr>
            <w:r>
              <w:rPr>
                <w:rFonts w:ascii="Arial" w:cs="Arial" w:eastAsia="Arial" w:hAnsi="Arial"/>
                <w:sz w:val="20"/>
                <w:szCs w:val="20"/>
                <w:color w:val="auto"/>
              </w:rPr>
              <w:t>Threshold EBITAMP (</w:t>
            </w:r>
            <w:r>
              <w:rPr>
                <w:rFonts w:ascii="Arial" w:cs="Arial" w:eastAsia="Arial" w:hAnsi="Arial"/>
                <w:sz w:val="20"/>
                <w:szCs w:val="20"/>
                <w:b w:val="1"/>
                <w:bCs w:val="1"/>
                <w:color w:val="auto"/>
              </w:rPr>
              <w:t>____</w:t>
            </w:r>
            <w:r>
              <w:rPr>
                <w:rFonts w:ascii="Arial" w:cs="Arial" w:eastAsia="Arial" w:hAnsi="Arial"/>
                <w:sz w:val="20"/>
                <w:szCs w:val="20"/>
                <w:color w:val="auto"/>
              </w:rPr>
              <w:t>%)</w:t>
            </w:r>
          </w:p>
        </w:tc>
        <w:tc>
          <w:tcPr>
            <w:tcW w:w="2960" w:type="dxa"/>
            <w:vAlign w:val="bottom"/>
            <w:gridSpan w:val="2"/>
          </w:tcPr>
          <w:p>
            <w:pPr>
              <w:ind w:left="100"/>
              <w:spacing w:after="0"/>
              <w:rPr>
                <w:sz w:val="20"/>
                <w:szCs w:val="20"/>
                <w:color w:val="auto"/>
              </w:rPr>
            </w:pPr>
            <w:r>
              <w:rPr>
                <w:rFonts w:ascii="Arial" w:cs="Arial" w:eastAsia="Arial" w:hAnsi="Arial"/>
                <w:sz w:val="20"/>
                <w:szCs w:val="20"/>
                <w:color w:val="auto"/>
              </w:rPr>
              <w:t>0% of Target Grant</w:t>
            </w:r>
          </w:p>
        </w:tc>
      </w:tr>
      <w:tr>
        <w:trPr>
          <w:trHeight w:val="216"/>
        </w:trPr>
        <w:tc>
          <w:tcPr>
            <w:tcW w:w="4180" w:type="dxa"/>
            <w:vAlign w:val="bottom"/>
            <w:gridSpan w:val="4"/>
          </w:tcPr>
          <w:p>
            <w:pPr>
              <w:ind w:left="760"/>
              <w:spacing w:after="0" w:line="216" w:lineRule="exact"/>
              <w:rPr>
                <w:sz w:val="20"/>
                <w:szCs w:val="20"/>
                <w:color w:val="auto"/>
              </w:rPr>
            </w:pPr>
            <w:r>
              <w:rPr>
                <w:rFonts w:ascii="Arial" w:cs="Arial" w:eastAsia="Arial" w:hAnsi="Arial"/>
                <w:sz w:val="20"/>
                <w:szCs w:val="20"/>
                <w:color w:val="auto"/>
              </w:rPr>
              <w:t>Target EBITAMP (</w:t>
            </w:r>
            <w:r>
              <w:rPr>
                <w:rFonts w:ascii="Arial" w:cs="Arial" w:eastAsia="Arial" w:hAnsi="Arial"/>
                <w:sz w:val="20"/>
                <w:szCs w:val="20"/>
                <w:b w:val="1"/>
                <w:bCs w:val="1"/>
                <w:color w:val="auto"/>
              </w:rPr>
              <w:t>____%</w:t>
            </w:r>
            <w:r>
              <w:rPr>
                <w:rFonts w:ascii="Arial" w:cs="Arial" w:eastAsia="Arial" w:hAnsi="Arial"/>
                <w:sz w:val="20"/>
                <w:szCs w:val="20"/>
                <w:color w:val="auto"/>
              </w:rPr>
              <w:t>)</w:t>
            </w:r>
          </w:p>
        </w:tc>
        <w:tc>
          <w:tcPr>
            <w:tcW w:w="2960" w:type="dxa"/>
            <w:vAlign w:val="bottom"/>
            <w:gridSpan w:val="2"/>
          </w:tcPr>
          <w:p>
            <w:pPr>
              <w:ind w:left="100"/>
              <w:spacing w:after="0" w:line="216" w:lineRule="exact"/>
              <w:rPr>
                <w:sz w:val="20"/>
                <w:szCs w:val="20"/>
                <w:color w:val="auto"/>
              </w:rPr>
            </w:pPr>
            <w:r>
              <w:rPr>
                <w:rFonts w:ascii="Arial" w:cs="Arial" w:eastAsia="Arial" w:hAnsi="Arial"/>
                <w:sz w:val="20"/>
                <w:szCs w:val="20"/>
                <w:color w:val="auto"/>
              </w:rPr>
              <w:t>100% of Target Grant</w:t>
            </w:r>
          </w:p>
        </w:tc>
      </w:tr>
      <w:tr>
        <w:trPr>
          <w:trHeight w:val="261"/>
        </w:trPr>
        <w:tc>
          <w:tcPr>
            <w:tcW w:w="4180" w:type="dxa"/>
            <w:vAlign w:val="bottom"/>
            <w:gridSpan w:val="4"/>
          </w:tcPr>
          <w:p>
            <w:pPr>
              <w:ind w:left="760"/>
              <w:spacing w:after="0"/>
              <w:rPr>
                <w:sz w:val="20"/>
                <w:szCs w:val="20"/>
                <w:color w:val="auto"/>
              </w:rPr>
            </w:pPr>
            <w:r>
              <w:rPr>
                <w:rFonts w:ascii="Arial" w:cs="Arial" w:eastAsia="Arial" w:hAnsi="Arial"/>
                <w:sz w:val="20"/>
                <w:szCs w:val="20"/>
                <w:color w:val="auto"/>
              </w:rPr>
              <w:t>Outstanding EBITAMP (</w:t>
            </w:r>
            <w:r>
              <w:rPr>
                <w:rFonts w:ascii="Arial" w:cs="Arial" w:eastAsia="Arial" w:hAnsi="Arial"/>
                <w:sz w:val="20"/>
                <w:szCs w:val="20"/>
                <w:b w:val="1"/>
                <w:bCs w:val="1"/>
                <w:color w:val="auto"/>
              </w:rPr>
              <w:t>____</w:t>
            </w:r>
            <w:r>
              <w:rPr>
                <w:rFonts w:ascii="Arial" w:cs="Arial" w:eastAsia="Arial" w:hAnsi="Arial"/>
                <w:sz w:val="20"/>
                <w:szCs w:val="20"/>
                <w:color w:val="auto"/>
              </w:rPr>
              <w:t>%)</w:t>
            </w:r>
          </w:p>
        </w:tc>
        <w:tc>
          <w:tcPr>
            <w:tcW w:w="220" w:type="dxa"/>
            <w:vAlign w:val="bottom"/>
          </w:tcPr>
          <w:p>
            <w:pPr>
              <w:spacing w:after="0"/>
              <w:rPr>
                <w:sz w:val="22"/>
                <w:szCs w:val="22"/>
                <w:color w:val="auto"/>
              </w:rPr>
            </w:pPr>
          </w:p>
        </w:tc>
        <w:tc>
          <w:tcPr>
            <w:tcW w:w="2740" w:type="dxa"/>
            <w:vAlign w:val="bottom"/>
          </w:tcPr>
          <w:p>
            <w:pPr>
              <w:ind w:left="320"/>
              <w:spacing w:after="0"/>
              <w:rPr>
                <w:sz w:val="20"/>
                <w:szCs w:val="20"/>
                <w:color w:val="auto"/>
              </w:rPr>
            </w:pPr>
            <w:r>
              <w:rPr>
                <w:rFonts w:ascii="Arial" w:cs="Arial" w:eastAsia="Arial" w:hAnsi="Arial"/>
                <w:sz w:val="20"/>
                <w:szCs w:val="20"/>
                <w:color w:val="auto"/>
              </w:rPr>
              <w:t>200% of Target Grant</w:t>
            </w:r>
          </w:p>
        </w:tc>
      </w:tr>
    </w:tbl>
    <w:p>
      <w:pPr>
        <w:spacing w:after="0" w:line="195" w:lineRule="exact"/>
        <w:rPr>
          <w:sz w:val="20"/>
          <w:szCs w:val="20"/>
          <w:color w:val="auto"/>
        </w:rPr>
      </w:pPr>
    </w:p>
    <w:p>
      <w:pPr>
        <w:ind w:right="100"/>
        <w:spacing w:after="0" w:line="229" w:lineRule="auto"/>
        <w:rPr>
          <w:sz w:val="20"/>
          <w:szCs w:val="20"/>
          <w:color w:val="auto"/>
        </w:rPr>
      </w:pPr>
      <w:r>
        <w:rPr>
          <w:rFonts w:ascii="Arial" w:cs="Arial" w:eastAsia="Arial" w:hAnsi="Arial"/>
          <w:sz w:val="20"/>
          <w:szCs w:val="20"/>
          <w:color w:val="auto"/>
        </w:rPr>
        <w:t>If actual EBITAMP for the Performance Period is at or below Threshold EBITAMP specified above, no Performance Share Units will be earned, and if actual EBITAMP for the Performance Period exceeds Outstanding EBITAMP specified above, the number of Performance Share Units earned will equal the number earned for Outstanding EBITAMP. Actual EBITAMP for the Performance Period between Threshold EBITAMP and Target EBITAMP, or between Target EBITAMP and Outstanding EBITAMP shall result in a number of Performance Share Units earned determined on a linear basis between. Notwithstanding the foregoing, if the EBITA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310515</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40" w:name="page41"/>
    <w:bookmarkEnd w:id="40"/>
    <w:p>
      <w:pPr>
        <w:spacing w:after="0"/>
        <w:rPr>
          <w:sz w:val="20"/>
          <w:szCs w:val="20"/>
          <w:color w:val="auto"/>
        </w:rPr>
      </w:pPr>
      <w:r>
        <w:rPr>
          <w:rFonts w:ascii="Arial" w:cs="Arial" w:eastAsia="Arial" w:hAnsi="Arial"/>
          <w:sz w:val="19"/>
          <w:szCs w:val="19"/>
          <w:color w:val="auto"/>
        </w:rPr>
        <w:t>Dollar Gate of $_______ is not achieved during the Performance Period, the maximum number of Performance Share Units that</w:t>
      </w:r>
    </w:p>
    <w:p>
      <w:pPr>
        <w:spacing w:after="0"/>
        <w:rPr>
          <w:sz w:val="20"/>
          <w:szCs w:val="20"/>
          <w:color w:val="auto"/>
        </w:rPr>
      </w:pPr>
      <w:r>
        <w:rPr>
          <w:rFonts w:ascii="Arial" w:cs="Arial" w:eastAsia="Arial" w:hAnsi="Arial"/>
          <w:sz w:val="20"/>
          <w:szCs w:val="20"/>
          <w:color w:val="auto"/>
        </w:rPr>
        <w:t>can be earned will not exceed the Target Grant.</w:t>
      </w:r>
    </w:p>
    <w:p>
      <w:pPr>
        <w:spacing w:after="0" w:line="202" w:lineRule="exact"/>
        <w:rPr>
          <w:sz w:val="20"/>
          <w:szCs w:val="20"/>
          <w:color w:val="auto"/>
        </w:rPr>
      </w:pPr>
    </w:p>
    <w:p>
      <w:pPr>
        <w:ind w:left="1320" w:hanging="432"/>
        <w:spacing w:after="0"/>
        <w:tabs>
          <w:tab w:leader="none" w:pos="1320" w:val="left"/>
        </w:tabs>
        <w:numPr>
          <w:ilvl w:val="0"/>
          <w:numId w:val="28"/>
        </w:numPr>
        <w:rPr>
          <w:rFonts w:ascii="Arial" w:cs="Arial" w:eastAsia="Arial" w:hAnsi="Arial"/>
          <w:sz w:val="20"/>
          <w:szCs w:val="20"/>
          <w:color w:val="auto"/>
        </w:rPr>
      </w:pPr>
      <w:r>
        <w:rPr>
          <w:rFonts w:ascii="Arial" w:cs="Arial" w:eastAsia="Arial" w:hAnsi="Arial"/>
          <w:sz w:val="20"/>
          <w:szCs w:val="20"/>
          <w:color w:val="auto"/>
        </w:rPr>
        <w:t>Committee Adjustment of Performance Share Units Earned</w:t>
      </w:r>
    </w:p>
    <w:p>
      <w:pPr>
        <w:spacing w:after="0" w:line="202" w:lineRule="exact"/>
        <w:rPr>
          <w:sz w:val="20"/>
          <w:szCs w:val="20"/>
          <w:color w:val="auto"/>
        </w:rPr>
      </w:pPr>
    </w:p>
    <w:p>
      <w:pPr>
        <w:ind w:right="560"/>
        <w:spacing w:after="0" w:line="237" w:lineRule="auto"/>
        <w:rPr>
          <w:sz w:val="20"/>
          <w:szCs w:val="20"/>
          <w:color w:val="auto"/>
        </w:rPr>
      </w:pPr>
      <w:r>
        <w:rPr>
          <w:rFonts w:ascii="Arial" w:cs="Arial" w:eastAsia="Arial" w:hAnsi="Arial"/>
          <w:sz w:val="19"/>
          <w:szCs w:val="19"/>
          <w:color w:val="auto"/>
        </w:rPr>
        <w:t>The Committee may negatively or positively adjust the number of Performance Share Units calculated in accordance with Section 2(a), above, by up to ____ percent (____%), based on the Committee’s determination, in its sole discretion, of the</w:t>
      </w:r>
    </w:p>
    <w:p>
      <w:pPr>
        <w:ind w:right="20"/>
        <w:spacing w:after="0" w:line="237" w:lineRule="auto"/>
        <w:rPr>
          <w:sz w:val="20"/>
          <w:szCs w:val="20"/>
          <w:color w:val="auto"/>
        </w:rPr>
      </w:pPr>
      <w:r>
        <w:rPr>
          <w:rFonts w:ascii="Arial" w:cs="Arial" w:eastAsia="Arial" w:hAnsi="Arial"/>
          <w:sz w:val="19"/>
          <w:szCs w:val="19"/>
          <w:color w:val="auto"/>
        </w:rPr>
        <w:t>Corporation’s achievement of certain Key Performance Indicators during the Performance Period attached hereto as Exhibit A (the “KPIs”). Notwithstanding the foregoing, no such adjustment shall (i) reduce the number of Performance Share Units earned below the number of Performance Share Units earned in Section 2(a) above for achieving Threshold EBITAMP, (ii) increase the number of Performance Share Units earned in excess of the number of Performance Share Units earned in Section 2(a) above for achieving Outstanding EBITAMP, or (iii) increase the number of Performance Share Units earned above the number of Performance Share Units earned for achieving Target EBITAMP if the EBITA Dollar Gate of $_______ is not achieved during the</w:t>
      </w:r>
    </w:p>
    <w:p>
      <w:pPr>
        <w:spacing w:after="0" w:line="1" w:lineRule="exact"/>
        <w:rPr>
          <w:sz w:val="20"/>
          <w:szCs w:val="20"/>
          <w:color w:val="auto"/>
        </w:rPr>
      </w:pPr>
    </w:p>
    <w:p>
      <w:pPr>
        <w:jc w:val="both"/>
        <w:ind w:right="560"/>
        <w:spacing w:after="0" w:line="237" w:lineRule="auto"/>
        <w:rPr>
          <w:sz w:val="20"/>
          <w:szCs w:val="20"/>
          <w:color w:val="auto"/>
        </w:rPr>
      </w:pPr>
      <w:r>
        <w:rPr>
          <w:rFonts w:ascii="Arial" w:cs="Arial" w:eastAsia="Arial" w:hAnsi="Arial"/>
          <w:sz w:val="19"/>
          <w:szCs w:val="19"/>
          <w:color w:val="auto"/>
        </w:rPr>
        <w:t>Performance Period. The Committee shall analyze the level of achievement with respect to the KPIs periodically over the Performance Period and determine, within its sole discretion, whether and to what extent any adjustment shall be made in accordance with this Section 2(b) to the number of Performance Share Units calculated in accordance with Section 2(a).</w:t>
      </w:r>
    </w:p>
    <w:p>
      <w:pPr>
        <w:spacing w:after="0" w:line="1" w:lineRule="exact"/>
        <w:rPr>
          <w:sz w:val="20"/>
          <w:szCs w:val="20"/>
          <w:color w:val="auto"/>
        </w:rPr>
      </w:pPr>
    </w:p>
    <w:p>
      <w:pPr>
        <w:ind w:right="260"/>
        <w:spacing w:after="0" w:line="236" w:lineRule="auto"/>
        <w:rPr>
          <w:sz w:val="20"/>
          <w:szCs w:val="20"/>
          <w:color w:val="auto"/>
        </w:rPr>
      </w:pPr>
      <w:r>
        <w:rPr>
          <w:rFonts w:ascii="Arial" w:cs="Arial" w:eastAsia="Arial" w:hAnsi="Arial"/>
          <w:sz w:val="20"/>
          <w:szCs w:val="20"/>
          <w:color w:val="auto"/>
        </w:rPr>
        <w:t>Notwithstanding anything herein to the contrary, the Committee retains the discretion to decrease the number of Performance Share Units earned under this Award by any amount.</w:t>
      </w:r>
    </w:p>
    <w:p>
      <w:pPr>
        <w:spacing w:after="0" w:line="196" w:lineRule="exact"/>
        <w:rPr>
          <w:sz w:val="20"/>
          <w:szCs w:val="20"/>
          <w:color w:val="auto"/>
        </w:rPr>
      </w:pPr>
    </w:p>
    <w:p>
      <w:pPr>
        <w:ind w:firstLine="757"/>
        <w:spacing w:after="0" w:line="239" w:lineRule="auto"/>
        <w:tabs>
          <w:tab w:leader="none" w:pos="1498" w:val="left"/>
        </w:tabs>
        <w:numPr>
          <w:ilvl w:val="0"/>
          <w:numId w:val="29"/>
        </w:numPr>
        <w:rPr>
          <w:rFonts w:ascii="Arial" w:cs="Arial" w:eastAsia="Arial" w:hAnsi="Arial"/>
          <w:sz w:val="19"/>
          <w:szCs w:val="19"/>
          <w:color w:val="auto"/>
        </w:rPr>
      </w:pPr>
      <w:r>
        <w:rPr>
          <w:rFonts w:ascii="Arial" w:cs="Arial" w:eastAsia="Arial" w:hAnsi="Arial"/>
          <w:sz w:val="19"/>
          <w:szCs w:val="19"/>
          <w:u w:val="single" w:color="auto"/>
          <w:color w:val="auto"/>
        </w:rPr>
        <w:t>Award Payment</w:t>
      </w:r>
      <w:r>
        <w:rPr>
          <w:rFonts w:ascii="Arial" w:cs="Arial" w:eastAsia="Arial" w:hAnsi="Arial"/>
          <w:sz w:val="19"/>
          <w:szCs w:val="19"/>
          <w:color w:val="auto"/>
        </w:rPr>
        <w:t>. The number of Performance Share Units earned shall be paid in Shares in February of the year after the Performance Period as soon as administratively practicable after the Committee has approved and certified the number of Performance Share Units that have been earned hereunder. Notwithstanding the foregoing, Awards of Performance Share Units that become earned and vested upon the Employee’s death, Disability or a Triggering Event as provided in Sections 4 or 5(b) below shall be paid in Shares as soon as administratively practicable after such death, Disability or Triggering Event. Further, to the extent that Performance Share Units granted hereunder become earned and vested in connection with the Employee’s Regular or Qualified Retirement, or upon an involuntary termination of employment (other than for Cause) or voluntary termination for Good Reason as provided in Section 5(a) below, such Award shall be paid to the Employee in Shares as soon as administratively practicable after the date the Committee has certified and approved the number of Performance Share Units that have been earned hereunder or, if required in order to avoid the imposition of a Section 409A penalty tax to the Employee, the payment of the Award shall be further delayed until the first business day after the date that is six (6) months after the date of the Employee’s “separation of service” as such term is defined under Section 409A of the Code.</w:t>
      </w:r>
    </w:p>
    <w:p>
      <w:pPr>
        <w:spacing w:after="0" w:line="197" w:lineRule="exact"/>
        <w:rPr>
          <w:rFonts w:ascii="Arial" w:cs="Arial" w:eastAsia="Arial" w:hAnsi="Arial"/>
          <w:sz w:val="19"/>
          <w:szCs w:val="19"/>
          <w:color w:val="auto"/>
        </w:rPr>
      </w:pPr>
    </w:p>
    <w:p>
      <w:pPr>
        <w:ind w:firstLine="757"/>
        <w:spacing w:after="0" w:line="228" w:lineRule="auto"/>
        <w:tabs>
          <w:tab w:leader="none" w:pos="1498" w:val="left"/>
        </w:tabs>
        <w:numPr>
          <w:ilvl w:val="0"/>
          <w:numId w:val="29"/>
        </w:numPr>
        <w:rPr>
          <w:rFonts w:ascii="Arial" w:cs="Arial" w:eastAsia="Arial" w:hAnsi="Arial"/>
          <w:sz w:val="20"/>
          <w:szCs w:val="20"/>
          <w:color w:val="auto"/>
        </w:rPr>
      </w:pPr>
      <w:r>
        <w:rPr>
          <w:rFonts w:ascii="Arial" w:cs="Arial" w:eastAsia="Arial" w:hAnsi="Arial"/>
          <w:sz w:val="20"/>
          <w:szCs w:val="20"/>
          <w:u w:val="single" w:color="auto"/>
          <w:color w:val="auto"/>
        </w:rPr>
        <w:t>Termination of Employment</w:t>
      </w:r>
      <w:r>
        <w:rPr>
          <w:rFonts w:ascii="Arial" w:cs="Arial" w:eastAsia="Arial" w:hAnsi="Arial"/>
          <w:sz w:val="20"/>
          <w:szCs w:val="20"/>
          <w:color w:val="auto"/>
        </w:rPr>
        <w:t>. Except as otherwise provided in the Plan and except as otherwise provided in this Agreement, Employee must be an employee of the Corporation or any of its direct and indirect subsidiaries (the “ManpowerGroup”) continuously from the date of this Award until the last day of the Performance Period in order for Employee to receive any Shares with respect to any Performance Share units he or she may earn hereunder. Notwithstanding the foregoing, Sections 10(d)(2) and (3) of the Plan, regarding the earning and accelerated vesting of Awards upon a death, Disability or Retirement, shall not apply to this Agreement. Instead, upon Employee’s death or Disability during the Performance Period, Employee will immediately earn and become vested in the number of Performance Share Units the Employee would have otherwise earned if 100% of the Target Performance Goal had been</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49530</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6" w:right="359" w:bottom="1440" w:gutter="0" w:footer="0" w:header="0"/>
        </w:sectPr>
      </w:pPr>
    </w:p>
    <w:bookmarkStart w:id="41" w:name="page42"/>
    <w:bookmarkEnd w:id="41"/>
    <w:p>
      <w:pPr>
        <w:spacing w:after="0" w:line="227" w:lineRule="auto"/>
        <w:rPr>
          <w:sz w:val="20"/>
          <w:szCs w:val="20"/>
          <w:color w:val="auto"/>
        </w:rPr>
      </w:pPr>
      <w:r>
        <w:rPr>
          <w:rFonts w:ascii="Arial" w:cs="Arial" w:eastAsia="Arial" w:hAnsi="Arial"/>
          <w:sz w:val="20"/>
          <w:szCs w:val="20"/>
          <w:color w:val="auto"/>
        </w:rPr>
        <w:t>achieved at the end of the Performance Period, with no adjustment under Section 2(b) above. In the event of Employee’s Regular Retirement during the Performance Period, Employee shall earn and become vested in a prorated number of Performance Share Units. The number of Performance Share Units earned and vested in connection with a Regular Retirement shall be the number of Performance Share Units determined by multiplying the number of Performance Share Units that would have been earned, taking into account the achievement of the Annual EBITA Dollar Gate during the Performance Period, if Employee had remained an Employee until the last day of the Performance Period, determined in accordance with the actual EBITAMP achieved at the end of the Performance Period, taking into account any adjustment pursuant to Section 2(b), above, by the quotient of (x) the number of full months between the first day of the Performance Period and the last day of the month in which the Employee’s Regular Retirement occurs divided by (y) 36 months. Upon Employee’s Qualified Retirement, Employee shall earn and become vested in the same number of Performance Share Units as a Regular Retirement, except that no proration shall be applied.</w:t>
      </w:r>
    </w:p>
    <w:p>
      <w:pPr>
        <w:spacing w:after="0" w:line="199" w:lineRule="exact"/>
        <w:rPr>
          <w:sz w:val="20"/>
          <w:szCs w:val="20"/>
          <w:color w:val="auto"/>
        </w:rPr>
      </w:pPr>
    </w:p>
    <w:p>
      <w:pPr>
        <w:ind w:right="240" w:firstLine="757"/>
        <w:spacing w:after="0" w:line="236" w:lineRule="auto"/>
        <w:tabs>
          <w:tab w:leader="none" w:pos="1498" w:val="left"/>
        </w:tabs>
        <w:numPr>
          <w:ilvl w:val="0"/>
          <w:numId w:val="30"/>
        </w:numPr>
        <w:rPr>
          <w:rFonts w:ascii="Arial" w:cs="Arial" w:eastAsia="Arial" w:hAnsi="Arial"/>
          <w:sz w:val="20"/>
          <w:szCs w:val="20"/>
          <w:color w:val="auto"/>
        </w:rPr>
      </w:pPr>
      <w:r>
        <w:rPr>
          <w:rFonts w:ascii="Arial" w:cs="Arial" w:eastAsia="Arial" w:hAnsi="Arial"/>
          <w:sz w:val="20"/>
          <w:szCs w:val="20"/>
          <w:u w:val="single" w:color="auto"/>
          <w:color w:val="auto"/>
        </w:rPr>
        <w:t>Triggering Event</w:t>
      </w:r>
      <w:r>
        <w:rPr>
          <w:rFonts w:ascii="Arial" w:cs="Arial" w:eastAsia="Arial" w:hAnsi="Arial"/>
          <w:sz w:val="20"/>
          <w:szCs w:val="20"/>
          <w:color w:val="auto"/>
        </w:rPr>
        <w:t>. Section 10(e) of the Plan, regarding the earning and accelerated vesting of Awards after a Triggering Event or during a Protected Period, shall not apply to this Agreement. Instead,</w:t>
      </w:r>
    </w:p>
    <w:p>
      <w:pPr>
        <w:spacing w:after="0" w:line="195" w:lineRule="exact"/>
        <w:rPr>
          <w:rFonts w:ascii="Arial" w:cs="Arial" w:eastAsia="Arial" w:hAnsi="Arial"/>
          <w:sz w:val="20"/>
          <w:szCs w:val="20"/>
          <w:color w:val="auto"/>
        </w:rPr>
      </w:pPr>
    </w:p>
    <w:p>
      <w:pPr>
        <w:ind w:left="2260" w:right="20" w:hanging="755"/>
        <w:spacing w:after="0" w:line="239" w:lineRule="auto"/>
        <w:tabs>
          <w:tab w:leader="none" w:pos="2260" w:val="left"/>
        </w:tabs>
        <w:numPr>
          <w:ilvl w:val="1"/>
          <w:numId w:val="30"/>
        </w:numPr>
        <w:rPr>
          <w:rFonts w:ascii="Arial" w:cs="Arial" w:eastAsia="Arial" w:hAnsi="Arial"/>
          <w:sz w:val="19"/>
          <w:szCs w:val="19"/>
          <w:color w:val="auto"/>
        </w:rPr>
      </w:pPr>
      <w:r>
        <w:rPr>
          <w:rFonts w:ascii="Arial" w:cs="Arial" w:eastAsia="Arial" w:hAnsi="Arial"/>
          <w:sz w:val="19"/>
          <w:szCs w:val="19"/>
          <w:color w:val="auto"/>
        </w:rPr>
        <w:t>If a Triggering Event occurs during the Performance Period, upon the Employee’s termination of employment by the ManpowerGroup other than for Cause or upon the Employee’s voluntary termination of employment for Good Reason during the two-year period following the Triggering Event (but not later than the end of the Performance Period), Employee shall earn and/or become vested in the number of Performance Share Units that would have been earned if Employee had remained an Employee until the last day of the Performance Period (as determined by the Committee, taking into account (i) treatment of Participants with similar grants whose employment has continued beyond the Performance Period, (ii) revised Performance Goals, if any, as agreed to between the relevant parties to the Triggering Event, and (iii) the Corporation’s achievement toward the Performance Goals and the KPIs at the end of the Performance Period, if measurable after the Triggering Event.</w:t>
      </w:r>
    </w:p>
    <w:p>
      <w:pPr>
        <w:spacing w:after="0" w:line="200" w:lineRule="exact"/>
        <w:rPr>
          <w:rFonts w:ascii="Arial" w:cs="Arial" w:eastAsia="Arial" w:hAnsi="Arial"/>
          <w:sz w:val="19"/>
          <w:szCs w:val="19"/>
          <w:color w:val="auto"/>
        </w:rPr>
      </w:pPr>
    </w:p>
    <w:p>
      <w:pPr>
        <w:ind w:left="2260" w:right="120" w:hanging="755"/>
        <w:spacing w:after="0" w:line="229" w:lineRule="auto"/>
        <w:tabs>
          <w:tab w:leader="none" w:pos="2260" w:val="left"/>
        </w:tabs>
        <w:numPr>
          <w:ilvl w:val="1"/>
          <w:numId w:val="30"/>
        </w:numPr>
        <w:rPr>
          <w:rFonts w:ascii="Arial" w:cs="Arial" w:eastAsia="Arial" w:hAnsi="Arial"/>
          <w:sz w:val="20"/>
          <w:szCs w:val="20"/>
          <w:color w:val="auto"/>
        </w:rPr>
      </w:pPr>
      <w:r>
        <w:rPr>
          <w:rFonts w:ascii="Arial" w:cs="Arial" w:eastAsia="Arial" w:hAnsi="Arial"/>
          <w:sz w:val="20"/>
          <w:szCs w:val="20"/>
          <w:color w:val="auto"/>
        </w:rPr>
        <w:t>If the Employee’s employment is terminated by the ManpowerGroup other than for Cause or if the Employee voluntarily terminated his or her employment for Good Reason during a Protected Period, upon a Triggering Event, Employee shall earn and become vested in the same number of Performance Share Units that would have been earned if Employee had remained employed until the date of the Triggering Event and was terminated immediately thereafter (i.e., in the manner covered under Section 5(a) above).</w:t>
      </w:r>
    </w:p>
    <w:p>
      <w:pPr>
        <w:spacing w:after="0" w:line="195" w:lineRule="exact"/>
        <w:rPr>
          <w:rFonts w:ascii="Arial" w:cs="Arial" w:eastAsia="Arial" w:hAnsi="Arial"/>
          <w:sz w:val="20"/>
          <w:szCs w:val="20"/>
          <w:color w:val="auto"/>
        </w:rPr>
      </w:pPr>
    </w:p>
    <w:p>
      <w:pPr>
        <w:ind w:right="40" w:firstLine="757"/>
        <w:spacing w:after="0" w:line="229" w:lineRule="auto"/>
        <w:tabs>
          <w:tab w:leader="none" w:pos="1498" w:val="left"/>
        </w:tabs>
        <w:numPr>
          <w:ilvl w:val="0"/>
          <w:numId w:val="30"/>
        </w:numPr>
        <w:rPr>
          <w:rFonts w:ascii="Arial" w:cs="Arial" w:eastAsia="Arial" w:hAnsi="Arial"/>
          <w:sz w:val="20"/>
          <w:szCs w:val="20"/>
          <w:color w:val="auto"/>
        </w:rPr>
      </w:pPr>
      <w:r>
        <w:rPr>
          <w:rFonts w:ascii="Arial" w:cs="Arial" w:eastAsia="Arial" w:hAnsi="Arial"/>
          <w:sz w:val="20"/>
          <w:szCs w:val="20"/>
          <w:u w:val="single" w:color="auto"/>
          <w:color w:val="auto"/>
        </w:rPr>
        <w:t>Dividend Equivalents and Voting Rights</w:t>
      </w:r>
      <w:r>
        <w:rPr>
          <w:rFonts w:ascii="Arial" w:cs="Arial" w:eastAsia="Arial" w:hAnsi="Arial"/>
          <w:sz w:val="20"/>
          <w:szCs w:val="20"/>
          <w:color w:val="auto"/>
        </w:rPr>
        <w:t>. The Employee shall be credited with additional PSUs equivalent to the dividends or distributions the Employee would have received if the Employee had been the owner of a number of Shares equal to the number of Performance Share Units earned by the Employee during the period that the Employee holds Performance Share Units. The manner of calculating and crediting such additional Performance Share Units shall be determined in the same manner as dividend equivalents are credited on Restricted Share Units under Section 8(j) the Plan, with two differences: (1) at each annual or other</w:t>
      </w:r>
    </w:p>
    <w:p>
      <w:pPr>
        <w:spacing w:after="0" w:line="195"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49530</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8" w:right="359" w:bottom="1440" w:gutter="0" w:footer="0" w:header="0"/>
        </w:sectPr>
      </w:pPr>
    </w:p>
    <w:bookmarkStart w:id="42" w:name="page43"/>
    <w:bookmarkEnd w:id="42"/>
    <w:p>
      <w:pPr>
        <w:ind w:right="60"/>
        <w:spacing w:after="0" w:line="228" w:lineRule="auto"/>
        <w:rPr>
          <w:sz w:val="20"/>
          <w:szCs w:val="20"/>
          <w:color w:val="auto"/>
        </w:rPr>
      </w:pPr>
      <w:r>
        <w:rPr>
          <w:rFonts w:ascii="Arial" w:cs="Arial" w:eastAsia="Arial" w:hAnsi="Arial"/>
          <w:sz w:val="20"/>
          <w:szCs w:val="20"/>
          <w:color w:val="auto"/>
        </w:rPr>
        <w:t>crediting date, the number of additional Performance Share Units credited shall be based on the assumption that the Performance Share Unit award will be earned at 100% of the Target Grant, and (2) immediately prior to the Award Payment as set forth in Section 3 above, the number of additional Performance Share Units credited to the Employee on each crediting date shall be adjusted to reflect the actual number of Performance Share Units earned by the Employee under Section 2 above, instead of using the Target Grant assumption. Performance Share Units credited to Employee under this Section 6 shall vest and be distributed on the same terms as the Performance Share Units granted to Employee under Section 2. The Employee shall not have any voting or other ownership rights in the Corporation arising from the grant of Performance Share Units under this Agreement.</w:t>
      </w:r>
    </w:p>
    <w:p>
      <w:pPr>
        <w:spacing w:after="0" w:line="196" w:lineRule="exact"/>
        <w:rPr>
          <w:sz w:val="20"/>
          <w:szCs w:val="20"/>
          <w:color w:val="auto"/>
        </w:rPr>
      </w:pPr>
    </w:p>
    <w:p>
      <w:pPr>
        <w:ind w:right="80" w:firstLine="757"/>
        <w:spacing w:after="0" w:line="229" w:lineRule="auto"/>
        <w:tabs>
          <w:tab w:leader="none" w:pos="1498" w:val="left"/>
        </w:tabs>
        <w:numPr>
          <w:ilvl w:val="0"/>
          <w:numId w:val="31"/>
        </w:numPr>
        <w:rPr>
          <w:rFonts w:ascii="Arial" w:cs="Arial" w:eastAsia="Arial" w:hAnsi="Arial"/>
          <w:sz w:val="20"/>
          <w:szCs w:val="20"/>
          <w:color w:val="auto"/>
        </w:rPr>
      </w:pPr>
      <w:r>
        <w:rPr>
          <w:rFonts w:ascii="Arial" w:cs="Arial" w:eastAsia="Arial" w:hAnsi="Arial"/>
          <w:sz w:val="20"/>
          <w:szCs w:val="20"/>
          <w:u w:val="single" w:color="auto"/>
          <w:color w:val="auto"/>
        </w:rPr>
        <w:t>Taxes</w:t>
      </w:r>
      <w:r>
        <w:rPr>
          <w:rFonts w:ascii="Arial" w:cs="Arial" w:eastAsia="Arial" w:hAnsi="Arial"/>
          <w:sz w:val="20"/>
          <w:szCs w:val="20"/>
          <w:color w:val="auto"/>
        </w:rPr>
        <w:t>. The Corporation may require payment or reimbursement of or may withhold any tax that it believes is required as a result of the grant or vesting of such Performance Share Units or payments of Shares in connection with the Performance Share Units, and the Corporation may defer making delivery of any Shares in respect of Performance Share Units until arrangements satisfactory to the Corporation have been made with regard to any such payment, reimbursement, or withholding obligation.</w:t>
      </w:r>
    </w:p>
    <w:p>
      <w:pPr>
        <w:spacing w:after="0" w:line="198" w:lineRule="exact"/>
        <w:rPr>
          <w:rFonts w:ascii="Arial" w:cs="Arial" w:eastAsia="Arial" w:hAnsi="Arial"/>
          <w:sz w:val="20"/>
          <w:szCs w:val="20"/>
          <w:color w:val="auto"/>
        </w:rPr>
      </w:pPr>
    </w:p>
    <w:p>
      <w:pPr>
        <w:ind w:left="1500" w:hanging="743"/>
        <w:spacing w:after="0"/>
        <w:tabs>
          <w:tab w:leader="none" w:pos="1500" w:val="left"/>
        </w:tabs>
        <w:numPr>
          <w:ilvl w:val="0"/>
          <w:numId w:val="31"/>
        </w:numPr>
        <w:rPr>
          <w:rFonts w:ascii="Arial" w:cs="Arial" w:eastAsia="Arial" w:hAnsi="Arial"/>
          <w:sz w:val="20"/>
          <w:szCs w:val="20"/>
          <w:color w:val="auto"/>
        </w:rPr>
      </w:pPr>
      <w:r>
        <w:rPr>
          <w:rFonts w:ascii="Arial" w:cs="Arial" w:eastAsia="Arial" w:hAnsi="Arial"/>
          <w:sz w:val="20"/>
          <w:szCs w:val="20"/>
          <w:u w:val="single" w:color="auto"/>
          <w:color w:val="auto"/>
        </w:rPr>
        <w:t>Definitions.</w:t>
      </w:r>
    </w:p>
    <w:p>
      <w:pPr>
        <w:spacing w:after="0" w:line="202" w:lineRule="exact"/>
        <w:rPr>
          <w:rFonts w:ascii="Arial" w:cs="Arial" w:eastAsia="Arial" w:hAnsi="Arial"/>
          <w:sz w:val="20"/>
          <w:szCs w:val="20"/>
          <w:color w:val="auto"/>
        </w:rPr>
      </w:pPr>
    </w:p>
    <w:p>
      <w:pPr>
        <w:ind w:left="2260" w:right="360" w:hanging="755"/>
        <w:spacing w:after="0" w:line="236" w:lineRule="auto"/>
        <w:tabs>
          <w:tab w:leader="none" w:pos="2260" w:val="left"/>
        </w:tabs>
        <w:numPr>
          <w:ilvl w:val="1"/>
          <w:numId w:val="31"/>
        </w:numPr>
        <w:rPr>
          <w:rFonts w:ascii="Arial" w:cs="Arial" w:eastAsia="Arial" w:hAnsi="Arial"/>
          <w:sz w:val="20"/>
          <w:szCs w:val="20"/>
          <w:color w:val="auto"/>
        </w:rPr>
      </w:pPr>
      <w:r>
        <w:rPr>
          <w:rFonts w:ascii="Arial" w:cs="Arial" w:eastAsia="Arial" w:hAnsi="Arial"/>
          <w:sz w:val="20"/>
          <w:szCs w:val="20"/>
          <w:color w:val="auto"/>
        </w:rPr>
        <w:t>“Target Grant” means the number of Performance Share Units established for Employee to earn at Target EBITAMP.</w:t>
      </w:r>
    </w:p>
    <w:p>
      <w:pPr>
        <w:spacing w:after="0" w:line="195" w:lineRule="exact"/>
        <w:rPr>
          <w:rFonts w:ascii="Arial" w:cs="Arial" w:eastAsia="Arial" w:hAnsi="Arial"/>
          <w:sz w:val="20"/>
          <w:szCs w:val="20"/>
          <w:color w:val="auto"/>
        </w:rPr>
      </w:pPr>
    </w:p>
    <w:p>
      <w:pPr>
        <w:ind w:left="2260" w:hanging="755"/>
        <w:spacing w:after="0" w:line="227" w:lineRule="auto"/>
        <w:tabs>
          <w:tab w:leader="none" w:pos="2260" w:val="left"/>
        </w:tabs>
        <w:numPr>
          <w:ilvl w:val="1"/>
          <w:numId w:val="31"/>
        </w:numPr>
        <w:rPr>
          <w:rFonts w:ascii="Arial" w:cs="Arial" w:eastAsia="Arial" w:hAnsi="Arial"/>
          <w:sz w:val="20"/>
          <w:szCs w:val="20"/>
          <w:color w:val="auto"/>
        </w:rPr>
      </w:pPr>
      <w:r>
        <w:rPr>
          <w:rFonts w:ascii="Arial" w:cs="Arial" w:eastAsia="Arial" w:hAnsi="Arial"/>
          <w:sz w:val="20"/>
          <w:szCs w:val="20"/>
          <w:color w:val="auto"/>
        </w:rPr>
        <w:t>“EBITAMP” means annual operating profit plus amortization, divided by revenue from services, both determined in accordance with GAAP as reported on the Company’s audited financial statements, with the following adjustments to be made (a) to reverse the impact of a change in accounting method during the Performance Period (b) or for any of the following items: (i) extraordinary items, (ii) goodwill impairment, (iii) nonrecurring restructuring gains or charges, (iv) accounting adjustments related to acquisitions or dispositions where the Company previously held an ownership interest, (v) non-recurring adjustments exceeding $10 million pertaining to prior periods outside of the period of measurement, (vi) tax or regulatory law changes, (vii) change in client contracts that result in a change in accounting or (c) to reflect the impact of material acquisitions made by the Company during the Performance Period.</w:t>
      </w:r>
    </w:p>
    <w:p>
      <w:pPr>
        <w:spacing w:after="0" w:line="200" w:lineRule="exact"/>
        <w:rPr>
          <w:rFonts w:ascii="Arial" w:cs="Arial" w:eastAsia="Arial" w:hAnsi="Arial"/>
          <w:sz w:val="20"/>
          <w:szCs w:val="20"/>
          <w:color w:val="auto"/>
        </w:rPr>
      </w:pPr>
    </w:p>
    <w:p>
      <w:pPr>
        <w:ind w:left="2260" w:right="1080" w:hanging="755"/>
        <w:spacing w:after="0" w:line="236" w:lineRule="auto"/>
        <w:tabs>
          <w:tab w:leader="none" w:pos="2260" w:val="left"/>
        </w:tabs>
        <w:numPr>
          <w:ilvl w:val="1"/>
          <w:numId w:val="31"/>
        </w:numPr>
        <w:rPr>
          <w:rFonts w:ascii="Arial" w:cs="Arial" w:eastAsia="Arial" w:hAnsi="Arial"/>
          <w:sz w:val="20"/>
          <w:szCs w:val="20"/>
          <w:color w:val="auto"/>
        </w:rPr>
      </w:pPr>
      <w:r>
        <w:rPr>
          <w:rFonts w:ascii="Arial" w:cs="Arial" w:eastAsia="Arial" w:hAnsi="Arial"/>
          <w:sz w:val="20"/>
          <w:szCs w:val="20"/>
          <w:color w:val="auto"/>
        </w:rPr>
        <w:t>“Performance Goal” means the EBITAMP targets for the Performance Period as set by the Administrator.</w:t>
      </w:r>
    </w:p>
    <w:p>
      <w:pPr>
        <w:spacing w:after="0" w:line="181" w:lineRule="exact"/>
        <w:rPr>
          <w:rFonts w:ascii="Arial" w:cs="Arial" w:eastAsia="Arial" w:hAnsi="Arial"/>
          <w:sz w:val="20"/>
          <w:szCs w:val="20"/>
          <w:color w:val="auto"/>
        </w:rPr>
      </w:pPr>
    </w:p>
    <w:p>
      <w:pPr>
        <w:ind w:left="2260" w:hanging="755"/>
        <w:spacing w:after="0"/>
        <w:tabs>
          <w:tab w:leader="none" w:pos="2260" w:val="left"/>
        </w:tabs>
        <w:numPr>
          <w:ilvl w:val="1"/>
          <w:numId w:val="31"/>
        </w:numPr>
        <w:rPr>
          <w:rFonts w:ascii="Arial" w:cs="Arial" w:eastAsia="Arial" w:hAnsi="Arial"/>
          <w:sz w:val="20"/>
          <w:szCs w:val="20"/>
          <w:color w:val="auto"/>
        </w:rPr>
      </w:pPr>
      <w:r>
        <w:rPr>
          <w:rFonts w:ascii="Arial" w:cs="Arial" w:eastAsia="Arial" w:hAnsi="Arial"/>
          <w:sz w:val="20"/>
          <w:szCs w:val="20"/>
          <w:color w:val="auto"/>
        </w:rPr>
        <w:t>“Performance Period” means the 36-month period beginning on ____________ and ending on</w:t>
      </w:r>
    </w:p>
    <w:p>
      <w:pPr>
        <w:ind w:left="2260"/>
        <w:spacing w:after="0"/>
        <w:rPr>
          <w:rFonts w:ascii="Arial" w:cs="Arial" w:eastAsia="Arial" w:hAnsi="Arial"/>
          <w:sz w:val="20"/>
          <w:szCs w:val="20"/>
          <w:color w:val="auto"/>
        </w:rPr>
      </w:pPr>
      <w:r>
        <w:rPr>
          <w:rFonts w:ascii="Arial" w:cs="Arial" w:eastAsia="Arial" w:hAnsi="Arial"/>
          <w:sz w:val="20"/>
          <w:szCs w:val="20"/>
          <w:color w:val="auto"/>
        </w:rPr>
        <w:t>_________________.</w:t>
      </w:r>
    </w:p>
    <w:p>
      <w:pPr>
        <w:spacing w:after="0" w:line="202" w:lineRule="exact"/>
        <w:rPr>
          <w:rFonts w:ascii="Arial" w:cs="Arial" w:eastAsia="Arial" w:hAnsi="Arial"/>
          <w:sz w:val="20"/>
          <w:szCs w:val="20"/>
          <w:color w:val="auto"/>
        </w:rPr>
      </w:pPr>
    </w:p>
    <w:p>
      <w:pPr>
        <w:ind w:left="2260" w:right="1020" w:hanging="755"/>
        <w:spacing w:after="0" w:line="232" w:lineRule="auto"/>
        <w:tabs>
          <w:tab w:leader="none" w:pos="2260" w:val="left"/>
        </w:tabs>
        <w:numPr>
          <w:ilvl w:val="1"/>
          <w:numId w:val="31"/>
        </w:numPr>
        <w:rPr>
          <w:rFonts w:ascii="Arial" w:cs="Arial" w:eastAsia="Arial" w:hAnsi="Arial"/>
          <w:sz w:val="20"/>
          <w:szCs w:val="20"/>
          <w:color w:val="auto"/>
        </w:rPr>
      </w:pPr>
      <w:r>
        <w:rPr>
          <w:rFonts w:ascii="Arial" w:cs="Arial" w:eastAsia="Arial" w:hAnsi="Arial"/>
          <w:sz w:val="20"/>
          <w:szCs w:val="20"/>
          <w:color w:val="auto"/>
        </w:rPr>
        <w:t>“Service” means the period beginning on the date the Employee’s employment with the ManpowerGroup commences and ending on the date the Employee’s employment with the ManpowerGroup terminates.</w:t>
      </w:r>
    </w:p>
    <w:p>
      <w:pPr>
        <w:spacing w:after="0" w:line="197" w:lineRule="exact"/>
        <w:rPr>
          <w:rFonts w:ascii="Arial" w:cs="Arial" w:eastAsia="Arial" w:hAnsi="Arial"/>
          <w:sz w:val="20"/>
          <w:szCs w:val="20"/>
          <w:color w:val="auto"/>
        </w:rPr>
      </w:pPr>
    </w:p>
    <w:p>
      <w:pPr>
        <w:ind w:left="2260" w:right="20" w:hanging="755"/>
        <w:spacing w:after="0" w:line="232" w:lineRule="auto"/>
        <w:tabs>
          <w:tab w:leader="none" w:pos="2260" w:val="left"/>
        </w:tabs>
        <w:numPr>
          <w:ilvl w:val="1"/>
          <w:numId w:val="31"/>
        </w:numPr>
        <w:rPr>
          <w:rFonts w:ascii="Arial" w:cs="Arial" w:eastAsia="Arial" w:hAnsi="Arial"/>
          <w:sz w:val="20"/>
          <w:szCs w:val="20"/>
          <w:color w:val="auto"/>
        </w:rPr>
      </w:pPr>
      <w:r>
        <w:rPr>
          <w:rFonts w:ascii="Arial" w:cs="Arial" w:eastAsia="Arial" w:hAnsi="Arial"/>
          <w:sz w:val="20"/>
          <w:szCs w:val="20"/>
          <w:color w:val="auto"/>
        </w:rPr>
        <w:t>“EBITA Dollar Gate” means the minimum average annual operating profit dollars plus amortization that can be achieved during the Performance Period. Operating profit is determined in accordance with GAAP as reported on the Corporation’s audited financial statements, with</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49530</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8" w:right="359" w:bottom="1440" w:gutter="0" w:footer="0" w:header="0"/>
        </w:sectPr>
      </w:pPr>
    </w:p>
    <w:bookmarkStart w:id="43" w:name="page44"/>
    <w:bookmarkEnd w:id="43"/>
    <w:p>
      <w:pPr>
        <w:ind w:left="1140" w:right="40"/>
        <w:spacing w:after="0" w:line="228" w:lineRule="auto"/>
        <w:rPr>
          <w:sz w:val="20"/>
          <w:szCs w:val="20"/>
          <w:color w:val="auto"/>
        </w:rPr>
      </w:pPr>
      <w:r>
        <w:rPr>
          <w:rFonts w:ascii="Arial" w:cs="Arial" w:eastAsia="Arial" w:hAnsi="Arial"/>
          <w:sz w:val="20"/>
          <w:szCs w:val="20"/>
          <w:color w:val="auto"/>
        </w:rPr>
        <w:t>adjustments to be made (a) to reverse the impact of a change in accounting method during the Performance Period (b) or for any of the following items: (i) extraordinary items, (ii) goodwill impairment, (iii) nonrecurring restructuring gains or charges, (iv) accounting adjustments related to acquisitions or dispositions where the Company previously held an ownership interest, (v) non-recurring adjustments exceeding $10 million pertaining to prior periods outside of the period of measurement, (vi) tax or regulatory law changes, (vii) change in client contracts that result in a change in accounting or (c) to reflect the impact of material acquisitions made by the Company during the Performance Period.</w:t>
      </w:r>
    </w:p>
    <w:p>
      <w:pPr>
        <w:spacing w:after="0" w:line="196" w:lineRule="exact"/>
        <w:rPr>
          <w:sz w:val="20"/>
          <w:szCs w:val="20"/>
          <w:color w:val="auto"/>
        </w:rPr>
      </w:pPr>
    </w:p>
    <w:p>
      <w:pPr>
        <w:ind w:left="1140" w:right="440" w:hanging="755"/>
        <w:spacing w:after="0" w:line="236" w:lineRule="auto"/>
        <w:tabs>
          <w:tab w:leader="none" w:pos="1140" w:val="left"/>
        </w:tabs>
        <w:numPr>
          <w:ilvl w:val="0"/>
          <w:numId w:val="32"/>
        </w:numPr>
        <w:rPr>
          <w:rFonts w:ascii="Arial" w:cs="Arial" w:eastAsia="Arial" w:hAnsi="Arial"/>
          <w:sz w:val="20"/>
          <w:szCs w:val="20"/>
          <w:color w:val="auto"/>
        </w:rPr>
      </w:pPr>
      <w:r>
        <w:rPr>
          <w:rFonts w:ascii="Arial" w:cs="Arial" w:eastAsia="Arial" w:hAnsi="Arial"/>
          <w:sz w:val="20"/>
          <w:szCs w:val="20"/>
          <w:color w:val="auto"/>
        </w:rPr>
        <w:t>“Qualified Retirement” will mean termination of the Employee’s employment on or after both of the following conditions have been met (or waived by the Committee):</w:t>
      </w:r>
    </w:p>
    <w:p>
      <w:pPr>
        <w:spacing w:after="0" w:line="195" w:lineRule="exact"/>
        <w:rPr>
          <w:rFonts w:ascii="Arial" w:cs="Arial" w:eastAsia="Arial" w:hAnsi="Arial"/>
          <w:sz w:val="20"/>
          <w:szCs w:val="20"/>
          <w:color w:val="auto"/>
        </w:rPr>
      </w:pPr>
    </w:p>
    <w:p>
      <w:pPr>
        <w:ind w:left="1880" w:hanging="746"/>
        <w:spacing w:after="0"/>
        <w:tabs>
          <w:tab w:leader="none" w:pos="1880" w:val="left"/>
        </w:tabs>
        <w:numPr>
          <w:ilvl w:val="1"/>
          <w:numId w:val="32"/>
        </w:numPr>
        <w:rPr>
          <w:rFonts w:ascii="Arial" w:cs="Arial" w:eastAsia="Arial" w:hAnsi="Arial"/>
          <w:sz w:val="20"/>
          <w:szCs w:val="20"/>
          <w:color w:val="auto"/>
        </w:rPr>
      </w:pPr>
      <w:r>
        <w:rPr>
          <w:rFonts w:ascii="Arial" w:cs="Arial" w:eastAsia="Arial" w:hAnsi="Arial"/>
          <w:sz w:val="20"/>
          <w:szCs w:val="20"/>
          <w:color w:val="auto"/>
        </w:rPr>
        <w:t>Employee has attained age 55 and has completed 10 years of Service; and</w:t>
      </w:r>
    </w:p>
    <w:p>
      <w:pPr>
        <w:spacing w:after="0" w:line="202" w:lineRule="exact"/>
        <w:rPr>
          <w:rFonts w:ascii="Arial" w:cs="Arial" w:eastAsia="Arial" w:hAnsi="Arial"/>
          <w:sz w:val="20"/>
          <w:szCs w:val="20"/>
          <w:color w:val="auto"/>
        </w:rPr>
      </w:pPr>
    </w:p>
    <w:p>
      <w:pPr>
        <w:ind w:left="1880" w:hanging="746"/>
        <w:spacing w:after="0" w:line="236" w:lineRule="auto"/>
        <w:tabs>
          <w:tab w:leader="none" w:pos="1880" w:val="left"/>
        </w:tabs>
        <w:numPr>
          <w:ilvl w:val="1"/>
          <w:numId w:val="32"/>
        </w:numPr>
        <w:rPr>
          <w:rFonts w:ascii="Arial" w:cs="Arial" w:eastAsia="Arial" w:hAnsi="Arial"/>
          <w:sz w:val="20"/>
          <w:szCs w:val="20"/>
          <w:color w:val="auto"/>
        </w:rPr>
      </w:pPr>
      <w:r>
        <w:rPr>
          <w:rFonts w:ascii="Arial" w:cs="Arial" w:eastAsia="Arial" w:hAnsi="Arial"/>
          <w:sz w:val="20"/>
          <w:szCs w:val="20"/>
          <w:color w:val="auto"/>
        </w:rPr>
        <w:t>The Committee has approved a succession plan, as recommended by the Corporation’s CEO, for the Employee or with respect to his position.</w:t>
      </w:r>
    </w:p>
    <w:p>
      <w:pPr>
        <w:spacing w:after="0" w:line="195" w:lineRule="exact"/>
        <w:rPr>
          <w:rFonts w:ascii="Arial" w:cs="Arial" w:eastAsia="Arial" w:hAnsi="Arial"/>
          <w:sz w:val="20"/>
          <w:szCs w:val="20"/>
          <w:color w:val="auto"/>
        </w:rPr>
      </w:pPr>
    </w:p>
    <w:p>
      <w:pPr>
        <w:ind w:left="1140" w:right="240" w:hanging="755"/>
        <w:spacing w:after="0" w:line="232" w:lineRule="auto"/>
        <w:tabs>
          <w:tab w:leader="none" w:pos="1140" w:val="left"/>
        </w:tabs>
        <w:numPr>
          <w:ilvl w:val="0"/>
          <w:numId w:val="32"/>
        </w:numPr>
        <w:rPr>
          <w:rFonts w:ascii="Arial" w:cs="Arial" w:eastAsia="Arial" w:hAnsi="Arial"/>
          <w:sz w:val="20"/>
          <w:szCs w:val="20"/>
          <w:color w:val="auto"/>
        </w:rPr>
      </w:pPr>
      <w:r>
        <w:rPr>
          <w:rFonts w:ascii="Arial" w:cs="Arial" w:eastAsia="Arial" w:hAnsi="Arial"/>
          <w:sz w:val="20"/>
          <w:szCs w:val="20"/>
          <w:color w:val="auto"/>
        </w:rPr>
        <w:t>“Regular Retirement” will mean termination of the Employee’s employment on or after the Employee has attained age 55 and has completed 10 years of Service, but at a time when the conditions required for a Qualified Retirement have not been met nor waived.</w:t>
      </w:r>
    </w:p>
    <w:p>
      <w:pPr>
        <w:spacing w:after="0" w:line="197" w:lineRule="exact"/>
        <w:rPr>
          <w:rFonts w:ascii="Arial" w:cs="Arial" w:eastAsia="Arial" w:hAnsi="Arial"/>
          <w:sz w:val="20"/>
          <w:szCs w:val="20"/>
          <w:color w:val="auto"/>
        </w:rPr>
      </w:pPr>
    </w:p>
    <w:p>
      <w:pPr>
        <w:ind w:left="1140" w:hanging="755"/>
        <w:spacing w:after="0"/>
        <w:tabs>
          <w:tab w:leader="none" w:pos="1140" w:val="left"/>
        </w:tabs>
        <w:numPr>
          <w:ilvl w:val="0"/>
          <w:numId w:val="32"/>
        </w:numPr>
        <w:rPr>
          <w:rFonts w:ascii="Arial" w:cs="Arial" w:eastAsia="Arial" w:hAnsi="Arial"/>
          <w:sz w:val="20"/>
          <w:szCs w:val="20"/>
          <w:color w:val="auto"/>
        </w:rPr>
      </w:pPr>
      <w:r>
        <w:rPr>
          <w:rFonts w:ascii="Arial" w:cs="Arial" w:eastAsia="Arial" w:hAnsi="Arial"/>
          <w:sz w:val="20"/>
          <w:szCs w:val="20"/>
          <w:color w:val="auto"/>
        </w:rPr>
        <w:t>“Termination for “Cause” will mean termination of the Employee’s employment upon:</w:t>
      </w:r>
    </w:p>
    <w:p>
      <w:pPr>
        <w:spacing w:after="0" w:line="202" w:lineRule="exact"/>
        <w:rPr>
          <w:rFonts w:ascii="Arial" w:cs="Arial" w:eastAsia="Arial" w:hAnsi="Arial"/>
          <w:sz w:val="20"/>
          <w:szCs w:val="20"/>
          <w:color w:val="auto"/>
        </w:rPr>
      </w:pPr>
    </w:p>
    <w:p>
      <w:pPr>
        <w:ind w:left="1880" w:right="40" w:hanging="746"/>
        <w:spacing w:after="0" w:line="232" w:lineRule="auto"/>
        <w:tabs>
          <w:tab w:leader="none" w:pos="1880" w:val="left"/>
        </w:tabs>
        <w:numPr>
          <w:ilvl w:val="1"/>
          <w:numId w:val="32"/>
        </w:numPr>
        <w:rPr>
          <w:rFonts w:ascii="Arial" w:cs="Arial" w:eastAsia="Arial" w:hAnsi="Arial"/>
          <w:sz w:val="20"/>
          <w:szCs w:val="20"/>
          <w:color w:val="auto"/>
        </w:rPr>
      </w:pPr>
      <w:r>
        <w:rPr>
          <w:rFonts w:ascii="Arial" w:cs="Arial" w:eastAsia="Arial" w:hAnsi="Arial"/>
          <w:sz w:val="20"/>
          <w:szCs w:val="20"/>
          <w:color w:val="auto"/>
        </w:rPr>
        <w:t>Employee’s repeated failure to perform his duties with the ManpowerGroup in a competent, diligent and satisfactory manner as determined by the Corporation’s Chief Executive Officer in his reasonable judgment;</w:t>
      </w:r>
    </w:p>
    <w:p>
      <w:pPr>
        <w:spacing w:after="0" w:line="197" w:lineRule="exact"/>
        <w:rPr>
          <w:rFonts w:ascii="Arial" w:cs="Arial" w:eastAsia="Arial" w:hAnsi="Arial"/>
          <w:sz w:val="20"/>
          <w:szCs w:val="20"/>
          <w:color w:val="auto"/>
        </w:rPr>
      </w:pPr>
    </w:p>
    <w:p>
      <w:pPr>
        <w:ind w:left="1880" w:right="80" w:hanging="746"/>
        <w:spacing w:after="0" w:line="229" w:lineRule="auto"/>
        <w:tabs>
          <w:tab w:leader="none" w:pos="1880" w:val="left"/>
        </w:tabs>
        <w:numPr>
          <w:ilvl w:val="1"/>
          <w:numId w:val="32"/>
        </w:numPr>
        <w:rPr>
          <w:rFonts w:ascii="Arial" w:cs="Arial" w:eastAsia="Arial" w:hAnsi="Arial"/>
          <w:sz w:val="20"/>
          <w:szCs w:val="20"/>
          <w:color w:val="auto"/>
        </w:rPr>
      </w:pPr>
      <w:r>
        <w:rPr>
          <w:rFonts w:ascii="Arial" w:cs="Arial" w:eastAsia="Arial" w:hAnsi="Arial"/>
          <w:sz w:val="20"/>
          <w:szCs w:val="20"/>
          <w:color w:val="auto"/>
        </w:rPr>
        <w:t>Employee’s failure or refusal to follow the reasonable instructions or direction of the Corporation’s Chief Executive Officer, which failure or refusal remains uncured, if subject to cure, to the reasonable satisfaction of the Corporation’s Chief Executive Officer for five (5) business days after receiving notice thereof from the Corporation’s Chief Executive Officer, or repeated failure or refusal to follow the reasonable instructions or directions of the Corporation’s Chief Executive Officer;</w:t>
      </w:r>
    </w:p>
    <w:p>
      <w:pPr>
        <w:spacing w:after="0" w:line="195" w:lineRule="exact"/>
        <w:rPr>
          <w:rFonts w:ascii="Arial" w:cs="Arial" w:eastAsia="Arial" w:hAnsi="Arial"/>
          <w:sz w:val="20"/>
          <w:szCs w:val="20"/>
          <w:color w:val="auto"/>
        </w:rPr>
      </w:pPr>
    </w:p>
    <w:p>
      <w:pPr>
        <w:ind w:left="1880" w:right="840" w:hanging="746"/>
        <w:spacing w:after="0" w:line="236" w:lineRule="auto"/>
        <w:tabs>
          <w:tab w:leader="none" w:pos="1880" w:val="left"/>
        </w:tabs>
        <w:numPr>
          <w:ilvl w:val="1"/>
          <w:numId w:val="32"/>
        </w:numPr>
        <w:rPr>
          <w:rFonts w:ascii="Arial" w:cs="Arial" w:eastAsia="Arial" w:hAnsi="Arial"/>
          <w:sz w:val="20"/>
          <w:szCs w:val="20"/>
          <w:color w:val="auto"/>
        </w:rPr>
      </w:pPr>
      <w:r>
        <w:rPr>
          <w:rFonts w:ascii="Arial" w:cs="Arial" w:eastAsia="Arial" w:hAnsi="Arial"/>
          <w:sz w:val="20"/>
          <w:szCs w:val="20"/>
          <w:color w:val="auto"/>
        </w:rPr>
        <w:t>any act by Employee of fraud, material dishonesty or material disloyalty involving the ManpowerGroup;</w:t>
      </w:r>
    </w:p>
    <w:p>
      <w:pPr>
        <w:spacing w:after="0" w:line="195" w:lineRule="exact"/>
        <w:rPr>
          <w:rFonts w:ascii="Arial" w:cs="Arial" w:eastAsia="Arial" w:hAnsi="Arial"/>
          <w:sz w:val="20"/>
          <w:szCs w:val="20"/>
          <w:color w:val="auto"/>
        </w:rPr>
      </w:pPr>
    </w:p>
    <w:p>
      <w:pPr>
        <w:ind w:left="1880" w:right="260" w:hanging="746"/>
        <w:spacing w:after="0" w:line="232" w:lineRule="auto"/>
        <w:tabs>
          <w:tab w:leader="none" w:pos="1880" w:val="left"/>
        </w:tabs>
        <w:numPr>
          <w:ilvl w:val="1"/>
          <w:numId w:val="32"/>
        </w:numPr>
        <w:rPr>
          <w:rFonts w:ascii="Arial" w:cs="Arial" w:eastAsia="Arial" w:hAnsi="Arial"/>
          <w:sz w:val="20"/>
          <w:szCs w:val="20"/>
          <w:color w:val="auto"/>
        </w:rPr>
      </w:pPr>
      <w:r>
        <w:rPr>
          <w:rFonts w:ascii="Arial" w:cs="Arial" w:eastAsia="Arial" w:hAnsi="Arial"/>
          <w:sz w:val="20"/>
          <w:szCs w:val="20"/>
          <w:color w:val="auto"/>
        </w:rPr>
        <w:t>any violation by Employee of a ManpowerGroup policy of material import (including, but not limited to, the Code of Business Conduct and Ethics, the Insider Trading Policy, the Anti-Corruption Policy and policies included in the Employee Handbook);</w:t>
      </w:r>
    </w:p>
    <w:p>
      <w:pPr>
        <w:spacing w:after="0" w:line="197" w:lineRule="exact"/>
        <w:rPr>
          <w:sz w:val="20"/>
          <w:szCs w:val="20"/>
          <w:color w:val="auto"/>
        </w:rPr>
      </w:pPr>
    </w:p>
    <w:p>
      <w:pPr>
        <w:ind w:left="4440"/>
        <w:spacing w:after="0"/>
        <w:rPr>
          <w:sz w:val="20"/>
          <w:szCs w:val="20"/>
          <w:color w:val="auto"/>
        </w:rPr>
      </w:pPr>
      <w:r>
        <w:rPr>
          <w:rFonts w:ascii="Arial" w:cs="Arial" w:eastAsia="Arial" w:hAnsi="Arial"/>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49530</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338" w:right="339" w:bottom="1440" w:gutter="0" w:footer="0" w:header="0"/>
        </w:sectPr>
      </w:pPr>
    </w:p>
    <w:bookmarkStart w:id="44" w:name="page45"/>
    <w:bookmarkEnd w:id="44"/>
    <w:p>
      <w:pPr>
        <w:ind w:left="1880" w:right="720" w:hanging="746"/>
        <w:spacing w:after="0" w:line="236" w:lineRule="auto"/>
        <w:tabs>
          <w:tab w:leader="none" w:pos="1880" w:val="left"/>
        </w:tabs>
        <w:numPr>
          <w:ilvl w:val="1"/>
          <w:numId w:val="33"/>
        </w:numPr>
        <w:rPr>
          <w:rFonts w:ascii="Arial" w:cs="Arial" w:eastAsia="Arial" w:hAnsi="Arial"/>
          <w:sz w:val="20"/>
          <w:szCs w:val="20"/>
          <w:color w:val="auto"/>
        </w:rPr>
      </w:pPr>
      <w:r>
        <w:rPr>
          <w:rFonts w:ascii="Arial" w:cs="Arial" w:eastAsia="Arial" w:hAnsi="Arial"/>
          <w:sz w:val="20"/>
          <w:szCs w:val="20"/>
          <w:color w:val="auto"/>
        </w:rPr>
        <w:t>any act by Employee of moral turpitude which is likely to result in discredit to or loss of business, reputation or goodwill of the ManpowerGroup;</w:t>
      </w:r>
    </w:p>
    <w:p>
      <w:pPr>
        <w:spacing w:after="0" w:line="195" w:lineRule="exact"/>
        <w:rPr>
          <w:rFonts w:ascii="Arial" w:cs="Arial" w:eastAsia="Arial" w:hAnsi="Arial"/>
          <w:sz w:val="20"/>
          <w:szCs w:val="20"/>
          <w:color w:val="auto"/>
        </w:rPr>
      </w:pPr>
    </w:p>
    <w:p>
      <w:pPr>
        <w:ind w:left="1880" w:hanging="746"/>
        <w:spacing w:after="0"/>
        <w:tabs>
          <w:tab w:leader="none" w:pos="1880" w:val="left"/>
        </w:tabs>
        <w:numPr>
          <w:ilvl w:val="1"/>
          <w:numId w:val="33"/>
        </w:numPr>
        <w:rPr>
          <w:rFonts w:ascii="Arial" w:cs="Arial" w:eastAsia="Arial" w:hAnsi="Arial"/>
          <w:sz w:val="20"/>
          <w:szCs w:val="20"/>
          <w:color w:val="auto"/>
        </w:rPr>
      </w:pPr>
      <w:r>
        <w:rPr>
          <w:rFonts w:ascii="Arial" w:cs="Arial" w:eastAsia="Arial" w:hAnsi="Arial"/>
          <w:sz w:val="20"/>
          <w:szCs w:val="20"/>
          <w:color w:val="auto"/>
        </w:rPr>
        <w:t>Employee’s chronic absence from work other than by reason of a serious health condition;</w:t>
      </w:r>
    </w:p>
    <w:p>
      <w:pPr>
        <w:spacing w:after="0" w:line="202" w:lineRule="exact"/>
        <w:rPr>
          <w:rFonts w:ascii="Arial" w:cs="Arial" w:eastAsia="Arial" w:hAnsi="Arial"/>
          <w:sz w:val="20"/>
          <w:szCs w:val="20"/>
          <w:color w:val="auto"/>
        </w:rPr>
      </w:pPr>
    </w:p>
    <w:p>
      <w:pPr>
        <w:ind w:left="1880" w:right="760" w:hanging="746"/>
        <w:spacing w:after="0" w:line="236" w:lineRule="auto"/>
        <w:tabs>
          <w:tab w:leader="none" w:pos="1880" w:val="left"/>
        </w:tabs>
        <w:numPr>
          <w:ilvl w:val="1"/>
          <w:numId w:val="33"/>
        </w:numPr>
        <w:rPr>
          <w:rFonts w:ascii="Arial" w:cs="Arial" w:eastAsia="Arial" w:hAnsi="Arial"/>
          <w:sz w:val="20"/>
          <w:szCs w:val="20"/>
          <w:color w:val="auto"/>
        </w:rPr>
      </w:pPr>
      <w:r>
        <w:rPr>
          <w:rFonts w:ascii="Arial" w:cs="Arial" w:eastAsia="Arial" w:hAnsi="Arial"/>
          <w:sz w:val="20"/>
          <w:szCs w:val="20"/>
          <w:color w:val="auto"/>
        </w:rPr>
        <w:t>Employee’s commissions of a crime the circumstances of which substantially relate to Employee’s employment duties with the ManpowerGroup; or</w:t>
      </w:r>
    </w:p>
    <w:p>
      <w:pPr>
        <w:spacing w:after="0" w:line="195" w:lineRule="exact"/>
        <w:rPr>
          <w:rFonts w:ascii="Arial" w:cs="Arial" w:eastAsia="Arial" w:hAnsi="Arial"/>
          <w:sz w:val="20"/>
          <w:szCs w:val="20"/>
          <w:color w:val="auto"/>
        </w:rPr>
      </w:pPr>
    </w:p>
    <w:p>
      <w:pPr>
        <w:ind w:left="1880" w:right="100" w:hanging="746"/>
        <w:spacing w:after="0" w:line="236" w:lineRule="auto"/>
        <w:tabs>
          <w:tab w:leader="none" w:pos="1880" w:val="left"/>
        </w:tabs>
        <w:numPr>
          <w:ilvl w:val="1"/>
          <w:numId w:val="33"/>
        </w:numPr>
        <w:rPr>
          <w:rFonts w:ascii="Arial" w:cs="Arial" w:eastAsia="Arial" w:hAnsi="Arial"/>
          <w:sz w:val="20"/>
          <w:szCs w:val="20"/>
          <w:color w:val="auto"/>
        </w:rPr>
      </w:pPr>
      <w:r>
        <w:rPr>
          <w:rFonts w:ascii="Arial" w:cs="Arial" w:eastAsia="Arial" w:hAnsi="Arial"/>
          <w:sz w:val="20"/>
          <w:szCs w:val="20"/>
          <w:color w:val="auto"/>
        </w:rPr>
        <w:t>the willful engaging by Employee in conduct which is demonstrably and materially injurious to the ManpowerGroup.</w:t>
      </w:r>
    </w:p>
    <w:p>
      <w:pPr>
        <w:spacing w:after="0" w:line="195" w:lineRule="exact"/>
        <w:rPr>
          <w:rFonts w:ascii="Arial" w:cs="Arial" w:eastAsia="Arial" w:hAnsi="Arial"/>
          <w:sz w:val="20"/>
          <w:szCs w:val="20"/>
          <w:color w:val="auto"/>
        </w:rPr>
      </w:pPr>
    </w:p>
    <w:p>
      <w:pPr>
        <w:ind w:left="1880" w:right="220" w:hanging="746"/>
        <w:spacing w:after="0" w:line="236" w:lineRule="auto"/>
        <w:tabs>
          <w:tab w:leader="none" w:pos="1880" w:val="left"/>
        </w:tabs>
        <w:numPr>
          <w:ilvl w:val="1"/>
          <w:numId w:val="33"/>
        </w:numPr>
        <w:rPr>
          <w:rFonts w:ascii="Arial" w:cs="Arial" w:eastAsia="Arial" w:hAnsi="Arial"/>
          <w:sz w:val="20"/>
          <w:szCs w:val="20"/>
          <w:color w:val="auto"/>
        </w:rPr>
      </w:pPr>
      <w:r>
        <w:rPr>
          <w:rFonts w:ascii="Arial" w:cs="Arial" w:eastAsia="Arial" w:hAnsi="Arial"/>
          <w:sz w:val="20"/>
          <w:szCs w:val="20"/>
          <w:color w:val="auto"/>
        </w:rPr>
        <w:t>For purposes of this Agreement, no act, or failure to act, on Employee’s part will be deemed “willful” unless done, or omitted to be done, by Employee not in good faith.</w:t>
      </w:r>
    </w:p>
    <w:p>
      <w:pPr>
        <w:spacing w:after="0" w:line="195" w:lineRule="exact"/>
        <w:rPr>
          <w:rFonts w:ascii="Arial" w:cs="Arial" w:eastAsia="Arial" w:hAnsi="Arial"/>
          <w:sz w:val="20"/>
          <w:szCs w:val="20"/>
          <w:color w:val="auto"/>
        </w:rPr>
      </w:pPr>
    </w:p>
    <w:p>
      <w:pPr>
        <w:ind w:left="1140" w:right="180" w:hanging="755"/>
        <w:spacing w:after="0" w:line="236" w:lineRule="auto"/>
        <w:tabs>
          <w:tab w:leader="none" w:pos="1140" w:val="left"/>
        </w:tabs>
        <w:numPr>
          <w:ilvl w:val="0"/>
          <w:numId w:val="34"/>
        </w:numPr>
        <w:rPr>
          <w:rFonts w:ascii="Arial" w:cs="Arial" w:eastAsia="Arial" w:hAnsi="Arial"/>
          <w:sz w:val="20"/>
          <w:szCs w:val="20"/>
          <w:color w:val="auto"/>
        </w:rPr>
      </w:pPr>
      <w:r>
        <w:rPr>
          <w:rFonts w:ascii="Arial" w:cs="Arial" w:eastAsia="Arial" w:hAnsi="Arial"/>
          <w:sz w:val="20"/>
          <w:szCs w:val="20"/>
          <w:color w:val="auto"/>
        </w:rPr>
        <w:t>“Good Reason” will mean, without the Employee’s consent, the occurrence of any one or more of the following:</w:t>
      </w:r>
    </w:p>
    <w:p>
      <w:pPr>
        <w:spacing w:after="0" w:line="195" w:lineRule="exact"/>
        <w:rPr>
          <w:rFonts w:ascii="Arial" w:cs="Arial" w:eastAsia="Arial" w:hAnsi="Arial"/>
          <w:sz w:val="20"/>
          <w:szCs w:val="20"/>
          <w:color w:val="auto"/>
        </w:rPr>
      </w:pPr>
    </w:p>
    <w:p>
      <w:pPr>
        <w:ind w:left="1880" w:right="500" w:hanging="746"/>
        <w:spacing w:after="0" w:line="236" w:lineRule="auto"/>
        <w:tabs>
          <w:tab w:leader="none" w:pos="1880" w:val="left"/>
        </w:tabs>
        <w:numPr>
          <w:ilvl w:val="1"/>
          <w:numId w:val="34"/>
        </w:numPr>
        <w:rPr>
          <w:rFonts w:ascii="Arial" w:cs="Arial" w:eastAsia="Arial" w:hAnsi="Arial"/>
          <w:sz w:val="20"/>
          <w:szCs w:val="20"/>
          <w:color w:val="auto"/>
        </w:rPr>
      </w:pPr>
      <w:r>
        <w:rPr>
          <w:rFonts w:ascii="Arial" w:cs="Arial" w:eastAsia="Arial" w:hAnsi="Arial"/>
          <w:sz w:val="20"/>
          <w:szCs w:val="20"/>
          <w:color w:val="auto"/>
        </w:rPr>
        <w:t>any material breach of any material obligation of the ManpowerGroup for the payment or provision of compensation or other benefits to Employee;</w:t>
      </w:r>
    </w:p>
    <w:p>
      <w:pPr>
        <w:spacing w:after="0" w:line="195" w:lineRule="exact"/>
        <w:rPr>
          <w:rFonts w:ascii="Arial" w:cs="Arial" w:eastAsia="Arial" w:hAnsi="Arial"/>
          <w:sz w:val="20"/>
          <w:szCs w:val="20"/>
          <w:color w:val="auto"/>
        </w:rPr>
      </w:pPr>
    </w:p>
    <w:p>
      <w:pPr>
        <w:ind w:left="1880" w:hanging="746"/>
        <w:spacing w:after="0"/>
        <w:tabs>
          <w:tab w:leader="none" w:pos="1880" w:val="left"/>
        </w:tabs>
        <w:numPr>
          <w:ilvl w:val="1"/>
          <w:numId w:val="34"/>
        </w:numPr>
        <w:rPr>
          <w:rFonts w:ascii="Arial" w:cs="Arial" w:eastAsia="Arial" w:hAnsi="Arial"/>
          <w:sz w:val="20"/>
          <w:szCs w:val="20"/>
          <w:color w:val="auto"/>
        </w:rPr>
      </w:pPr>
      <w:r>
        <w:rPr>
          <w:rFonts w:ascii="Arial" w:cs="Arial" w:eastAsia="Arial" w:hAnsi="Arial"/>
          <w:sz w:val="20"/>
          <w:szCs w:val="20"/>
          <w:color w:val="auto"/>
        </w:rPr>
        <w:t>a material diminution in Employee’s base salary</w:t>
      </w:r>
    </w:p>
    <w:p>
      <w:pPr>
        <w:spacing w:after="0" w:line="202" w:lineRule="exact"/>
        <w:rPr>
          <w:rFonts w:ascii="Arial" w:cs="Arial" w:eastAsia="Arial" w:hAnsi="Arial"/>
          <w:sz w:val="20"/>
          <w:szCs w:val="20"/>
          <w:color w:val="auto"/>
        </w:rPr>
      </w:pPr>
    </w:p>
    <w:p>
      <w:pPr>
        <w:ind w:left="1880" w:hanging="746"/>
        <w:spacing w:after="0" w:line="230" w:lineRule="auto"/>
        <w:tabs>
          <w:tab w:leader="none" w:pos="1880" w:val="left"/>
        </w:tabs>
        <w:numPr>
          <w:ilvl w:val="1"/>
          <w:numId w:val="34"/>
        </w:numPr>
        <w:rPr>
          <w:rFonts w:ascii="Arial" w:cs="Arial" w:eastAsia="Arial" w:hAnsi="Arial"/>
          <w:sz w:val="20"/>
          <w:szCs w:val="20"/>
          <w:color w:val="auto"/>
        </w:rPr>
      </w:pPr>
      <w:r>
        <w:rPr>
          <w:rFonts w:ascii="Arial" w:cs="Arial" w:eastAsia="Arial" w:hAnsi="Arial"/>
          <w:sz w:val="20"/>
          <w:szCs w:val="20"/>
          <w:color w:val="auto"/>
        </w:rPr>
        <w:t>a material diminution in Employee’s authority, duties or responsibilities, accompanied by a material reduction in Employee’s target bonus opportunity for a given fiscal year (as compared to the prior fiscal year), except where all senior level executives have similar proportionate reductions in their target bonus percentages;</w:t>
      </w:r>
    </w:p>
    <w:p>
      <w:pPr>
        <w:spacing w:after="0" w:line="198" w:lineRule="exact"/>
        <w:rPr>
          <w:rFonts w:ascii="Arial" w:cs="Arial" w:eastAsia="Arial" w:hAnsi="Arial"/>
          <w:sz w:val="20"/>
          <w:szCs w:val="20"/>
          <w:color w:val="auto"/>
        </w:rPr>
      </w:pPr>
    </w:p>
    <w:p>
      <w:pPr>
        <w:ind w:left="1880" w:right="640" w:hanging="746"/>
        <w:spacing w:after="0" w:line="232" w:lineRule="auto"/>
        <w:tabs>
          <w:tab w:leader="none" w:pos="1880" w:val="left"/>
        </w:tabs>
        <w:numPr>
          <w:ilvl w:val="1"/>
          <w:numId w:val="34"/>
        </w:numPr>
        <w:rPr>
          <w:rFonts w:ascii="Arial" w:cs="Arial" w:eastAsia="Arial" w:hAnsi="Arial"/>
          <w:sz w:val="20"/>
          <w:szCs w:val="20"/>
          <w:color w:val="auto"/>
        </w:rPr>
      </w:pPr>
      <w:r>
        <w:rPr>
          <w:rFonts w:ascii="Arial" w:cs="Arial" w:eastAsia="Arial" w:hAnsi="Arial"/>
          <w:sz w:val="20"/>
          <w:szCs w:val="20"/>
          <w:color w:val="auto"/>
        </w:rPr>
        <w:t>a material diminution in Employee’s authority, duties or responsibilities which is not accompanied by a material reduction in Employee’s target bonus opportunity but which diminution occurs within two years after the occurrence of a Triggering Event;</w:t>
      </w:r>
    </w:p>
    <w:p>
      <w:pPr>
        <w:spacing w:after="0" w:line="197" w:lineRule="exact"/>
        <w:rPr>
          <w:rFonts w:ascii="Arial" w:cs="Arial" w:eastAsia="Arial" w:hAnsi="Arial"/>
          <w:sz w:val="20"/>
          <w:szCs w:val="20"/>
          <w:color w:val="auto"/>
        </w:rPr>
      </w:pPr>
    </w:p>
    <w:p>
      <w:pPr>
        <w:ind w:left="1880" w:right="280" w:hanging="746"/>
        <w:spacing w:after="0" w:line="230" w:lineRule="auto"/>
        <w:tabs>
          <w:tab w:leader="none" w:pos="1880" w:val="left"/>
        </w:tabs>
        <w:numPr>
          <w:ilvl w:val="1"/>
          <w:numId w:val="34"/>
        </w:numPr>
        <w:rPr>
          <w:rFonts w:ascii="Arial" w:cs="Arial" w:eastAsia="Arial" w:hAnsi="Arial"/>
          <w:sz w:val="20"/>
          <w:szCs w:val="20"/>
          <w:color w:val="auto"/>
        </w:rPr>
      </w:pPr>
      <w:r>
        <w:rPr>
          <w:rFonts w:ascii="Arial" w:cs="Arial" w:eastAsia="Arial" w:hAnsi="Arial"/>
          <w:sz w:val="20"/>
          <w:szCs w:val="20"/>
          <w:color w:val="auto"/>
        </w:rPr>
        <w:t>a material reduction in Employee’s target bonus opportunity for a given fiscal year (as compared to the prior fiscal year) which is not accompanied by a material diminution in Employee’s authority, duties or responsibilities, but which reduction occurs within two years after the occurrence of a Triggering Event; or</w:t>
      </w:r>
    </w:p>
    <w:p>
      <w:pPr>
        <w:spacing w:after="0" w:line="198" w:lineRule="exact"/>
        <w:rPr>
          <w:rFonts w:ascii="Arial" w:cs="Arial" w:eastAsia="Arial" w:hAnsi="Arial"/>
          <w:sz w:val="20"/>
          <w:szCs w:val="20"/>
          <w:color w:val="auto"/>
        </w:rPr>
      </w:pPr>
    </w:p>
    <w:p>
      <w:pPr>
        <w:ind w:left="1880" w:hanging="746"/>
        <w:spacing w:after="0" w:line="232" w:lineRule="auto"/>
        <w:tabs>
          <w:tab w:leader="none" w:pos="1880" w:val="left"/>
        </w:tabs>
        <w:numPr>
          <w:ilvl w:val="1"/>
          <w:numId w:val="34"/>
        </w:numPr>
        <w:rPr>
          <w:rFonts w:ascii="Arial" w:cs="Arial" w:eastAsia="Arial" w:hAnsi="Arial"/>
          <w:sz w:val="20"/>
          <w:szCs w:val="20"/>
          <w:color w:val="auto"/>
        </w:rPr>
      </w:pPr>
      <w:r>
        <w:rPr>
          <w:rFonts w:ascii="Arial" w:cs="Arial" w:eastAsia="Arial" w:hAnsi="Arial"/>
          <w:sz w:val="20"/>
          <w:szCs w:val="20"/>
          <w:color w:val="auto"/>
        </w:rPr>
        <w:t>Employee’s being required by the Corporation to materially change the location of his principal office; provided such new location is one in excess of fifty miles from the location of Employee’s principal office before such change.</w:t>
      </w:r>
    </w:p>
    <w:p>
      <w:pPr>
        <w:spacing w:after="0" w:line="197" w:lineRule="exact"/>
        <w:rPr>
          <w:sz w:val="20"/>
          <w:szCs w:val="20"/>
          <w:color w:val="auto"/>
        </w:rPr>
      </w:pPr>
    </w:p>
    <w:p>
      <w:pPr>
        <w:ind w:left="4440"/>
        <w:spacing w:after="0"/>
        <w:rPr>
          <w:sz w:val="20"/>
          <w:szCs w:val="20"/>
          <w:color w:val="auto"/>
        </w:rPr>
      </w:pPr>
      <w:r>
        <w:rPr>
          <w:rFonts w:ascii="Arial" w:cs="Arial" w:eastAsia="Arial" w:hAnsi="Arial"/>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49530</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338" w:right="339" w:bottom="1440" w:gutter="0" w:footer="0" w:header="0"/>
        </w:sectPr>
      </w:pPr>
    </w:p>
    <w:bookmarkStart w:id="45" w:name="page46"/>
    <w:bookmarkEnd w:id="45"/>
    <w:p>
      <w:pPr>
        <w:ind w:left="760"/>
        <w:spacing w:after="0" w:line="229" w:lineRule="auto"/>
        <w:rPr>
          <w:sz w:val="20"/>
          <w:szCs w:val="20"/>
          <w:color w:val="auto"/>
        </w:rPr>
      </w:pPr>
      <w:r>
        <w:rPr>
          <w:rFonts w:ascii="Arial" w:cs="Arial" w:eastAsia="Arial" w:hAnsi="Arial"/>
          <w:sz w:val="20"/>
          <w:szCs w:val="20"/>
          <w:color w:val="auto"/>
        </w:rPr>
        <w:t>Notwithstanding the provisions above, Good Reason does not exist unless (i) Employee objects to any material diminution or breach described above by written notice to the Corporation within twenty (20) business days after such diminution or breach occurs, (ii) the Corporation fails to cure such diminution or breach within thirty (30) days after such notice is given and (iii) Employee’s employment with the ManpowerGroup is terminated by Employee within ninety (90) days after such diminution or breach occurs.</w:t>
      </w:r>
    </w:p>
    <w:p>
      <w:pPr>
        <w:spacing w:after="0" w:line="199" w:lineRule="exact"/>
        <w:rPr>
          <w:sz w:val="20"/>
          <w:szCs w:val="20"/>
          <w:color w:val="auto"/>
        </w:rPr>
      </w:pPr>
    </w:p>
    <w:p>
      <w:pPr>
        <w:ind w:left="760" w:right="220" w:hanging="3"/>
        <w:spacing w:after="0" w:line="232" w:lineRule="auto"/>
        <w:tabs>
          <w:tab w:leader="none" w:pos="1200" w:val="left"/>
        </w:tabs>
        <w:numPr>
          <w:ilvl w:val="0"/>
          <w:numId w:val="35"/>
        </w:numPr>
        <w:rPr>
          <w:rFonts w:ascii="Arial" w:cs="Arial" w:eastAsia="Arial" w:hAnsi="Arial"/>
          <w:sz w:val="20"/>
          <w:szCs w:val="20"/>
          <w:color w:val="auto"/>
        </w:rPr>
      </w:pPr>
      <w:r>
        <w:rPr>
          <w:rFonts w:ascii="Arial" w:cs="Arial" w:eastAsia="Arial" w:hAnsi="Arial"/>
          <w:sz w:val="20"/>
          <w:szCs w:val="20"/>
          <w:u w:val="single" w:color="auto"/>
          <w:color w:val="auto"/>
        </w:rPr>
        <w:t>Multiple Executed Copies</w:t>
      </w:r>
      <w:r>
        <w:rPr>
          <w:rFonts w:ascii="Arial" w:cs="Arial" w:eastAsia="Arial" w:hAnsi="Arial"/>
          <w:sz w:val="20"/>
          <w:szCs w:val="20"/>
          <w:color w:val="auto"/>
        </w:rPr>
        <w:t>. This Agreement may be executed in multiple copies, each of which will constitute an original, and which together will constitute one and the same agreement providing for a single grant of Performance Share Units.</w:t>
      </w:r>
    </w:p>
    <w:p>
      <w:pPr>
        <w:spacing w:after="0" w:line="197" w:lineRule="exact"/>
        <w:rPr>
          <w:sz w:val="20"/>
          <w:szCs w:val="20"/>
          <w:color w:val="auto"/>
        </w:rPr>
      </w:pPr>
    </w:p>
    <w:p>
      <w:pPr>
        <w:ind w:right="500" w:firstLine="749"/>
        <w:spacing w:after="0" w:line="236" w:lineRule="auto"/>
        <w:rPr>
          <w:sz w:val="20"/>
          <w:szCs w:val="20"/>
          <w:color w:val="auto"/>
        </w:rPr>
      </w:pPr>
      <w:r>
        <w:rPr>
          <w:rFonts w:ascii="Arial" w:cs="Arial" w:eastAsia="Arial" w:hAnsi="Arial"/>
          <w:sz w:val="20"/>
          <w:szCs w:val="20"/>
          <w:color w:val="auto"/>
        </w:rPr>
        <w:t>IN WITNESS WHEREOF, the Corporation has caused this Agreement to be executed as of the date and year first above written.</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720"/>
        <w:spacing w:after="0"/>
        <w:rPr>
          <w:sz w:val="20"/>
          <w:szCs w:val="20"/>
          <w:color w:val="auto"/>
        </w:rPr>
      </w:pPr>
      <w:r>
        <w:rPr>
          <w:rFonts w:ascii="Arial" w:cs="Arial" w:eastAsia="Arial" w:hAnsi="Arial"/>
          <w:sz w:val="20"/>
          <w:szCs w:val="20"/>
          <w:color w:val="auto"/>
        </w:rPr>
        <w:t>ManpowerGroup Inc.</w:t>
      </w:r>
    </w:p>
    <w:p>
      <w:pPr>
        <w:spacing w:after="0" w:line="200" w:lineRule="exact"/>
        <w:rPr>
          <w:sz w:val="20"/>
          <w:szCs w:val="20"/>
          <w:color w:val="auto"/>
        </w:rPr>
      </w:pPr>
    </w:p>
    <w:p>
      <w:pPr>
        <w:spacing w:after="0" w:line="218" w:lineRule="exact"/>
        <w:rPr>
          <w:sz w:val="20"/>
          <w:szCs w:val="20"/>
          <w:color w:val="auto"/>
        </w:rPr>
      </w:pPr>
    </w:p>
    <w:p>
      <w:pPr>
        <w:ind w:left="720"/>
        <w:spacing w:after="0"/>
        <w:tabs>
          <w:tab w:leader="none" w:pos="130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20"/>
          <w:szCs w:val="20"/>
          <w:color w:val="auto"/>
        </w:rPr>
        <w:t>__________________________________</w:t>
      </w:r>
    </w:p>
    <w:p>
      <w:pPr>
        <w:spacing w:after="0" w:line="200" w:lineRule="exact"/>
        <w:rPr>
          <w:sz w:val="20"/>
          <w:szCs w:val="20"/>
          <w:color w:val="auto"/>
        </w:rPr>
      </w:pPr>
    </w:p>
    <w:p>
      <w:pPr>
        <w:spacing w:after="0" w:line="218" w:lineRule="exact"/>
        <w:rPr>
          <w:sz w:val="20"/>
          <w:szCs w:val="20"/>
          <w:color w:val="auto"/>
        </w:rPr>
      </w:pPr>
    </w:p>
    <w:p>
      <w:pPr>
        <w:ind w:right="100" w:firstLine="749"/>
        <w:spacing w:after="0" w:line="236" w:lineRule="auto"/>
        <w:rPr>
          <w:sz w:val="20"/>
          <w:szCs w:val="20"/>
          <w:color w:val="auto"/>
        </w:rPr>
      </w:pPr>
      <w:r>
        <w:rPr>
          <w:rFonts w:ascii="Arial" w:cs="Arial" w:eastAsia="Arial" w:hAnsi="Arial"/>
          <w:sz w:val="20"/>
          <w:szCs w:val="20"/>
          <w:color w:val="auto"/>
        </w:rPr>
        <w:t>The undersigned Employee hereby accepts the foregoing grant of Performance Share Units and agrees to the several terms and conditions hereof and of the Plan.</w:t>
      </w:r>
    </w:p>
    <w:p>
      <w:pPr>
        <w:spacing w:after="0" w:line="398" w:lineRule="exact"/>
        <w:rPr>
          <w:sz w:val="20"/>
          <w:szCs w:val="20"/>
          <w:color w:val="auto"/>
        </w:rPr>
      </w:pPr>
    </w:p>
    <w:p>
      <w:pPr>
        <w:ind w:left="1200"/>
        <w:spacing w:after="0"/>
        <w:rPr>
          <w:sz w:val="20"/>
          <w:szCs w:val="20"/>
          <w:color w:val="auto"/>
        </w:rPr>
      </w:pPr>
      <w:r>
        <w:rPr>
          <w:rFonts w:ascii="Arial" w:cs="Arial" w:eastAsia="Arial" w:hAnsi="Arial"/>
          <w:sz w:val="20"/>
          <w:szCs w:val="20"/>
          <w:color w:val="auto"/>
        </w:rPr>
        <w:t>___________________________________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3205480</wp:posOffset>
            </wp:positionH>
            <wp:positionV relativeFrom="paragraph">
              <wp:posOffset>-13970</wp:posOffset>
            </wp:positionV>
            <wp:extent cx="6731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7310" cy="8255"/>
                    </a:xfrm>
                    <a:prstGeom prst="rect">
                      <a:avLst/>
                    </a:prstGeom>
                    <a:noFill/>
                  </pic:spPr>
                </pic:pic>
              </a:graphicData>
            </a:graphic>
          </wp:anchor>
        </w:drawing>
      </w:r>
    </w:p>
    <w:p>
      <w:pPr>
        <w:ind w:left="1200"/>
        <w:spacing w:after="0" w:line="237" w:lineRule="auto"/>
        <w:tabs>
          <w:tab w:leader="none" w:pos="4200" w:val="left"/>
        </w:tabs>
        <w:rPr>
          <w:sz w:val="20"/>
          <w:szCs w:val="20"/>
          <w:color w:val="auto"/>
        </w:rPr>
      </w:pPr>
      <w:r>
        <w:rPr>
          <w:rFonts w:ascii="Arial" w:cs="Arial" w:eastAsia="Arial" w:hAnsi="Arial"/>
          <w:sz w:val="20"/>
          <w:szCs w:val="20"/>
          <w:color w:val="auto"/>
        </w:rPr>
        <w:t>[Insert Employee]</w:t>
      </w:r>
      <w:r>
        <w:rPr>
          <w:sz w:val="20"/>
          <w:szCs w:val="20"/>
          <w:color w:val="auto"/>
        </w:rPr>
        <w:tab/>
      </w:r>
      <w:r>
        <w:rPr>
          <w:rFonts w:ascii="Arial" w:cs="Arial" w:eastAsia="Arial" w:hAnsi="Arial"/>
          <w:sz w:val="19"/>
          <w:szCs w:val="19"/>
          <w:color w:val="auto"/>
        </w:rPr>
        <w:t>Employee</w:t>
      </w:r>
    </w:p>
    <w:p>
      <w:pPr>
        <w:jc w:val="center"/>
        <w:ind w:right="-79"/>
        <w:spacing w:after="0"/>
        <w:rPr>
          <w:sz w:val="20"/>
          <w:szCs w:val="20"/>
          <w:color w:val="auto"/>
        </w:rPr>
      </w:pPr>
      <w:r>
        <w:rPr>
          <w:rFonts w:ascii="Arial" w:cs="Arial" w:eastAsia="Arial" w:hAnsi="Arial"/>
          <w:sz w:val="20"/>
          <w:szCs w:val="2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49530</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38" w:right="399" w:bottom="1440" w:gutter="0" w:footer="0" w:header="0"/>
        </w:sectPr>
      </w:pPr>
    </w:p>
    <w:bookmarkStart w:id="46" w:name="page47"/>
    <w:bookmarkEnd w:id="46"/>
    <w:p>
      <w:pPr>
        <w:ind w:left="4380"/>
        <w:spacing w:after="0"/>
        <w:rPr>
          <w:sz w:val="20"/>
          <w:szCs w:val="20"/>
          <w:color w:val="auto"/>
        </w:rPr>
      </w:pPr>
      <w:r>
        <w:rPr>
          <w:rFonts w:ascii="Arial" w:cs="Arial" w:eastAsia="Arial" w:hAnsi="Arial"/>
          <w:sz w:val="19"/>
          <w:szCs w:val="19"/>
          <w:b w:val="1"/>
          <w:bCs w:val="1"/>
          <w:u w:val="single" w:color="auto"/>
          <w:color w:val="auto"/>
        </w:rPr>
        <w:t>EXHIBIT A</w:t>
      </w:r>
    </w:p>
    <w:p>
      <w:pPr>
        <w:sectPr>
          <w:pgSz w:w="11900" w:h="16838" w:orient="portrait"/>
          <w:cols w:equalWidth="0" w:num="1">
            <w:col w:w="9019"/>
          </w:cols>
          <w:pgMar w:left="1440" w:top="31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right"/>
        <w:ind w:right="3899"/>
        <w:spacing w:after="0"/>
        <w:rPr>
          <w:sz w:val="20"/>
          <w:szCs w:val="20"/>
          <w:color w:val="auto"/>
        </w:rPr>
      </w:pPr>
      <w:r>
        <w:rPr>
          <w:rFonts w:ascii="Arial" w:cs="Arial" w:eastAsia="Arial" w:hAnsi="Arial"/>
          <w:sz w:val="20"/>
          <w:szCs w:val="20"/>
          <w:b w:val="1"/>
          <w:bCs w:val="1"/>
          <w:color w:val="auto"/>
        </w:rPr>
        <w:t>KPI’s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49530</wp:posOffset>
            </wp:positionV>
            <wp:extent cx="71577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314" w:right="1440" w:bottom="1440" w:gutter="0" w:footer="0" w:header="0"/>
          <w:type w:val="continuous"/>
        </w:sectPr>
      </w:pPr>
    </w:p>
    <w:bookmarkStart w:id="47" w:name="page48"/>
    <w:bookmarkEnd w:id="47"/>
    <w:p>
      <w:pPr>
        <w:jc w:val="right"/>
        <w:spacing w:after="0"/>
        <w:rPr>
          <w:sz w:val="20"/>
          <w:szCs w:val="20"/>
          <w:color w:val="auto"/>
        </w:rPr>
      </w:pPr>
      <w:r>
        <w:rPr>
          <w:rFonts w:ascii="Arial" w:cs="Arial" w:eastAsia="Arial" w:hAnsi="Arial"/>
          <w:sz w:val="18"/>
          <w:szCs w:val="18"/>
          <w:b w:val="1"/>
          <w:bCs w:val="1"/>
          <w:color w:val="auto"/>
        </w:rPr>
        <w:t>Exhibit 31.1</w:t>
      </w:r>
    </w:p>
    <w:p>
      <w:pPr>
        <w:spacing w:after="0" w:line="198" w:lineRule="exact"/>
        <w:rPr>
          <w:sz w:val="20"/>
          <w:szCs w:val="20"/>
          <w:color w:val="auto"/>
        </w:rPr>
      </w:pPr>
    </w:p>
    <w:p>
      <w:pPr>
        <w:ind w:left="4900"/>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Jonas Prising, Chief Executive Officer of ManpowerGroup Inc., certify that:</w:t>
      </w:r>
    </w:p>
    <w:p>
      <w:pPr>
        <w:spacing w:after="0" w:line="185" w:lineRule="exact"/>
        <w:rPr>
          <w:sz w:val="20"/>
          <w:szCs w:val="20"/>
          <w:color w:val="auto"/>
        </w:rPr>
      </w:pPr>
    </w:p>
    <w:p>
      <w:pPr>
        <w:ind w:left="380" w:hanging="372"/>
        <w:spacing w:after="0"/>
        <w:tabs>
          <w:tab w:leader="none" w:pos="3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ManpowerGroup Inc.;</w:t>
      </w:r>
    </w:p>
    <w:p>
      <w:pPr>
        <w:spacing w:after="0" w:line="171" w:lineRule="exact"/>
        <w:rPr>
          <w:rFonts w:ascii="Arial" w:cs="Arial" w:eastAsia="Arial" w:hAnsi="Arial"/>
          <w:sz w:val="18"/>
          <w:szCs w:val="18"/>
          <w:color w:val="auto"/>
        </w:rPr>
      </w:pPr>
    </w:p>
    <w:p>
      <w:pPr>
        <w:jc w:val="both"/>
        <w:ind w:left="380" w:right="400" w:hanging="372"/>
        <w:spacing w:after="0" w:line="248" w:lineRule="auto"/>
        <w:tabs>
          <w:tab w:leader="none" w:pos="3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1" w:lineRule="exact"/>
        <w:rPr>
          <w:rFonts w:ascii="Arial" w:cs="Arial" w:eastAsia="Arial" w:hAnsi="Arial"/>
          <w:sz w:val="18"/>
          <w:szCs w:val="18"/>
          <w:color w:val="auto"/>
        </w:rPr>
      </w:pPr>
    </w:p>
    <w:p>
      <w:pPr>
        <w:ind w:left="380" w:right="360" w:hanging="372"/>
        <w:spacing w:after="0" w:line="291" w:lineRule="auto"/>
        <w:tabs>
          <w:tab w:leader="none" w:pos="380" w:val="left"/>
        </w:tabs>
        <w:numPr>
          <w:ilvl w:val="0"/>
          <w:numId w:val="3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9" w:lineRule="exact"/>
        <w:rPr>
          <w:rFonts w:ascii="Arial" w:cs="Arial" w:eastAsia="Arial" w:hAnsi="Arial"/>
          <w:sz w:val="17"/>
          <w:szCs w:val="17"/>
          <w:color w:val="auto"/>
        </w:rPr>
      </w:pPr>
    </w:p>
    <w:p>
      <w:pPr>
        <w:jc w:val="both"/>
        <w:ind w:left="380" w:right="380" w:hanging="372"/>
        <w:spacing w:after="0" w:line="248" w:lineRule="auto"/>
        <w:tabs>
          <w:tab w:leader="none" w:pos="3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1" w:lineRule="exact"/>
        <w:rPr>
          <w:rFonts w:ascii="Arial" w:cs="Arial" w:eastAsia="Arial" w:hAnsi="Arial"/>
          <w:sz w:val="18"/>
          <w:szCs w:val="18"/>
          <w:color w:val="auto"/>
        </w:rPr>
      </w:pPr>
    </w:p>
    <w:p>
      <w:pPr>
        <w:ind w:left="760" w:right="280" w:hanging="378"/>
        <w:spacing w:after="0" w:line="248" w:lineRule="auto"/>
        <w:tabs>
          <w:tab w:leader="none" w:pos="760" w:val="left"/>
        </w:tabs>
        <w:numPr>
          <w:ilvl w:val="1"/>
          <w:numId w:val="3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1" w:lineRule="exact"/>
        <w:rPr>
          <w:rFonts w:ascii="Arial" w:cs="Arial" w:eastAsia="Arial" w:hAnsi="Arial"/>
          <w:sz w:val="18"/>
          <w:szCs w:val="18"/>
          <w:color w:val="auto"/>
        </w:rPr>
      </w:pPr>
    </w:p>
    <w:p>
      <w:pPr>
        <w:ind w:left="760" w:right="600" w:hanging="378"/>
        <w:spacing w:after="0" w:line="248" w:lineRule="auto"/>
        <w:tabs>
          <w:tab w:leader="none" w:pos="760" w:val="left"/>
        </w:tabs>
        <w:numPr>
          <w:ilvl w:val="1"/>
          <w:numId w:val="3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4" w:lineRule="exact"/>
        <w:rPr>
          <w:rFonts w:ascii="Arial" w:cs="Arial" w:eastAsia="Arial" w:hAnsi="Arial"/>
          <w:sz w:val="18"/>
          <w:szCs w:val="18"/>
          <w:color w:val="auto"/>
        </w:rPr>
      </w:pPr>
    </w:p>
    <w:p>
      <w:pPr>
        <w:jc w:val="both"/>
        <w:ind w:left="760" w:right="760" w:hanging="378"/>
        <w:spacing w:after="0" w:line="324" w:lineRule="auto"/>
        <w:tabs>
          <w:tab w:leader="none" w:pos="760" w:val="left"/>
        </w:tabs>
        <w:numPr>
          <w:ilvl w:val="1"/>
          <w:numId w:val="3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3" w:lineRule="exact"/>
        <w:rPr>
          <w:rFonts w:ascii="Arial" w:cs="Arial" w:eastAsia="Arial" w:hAnsi="Arial"/>
          <w:sz w:val="16"/>
          <w:szCs w:val="16"/>
          <w:color w:val="auto"/>
        </w:rPr>
      </w:pPr>
    </w:p>
    <w:p>
      <w:pPr>
        <w:ind w:left="760" w:right="280" w:hanging="378"/>
        <w:spacing w:after="0" w:line="248" w:lineRule="auto"/>
        <w:tabs>
          <w:tab w:leader="none" w:pos="760" w:val="left"/>
        </w:tabs>
        <w:numPr>
          <w:ilvl w:val="1"/>
          <w:numId w:val="3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1" w:lineRule="exact"/>
        <w:rPr>
          <w:rFonts w:ascii="Arial" w:cs="Arial" w:eastAsia="Arial" w:hAnsi="Arial"/>
          <w:sz w:val="18"/>
          <w:szCs w:val="18"/>
          <w:color w:val="auto"/>
        </w:rPr>
      </w:pPr>
    </w:p>
    <w:p>
      <w:pPr>
        <w:ind w:left="380" w:right="80" w:hanging="372"/>
        <w:spacing w:after="0" w:line="291" w:lineRule="auto"/>
        <w:tabs>
          <w:tab w:leader="none" w:pos="38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9" w:lineRule="exact"/>
        <w:rPr>
          <w:rFonts w:ascii="Arial" w:cs="Arial" w:eastAsia="Arial" w:hAnsi="Arial"/>
          <w:sz w:val="17"/>
          <w:szCs w:val="17"/>
          <w:color w:val="auto"/>
        </w:rPr>
      </w:pPr>
    </w:p>
    <w:p>
      <w:pPr>
        <w:ind w:left="760" w:right="180" w:hanging="378"/>
        <w:spacing w:after="0" w:line="261" w:lineRule="auto"/>
        <w:tabs>
          <w:tab w:leader="none" w:pos="760" w:val="left"/>
        </w:tabs>
        <w:numPr>
          <w:ilvl w:val="1"/>
          <w:numId w:val="3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0" w:lineRule="exact"/>
        <w:rPr>
          <w:rFonts w:ascii="Arial" w:cs="Arial" w:eastAsia="Arial" w:hAnsi="Arial"/>
          <w:sz w:val="18"/>
          <w:szCs w:val="18"/>
          <w:color w:val="auto"/>
        </w:rPr>
      </w:pPr>
    </w:p>
    <w:p>
      <w:pPr>
        <w:ind w:left="760" w:right="140" w:hanging="378"/>
        <w:spacing w:after="0" w:line="261" w:lineRule="auto"/>
        <w:tabs>
          <w:tab w:leader="none" w:pos="760" w:val="left"/>
        </w:tabs>
        <w:numPr>
          <w:ilvl w:val="1"/>
          <w:numId w:val="3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Dated: May 6, 2022</w:t>
      </w:r>
    </w:p>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color w:val="auto"/>
        </w:rPr>
        <w:t>/s/ Jonas Prising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3206115"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ind w:left="60"/>
        <w:spacing w:after="0"/>
        <w:rPr>
          <w:sz w:val="20"/>
          <w:szCs w:val="20"/>
          <w:color w:val="auto"/>
        </w:rPr>
      </w:pPr>
      <w:r>
        <w:rPr>
          <w:rFonts w:ascii="Arial" w:cs="Arial" w:eastAsia="Arial" w:hAnsi="Arial"/>
          <w:sz w:val="18"/>
          <w:szCs w:val="18"/>
          <w:color w:val="auto"/>
        </w:rPr>
        <w:t>Jonas Prising</w:t>
      </w:r>
    </w:p>
    <w:p>
      <w:pPr>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206375</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48" w:name="page49"/>
    <w:bookmarkEnd w:id="48"/>
    <w:p>
      <w:pPr>
        <w:jc w:val="right"/>
        <w:spacing w:after="0"/>
        <w:rPr>
          <w:sz w:val="20"/>
          <w:szCs w:val="20"/>
          <w:color w:val="auto"/>
        </w:rPr>
      </w:pPr>
      <w:r>
        <w:rPr>
          <w:rFonts w:ascii="Arial" w:cs="Arial" w:eastAsia="Arial" w:hAnsi="Arial"/>
          <w:sz w:val="18"/>
          <w:szCs w:val="18"/>
          <w:b w:val="1"/>
          <w:bCs w:val="1"/>
          <w:color w:val="auto"/>
        </w:rPr>
        <w:t>Exhibit 31.2</w:t>
      </w:r>
    </w:p>
    <w:p>
      <w:pPr>
        <w:spacing w:after="0" w:line="198" w:lineRule="exact"/>
        <w:rPr>
          <w:sz w:val="20"/>
          <w:szCs w:val="20"/>
          <w:color w:val="auto"/>
        </w:rPr>
      </w:pPr>
    </w:p>
    <w:p>
      <w:pPr>
        <w:ind w:left="4900"/>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John T. McGinnis, Executive Vice President and Chief Financial Officer of ManpowerGroup Inc., certify that:</w:t>
      </w:r>
    </w:p>
    <w:p>
      <w:pPr>
        <w:spacing w:after="0" w:line="185" w:lineRule="exact"/>
        <w:rPr>
          <w:sz w:val="20"/>
          <w:szCs w:val="20"/>
          <w:color w:val="auto"/>
        </w:rPr>
      </w:pPr>
    </w:p>
    <w:p>
      <w:pPr>
        <w:ind w:left="380" w:hanging="372"/>
        <w:spacing w:after="0"/>
        <w:tabs>
          <w:tab w:leader="none" w:pos="3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ManpowerGroup Inc.;</w:t>
      </w:r>
    </w:p>
    <w:p>
      <w:pPr>
        <w:spacing w:after="0" w:line="171" w:lineRule="exact"/>
        <w:rPr>
          <w:rFonts w:ascii="Arial" w:cs="Arial" w:eastAsia="Arial" w:hAnsi="Arial"/>
          <w:sz w:val="18"/>
          <w:szCs w:val="18"/>
          <w:color w:val="auto"/>
        </w:rPr>
      </w:pPr>
    </w:p>
    <w:p>
      <w:pPr>
        <w:jc w:val="both"/>
        <w:ind w:left="380" w:right="400" w:hanging="372"/>
        <w:spacing w:after="0" w:line="248" w:lineRule="auto"/>
        <w:tabs>
          <w:tab w:leader="none" w:pos="3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1" w:lineRule="exact"/>
        <w:rPr>
          <w:rFonts w:ascii="Arial" w:cs="Arial" w:eastAsia="Arial" w:hAnsi="Arial"/>
          <w:sz w:val="18"/>
          <w:szCs w:val="18"/>
          <w:color w:val="auto"/>
        </w:rPr>
      </w:pPr>
    </w:p>
    <w:p>
      <w:pPr>
        <w:ind w:left="380" w:right="360" w:hanging="372"/>
        <w:spacing w:after="0" w:line="291" w:lineRule="auto"/>
        <w:tabs>
          <w:tab w:leader="none" w:pos="380" w:val="left"/>
        </w:tabs>
        <w:numPr>
          <w:ilvl w:val="0"/>
          <w:numId w:val="3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9" w:lineRule="exact"/>
        <w:rPr>
          <w:rFonts w:ascii="Arial" w:cs="Arial" w:eastAsia="Arial" w:hAnsi="Arial"/>
          <w:sz w:val="17"/>
          <w:szCs w:val="17"/>
          <w:color w:val="auto"/>
        </w:rPr>
      </w:pPr>
    </w:p>
    <w:p>
      <w:pPr>
        <w:jc w:val="both"/>
        <w:ind w:left="380" w:right="380" w:hanging="372"/>
        <w:spacing w:after="0" w:line="248" w:lineRule="auto"/>
        <w:tabs>
          <w:tab w:leader="none" w:pos="3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1" w:lineRule="exact"/>
        <w:rPr>
          <w:rFonts w:ascii="Arial" w:cs="Arial" w:eastAsia="Arial" w:hAnsi="Arial"/>
          <w:sz w:val="18"/>
          <w:szCs w:val="18"/>
          <w:color w:val="auto"/>
        </w:rPr>
      </w:pPr>
    </w:p>
    <w:p>
      <w:pPr>
        <w:ind w:left="760" w:right="280" w:hanging="378"/>
        <w:spacing w:after="0" w:line="248" w:lineRule="auto"/>
        <w:tabs>
          <w:tab w:leader="none" w:pos="760" w:val="left"/>
        </w:tabs>
        <w:numPr>
          <w:ilvl w:val="1"/>
          <w:numId w:val="3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1" w:lineRule="exact"/>
        <w:rPr>
          <w:rFonts w:ascii="Arial" w:cs="Arial" w:eastAsia="Arial" w:hAnsi="Arial"/>
          <w:sz w:val="18"/>
          <w:szCs w:val="18"/>
          <w:color w:val="auto"/>
        </w:rPr>
      </w:pPr>
    </w:p>
    <w:p>
      <w:pPr>
        <w:ind w:left="760" w:right="600" w:hanging="378"/>
        <w:spacing w:after="0" w:line="248" w:lineRule="auto"/>
        <w:tabs>
          <w:tab w:leader="none" w:pos="760" w:val="left"/>
        </w:tabs>
        <w:numPr>
          <w:ilvl w:val="1"/>
          <w:numId w:val="3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4" w:lineRule="exact"/>
        <w:rPr>
          <w:rFonts w:ascii="Arial" w:cs="Arial" w:eastAsia="Arial" w:hAnsi="Arial"/>
          <w:sz w:val="18"/>
          <w:szCs w:val="18"/>
          <w:color w:val="auto"/>
        </w:rPr>
      </w:pPr>
    </w:p>
    <w:p>
      <w:pPr>
        <w:jc w:val="both"/>
        <w:ind w:left="760" w:right="760" w:hanging="378"/>
        <w:spacing w:after="0" w:line="324" w:lineRule="auto"/>
        <w:tabs>
          <w:tab w:leader="none" w:pos="760" w:val="left"/>
        </w:tabs>
        <w:numPr>
          <w:ilvl w:val="1"/>
          <w:numId w:val="3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3" w:lineRule="exact"/>
        <w:rPr>
          <w:rFonts w:ascii="Arial" w:cs="Arial" w:eastAsia="Arial" w:hAnsi="Arial"/>
          <w:sz w:val="16"/>
          <w:szCs w:val="16"/>
          <w:color w:val="auto"/>
        </w:rPr>
      </w:pPr>
    </w:p>
    <w:p>
      <w:pPr>
        <w:ind w:left="760" w:right="280" w:hanging="378"/>
        <w:spacing w:after="0" w:line="248" w:lineRule="auto"/>
        <w:tabs>
          <w:tab w:leader="none" w:pos="760" w:val="left"/>
        </w:tabs>
        <w:numPr>
          <w:ilvl w:val="1"/>
          <w:numId w:val="3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1" w:lineRule="exact"/>
        <w:rPr>
          <w:rFonts w:ascii="Arial" w:cs="Arial" w:eastAsia="Arial" w:hAnsi="Arial"/>
          <w:sz w:val="18"/>
          <w:szCs w:val="18"/>
          <w:color w:val="auto"/>
        </w:rPr>
      </w:pPr>
    </w:p>
    <w:p>
      <w:pPr>
        <w:ind w:left="380" w:right="80" w:hanging="372"/>
        <w:spacing w:after="0" w:line="291" w:lineRule="auto"/>
        <w:tabs>
          <w:tab w:leader="none" w:pos="380"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9" w:lineRule="exact"/>
        <w:rPr>
          <w:rFonts w:ascii="Arial" w:cs="Arial" w:eastAsia="Arial" w:hAnsi="Arial"/>
          <w:sz w:val="17"/>
          <w:szCs w:val="17"/>
          <w:color w:val="auto"/>
        </w:rPr>
      </w:pPr>
    </w:p>
    <w:p>
      <w:pPr>
        <w:ind w:left="760" w:right="180" w:hanging="378"/>
        <w:spacing w:after="0" w:line="261" w:lineRule="auto"/>
        <w:tabs>
          <w:tab w:leader="none" w:pos="760" w:val="left"/>
        </w:tabs>
        <w:numPr>
          <w:ilvl w:val="1"/>
          <w:numId w:val="3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0" w:lineRule="exact"/>
        <w:rPr>
          <w:rFonts w:ascii="Arial" w:cs="Arial" w:eastAsia="Arial" w:hAnsi="Arial"/>
          <w:sz w:val="18"/>
          <w:szCs w:val="18"/>
          <w:color w:val="auto"/>
        </w:rPr>
      </w:pPr>
    </w:p>
    <w:p>
      <w:pPr>
        <w:ind w:left="760" w:right="140" w:hanging="378"/>
        <w:spacing w:after="0" w:line="261" w:lineRule="auto"/>
        <w:tabs>
          <w:tab w:leader="none" w:pos="760" w:val="left"/>
        </w:tabs>
        <w:numPr>
          <w:ilvl w:val="1"/>
          <w:numId w:val="3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Dated: May 6, 2022</w:t>
      </w:r>
    </w:p>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color w:val="auto"/>
        </w:rPr>
        <w:t>/s/ John T. McGinnis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3206115"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ind w:left="60"/>
        <w:spacing w:after="0"/>
        <w:rPr>
          <w:sz w:val="20"/>
          <w:szCs w:val="20"/>
          <w:color w:val="auto"/>
        </w:rPr>
      </w:pPr>
      <w:r>
        <w:rPr>
          <w:rFonts w:ascii="Arial" w:cs="Arial" w:eastAsia="Arial" w:hAnsi="Arial"/>
          <w:sz w:val="18"/>
          <w:szCs w:val="18"/>
          <w:color w:val="auto"/>
        </w:rPr>
        <w:t>John T. McGinnis</w:t>
      </w:r>
    </w:p>
    <w:p>
      <w:pPr>
        <w:spacing w:after="0"/>
        <w:rPr>
          <w:sz w:val="20"/>
          <w:szCs w:val="20"/>
          <w:color w:val="auto"/>
        </w:rPr>
      </w:pPr>
      <w:r>
        <w:rPr>
          <w:rFonts w:ascii="Arial" w:cs="Arial" w:eastAsia="Arial" w:hAnsi="Arial"/>
          <w:sz w:val="18"/>
          <w:szCs w:val="18"/>
          <w:color w:val="auto"/>
        </w:rPr>
        <w:t>Executive Vice 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206375</wp:posOffset>
            </wp:positionV>
            <wp:extent cx="71577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49" w:name="page50"/>
    <w:bookmarkEnd w:id="49"/>
    <w:p>
      <w:pPr>
        <w:jc w:val="right"/>
        <w:spacing w:after="0"/>
        <w:rPr>
          <w:sz w:val="20"/>
          <w:szCs w:val="20"/>
          <w:color w:val="auto"/>
        </w:rPr>
      </w:pPr>
      <w:r>
        <w:rPr>
          <w:rFonts w:ascii="Arial" w:cs="Arial" w:eastAsia="Arial" w:hAnsi="Arial"/>
          <w:sz w:val="18"/>
          <w:szCs w:val="18"/>
          <w:b w:val="1"/>
          <w:bCs w:val="1"/>
          <w:color w:val="auto"/>
        </w:rPr>
        <w:t>Exhibit 32.1</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w:t>
      </w:r>
    </w:p>
    <w:p>
      <w:pPr>
        <w:spacing w:after="0" w:line="175" w:lineRule="exact"/>
        <w:rPr>
          <w:sz w:val="20"/>
          <w:szCs w:val="20"/>
          <w:color w:val="auto"/>
        </w:rPr>
      </w:pPr>
    </w:p>
    <w:p>
      <w:pPr>
        <w:ind w:right="460"/>
        <w:spacing w:after="0" w:line="261" w:lineRule="auto"/>
        <w:rPr>
          <w:sz w:val="20"/>
          <w:szCs w:val="20"/>
          <w:color w:val="auto"/>
        </w:rPr>
      </w:pPr>
      <w:r>
        <w:rPr>
          <w:rFonts w:ascii="Arial" w:cs="Arial" w:eastAsia="Arial" w:hAnsi="Arial"/>
          <w:sz w:val="18"/>
          <w:szCs w:val="18"/>
          <w:color w:val="auto"/>
        </w:rPr>
        <w:t>Pursuant to ss. 906 of the Sarbanes-Oxley Act of 2002, 18 U.S.C. ss. 1350, the undersigned officer of ManpowerGroup Inc. (the “Company”), hereby certifies that to his knowledge:</w:t>
      </w:r>
    </w:p>
    <w:p>
      <w:pPr>
        <w:spacing w:after="0" w:line="144" w:lineRule="exact"/>
        <w:rPr>
          <w:sz w:val="20"/>
          <w:szCs w:val="20"/>
          <w:color w:val="auto"/>
        </w:rPr>
      </w:pPr>
    </w:p>
    <w:p>
      <w:pPr>
        <w:ind w:left="760" w:right="220" w:hanging="378"/>
        <w:spacing w:after="0" w:line="261" w:lineRule="auto"/>
        <w:tabs>
          <w:tab w:leader="none" w:pos="7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Company’s Quarterly Report on Form 10-Q for the quarter ended March 31, 2022 fully complies with the requirements of Section 13(a) or 15(d), as applicable, of the Securities Exchange Act of 1934, and</w:t>
      </w:r>
    </w:p>
    <w:p>
      <w:pPr>
        <w:spacing w:after="0" w:line="130" w:lineRule="exact"/>
        <w:rPr>
          <w:rFonts w:ascii="Arial" w:cs="Arial" w:eastAsia="Arial" w:hAnsi="Arial"/>
          <w:sz w:val="18"/>
          <w:szCs w:val="18"/>
          <w:color w:val="auto"/>
        </w:rPr>
      </w:pPr>
    </w:p>
    <w:p>
      <w:pPr>
        <w:ind w:right="160" w:firstLine="382"/>
        <w:spacing w:after="0" w:line="446" w:lineRule="auto"/>
        <w:tabs>
          <w:tab w:leader="none" w:pos="748"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ManpowerGroup Inc.</w:t>
      </w:r>
    </w:p>
    <w:p>
      <w:pPr>
        <w:spacing w:after="0"/>
        <w:rPr>
          <w:rFonts w:ascii="Arial" w:cs="Arial" w:eastAsia="Arial" w:hAnsi="Arial"/>
          <w:sz w:val="18"/>
          <w:szCs w:val="18"/>
          <w:color w:val="auto"/>
        </w:rPr>
      </w:pPr>
      <w:r>
        <w:rPr>
          <w:rFonts w:ascii="Arial" w:cs="Arial" w:eastAsia="Arial" w:hAnsi="Arial"/>
          <w:sz w:val="18"/>
          <w:szCs w:val="18"/>
          <w:color w:val="auto"/>
        </w:rPr>
        <w:t>Dated: May 6, 2022</w:t>
      </w:r>
    </w:p>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color w:val="auto"/>
        </w:rPr>
        <w:t>/s/ Jonas Prising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3206115"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ind w:left="60"/>
        <w:spacing w:after="0"/>
        <w:rPr>
          <w:sz w:val="20"/>
          <w:szCs w:val="20"/>
          <w:color w:val="auto"/>
        </w:rPr>
      </w:pPr>
      <w:r>
        <w:rPr>
          <w:rFonts w:ascii="Arial" w:cs="Arial" w:eastAsia="Arial" w:hAnsi="Arial"/>
          <w:sz w:val="18"/>
          <w:szCs w:val="18"/>
          <w:color w:val="auto"/>
        </w:rPr>
        <w:t>Jonas Prising</w:t>
      </w:r>
    </w:p>
    <w:p>
      <w:pPr>
        <w:spacing w:after="0"/>
        <w:rPr>
          <w:sz w:val="20"/>
          <w:szCs w:val="20"/>
          <w:color w:val="auto"/>
        </w:rPr>
      </w:pPr>
      <w:r>
        <w:rPr>
          <w:rFonts w:ascii="Arial" w:cs="Arial" w:eastAsia="Arial" w:hAnsi="Arial"/>
          <w:sz w:val="18"/>
          <w:szCs w:val="18"/>
          <w:color w:val="auto"/>
        </w:rPr>
        <w:t>Chief Executive Officer</w:t>
      </w:r>
    </w:p>
    <w:p>
      <w:pPr>
        <w:spacing w:after="0" w:line="182" w:lineRule="exact"/>
        <w:rPr>
          <w:sz w:val="20"/>
          <w:szCs w:val="20"/>
          <w:color w:val="auto"/>
        </w:rPr>
      </w:pPr>
    </w:p>
    <w:p>
      <w:pPr>
        <w:ind w:right="260"/>
        <w:spacing w:after="0" w:line="261" w:lineRule="auto"/>
        <w:rPr>
          <w:sz w:val="20"/>
          <w:szCs w:val="20"/>
          <w:color w:val="auto"/>
        </w:rPr>
      </w:pPr>
      <w:r>
        <w:rPr>
          <w:rFonts w:ascii="Arial" w:cs="Arial" w:eastAsia="Arial" w:hAnsi="Arial"/>
          <w:sz w:val="18"/>
          <w:szCs w:val="18"/>
          <w:i w:val="1"/>
          <w:iCs w:val="1"/>
          <w:color w:val="auto"/>
        </w:rPr>
        <w:t>This certification accompanies this Quarterly Report on Form 10-Q pursuant to Section 906 of the Sarbanes-Oxley Act of 2002 and shall not be deemed filed by the Company for purposes of the Securities Exchange Act of 1934.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190500</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50" w:name="page51"/>
    <w:bookmarkEnd w:id="50"/>
    <w:p>
      <w:pPr>
        <w:jc w:val="right"/>
        <w:spacing w:after="0"/>
        <w:rPr>
          <w:sz w:val="20"/>
          <w:szCs w:val="20"/>
          <w:color w:val="auto"/>
        </w:rPr>
      </w:pPr>
      <w:r>
        <w:rPr>
          <w:rFonts w:ascii="Arial" w:cs="Arial" w:eastAsia="Arial" w:hAnsi="Arial"/>
          <w:sz w:val="18"/>
          <w:szCs w:val="18"/>
          <w:b w:val="1"/>
          <w:bCs w:val="1"/>
          <w:color w:val="auto"/>
        </w:rPr>
        <w:t>Exhibit 32.2</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w:t>
      </w:r>
    </w:p>
    <w:p>
      <w:pPr>
        <w:spacing w:after="0" w:line="175" w:lineRule="exact"/>
        <w:rPr>
          <w:sz w:val="20"/>
          <w:szCs w:val="20"/>
          <w:color w:val="auto"/>
        </w:rPr>
      </w:pPr>
    </w:p>
    <w:p>
      <w:pPr>
        <w:ind w:right="460"/>
        <w:spacing w:after="0" w:line="261" w:lineRule="auto"/>
        <w:rPr>
          <w:sz w:val="20"/>
          <w:szCs w:val="20"/>
          <w:color w:val="auto"/>
        </w:rPr>
      </w:pPr>
      <w:r>
        <w:rPr>
          <w:rFonts w:ascii="Arial" w:cs="Arial" w:eastAsia="Arial" w:hAnsi="Arial"/>
          <w:sz w:val="18"/>
          <w:szCs w:val="18"/>
          <w:color w:val="auto"/>
        </w:rPr>
        <w:t>Pursuant to ss. 906 of the Sarbanes-Oxley Act of 2002, 18 U.S.C. ss. 1350, the undersigned officer of ManpowerGroup Inc. (the “Company”), hereby certifies that to his knowledge:</w:t>
      </w:r>
    </w:p>
    <w:p>
      <w:pPr>
        <w:spacing w:after="0" w:line="144" w:lineRule="exact"/>
        <w:rPr>
          <w:sz w:val="20"/>
          <w:szCs w:val="20"/>
          <w:color w:val="auto"/>
        </w:rPr>
      </w:pPr>
    </w:p>
    <w:p>
      <w:pPr>
        <w:ind w:left="760" w:right="220" w:hanging="378"/>
        <w:spacing w:after="0" w:line="261" w:lineRule="auto"/>
        <w:tabs>
          <w:tab w:leader="none" w:pos="7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Company’s Quarterly Report on Form 10-Q for the quarter ended March 31, 2022 fully complies with the requirements of Section 13(a) or 15(d), as applicable, of the Securities Exchange Act of 1934, and</w:t>
      </w:r>
    </w:p>
    <w:p>
      <w:pPr>
        <w:spacing w:after="0" w:line="130" w:lineRule="exact"/>
        <w:rPr>
          <w:rFonts w:ascii="Arial" w:cs="Arial" w:eastAsia="Arial" w:hAnsi="Arial"/>
          <w:sz w:val="18"/>
          <w:szCs w:val="18"/>
          <w:color w:val="auto"/>
        </w:rPr>
      </w:pPr>
    </w:p>
    <w:p>
      <w:pPr>
        <w:ind w:right="160" w:firstLine="382"/>
        <w:spacing w:after="0" w:line="446" w:lineRule="auto"/>
        <w:tabs>
          <w:tab w:leader="none" w:pos="748"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ManpowerGroup Inc.</w:t>
      </w:r>
    </w:p>
    <w:p>
      <w:pPr>
        <w:spacing w:after="0"/>
        <w:rPr>
          <w:rFonts w:ascii="Arial" w:cs="Arial" w:eastAsia="Arial" w:hAnsi="Arial"/>
          <w:sz w:val="18"/>
          <w:szCs w:val="18"/>
          <w:color w:val="auto"/>
        </w:rPr>
      </w:pPr>
      <w:r>
        <w:rPr>
          <w:rFonts w:ascii="Arial" w:cs="Arial" w:eastAsia="Arial" w:hAnsi="Arial"/>
          <w:sz w:val="18"/>
          <w:szCs w:val="18"/>
          <w:color w:val="auto"/>
        </w:rPr>
        <w:t>Dated: May 6, 2022</w:t>
      </w:r>
    </w:p>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color w:val="auto"/>
        </w:rPr>
        <w:t>/s/ John T. McGinnis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3206115"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ind w:left="60"/>
        <w:spacing w:after="0"/>
        <w:rPr>
          <w:sz w:val="20"/>
          <w:szCs w:val="20"/>
          <w:color w:val="auto"/>
        </w:rPr>
      </w:pPr>
      <w:r>
        <w:rPr>
          <w:rFonts w:ascii="Arial" w:cs="Arial" w:eastAsia="Arial" w:hAnsi="Arial"/>
          <w:sz w:val="18"/>
          <w:szCs w:val="18"/>
          <w:color w:val="auto"/>
        </w:rPr>
        <w:t>John T. McGinnis</w:t>
      </w:r>
    </w:p>
    <w:p>
      <w:pPr>
        <w:spacing w:after="0"/>
        <w:rPr>
          <w:sz w:val="20"/>
          <w:szCs w:val="20"/>
          <w:color w:val="auto"/>
        </w:rPr>
      </w:pPr>
      <w:r>
        <w:rPr>
          <w:rFonts w:ascii="Arial" w:cs="Arial" w:eastAsia="Arial" w:hAnsi="Arial"/>
          <w:sz w:val="18"/>
          <w:szCs w:val="18"/>
          <w:color w:val="auto"/>
        </w:rPr>
        <w:t>Executive Vice President and Chief Financial Officer</w:t>
      </w:r>
    </w:p>
    <w:p>
      <w:pPr>
        <w:spacing w:after="0" w:line="182" w:lineRule="exact"/>
        <w:rPr>
          <w:sz w:val="20"/>
          <w:szCs w:val="20"/>
          <w:color w:val="auto"/>
        </w:rPr>
      </w:pPr>
    </w:p>
    <w:p>
      <w:pPr>
        <w:ind w:right="260"/>
        <w:spacing w:after="0" w:line="261" w:lineRule="auto"/>
        <w:rPr>
          <w:sz w:val="20"/>
          <w:szCs w:val="20"/>
          <w:color w:val="auto"/>
        </w:rPr>
      </w:pPr>
      <w:r>
        <w:rPr>
          <w:rFonts w:ascii="Arial" w:cs="Arial" w:eastAsia="Arial" w:hAnsi="Arial"/>
          <w:sz w:val="18"/>
          <w:szCs w:val="18"/>
          <w:i w:val="1"/>
          <w:iCs w:val="1"/>
          <w:color w:val="auto"/>
        </w:rPr>
        <w:t>This certification accompanies this Quarterly Report on Form 10-Q pursuant to Section 906 of the Sarbanes-Oxley Act of 2002 and shall not be deemed filed by the Company for purposes of the Securities Exchange Act of 1934.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190500</wp:posOffset>
            </wp:positionV>
            <wp:extent cx="71577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51" w:name="page52"/>
    <w:bookmarkEnd w:id="5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BBD95A"/>
    <w:multiLevelType w:val="hybridMultilevel"/>
    <w:lvl w:ilvl="0">
      <w:lvlJc w:val="left"/>
      <w:lvlText w:val="☒"/>
      <w:numFmt w:val="bullet"/>
      <w:start w:val="1"/>
    </w:lvl>
  </w:abstractNum>
  <w:abstractNum w:abstractNumId="1">
    <w:nsid w:val="436C6125"/>
    <w:multiLevelType w:val="hybridMultilevel"/>
    <w:lvl w:ilvl="0">
      <w:lvlJc w:val="left"/>
      <w:lvlText w:val="☐"/>
      <w:numFmt w:val="bullet"/>
      <w:start w:val="1"/>
    </w:lvl>
  </w:abstractNum>
  <w:abstractNum w:abstractNumId="2">
    <w:nsid w:val="628C895D"/>
    <w:multiLevelType w:val="hybridMultilevel"/>
    <w:lvl w:ilvl="0">
      <w:lvlJc w:val="left"/>
      <w:lvlText w:val="(%1)"/>
      <w:numFmt w:val="decimal"/>
      <w:start w:val="1"/>
    </w:lvl>
  </w:abstractNum>
  <w:abstractNum w:abstractNumId="3">
    <w:nsid w:val="333AB105"/>
    <w:multiLevelType w:val="hybridMultilevel"/>
    <w:lvl w:ilvl="0">
      <w:lvlJc w:val="left"/>
      <w:lvlText w:val="(%1)"/>
      <w:numFmt w:val="decimal"/>
      <w:start w:val="2"/>
    </w:lvl>
  </w:abstractNum>
  <w:abstractNum w:abstractNumId="4">
    <w:nsid w:val="721DA317"/>
    <w:multiLevelType w:val="hybridMultilevel"/>
    <w:lvl w:ilvl="0">
      <w:lvlJc w:val="left"/>
      <w:lvlText w:val="(%1)"/>
      <w:numFmt w:val="decimal"/>
      <w:start w:val="3"/>
    </w:lvl>
  </w:abstractNum>
  <w:abstractNum w:abstractNumId="5">
    <w:nsid w:val="2443A858"/>
    <w:multiLevelType w:val="hybridMultilevel"/>
    <w:lvl w:ilvl="0">
      <w:lvlJc w:val="left"/>
      <w:lvlText w:val="(%1)"/>
      <w:numFmt w:val="decimal"/>
      <w:start w:val="4"/>
    </w:lvl>
  </w:abstractNum>
  <w:abstractNum w:abstractNumId="6">
    <w:nsid w:val="2D1D5AE9"/>
    <w:multiLevelType w:val="hybridMultilevel"/>
    <w:lvl w:ilvl="0">
      <w:lvlJc w:val="left"/>
      <w:lvlText w:val="(%1)"/>
      <w:numFmt w:val="decimal"/>
      <w:start w:val="5"/>
    </w:lvl>
  </w:abstractNum>
  <w:abstractNum w:abstractNumId="7">
    <w:nsid w:val="6763845E"/>
    <w:multiLevelType w:val="hybridMultilevel"/>
    <w:lvl w:ilvl="0">
      <w:lvlJc w:val="left"/>
      <w:lvlText w:val="(%1)"/>
      <w:numFmt w:val="decimal"/>
      <w:start w:val="6"/>
    </w:lvl>
  </w:abstractNum>
  <w:abstractNum w:abstractNumId="8">
    <w:nsid w:val="75A2A8D4"/>
    <w:multiLevelType w:val="hybridMultilevel"/>
    <w:lvl w:ilvl="0">
      <w:lvlJc w:val="left"/>
      <w:lvlText w:val="(%1)"/>
      <w:numFmt w:val="decimal"/>
      <w:start w:val="1"/>
    </w:lvl>
  </w:abstractNum>
  <w:abstractNum w:abstractNumId="9">
    <w:nsid w:val="8EDBDAB"/>
    <w:multiLevelType w:val="hybridMultilevel"/>
    <w:lvl w:ilvl="0">
      <w:lvlJc w:val="left"/>
      <w:lvlText w:val="(%1)"/>
      <w:numFmt w:val="decimal"/>
      <w:start w:val="7"/>
    </w:lvl>
  </w:abstractNum>
  <w:abstractNum w:abstractNumId="10">
    <w:nsid w:val="79838CB2"/>
    <w:multiLevelType w:val="hybridMultilevel"/>
    <w:lvl w:ilvl="0">
      <w:lvlJc w:val="left"/>
      <w:lvlText w:val="(%1)"/>
      <w:numFmt w:val="decimal"/>
      <w:start w:val="9"/>
    </w:lvl>
  </w:abstractNum>
  <w:abstractNum w:abstractNumId="11">
    <w:nsid w:val="4353D0CD"/>
    <w:multiLevelType w:val="hybridMultilevel"/>
    <w:lvl w:ilvl="0">
      <w:lvlJc w:val="left"/>
      <w:lvlText w:val="(%1)"/>
      <w:numFmt w:val="decimal"/>
      <w:start w:val="1"/>
    </w:lvl>
  </w:abstractNum>
  <w:abstractNum w:abstractNumId="12">
    <w:nsid w:val="B03E0C6"/>
    <w:multiLevelType w:val="hybridMultilevel"/>
    <w:lvl w:ilvl="0">
      <w:lvlJc w:val="left"/>
      <w:lvlText w:val="(%1)"/>
      <w:numFmt w:val="decimal"/>
      <w:start w:val="1"/>
    </w:lvl>
  </w:abstractNum>
  <w:abstractNum w:abstractNumId="13">
    <w:nsid w:val="189A769B"/>
    <w:multiLevelType w:val="hybridMultilevel"/>
    <w:lvl w:ilvl="0">
      <w:lvlJc w:val="left"/>
      <w:lvlText w:val="(%1)"/>
      <w:numFmt w:val="decimal"/>
      <w:start w:val="10"/>
    </w:lvl>
  </w:abstractNum>
  <w:abstractNum w:abstractNumId="14">
    <w:nsid w:val="54E49EB4"/>
    <w:multiLevelType w:val="hybridMultilevel"/>
    <w:lvl w:ilvl="0">
      <w:lvlJc w:val="left"/>
      <w:lvlText w:val="(%1)"/>
      <w:numFmt w:val="decimal"/>
      <w:start w:val="13"/>
    </w:lvl>
  </w:abstractNum>
  <w:abstractNum w:abstractNumId="15">
    <w:nsid w:val="71F32454"/>
    <w:multiLevelType w:val="hybridMultilevel"/>
    <w:lvl w:ilvl="0">
      <w:lvlJc w:val="left"/>
      <w:lvlText w:val="(%1)"/>
      <w:numFmt w:val="decimal"/>
      <w:start w:val="1"/>
    </w:lvl>
  </w:abstractNum>
  <w:abstractNum w:abstractNumId="16">
    <w:nsid w:val="2CA88611"/>
    <w:multiLevelType w:val="hybridMultilevel"/>
    <w:lvl w:ilvl="0">
      <w:lvlJc w:val="left"/>
      <w:lvlText w:val="(%1)"/>
      <w:numFmt w:val="decimal"/>
      <w:start w:val="15"/>
    </w:lvl>
  </w:abstractNum>
  <w:abstractNum w:abstractNumId="17">
    <w:nsid w:val="836C40E"/>
    <w:multiLevelType w:val="hybridMultilevel"/>
    <w:lvl w:ilvl="0">
      <w:lvlJc w:val="left"/>
      <w:lvlText w:val="(%1)"/>
      <w:numFmt w:val="lowerLetter"/>
      <w:start w:val="1"/>
    </w:lvl>
  </w:abstractNum>
  <w:abstractNum w:abstractNumId="18">
    <w:nsid w:val="2901D82"/>
    <w:multiLevelType w:val="hybridMultilevel"/>
    <w:lvl w:ilvl="0">
      <w:lvlJc w:val="left"/>
      <w:lvlText w:val="•"/>
      <w:numFmt w:val="bullet"/>
      <w:start w:val="1"/>
    </w:lvl>
  </w:abstractNum>
  <w:abstractNum w:abstractNumId="19">
    <w:nsid w:val="3A95F874"/>
    <w:multiLevelType w:val="hybridMultilevel"/>
    <w:lvl w:ilvl="0">
      <w:lvlJc w:val="left"/>
      <w:lvlText w:val="•"/>
      <w:numFmt w:val="bullet"/>
      <w:start w:val="1"/>
    </w:lvl>
  </w:abstractNum>
  <w:abstractNum w:abstractNumId="20">
    <w:nsid w:val="8138641"/>
    <w:multiLevelType w:val="hybridMultilevel"/>
    <w:lvl w:ilvl="0">
      <w:lvlJc w:val="left"/>
      <w:lvlText w:val="•"/>
      <w:numFmt w:val="bullet"/>
      <w:start w:val="1"/>
    </w:lvl>
  </w:abstractNum>
  <w:abstractNum w:abstractNumId="21">
    <w:nsid w:val="1E7FF521"/>
    <w:multiLevelType w:val="hybridMultilevel"/>
    <w:lvl w:ilvl="0">
      <w:lvlJc w:val="left"/>
      <w:lvlText w:val="•"/>
      <w:numFmt w:val="bullet"/>
      <w:start w:val="1"/>
    </w:lvl>
  </w:abstractNum>
  <w:abstractNum w:abstractNumId="22">
    <w:nsid w:val="7C3DBD3D"/>
    <w:multiLevelType w:val="hybridMultilevel"/>
    <w:lvl w:ilvl="0">
      <w:lvlJc w:val="left"/>
      <w:lvlText w:val="(%1)"/>
      <w:numFmt w:val="lowerLetter"/>
      <w:start w:val="1"/>
    </w:lvl>
  </w:abstractNum>
  <w:abstractNum w:abstractNumId="23">
    <w:nsid w:val="737B8DDC"/>
    <w:multiLevelType w:val="hybridMultilevel"/>
    <w:lvl w:ilvl="0">
      <w:lvlJc w:val="left"/>
      <w:lvlText w:val="(%1)"/>
      <w:numFmt w:val="decimal"/>
      <w:start w:val="1"/>
    </w:lvl>
  </w:abstractNum>
  <w:abstractNum w:abstractNumId="24">
    <w:nsid w:val="6CEAF087"/>
    <w:multiLevelType w:val="hybridMultilevel"/>
    <w:lvl w:ilvl="0">
      <w:lvlJc w:val="left"/>
      <w:lvlText w:val="(%1)"/>
      <w:numFmt w:val="lowerLetter"/>
      <w:start w:val="1"/>
    </w:lvl>
  </w:abstractNum>
  <w:abstractNum w:abstractNumId="25">
    <w:nsid w:val="22221A70"/>
    <w:multiLevelType w:val="hybridMultilevel"/>
    <w:lvl w:ilvl="0">
      <w:lvlJc w:val="left"/>
      <w:lvlText w:val="%1"/>
      <w:numFmt w:val="decimal"/>
      <w:start w:val="104"/>
    </w:lvl>
  </w:abstractNum>
  <w:abstractNum w:abstractNumId="26">
    <w:nsid w:val="4516DDE9"/>
    <w:multiLevelType w:val="hybridMultilevel"/>
    <w:lvl w:ilvl="0">
      <w:lvlJc w:val="left"/>
      <w:lvlText w:val="%1."/>
      <w:numFmt w:val="decimal"/>
      <w:start w:val="1"/>
    </w:lvl>
    <w:lvl w:ilvl="1">
      <w:lvlJc w:val="left"/>
      <w:lvlText w:val="%2."/>
      <w:numFmt w:val="lowerLetter"/>
      <w:start w:val="1"/>
    </w:lvl>
  </w:abstractNum>
  <w:abstractNum w:abstractNumId="27">
    <w:nsid w:val="3006C83E"/>
    <w:multiLevelType w:val="hybridMultilevel"/>
    <w:lvl w:ilvl="0">
      <w:lvlJc w:val="left"/>
      <w:lvlText w:val="%1."/>
      <w:numFmt w:val="lowerLetter"/>
      <w:start w:val="2"/>
    </w:lvl>
  </w:abstractNum>
  <w:abstractNum w:abstractNumId="28">
    <w:nsid w:val="614FD4A1"/>
    <w:multiLevelType w:val="hybridMultilevel"/>
    <w:lvl w:ilvl="0">
      <w:lvlJc w:val="left"/>
      <w:lvlText w:val="%1."/>
      <w:numFmt w:val="decimal"/>
      <w:start w:val="3"/>
    </w:lvl>
  </w:abstractNum>
  <w:abstractNum w:abstractNumId="29">
    <w:nsid w:val="419AC241"/>
    <w:multiLevelType w:val="hybridMultilevel"/>
    <w:lvl w:ilvl="0">
      <w:lvlJc w:val="left"/>
      <w:lvlText w:val="%1."/>
      <w:numFmt w:val="decimal"/>
      <w:start w:val="5"/>
    </w:lvl>
    <w:lvl w:ilvl="1">
      <w:lvlJc w:val="left"/>
      <w:lvlText w:val="%2."/>
      <w:numFmt w:val="lowerLetter"/>
      <w:start w:val="1"/>
    </w:lvl>
  </w:abstractNum>
  <w:abstractNum w:abstractNumId="30">
    <w:nsid w:val="5577F8E1"/>
    <w:multiLevelType w:val="hybridMultilevel"/>
    <w:lvl w:ilvl="0">
      <w:lvlJc w:val="left"/>
      <w:lvlText w:val="%1."/>
      <w:numFmt w:val="decimal"/>
      <w:start w:val="7"/>
    </w:lvl>
    <w:lvl w:ilvl="1">
      <w:lvlJc w:val="left"/>
      <w:lvlText w:val="%2."/>
      <w:numFmt w:val="lowerLetter"/>
      <w:start w:val="1"/>
    </w:lvl>
  </w:abstractNum>
  <w:abstractNum w:abstractNumId="31">
    <w:nsid w:val="440BADFC"/>
    <w:multiLevelType w:val="hybridMultilevel"/>
    <w:lvl w:ilvl="0">
      <w:lvlJc w:val="left"/>
      <w:lvlText w:val="%1."/>
      <w:numFmt w:val="lowerLetter"/>
      <w:start w:val="7"/>
    </w:lvl>
    <w:lvl w:ilvl="1">
      <w:lvlJc w:val="left"/>
      <w:lvlText w:val="%2."/>
      <w:numFmt w:val="lowerRoman"/>
      <w:start w:val="1"/>
    </w:lvl>
  </w:abstractNum>
  <w:abstractNum w:abstractNumId="32">
    <w:nsid w:val="5072367"/>
    <w:multiLevelType w:val="hybridMultilevel"/>
    <w:lvl w:ilvl="0">
      <w:lvlJc w:val="left"/>
      <w:lvlText w:val="%1"/>
      <w:numFmt w:val="lowerLetter"/>
      <w:start w:val="1"/>
    </w:lvl>
    <w:lvl w:ilvl="1">
      <w:lvlJc w:val="left"/>
      <w:lvlText w:val="%2."/>
      <w:numFmt w:val="lowerRoman"/>
      <w:start w:val="5"/>
    </w:lvl>
  </w:abstractNum>
  <w:abstractNum w:abstractNumId="33">
    <w:nsid w:val="3804823E"/>
    <w:multiLevelType w:val="hybridMultilevel"/>
    <w:lvl w:ilvl="0">
      <w:lvlJc w:val="left"/>
      <w:lvlText w:val="%1."/>
      <w:numFmt w:val="lowerLetter"/>
      <w:start w:val="10"/>
    </w:lvl>
    <w:lvl w:ilvl="1">
      <w:lvlJc w:val="left"/>
      <w:lvlText w:val="%2."/>
      <w:numFmt w:val="lowerRoman"/>
      <w:start w:val="1"/>
    </w:lvl>
  </w:abstractNum>
  <w:abstractNum w:abstractNumId="34">
    <w:nsid w:val="77465F01"/>
    <w:multiLevelType w:val="hybridMultilevel"/>
    <w:lvl w:ilvl="0">
      <w:lvlJc w:val="left"/>
      <w:lvlText w:val="%1."/>
      <w:numFmt w:val="decimal"/>
      <w:start w:val="9"/>
    </w:lvl>
  </w:abstractNum>
  <w:abstractNum w:abstractNumId="35">
    <w:nsid w:val="7724C67E"/>
    <w:multiLevelType w:val="hybridMultilevel"/>
    <w:lvl w:ilvl="0">
      <w:lvlJc w:val="left"/>
      <w:lvlText w:val="%1."/>
      <w:numFmt w:val="decimal"/>
      <w:start w:val="1"/>
    </w:lvl>
    <w:lvl w:ilvl="1">
      <w:lvlJc w:val="left"/>
      <w:lvlText w:val="(%2)"/>
      <w:numFmt w:val="lowerLetter"/>
      <w:start w:val="1"/>
    </w:lvl>
  </w:abstractNum>
  <w:abstractNum w:abstractNumId="36">
    <w:nsid w:val="5C482A97"/>
    <w:multiLevelType w:val="hybridMultilevel"/>
    <w:lvl w:ilvl="0">
      <w:lvlJc w:val="left"/>
      <w:lvlText w:val="%1."/>
      <w:numFmt w:val="decimal"/>
      <w:start w:val="1"/>
    </w:lvl>
    <w:lvl w:ilvl="1">
      <w:lvlJc w:val="left"/>
      <w:lvlText w:val="(%2)"/>
      <w:numFmt w:val="lowerLetter"/>
      <w:start w:val="1"/>
    </w:lvl>
  </w:abstractNum>
  <w:abstractNum w:abstractNumId="37">
    <w:nsid w:val="2463B9EA"/>
    <w:multiLevelType w:val="hybridMultilevel"/>
    <w:lvl w:ilvl="0">
      <w:lvlJc w:val="left"/>
      <w:lvlText w:val="%1."/>
      <w:numFmt w:val="decimal"/>
      <w:start w:val="1"/>
    </w:lvl>
  </w:abstractNum>
  <w:abstractNum w:abstractNumId="38">
    <w:nsid w:val="5E884AD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2022-05-07T15:37:32Z</dcterms:created>
  <dcterms:modified xsi:type="dcterms:W3CDTF">2022-05-07T15:37:32Z</dcterms:modified>
</cp:coreProperties>
</file>