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948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940"/>
                    </a:xfrm>
                    <a:prstGeom prst="rect">
                      <a:avLst/>
                    </a:prstGeom>
                    <a:noFill/>
                  </pic:spPr>
                </pic:pic>
              </a:graphicData>
            </a:graphic>
          </wp:anchor>
        </w:drawing>
        <w:t>UNITED STATES</w:t>
      </w:r>
    </w:p>
    <w:p>
      <w:pPr>
        <w:spacing w:after="0" w:line="29" w:lineRule="exact"/>
        <w:rPr>
          <w:sz w:val="24"/>
          <w:szCs w:val="24"/>
          <w:color w:val="auto"/>
        </w:rPr>
      </w:pPr>
    </w:p>
    <w:p>
      <w:pPr>
        <w:jc w:val="center"/>
        <w:ind w:right="-112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Washington, D.C. 20549</w:t>
      </w:r>
    </w:p>
    <w:p>
      <w:pPr>
        <w:spacing w:after="0" w:line="101" w:lineRule="exact"/>
        <w:rPr>
          <w:sz w:val="24"/>
          <w:szCs w:val="24"/>
          <w:color w:val="auto"/>
        </w:rPr>
      </w:pPr>
    </w:p>
    <w:p>
      <w:pPr>
        <w:jc w:val="center"/>
        <w:ind w:right="-1125"/>
        <w:spacing w:after="0"/>
        <w:rPr>
          <w:sz w:val="20"/>
          <w:szCs w:val="20"/>
          <w:color w:val="auto"/>
        </w:rPr>
      </w:pPr>
      <w:r>
        <w:rPr>
          <w:rFonts w:ascii="Arial" w:cs="Arial" w:eastAsia="Arial" w:hAnsi="Arial"/>
          <w:sz w:val="28"/>
          <w:szCs w:val="28"/>
          <w:b w:val="1"/>
          <w:bCs w:val="1"/>
          <w:color w:val="auto"/>
        </w:rPr>
        <w:t>FORM 8-K</w:t>
      </w:r>
    </w:p>
    <w:p>
      <w:pPr>
        <w:spacing w:after="0" w:line="148"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52" w:lineRule="exact"/>
        <w:rPr>
          <w:sz w:val="24"/>
          <w:szCs w:val="24"/>
          <w:color w:val="auto"/>
        </w:rPr>
      </w:pPr>
    </w:p>
    <w:p>
      <w:pPr>
        <w:jc w:val="center"/>
        <w:ind w:right="-1125"/>
        <w:spacing w:after="0"/>
        <w:rPr>
          <w:sz w:val="20"/>
          <w:szCs w:val="20"/>
          <w:color w:val="auto"/>
        </w:rPr>
      </w:pPr>
      <w:r>
        <w:rPr>
          <w:rFonts w:ascii="Arial" w:cs="Arial" w:eastAsia="Arial" w:hAnsi="Arial"/>
          <w:sz w:val="15"/>
          <w:szCs w:val="15"/>
          <w:color w:val="auto"/>
        </w:rPr>
        <w:t>Date of Report (Date of earliest event reported): April 18, 2006</w:t>
      </w:r>
    </w:p>
    <w:p>
      <w:pPr>
        <w:spacing w:after="0" w:line="126" w:lineRule="exact"/>
        <w:rPr>
          <w:sz w:val="24"/>
          <w:szCs w:val="24"/>
          <w:color w:val="auto"/>
        </w:rPr>
      </w:pPr>
    </w:p>
    <w:p>
      <w:pPr>
        <w:jc w:val="center"/>
        <w:ind w:right="-1125"/>
        <w:spacing w:after="0"/>
        <w:rPr>
          <w:sz w:val="20"/>
          <w:szCs w:val="20"/>
          <w:color w:val="auto"/>
        </w:rPr>
      </w:pPr>
      <w:r>
        <w:rPr>
          <w:rFonts w:ascii="Arial" w:cs="Arial" w:eastAsia="Arial" w:hAnsi="Arial"/>
          <w:sz w:val="38"/>
          <w:szCs w:val="38"/>
          <w:b w:val="1"/>
          <w:bCs w:val="1"/>
          <w:color w:val="auto"/>
        </w:rPr>
        <w:t>MANPOWER INC.</w:t>
      </w:r>
    </w:p>
    <w:p>
      <w:pPr>
        <w:spacing w:after="0" w:line="37" w:lineRule="exact"/>
        <w:rPr>
          <w:sz w:val="24"/>
          <w:szCs w:val="24"/>
          <w:color w:val="auto"/>
        </w:rPr>
      </w:pPr>
    </w:p>
    <w:p>
      <w:pPr>
        <w:ind w:left="4426"/>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56" w:lineRule="exact"/>
        <w:rPr>
          <w:sz w:val="24"/>
          <w:szCs w:val="24"/>
          <w:color w:val="auto"/>
        </w:rPr>
      </w:pPr>
    </w:p>
    <w:tbl>
      <w:tblPr>
        <w:tblLayout w:type="fixed"/>
        <w:tblInd w:w="1266" w:type="dxa"/>
        <w:tblCellMar>
          <w:top w:w="0" w:type="dxa"/>
          <w:left w:w="0" w:type="dxa"/>
          <w:bottom w:w="0" w:type="dxa"/>
          <w:right w:w="0" w:type="dxa"/>
        </w:tblCellMar>
      </w:tblPr>
      <w:tr>
        <w:trPr>
          <w:trHeight w:val="188"/>
        </w:trPr>
        <w:tc>
          <w:tcPr>
            <w:tcW w:w="3400" w:type="dxa"/>
            <w:vAlign w:val="bottom"/>
          </w:tcPr>
          <w:p>
            <w:pPr>
              <w:jc w:val="center"/>
              <w:ind w:right="1972"/>
              <w:spacing w:after="0"/>
              <w:rPr>
                <w:sz w:val="20"/>
                <w:szCs w:val="20"/>
                <w:color w:val="auto"/>
              </w:rPr>
            </w:pPr>
            <w:r>
              <w:rPr>
                <w:rFonts w:ascii="Arial" w:cs="Arial" w:eastAsia="Arial" w:hAnsi="Arial"/>
                <w:sz w:val="15"/>
                <w:szCs w:val="15"/>
                <w:b w:val="1"/>
                <w:bCs w:val="1"/>
                <w:color w:val="auto"/>
                <w:w w:val="90"/>
              </w:rPr>
              <w:t>Wisconsin</w:t>
            </w:r>
          </w:p>
        </w:tc>
        <w:tc>
          <w:tcPr>
            <w:tcW w:w="2640" w:type="dxa"/>
            <w:vAlign w:val="bottom"/>
          </w:tcPr>
          <w:p>
            <w:pPr>
              <w:jc w:val="center"/>
              <w:ind w:right="215"/>
              <w:spacing w:after="0"/>
              <w:rPr>
                <w:sz w:val="20"/>
                <w:szCs w:val="20"/>
                <w:color w:val="auto"/>
              </w:rPr>
            </w:pPr>
            <w:r>
              <w:rPr>
                <w:rFonts w:ascii="Arial" w:cs="Arial" w:eastAsia="Arial" w:hAnsi="Arial"/>
                <w:sz w:val="15"/>
                <w:szCs w:val="15"/>
                <w:b w:val="1"/>
                <w:bCs w:val="1"/>
                <w:color w:val="auto"/>
                <w:w w:val="94"/>
              </w:rPr>
              <w:t>1-10686</w:t>
            </w:r>
          </w:p>
        </w:tc>
        <w:tc>
          <w:tcPr>
            <w:tcW w:w="2760" w:type="dxa"/>
            <w:vAlign w:val="bottom"/>
          </w:tcPr>
          <w:p>
            <w:pPr>
              <w:jc w:val="center"/>
              <w:ind w:left="1794"/>
              <w:spacing w:after="0"/>
              <w:rPr>
                <w:sz w:val="20"/>
                <w:szCs w:val="20"/>
                <w:color w:val="auto"/>
              </w:rPr>
            </w:pPr>
            <w:r>
              <w:rPr>
                <w:rFonts w:ascii="Arial" w:cs="Arial" w:eastAsia="Arial" w:hAnsi="Arial"/>
                <w:sz w:val="15"/>
                <w:szCs w:val="15"/>
                <w:b w:val="1"/>
                <w:bCs w:val="1"/>
                <w:color w:val="auto"/>
                <w:w w:val="92"/>
              </w:rPr>
              <w:t>39-1672779</w:t>
            </w:r>
          </w:p>
        </w:tc>
      </w:tr>
      <w:tr>
        <w:trPr>
          <w:trHeight w:val="129"/>
        </w:trPr>
        <w:tc>
          <w:tcPr>
            <w:tcW w:w="3400" w:type="dxa"/>
            <w:vAlign w:val="bottom"/>
          </w:tcPr>
          <w:p>
            <w:pPr>
              <w:jc w:val="center"/>
              <w:ind w:right="1972"/>
              <w:spacing w:after="0" w:line="129" w:lineRule="exact"/>
              <w:rPr>
                <w:sz w:val="20"/>
                <w:szCs w:val="20"/>
                <w:color w:val="auto"/>
              </w:rPr>
            </w:pPr>
            <w:r>
              <w:rPr>
                <w:rFonts w:ascii="Arial" w:cs="Arial" w:eastAsia="Arial" w:hAnsi="Arial"/>
                <w:sz w:val="12"/>
                <w:szCs w:val="12"/>
                <w:b w:val="1"/>
                <w:bCs w:val="1"/>
                <w:color w:val="auto"/>
                <w:w w:val="90"/>
              </w:rPr>
              <w:t>(State or other jurisdiction</w:t>
            </w:r>
          </w:p>
        </w:tc>
        <w:tc>
          <w:tcPr>
            <w:tcW w:w="2640" w:type="dxa"/>
            <w:vAlign w:val="bottom"/>
          </w:tcPr>
          <w:p>
            <w:pPr>
              <w:jc w:val="center"/>
              <w:ind w:right="235"/>
              <w:spacing w:after="0" w:line="129" w:lineRule="exact"/>
              <w:rPr>
                <w:sz w:val="20"/>
                <w:szCs w:val="20"/>
                <w:color w:val="auto"/>
              </w:rPr>
            </w:pPr>
            <w:r>
              <w:rPr>
                <w:rFonts w:ascii="Arial" w:cs="Arial" w:eastAsia="Arial" w:hAnsi="Arial"/>
                <w:sz w:val="12"/>
                <w:szCs w:val="12"/>
                <w:b w:val="1"/>
                <w:bCs w:val="1"/>
                <w:color w:val="auto"/>
                <w:w w:val="86"/>
              </w:rPr>
              <w:t>(Commission</w:t>
            </w:r>
          </w:p>
        </w:tc>
        <w:tc>
          <w:tcPr>
            <w:tcW w:w="2760" w:type="dxa"/>
            <w:vAlign w:val="bottom"/>
          </w:tcPr>
          <w:p>
            <w:pPr>
              <w:jc w:val="center"/>
              <w:ind w:left="1774"/>
              <w:spacing w:after="0" w:line="129"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3400" w:type="dxa"/>
            <w:vAlign w:val="bottom"/>
          </w:tcPr>
          <w:p>
            <w:pPr>
              <w:jc w:val="center"/>
              <w:ind w:right="1972"/>
              <w:spacing w:after="0"/>
              <w:rPr>
                <w:sz w:val="20"/>
                <w:szCs w:val="20"/>
                <w:color w:val="auto"/>
              </w:rPr>
            </w:pPr>
            <w:r>
              <w:rPr>
                <w:rFonts w:ascii="Arial" w:cs="Arial" w:eastAsia="Arial" w:hAnsi="Arial"/>
                <w:sz w:val="12"/>
                <w:szCs w:val="12"/>
                <w:b w:val="1"/>
                <w:bCs w:val="1"/>
                <w:color w:val="auto"/>
                <w:w w:val="87"/>
              </w:rPr>
              <w:t>of incorporation)</w:t>
            </w:r>
          </w:p>
        </w:tc>
        <w:tc>
          <w:tcPr>
            <w:tcW w:w="2640" w:type="dxa"/>
            <w:vAlign w:val="bottom"/>
          </w:tcPr>
          <w:p>
            <w:pPr>
              <w:jc w:val="center"/>
              <w:ind w:right="215"/>
              <w:spacing w:after="0"/>
              <w:rPr>
                <w:sz w:val="20"/>
                <w:szCs w:val="20"/>
                <w:color w:val="auto"/>
              </w:rPr>
            </w:pPr>
            <w:r>
              <w:rPr>
                <w:rFonts w:ascii="Arial" w:cs="Arial" w:eastAsia="Arial" w:hAnsi="Arial"/>
                <w:sz w:val="12"/>
                <w:szCs w:val="12"/>
                <w:b w:val="1"/>
                <w:bCs w:val="1"/>
                <w:color w:val="auto"/>
                <w:w w:val="92"/>
              </w:rPr>
              <w:t>File Number)</w:t>
            </w:r>
          </w:p>
        </w:tc>
        <w:tc>
          <w:tcPr>
            <w:tcW w:w="2760" w:type="dxa"/>
            <w:vAlign w:val="bottom"/>
          </w:tcPr>
          <w:p>
            <w:pPr>
              <w:jc w:val="center"/>
              <w:ind w:left="1774"/>
              <w:spacing w:after="0"/>
              <w:rPr>
                <w:sz w:val="20"/>
                <w:szCs w:val="20"/>
                <w:color w:val="auto"/>
              </w:rPr>
            </w:pPr>
            <w:r>
              <w:rPr>
                <w:rFonts w:ascii="Arial" w:cs="Arial" w:eastAsia="Arial" w:hAnsi="Arial"/>
                <w:sz w:val="12"/>
                <w:szCs w:val="12"/>
                <w:b w:val="1"/>
                <w:bCs w:val="1"/>
                <w:color w:val="auto"/>
                <w:w w:val="90"/>
              </w:rPr>
              <w:t>Identification No.)</w:t>
            </w:r>
          </w:p>
        </w:tc>
      </w:tr>
      <w:tr>
        <w:trPr>
          <w:trHeight w:val="355"/>
        </w:trPr>
        <w:tc>
          <w:tcPr>
            <w:tcW w:w="3400" w:type="dxa"/>
            <w:vAlign w:val="bottom"/>
          </w:tcPr>
          <w:p>
            <w:pPr>
              <w:jc w:val="center"/>
              <w:ind w:right="132"/>
              <w:spacing w:after="0"/>
              <w:rPr>
                <w:sz w:val="20"/>
                <w:szCs w:val="20"/>
                <w:color w:val="auto"/>
              </w:rPr>
            </w:pPr>
            <w:r>
              <w:rPr>
                <w:rFonts w:ascii="Arial" w:cs="Arial" w:eastAsia="Arial" w:hAnsi="Arial"/>
                <w:sz w:val="15"/>
                <w:szCs w:val="15"/>
                <w:b w:val="1"/>
                <w:bCs w:val="1"/>
                <w:color w:val="auto"/>
                <w:w w:val="94"/>
              </w:rPr>
              <w:t>5301 North Ironwood Road</w:t>
            </w:r>
          </w:p>
        </w:tc>
        <w:tc>
          <w:tcPr>
            <w:tcW w:w="26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0"/>
        </w:trPr>
        <w:tc>
          <w:tcPr>
            <w:tcW w:w="3400" w:type="dxa"/>
            <w:vAlign w:val="bottom"/>
          </w:tcPr>
          <w:p>
            <w:pPr>
              <w:jc w:val="center"/>
              <w:ind w:right="132"/>
              <w:spacing w:after="0"/>
              <w:rPr>
                <w:sz w:val="20"/>
                <w:szCs w:val="20"/>
                <w:color w:val="auto"/>
              </w:rPr>
            </w:pPr>
            <w:r>
              <w:rPr>
                <w:rFonts w:ascii="Arial" w:cs="Arial" w:eastAsia="Arial" w:hAnsi="Arial"/>
                <w:sz w:val="15"/>
                <w:szCs w:val="15"/>
                <w:b w:val="1"/>
                <w:bCs w:val="1"/>
                <w:color w:val="auto"/>
                <w:w w:val="93"/>
              </w:rPr>
              <w:t>Milwaukee, Wisconsin</w:t>
            </w:r>
          </w:p>
        </w:tc>
        <w:tc>
          <w:tcPr>
            <w:tcW w:w="2640" w:type="dxa"/>
            <w:vAlign w:val="bottom"/>
          </w:tcPr>
          <w:p>
            <w:pPr>
              <w:spacing w:after="0"/>
              <w:rPr>
                <w:sz w:val="17"/>
                <w:szCs w:val="17"/>
                <w:color w:val="auto"/>
              </w:rPr>
            </w:pPr>
          </w:p>
        </w:tc>
        <w:tc>
          <w:tcPr>
            <w:tcW w:w="2760" w:type="dxa"/>
            <w:vAlign w:val="bottom"/>
          </w:tcPr>
          <w:p>
            <w:pPr>
              <w:jc w:val="right"/>
              <w:ind w:right="1114"/>
              <w:spacing w:after="0"/>
              <w:rPr>
                <w:sz w:val="20"/>
                <w:szCs w:val="20"/>
                <w:color w:val="auto"/>
              </w:rPr>
            </w:pPr>
            <w:r>
              <w:rPr>
                <w:rFonts w:ascii="Arial" w:cs="Arial" w:eastAsia="Arial" w:hAnsi="Arial"/>
                <w:sz w:val="15"/>
                <w:szCs w:val="15"/>
                <w:b w:val="1"/>
                <w:bCs w:val="1"/>
                <w:color w:val="auto"/>
              </w:rPr>
              <w:t>53217</w:t>
            </w:r>
          </w:p>
        </w:tc>
      </w:tr>
      <w:tr>
        <w:trPr>
          <w:trHeight w:val="151"/>
        </w:trPr>
        <w:tc>
          <w:tcPr>
            <w:tcW w:w="3400" w:type="dxa"/>
            <w:vAlign w:val="bottom"/>
          </w:tcPr>
          <w:p>
            <w:pPr>
              <w:jc w:val="center"/>
              <w:ind w:right="152"/>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640" w:type="dxa"/>
            <w:vAlign w:val="bottom"/>
          </w:tcPr>
          <w:p>
            <w:pPr>
              <w:spacing w:after="0"/>
              <w:rPr>
                <w:sz w:val="13"/>
                <w:szCs w:val="13"/>
                <w:color w:val="auto"/>
              </w:rPr>
            </w:pPr>
          </w:p>
        </w:tc>
        <w:tc>
          <w:tcPr>
            <w:tcW w:w="2760" w:type="dxa"/>
            <w:vAlign w:val="bottom"/>
          </w:tcPr>
          <w:p>
            <w:pPr>
              <w:jc w:val="center"/>
              <w:spacing w:after="0"/>
              <w:rPr>
                <w:sz w:val="20"/>
                <w:szCs w:val="20"/>
                <w:color w:val="auto"/>
              </w:rPr>
            </w:pPr>
            <w:r>
              <w:rPr>
                <w:rFonts w:ascii="Arial" w:cs="Arial" w:eastAsia="Arial" w:hAnsi="Arial"/>
                <w:sz w:val="12"/>
                <w:szCs w:val="12"/>
                <w:b w:val="1"/>
                <w:bCs w:val="1"/>
                <w:color w:val="auto"/>
                <w:w w:val="90"/>
              </w:rPr>
              <w:t>(Zip Code)</w:t>
            </w:r>
          </w:p>
        </w:tc>
      </w:tr>
    </w:tbl>
    <w:p>
      <w:pPr>
        <w:spacing w:after="0" w:line="124" w:lineRule="exact"/>
        <w:rPr>
          <w:sz w:val="24"/>
          <w:szCs w:val="24"/>
          <w:color w:val="auto"/>
        </w:rPr>
      </w:pPr>
    </w:p>
    <w:p>
      <w:pPr>
        <w:ind w:left="3626"/>
        <w:spacing w:after="0"/>
        <w:rPr>
          <w:sz w:val="20"/>
          <w:szCs w:val="20"/>
          <w:color w:val="auto"/>
        </w:rPr>
      </w:pPr>
      <w:r>
        <w:rPr>
          <w:rFonts w:ascii="Arial" w:cs="Arial" w:eastAsia="Arial" w:hAnsi="Arial"/>
          <w:sz w:val="15"/>
          <w:szCs w:val="15"/>
          <w:color w:val="auto"/>
        </w:rPr>
        <w:t>Registrant’s telephone number, including area code: (414) 961-1000</w:t>
      </w:r>
    </w:p>
    <w:p>
      <w:pPr>
        <w:spacing w:after="0" w:line="157"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Securities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7269480"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9480" cy="27940"/>
                    </a:xfrm>
                    <a:prstGeom prst="rect">
                      <a:avLst/>
                    </a:prstGeom>
                    <a:noFill/>
                  </pic:spPr>
                </pic:pic>
              </a:graphicData>
            </a:graphic>
          </wp:anchor>
        </w:drawing>
      </w:r>
    </w:p>
    <w:p>
      <w:pPr>
        <w:sectPr>
          <w:pgSz w:w="11900" w:h="16838" w:orient="portrait"/>
          <w:cols w:equalWidth="0" w:num="1">
            <w:col w:w="10306"/>
          </w:cols>
          <w:pgMar w:left="234" w:top="527" w:right="135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90" w:lineRule="exact"/>
        <w:rPr>
          <w:sz w:val="20"/>
          <w:szCs w:val="20"/>
          <w:color w:val="auto"/>
        </w:rPr>
      </w:pPr>
    </w:p>
    <w:p>
      <w:pPr>
        <w:ind w:right="200" w:firstLine="457"/>
        <w:spacing w:after="0" w:line="291" w:lineRule="auto"/>
        <w:rPr>
          <w:sz w:val="20"/>
          <w:szCs w:val="20"/>
          <w:color w:val="auto"/>
        </w:rPr>
      </w:pPr>
      <w:r>
        <w:rPr>
          <w:rFonts w:ascii="Arial" w:cs="Arial" w:eastAsia="Arial" w:hAnsi="Arial"/>
          <w:sz w:val="15"/>
          <w:szCs w:val="15"/>
          <w:color w:val="auto"/>
        </w:rPr>
        <w:t>On April 18, 2006, we issued a press release announcing our results of operations for the quarter ended March 31, 2006. A copy of the press release is attached hereto as Exhibit 99.1 and is incorporated herein by reference.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0" w:type="dxa"/>
            <w:vAlign w:val="bottom"/>
            <w:gridSpan w:val="2"/>
          </w:tcPr>
          <w:p>
            <w:pPr>
              <w:spacing w:after="0"/>
              <w:rPr>
                <w:sz w:val="20"/>
                <w:szCs w:val="20"/>
                <w:color w:val="auto"/>
              </w:rPr>
            </w:pPr>
            <w:r>
              <w:rPr>
                <w:rFonts w:ascii="Arial" w:cs="Arial" w:eastAsia="Arial" w:hAnsi="Arial"/>
                <w:sz w:val="15"/>
                <w:szCs w:val="15"/>
                <w:b w:val="1"/>
                <w:bCs w:val="1"/>
                <w:color w:val="auto"/>
                <w:w w:val="93"/>
              </w:rPr>
              <w:t>Item 9.01.</w:t>
            </w:r>
          </w:p>
        </w:tc>
        <w:tc>
          <w:tcPr>
            <w:tcW w:w="1020" w:type="dxa"/>
            <w:vAlign w:val="bottom"/>
            <w:gridSpan w:val="2"/>
          </w:tcPr>
          <w:p>
            <w:pPr>
              <w:ind w:left="360"/>
              <w:spacing w:after="0"/>
              <w:rPr>
                <w:sz w:val="20"/>
                <w:szCs w:val="20"/>
                <w:color w:val="auto"/>
              </w:rPr>
            </w:pPr>
            <w:r>
              <w:rPr>
                <w:rFonts w:ascii="Arial" w:cs="Arial" w:eastAsia="Arial" w:hAnsi="Arial"/>
                <w:sz w:val="15"/>
                <w:szCs w:val="15"/>
                <w:b w:val="1"/>
                <w:bCs w:val="1"/>
                <w:color w:val="auto"/>
              </w:rPr>
              <w:t>Exhibits.</w:t>
            </w:r>
          </w:p>
        </w:tc>
        <w:tc>
          <w:tcPr>
            <w:tcW w:w="9240" w:type="dxa"/>
            <w:vAlign w:val="bottom"/>
          </w:tcPr>
          <w:p>
            <w:pPr>
              <w:spacing w:after="0"/>
              <w:rPr>
                <w:sz w:val="17"/>
                <w:szCs w:val="17"/>
                <w:color w:val="auto"/>
              </w:rPr>
            </w:pPr>
          </w:p>
        </w:tc>
      </w:tr>
      <w:tr>
        <w:trPr>
          <w:trHeight w:val="318"/>
        </w:trPr>
        <w:tc>
          <w:tcPr>
            <w:tcW w:w="520" w:type="dxa"/>
            <w:vAlign w:val="bottom"/>
          </w:tcPr>
          <w:p>
            <w:pPr>
              <w:spacing w:after="0"/>
              <w:rPr>
                <w:sz w:val="24"/>
                <w:szCs w:val="24"/>
                <w:color w:val="auto"/>
              </w:rPr>
            </w:pPr>
          </w:p>
        </w:tc>
        <w:tc>
          <w:tcPr>
            <w:tcW w:w="1160" w:type="dxa"/>
            <w:vAlign w:val="bottom"/>
            <w:gridSpan w:val="3"/>
          </w:tcPr>
          <w:p>
            <w:pPr>
              <w:jc w:val="center"/>
              <w:ind w:right="600"/>
              <w:spacing w:after="0"/>
              <w:rPr>
                <w:sz w:val="20"/>
                <w:szCs w:val="20"/>
                <w:color w:val="auto"/>
              </w:rPr>
            </w:pPr>
            <w:r>
              <w:rPr>
                <w:rFonts w:ascii="Arial" w:cs="Arial" w:eastAsia="Arial" w:hAnsi="Arial"/>
                <w:sz w:val="12"/>
                <w:szCs w:val="12"/>
                <w:b w:val="1"/>
                <w:bCs w:val="1"/>
                <w:color w:val="auto"/>
                <w:w w:val="89"/>
              </w:rPr>
              <w:t>Exhibit No.</w:t>
            </w:r>
          </w:p>
        </w:tc>
        <w:tc>
          <w:tcPr>
            <w:tcW w:w="924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186"/>
        </w:trPr>
        <w:tc>
          <w:tcPr>
            <w:tcW w:w="5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center"/>
              <w:ind w:right="64"/>
              <w:spacing w:after="0"/>
              <w:rPr>
                <w:sz w:val="20"/>
                <w:szCs w:val="20"/>
                <w:color w:val="auto"/>
              </w:rPr>
            </w:pPr>
            <w:r>
              <w:rPr>
                <w:rFonts w:ascii="Arial" w:cs="Arial" w:eastAsia="Arial" w:hAnsi="Arial"/>
                <w:sz w:val="15"/>
                <w:szCs w:val="15"/>
                <w:color w:val="auto"/>
                <w:w w:val="95"/>
              </w:rPr>
              <w:t>99.1</w:t>
            </w:r>
          </w:p>
        </w:tc>
        <w:tc>
          <w:tcPr>
            <w:tcW w:w="600" w:type="dxa"/>
            <w:vAlign w:val="bottom"/>
          </w:tcPr>
          <w:p>
            <w:pPr>
              <w:spacing w:after="0"/>
              <w:rPr>
                <w:sz w:val="16"/>
                <w:szCs w:val="16"/>
                <w:color w:val="auto"/>
              </w:rPr>
            </w:pPr>
          </w:p>
        </w:tc>
        <w:tc>
          <w:tcPr>
            <w:tcW w:w="92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Press Release dated April 18, 2006</w:t>
            </w:r>
          </w:p>
        </w:tc>
      </w:tr>
      <w:tr>
        <w:trPr>
          <w:trHeight w:val="275"/>
        </w:trPr>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jc w:val="center"/>
              <w:ind w:right="64"/>
              <w:spacing w:after="0"/>
              <w:rPr>
                <w:sz w:val="20"/>
                <w:szCs w:val="20"/>
                <w:color w:val="auto"/>
              </w:rPr>
            </w:pPr>
            <w:r>
              <w:rPr>
                <w:rFonts w:ascii="Arial" w:cs="Arial" w:eastAsia="Arial" w:hAnsi="Arial"/>
                <w:sz w:val="15"/>
                <w:szCs w:val="15"/>
                <w:color w:val="auto"/>
                <w:w w:val="95"/>
              </w:rPr>
              <w:t>99.2</w:t>
            </w:r>
          </w:p>
        </w:tc>
        <w:tc>
          <w:tcPr>
            <w:tcW w:w="600" w:type="dxa"/>
            <w:vAlign w:val="bottom"/>
          </w:tcPr>
          <w:p>
            <w:pPr>
              <w:spacing w:after="0"/>
              <w:rPr>
                <w:sz w:val="23"/>
                <w:szCs w:val="23"/>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Presentation materials for April 18, 2006 conference call</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61" w:lineRule="exact"/>
        <w:rPr>
          <w:sz w:val="20"/>
          <w:szCs w:val="20"/>
          <w:color w:val="auto"/>
        </w:rPr>
      </w:pPr>
    </w:p>
    <w:p>
      <w:pPr>
        <w:ind w:right="500"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tbl>
      <w:tblPr>
        <w:tblLayout w:type="fixed"/>
        <w:tblInd w:w="380" w:type="dxa"/>
        <w:tblCellMar>
          <w:top w:w="0" w:type="dxa"/>
          <w:left w:w="0" w:type="dxa"/>
          <w:bottom w:w="0" w:type="dxa"/>
          <w:right w:w="0" w:type="dxa"/>
        </w:tblCellMar>
      </w:tblPr>
      <w:tr>
        <w:trPr>
          <w:trHeight w:val="194"/>
        </w:trPr>
        <w:tc>
          <w:tcPr>
            <w:tcW w:w="3520" w:type="dxa"/>
            <w:vAlign w:val="bottom"/>
          </w:tcPr>
          <w:p>
            <w:pPr>
              <w:spacing w:after="0"/>
              <w:rPr>
                <w:sz w:val="16"/>
                <w:szCs w:val="16"/>
                <w:color w:val="auto"/>
              </w:rPr>
            </w:pPr>
          </w:p>
        </w:tc>
        <w:tc>
          <w:tcPr>
            <w:tcW w:w="7540" w:type="dxa"/>
            <w:vAlign w:val="bottom"/>
            <w:gridSpan w:val="2"/>
          </w:tcPr>
          <w:p>
            <w:pPr>
              <w:ind w:left="2180"/>
              <w:spacing w:after="0"/>
              <w:rPr>
                <w:sz w:val="20"/>
                <w:szCs w:val="20"/>
                <w:color w:val="auto"/>
              </w:rPr>
            </w:pPr>
            <w:r>
              <w:rPr>
                <w:rFonts w:ascii="Arial" w:cs="Arial" w:eastAsia="Arial" w:hAnsi="Arial"/>
                <w:sz w:val="15"/>
                <w:szCs w:val="15"/>
                <w:color w:val="auto"/>
              </w:rPr>
              <w:t>MANPOWER INC.</w:t>
            </w:r>
          </w:p>
        </w:tc>
      </w:tr>
      <w:tr>
        <w:trPr>
          <w:trHeight w:val="377"/>
        </w:trPr>
        <w:tc>
          <w:tcPr>
            <w:tcW w:w="3520" w:type="dxa"/>
            <w:vAlign w:val="bottom"/>
          </w:tcPr>
          <w:p>
            <w:pPr>
              <w:spacing w:after="0"/>
              <w:rPr>
                <w:sz w:val="20"/>
                <w:szCs w:val="20"/>
                <w:color w:val="auto"/>
              </w:rPr>
            </w:pPr>
            <w:r>
              <w:rPr>
                <w:rFonts w:ascii="Arial" w:cs="Arial" w:eastAsia="Arial" w:hAnsi="Arial"/>
                <w:sz w:val="15"/>
                <w:szCs w:val="15"/>
                <w:color w:val="auto"/>
              </w:rPr>
              <w:t>Dated: April 18, 2006</w:t>
            </w:r>
          </w:p>
        </w:tc>
        <w:tc>
          <w:tcPr>
            <w:tcW w:w="7540" w:type="dxa"/>
            <w:vAlign w:val="bottom"/>
            <w:gridSpan w:val="2"/>
          </w:tcPr>
          <w:p>
            <w:pPr>
              <w:ind w:left="2180"/>
              <w:spacing w:after="0"/>
              <w:rPr>
                <w:sz w:val="20"/>
                <w:szCs w:val="20"/>
                <w:color w:val="auto"/>
              </w:rPr>
            </w:pPr>
            <w:r>
              <w:rPr>
                <w:rFonts w:ascii="Arial" w:cs="Arial" w:eastAsia="Arial" w:hAnsi="Arial"/>
                <w:sz w:val="15"/>
                <w:szCs w:val="15"/>
                <w:color w:val="auto"/>
              </w:rPr>
              <w:t>By:  /s/ Michael J. Van Handel</w:t>
            </w:r>
          </w:p>
        </w:tc>
      </w:tr>
      <w:tr>
        <w:trPr>
          <w:trHeight w:val="173"/>
        </w:trPr>
        <w:tc>
          <w:tcPr>
            <w:tcW w:w="3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14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rPr>
              <w:t>Michael J. Van Handel</w:t>
            </w:r>
          </w:p>
        </w:tc>
      </w:tr>
      <w:tr>
        <w:trPr>
          <w:trHeight w:val="188"/>
        </w:trPr>
        <w:tc>
          <w:tcPr>
            <w:tcW w:w="35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5"/>
                <w:szCs w:val="15"/>
                <w:color w:val="auto"/>
              </w:rPr>
              <w:t>Executive Vice President,</w:t>
            </w:r>
          </w:p>
        </w:tc>
      </w:tr>
      <w:tr>
        <w:trPr>
          <w:trHeight w:val="194"/>
        </w:trPr>
        <w:tc>
          <w:tcPr>
            <w:tcW w:w="35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5"/>
                <w:szCs w:val="15"/>
                <w:color w:val="auto"/>
              </w:rPr>
              <w:t>Chief Financial Officer and Secretary</w:t>
            </w:r>
          </w:p>
        </w:tc>
      </w:tr>
    </w:tbl>
    <w:p>
      <w:pPr>
        <w:spacing w:after="0" w:line="213" w:lineRule="exact"/>
        <w:rPr>
          <w:sz w:val="20"/>
          <w:szCs w:val="20"/>
          <w:color w:val="auto"/>
        </w:rPr>
      </w:pPr>
    </w:p>
    <w:tbl>
      <w:tblPr>
        <w:tblLayout w:type="fixed"/>
        <w:tblInd w:w="520" w:type="dxa"/>
        <w:tblCellMar>
          <w:top w:w="0" w:type="dxa"/>
          <w:left w:w="0" w:type="dxa"/>
          <w:bottom w:w="0" w:type="dxa"/>
          <w:right w:w="0" w:type="dxa"/>
        </w:tblCellMar>
      </w:tblPr>
      <w:tr>
        <w:trPr>
          <w:trHeight w:val="198"/>
        </w:trPr>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40" w:type="dxa"/>
            <w:vAlign w:val="bottom"/>
          </w:tcPr>
          <w:p>
            <w:pPr>
              <w:ind w:left="3440"/>
              <w:spacing w:after="0"/>
              <w:rPr>
                <w:sz w:val="20"/>
                <w:szCs w:val="20"/>
                <w:color w:val="auto"/>
              </w:rPr>
            </w:pPr>
            <w:r>
              <w:rPr>
                <w:rFonts w:ascii="Arial" w:cs="Arial" w:eastAsia="Arial" w:hAnsi="Arial"/>
                <w:sz w:val="15"/>
                <w:szCs w:val="15"/>
                <w:b w:val="1"/>
                <w:bCs w:val="1"/>
                <w:color w:val="auto"/>
              </w:rPr>
              <w:t>EXHIBIT INDEX</w:t>
            </w:r>
          </w:p>
        </w:tc>
      </w:tr>
      <w:tr>
        <w:trPr>
          <w:trHeight w:val="318"/>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600" w:type="dxa"/>
            <w:vAlign w:val="bottom"/>
          </w:tcPr>
          <w:p>
            <w:pPr>
              <w:spacing w:after="0"/>
              <w:rPr>
                <w:sz w:val="24"/>
                <w:szCs w:val="24"/>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186"/>
        </w:trPr>
        <w:tc>
          <w:tcPr>
            <w:tcW w:w="560" w:type="dxa"/>
            <w:vAlign w:val="bottom"/>
          </w:tcPr>
          <w:p>
            <w:pPr>
              <w:jc w:val="center"/>
              <w:spacing w:after="0"/>
              <w:rPr>
                <w:sz w:val="20"/>
                <w:szCs w:val="20"/>
                <w:color w:val="auto"/>
              </w:rPr>
            </w:pPr>
            <w:r>
              <w:rPr>
                <w:rFonts w:ascii="Arial" w:cs="Arial" w:eastAsia="Arial" w:hAnsi="Arial"/>
                <w:sz w:val="15"/>
                <w:szCs w:val="15"/>
                <w:color w:val="auto"/>
                <w:w w:val="95"/>
              </w:rPr>
              <w:t>99.1</w:t>
            </w:r>
          </w:p>
        </w:tc>
        <w:tc>
          <w:tcPr>
            <w:tcW w:w="600" w:type="dxa"/>
            <w:vAlign w:val="bottom"/>
          </w:tcPr>
          <w:p>
            <w:pPr>
              <w:spacing w:after="0"/>
              <w:rPr>
                <w:sz w:val="16"/>
                <w:szCs w:val="16"/>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Press Release dated April 18, 2006</w:t>
            </w:r>
          </w:p>
        </w:tc>
      </w:tr>
      <w:tr>
        <w:trPr>
          <w:trHeight w:val="275"/>
        </w:trPr>
        <w:tc>
          <w:tcPr>
            <w:tcW w:w="560" w:type="dxa"/>
            <w:vAlign w:val="bottom"/>
          </w:tcPr>
          <w:p>
            <w:pPr>
              <w:jc w:val="center"/>
              <w:spacing w:after="0"/>
              <w:rPr>
                <w:sz w:val="20"/>
                <w:szCs w:val="20"/>
                <w:color w:val="auto"/>
              </w:rPr>
            </w:pPr>
            <w:r>
              <w:rPr>
                <w:rFonts w:ascii="Arial" w:cs="Arial" w:eastAsia="Arial" w:hAnsi="Arial"/>
                <w:sz w:val="15"/>
                <w:szCs w:val="15"/>
                <w:color w:val="auto"/>
                <w:w w:val="95"/>
              </w:rPr>
              <w:t>99.2</w:t>
            </w:r>
          </w:p>
        </w:tc>
        <w:tc>
          <w:tcPr>
            <w:tcW w:w="600" w:type="dxa"/>
            <w:vAlign w:val="bottom"/>
          </w:tcPr>
          <w:p>
            <w:pPr>
              <w:spacing w:after="0"/>
              <w:rPr>
                <w:sz w:val="23"/>
                <w:szCs w:val="23"/>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Presentation materials for April 18, 2006 conference call</w:t>
            </w:r>
          </w:p>
        </w:tc>
      </w:tr>
    </w:tbl>
    <w:p>
      <w:pPr>
        <w:sectPr>
          <w:pgSz w:w="11900" w:h="16838" w:orient="portrait"/>
          <w:cols w:equalWidth="0" w:num="1">
            <w:col w:w="11440"/>
          </w:cols>
          <w:pgMar w:left="240" w:top="258"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5"/>
          <w:szCs w:val="15"/>
          <w:color w:val="auto"/>
        </w:rPr>
        <w:t>Exhibit 99.1</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[MANPOWER logo]</w:t>
      </w:r>
    </w:p>
    <w:p>
      <w:pPr>
        <w:sectPr>
          <w:pgSz w:w="11900" w:h="16838" w:orient="portrait"/>
          <w:cols w:equalWidth="0" w:num="1">
            <w:col w:w="11440"/>
          </w:cols>
          <w:pgMar w:left="240" w:top="132" w:right="21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Mike Van Handel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Manpower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+1.414.906.6305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michael.vanhandel@manpower.com</w:t>
      </w:r>
    </w:p>
    <w:p>
      <w:pPr>
        <w:spacing w:after="0" w:line="200" w:lineRule="exact"/>
        <w:rPr>
          <w:sz w:val="20"/>
          <w:szCs w:val="20"/>
          <w:color w:val="auto"/>
        </w:rPr>
      </w:pPr>
    </w:p>
    <w:p>
      <w:pPr>
        <w:sectPr>
          <w:pgSz w:w="11900" w:h="16838" w:orient="portrait"/>
          <w:cols w:equalWidth="0" w:num="2">
            <w:col w:w="5220" w:space="720"/>
            <w:col w:w="5500"/>
          </w:cols>
          <w:pgMar w:left="240" w:top="132" w:right="21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Manpower Inc. Reports 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Quarter Results</w:t>
      </w:r>
    </w:p>
    <w:p>
      <w:pPr>
        <w:spacing w:after="0" w:line="11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MILWAUKEE, WI, USA, April 18, 2006 – Manpower Inc. (NYSE: MAN) today reported that net earnings for the three months ended March 31, 2006 increased 63 percent to $52.6 million, or 59 cents per diluted share, compared to $32.2 million, or 35 cents per diluted share, a year earlier. Revenues for the first quarter were $3.9 billion, an increase of 5 percent from the year-earlier period.</w:t>
      </w:r>
    </w:p>
    <w:p>
      <w:pPr>
        <w:spacing w:after="0" w:line="110" w:lineRule="exact"/>
        <w:rPr>
          <w:sz w:val="20"/>
          <w:szCs w:val="20"/>
          <w:color w:val="auto"/>
        </w:rPr>
      </w:pPr>
    </w:p>
    <w:p>
      <w:pPr>
        <w:jc w:val="both"/>
        <w:ind w:right="120" w:firstLine="457"/>
        <w:spacing w:after="0" w:line="276" w:lineRule="auto"/>
        <w:rPr>
          <w:sz w:val="20"/>
          <w:szCs w:val="20"/>
          <w:color w:val="auto"/>
        </w:rPr>
      </w:pPr>
      <w:r>
        <w:rPr>
          <w:rFonts w:ascii="Arial" w:cs="Arial" w:eastAsia="Arial" w:hAnsi="Arial"/>
          <w:sz w:val="15"/>
          <w:szCs w:val="15"/>
          <w:color w:val="auto"/>
        </w:rPr>
        <w:t>Results for the first quarter were negatively impacted by relatively weaker foreign currencies compared to the first quarter of 2005. On a constant currency basis, diluted earnings per share were 65 cents on an 11 percent improvement in revenues. Included in the current year results is a 27 cents per diluted share gain on the sale of a payroll processing business in Sweden and a 16 cents per diluted share charge related to reorganization and a global cost reduction initiative.</w:t>
      </w:r>
    </w:p>
    <w:p>
      <w:pPr>
        <w:spacing w:after="0" w:line="110" w:lineRule="exact"/>
        <w:rPr>
          <w:sz w:val="20"/>
          <w:szCs w:val="20"/>
          <w:color w:val="auto"/>
        </w:rPr>
      </w:pPr>
    </w:p>
    <w:p>
      <w:pPr>
        <w:ind w:right="20" w:firstLine="457"/>
        <w:spacing w:after="0" w:line="271" w:lineRule="auto"/>
        <w:rPr>
          <w:sz w:val="20"/>
          <w:szCs w:val="20"/>
          <w:color w:val="auto"/>
        </w:rPr>
      </w:pPr>
      <w:r>
        <w:rPr>
          <w:rFonts w:ascii="Arial" w:cs="Arial" w:eastAsia="Arial" w:hAnsi="Arial"/>
          <w:sz w:val="15"/>
          <w:szCs w:val="15"/>
          <w:color w:val="auto"/>
        </w:rPr>
        <w:t>Jeffrey A. Joerres, Manpower Chairman and Chief Executive Officer, said, “The Manpower team across the world is performing well, and it shows in the results. When we get all cylinders firing, the leverage we can achieve is impressive. The United States, Italy, Germany, Sweden, Japan and other business units increased profitability by 30% or more compared to first quarter 2005. Excluding the one-time items, Manpower’s operating income increased 25 percent year over year, and earnings per share increased 37 percent in U.S. dollars and 51 percent in constant currency.”</w:t>
      </w:r>
    </w:p>
    <w:p>
      <w:pPr>
        <w:spacing w:after="0" w:line="115" w:lineRule="exact"/>
        <w:rPr>
          <w:sz w:val="20"/>
          <w:szCs w:val="20"/>
          <w:color w:val="auto"/>
        </w:rPr>
      </w:pPr>
    </w:p>
    <w:p>
      <w:pPr>
        <w:ind w:right="140" w:firstLine="457"/>
        <w:spacing w:after="0" w:line="291" w:lineRule="auto"/>
        <w:rPr>
          <w:sz w:val="20"/>
          <w:szCs w:val="20"/>
          <w:color w:val="auto"/>
        </w:rPr>
      </w:pPr>
      <w:r>
        <w:rPr>
          <w:rFonts w:ascii="Arial" w:cs="Arial" w:eastAsia="Arial" w:hAnsi="Arial"/>
          <w:sz w:val="15"/>
          <w:szCs w:val="15"/>
          <w:color w:val="auto"/>
        </w:rPr>
        <w:t>Joerres added, “In addition to our strong performance this quarter, we also announced our new brand on February 21st, which is all about demonstrating the depth of our services and the strength of our leadership in the employment services industry. This effort has already had a positive impact with our clients and candidates.</w:t>
      </w:r>
    </w:p>
    <w:p>
      <w:pPr>
        <w:spacing w:after="0" w:line="99"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“Given the current trends, we anticipate our second quarter diluted earnings per share to be in the range of 76 to 80 cents, which includes an estimated negative currency impact of 3 cents.”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MORE -</w:t>
      </w:r>
    </w:p>
    <w:p>
      <w:pPr>
        <w:sectPr>
          <w:pgSz w:w="11900" w:h="16838" w:orient="portrait"/>
          <w:cols w:equalWidth="0" w:num="1">
            <w:col w:w="11440"/>
          </w:cols>
          <w:pgMar w:left="240" w:top="132" w:right="219" w:bottom="1440" w:gutter="0" w:footer="0" w:header="0"/>
          <w:type w:val="continuous"/>
        </w:sectPr>
      </w:pPr>
    </w:p>
    <w:bookmarkStart w:id="3" w:name="page4"/>
    <w:bookmarkEnd w:id="3"/>
    <w:p>
      <w:pPr>
        <w:ind w:left="81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 Reports 1</w:t>
      </w:r>
      <w:r>
        <w:rPr>
          <w:rFonts w:ascii="Arial" w:cs="Arial" w:eastAsia="Arial" w:hAnsi="Arial"/>
          <w:sz w:val="16"/>
          <w:szCs w:val="16"/>
          <w:b w:val="1"/>
          <w:bCs w:val="1"/>
          <w:color w:val="auto"/>
          <w:vertAlign w:val="superscript"/>
        </w:rPr>
        <w:t>st</w:t>
      </w:r>
      <w:r>
        <w:rPr>
          <w:rFonts w:ascii="Arial" w:cs="Arial" w:eastAsia="Arial" w:hAnsi="Arial"/>
          <w:sz w:val="13"/>
          <w:szCs w:val="13"/>
          <w:b w:val="1"/>
          <w:bCs w:val="1"/>
          <w:color w:val="auto"/>
        </w:rPr>
        <w:t xml:space="preserve"> Quarter Results/Page 2</w:t>
      </w:r>
    </w:p>
    <w:p>
      <w:pPr>
        <w:spacing w:after="0" w:line="137" w:lineRule="exact"/>
        <w:rPr>
          <w:sz w:val="20"/>
          <w:szCs w:val="20"/>
          <w:color w:val="auto"/>
        </w:rPr>
      </w:pPr>
    </w:p>
    <w:p>
      <w:pPr>
        <w:ind w:right="380" w:firstLine="457"/>
        <w:spacing w:after="0" w:line="291" w:lineRule="auto"/>
        <w:rPr>
          <w:sz w:val="20"/>
          <w:szCs w:val="20"/>
          <w:color w:val="auto"/>
        </w:rPr>
      </w:pPr>
      <w:r>
        <w:rPr>
          <w:rFonts w:ascii="Arial" w:cs="Arial" w:eastAsia="Arial" w:hAnsi="Arial"/>
          <w:sz w:val="15"/>
          <w:szCs w:val="15"/>
          <w:color w:val="auto"/>
        </w:rPr>
        <w:t>In conjunction with its first quarter earnings release, Manpower will broadcast its conference call live over the Internet on April 18 at 7:30 a.m. CT (8:30 a.m. ET). Interested parties are invited to listen to the webcast and view the presentation by logging on to http://investor.manpower.com.</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Supplemental financial information referenced in the conference call can be found at http://investor.manpower.com.</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 Inc.</w:t>
      </w:r>
    </w:p>
    <w:p>
      <w:pPr>
        <w:spacing w:after="0" w:line="90"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Manpower Inc. (NYSE: MAN) is a world leader in the employment services industry; creating and delivering services that enable its clients to win in the changing world of work. The $16 billion company offers employers a range of services for the entire employment and business cycle including permanent, temporary and contract recruitment; employee assessment and selection; training; outplacement; outsourcing and consulting. Manpower’s worldwide network of 4,400 offices in 72 countries and territories enables the company to meet the needs of its 400,000 customers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ind w:right="60"/>
        <w:spacing w:after="0" w:line="325" w:lineRule="auto"/>
        <w:rPr>
          <w:sz w:val="20"/>
          <w:szCs w:val="20"/>
          <w:color w:val="auto"/>
        </w:rPr>
      </w:pPr>
      <w:r>
        <w:rPr>
          <w:rFonts w:ascii="Arial" w:cs="Arial" w:eastAsia="Arial" w:hAnsi="Arial"/>
          <w:sz w:val="13"/>
          <w:szCs w:val="13"/>
          <w:color w:val="auto"/>
        </w:rPr>
        <w:t>This news release contains statements, including earning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‘Forward-Looking Statements’ in its Annual Report on Form 10-K for the year ended December 31, 2005, which information is incorporated herein by reference.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 -</w:t>
      </w:r>
    </w:p>
    <w:p>
      <w:pPr>
        <w:sectPr>
          <w:pgSz w:w="11900" w:h="16838" w:orient="portrait"/>
          <w:cols w:equalWidth="0" w:num="1">
            <w:col w:w="11440"/>
          </w:cols>
          <w:pgMar w:left="240" w:top="258" w:right="219" w:bottom="1440" w:gutter="0" w:footer="0" w:header="0"/>
        </w:sectPr>
      </w:pPr>
    </w:p>
    <w:bookmarkStart w:id="4" w:name="page5"/>
    <w:bookmarkEnd w:id="4"/>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8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2"/>
                <w:szCs w:val="12"/>
                <w:b w:val="1"/>
                <w:bCs w:val="1"/>
                <w:color w:val="auto"/>
                <w:w w:val="95"/>
              </w:rPr>
              <w:t>Three Months Ended March 31</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85"/>
              <w:spacing w:after="0"/>
              <w:rPr>
                <w:sz w:val="20"/>
                <w:szCs w:val="20"/>
                <w:color w:val="auto"/>
              </w:rPr>
            </w:pPr>
            <w:r>
              <w:rPr>
                <w:rFonts w:ascii="Arial" w:cs="Arial" w:eastAsia="Arial" w:hAnsi="Arial"/>
                <w:sz w:val="12"/>
                <w:szCs w:val="12"/>
                <w:b w:val="1"/>
                <w:bCs w:val="1"/>
                <w:color w:val="auto"/>
              </w:rPr>
              <w:t>2006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6"/>
              <w:spacing w:after="0"/>
              <w:rPr>
                <w:sz w:val="20"/>
                <w:szCs w:val="20"/>
                <w:color w:val="auto"/>
              </w:rPr>
            </w:pPr>
            <w:r>
              <w:rPr>
                <w:rFonts w:ascii="Arial" w:cs="Arial" w:eastAsia="Arial" w:hAnsi="Arial"/>
                <w:sz w:val="12"/>
                <w:szCs w:val="12"/>
                <w:b w:val="1"/>
                <w:bCs w:val="1"/>
                <w:color w:val="auto"/>
              </w:rPr>
              <w:t>2005</w:t>
            </w: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7"/>
              </w:rPr>
              <w:t>Reported</w:t>
            </w:r>
          </w:p>
        </w:tc>
        <w:tc>
          <w:tcPr>
            <w:tcW w:w="4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4"/>
          </w:tcPr>
          <w:p>
            <w:pPr>
              <w:jc w:val="right"/>
              <w:ind w:right="80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1"/>
              </w:rPr>
              <w:t>3,929.9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3,758.7</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Cost of services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1"/>
              </w:rPr>
              <w:t>3,212.5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3,076.7</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4.4%</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717.4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657.7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619.5</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6.2%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59.7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Interest and other (income) expense</w:t>
            </w:r>
          </w:p>
        </w:tc>
        <w:tc>
          <w:tcPr>
            <w:tcW w:w="6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(16.3)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11.7</w:t>
            </w:r>
          </w:p>
        </w:tc>
        <w:tc>
          <w:tcPr>
            <w:tcW w:w="32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49.7%</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26.0%</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63.2%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5"/>
                <w:szCs w:val="15"/>
                <w:color w:val="auto"/>
              </w:rPr>
              <w:t>Net earnings per share - basic</w:t>
            </w: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66.7%</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40" w:type="dxa"/>
            <w:vAlign w:val="bottom"/>
            <w:vMerge w:val="continue"/>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0.60</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0.36</w:t>
            </w:r>
          </w:p>
        </w:tc>
        <w:tc>
          <w:tcPr>
            <w:tcW w:w="1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Net earnings per share - diluted</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68.6%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85.7%</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5"/>
                <w:szCs w:val="15"/>
                <w:color w:val="auto"/>
              </w:rPr>
              <w:t>Weighted average shares - basic</w:t>
            </w: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-2.6%</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87.4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89.8</w:t>
            </w:r>
          </w:p>
        </w:tc>
        <w:tc>
          <w:tcPr>
            <w:tcW w:w="1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88.7</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-8.5%</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46" w:right="60" w:hanging="446"/>
        <w:spacing w:after="0" w:line="276" w:lineRule="auto"/>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$8.0 million and $8.3 million for the three months ended March 31, 2006 and 2005, respectively. These fees are primarily based on revenues generated by the franchise offices, which were $362.8 million and $349.8 million for the three months ended March 31, 2006 and 2005, respectively.</w:t>
      </w:r>
    </w:p>
    <w:p>
      <w:pPr>
        <w:sectPr>
          <w:pgSz w:w="11900" w:h="16838" w:orient="portrait"/>
          <w:cols w:equalWidth="0" w:num="1">
            <w:col w:w="11446"/>
          </w:cols>
          <w:pgMar w:left="234" w:top="262" w:right="219" w:bottom="1440" w:gutter="0" w:footer="0" w:header="0"/>
        </w:sectPr>
      </w:pPr>
    </w:p>
    <w:bookmarkStart w:id="5" w:name="page6"/>
    <w:bookmarkEnd w:id="5"/>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8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2"/>
                <w:szCs w:val="12"/>
                <w:b w:val="1"/>
                <w:bCs w:val="1"/>
                <w:color w:val="auto"/>
                <w:w w:val="95"/>
              </w:rPr>
              <w:t>Three Months Ended March 31</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8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r>
      <w:tr>
        <w:trPr>
          <w:trHeight w:val="110"/>
        </w:trPr>
        <w:tc>
          <w:tcPr>
            <w:tcW w:w="8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r>
      <w:tr>
        <w:trPr>
          <w:trHeight w:val="140"/>
        </w:trPr>
        <w:tc>
          <w:tcPr>
            <w:tcW w:w="8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84"/>
              <w:spacing w:after="0"/>
              <w:rPr>
                <w:sz w:val="20"/>
                <w:szCs w:val="20"/>
                <w:color w:val="auto"/>
              </w:rPr>
            </w:pPr>
            <w:r>
              <w:rPr>
                <w:rFonts w:ascii="Arial" w:cs="Arial" w:eastAsia="Arial" w:hAnsi="Arial"/>
                <w:sz w:val="12"/>
                <w:szCs w:val="12"/>
                <w:b w:val="1"/>
                <w:bCs w:val="1"/>
                <w:color w:val="auto"/>
              </w:rPr>
              <w:t>2006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5"/>
              <w:spacing w:after="0"/>
              <w:rPr>
                <w:sz w:val="20"/>
                <w:szCs w:val="20"/>
                <w:color w:val="auto"/>
              </w:rPr>
            </w:pPr>
            <w:r>
              <w:rPr>
                <w:rFonts w:ascii="Arial" w:cs="Arial" w:eastAsia="Arial" w:hAnsi="Arial"/>
                <w:sz w:val="12"/>
                <w:szCs w:val="12"/>
                <w:b w:val="1"/>
                <w:bCs w:val="1"/>
                <w:color w:val="auto"/>
              </w:rPr>
              <w:t>2005</w:t>
            </w: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7"/>
              </w:rPr>
              <w:t>Reported</w:t>
            </w:r>
          </w:p>
        </w:tc>
        <w:tc>
          <w:tcPr>
            <w:tcW w:w="4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r>
      <w:tr>
        <w:trPr>
          <w:trHeight w:val="20"/>
        </w:trPr>
        <w:tc>
          <w:tcPr>
            <w:tcW w:w="8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8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4"/>
          </w:tcPr>
          <w:p>
            <w:pPr>
              <w:jc w:val="right"/>
              <w:ind w:right="80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8"/>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United States (a)</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510.3</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475.9</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7.2%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7.2%</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1"/>
              </w:rPr>
              <w:t>1,259.1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1,247.5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0.9%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EMEA</w:t>
            </w:r>
          </w:p>
        </w:tc>
        <w:tc>
          <w:tcPr>
            <w:tcW w:w="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w w:val="91"/>
              </w:rPr>
              <w:t>1,414.3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1,333.1</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6.1%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15.3%</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3.0%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96.0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104.0</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-7.7%</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-4.3%</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505.5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14.1%</w:t>
            </w:r>
          </w:p>
        </w:tc>
      </w:tr>
      <w:tr>
        <w:trPr>
          <w:trHeight w:val="191"/>
        </w:trPr>
        <w:tc>
          <w:tcPr>
            <w:tcW w:w="81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w w:val="91"/>
              </w:rPr>
              <w:t>3,929.9</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3,758.7</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4.6%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11.5%</w:t>
            </w:r>
          </w:p>
        </w:tc>
      </w:tr>
      <w:tr>
        <w:trPr>
          <w:trHeight w:val="20"/>
        </w:trPr>
        <w:tc>
          <w:tcPr>
            <w:tcW w:w="8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Operating Unit Profit:</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United States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9.5</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4.9</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93.3%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93.3%</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29.7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7.9%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17.6%</w:t>
            </w: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EMEA</w:t>
            </w:r>
          </w:p>
        </w:tc>
        <w:tc>
          <w:tcPr>
            <w:tcW w:w="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23.1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15.0</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54.0%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69.3%</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-29.4%</w:t>
            </w: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4.3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9.8</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-55.9%</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-56.9%</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52.0%</w:t>
            </w:r>
          </w:p>
        </w:tc>
      </w:tr>
      <w:tr>
        <w:trPr>
          <w:trHeight w:val="191"/>
        </w:trPr>
        <w:tc>
          <w:tcPr>
            <w:tcW w:w="8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90.2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77.8</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8140" w:type="dxa"/>
            <w:vAlign w:val="bottom"/>
            <w:shd w:val="clear" w:color="auto" w:fill="CCEEFF"/>
          </w:tcPr>
          <w:p>
            <w:pPr>
              <w:ind w:left="740"/>
              <w:spacing w:after="0"/>
              <w:rPr>
                <w:sz w:val="20"/>
                <w:szCs w:val="20"/>
                <w:color w:val="auto"/>
              </w:rPr>
            </w:pPr>
            <w:r>
              <w:rPr>
                <w:rFonts w:ascii="Arial" w:cs="Arial" w:eastAsia="Arial" w:hAnsi="Arial"/>
                <w:sz w:val="15"/>
                <w:szCs w:val="15"/>
                <w:color w:val="auto"/>
              </w:rPr>
              <w:t>Operating profit</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59.7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Interest and other (income) expense</w:t>
            </w:r>
          </w:p>
        </w:tc>
        <w:tc>
          <w:tcPr>
            <w:tcW w:w="6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(16.3)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11.7</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8140" w:type="dxa"/>
            <w:vAlign w:val="bottom"/>
            <w:shd w:val="clear" w:color="auto" w:fill="CCEEFF"/>
          </w:tcPr>
          <w:p>
            <w:pPr>
              <w:ind w:left="740"/>
              <w:spacing w:after="0"/>
              <w:rPr>
                <w:sz w:val="20"/>
                <w:szCs w:val="20"/>
                <w:color w:val="auto"/>
              </w:rPr>
            </w:pPr>
            <w:r>
              <w:rPr>
                <w:rFonts w:ascii="Arial" w:cs="Arial" w:eastAsia="Arial" w:hAnsi="Arial"/>
                <w:sz w:val="15"/>
                <w:szCs w:val="15"/>
                <w:color w:val="auto"/>
              </w:rPr>
              <w:t>Earnings before income taxes</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50.8</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446" w:right="220" w:hanging="446"/>
        <w:spacing w:after="0" w:line="276" w:lineRule="auto"/>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the related franchise offices of $5.3 million and $5.4 million for the three months ended March 31, 2006 and 2005, respectively. These fees are primarily based on revenues generated by the franchise offices, which were $282.3 million and $277.6 million for the three months ended March 31, 2006 and 2005, respectively.</w:t>
      </w:r>
    </w:p>
    <w:p>
      <w:pPr>
        <w:spacing w:after="0" w:line="39" w:lineRule="exact"/>
        <w:rPr>
          <w:rFonts w:ascii="Arial" w:cs="Arial" w:eastAsia="Arial" w:hAnsi="Arial"/>
          <w:sz w:val="15"/>
          <w:szCs w:val="15"/>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components of interest and other (income) expense were:</w:t>
      </w:r>
    </w:p>
    <w:p>
      <w:pPr>
        <w:spacing w:after="0" w:line="188" w:lineRule="exact"/>
        <w:rPr>
          <w:sz w:val="20"/>
          <w:szCs w:val="20"/>
          <w:color w:val="auto"/>
        </w:rPr>
      </w:pPr>
    </w:p>
    <w:tbl>
      <w:tblPr>
        <w:tblLayout w:type="fixed"/>
        <w:tblInd w:w="466" w:type="dxa"/>
        <w:tblCellMar>
          <w:top w:w="0" w:type="dxa"/>
          <w:left w:w="0" w:type="dxa"/>
          <w:bottom w:w="0" w:type="dxa"/>
          <w:right w:w="0" w:type="dxa"/>
        </w:tblCellMar>
      </w:tblPr>
      <w:tr>
        <w:trPr>
          <w:trHeight w:val="140"/>
        </w:trPr>
        <w:tc>
          <w:tcPr>
            <w:tcW w:w="9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w w:val="82"/>
              </w:rPr>
              <w:t>2006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2"/>
                <w:szCs w:val="12"/>
                <w:color w:val="auto"/>
              </w:rPr>
            </w:pPr>
          </w:p>
        </w:tc>
      </w:tr>
      <w:tr>
        <w:trPr>
          <w:trHeight w:val="180"/>
        </w:trPr>
        <w:tc>
          <w:tcPr>
            <w:tcW w:w="93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60" w:type="dxa"/>
            <w:vAlign w:val="bottom"/>
            <w:shd w:val="clear" w:color="auto" w:fill="CCEEFF"/>
          </w:tcPr>
          <w:p>
            <w:pPr>
              <w:spacing w:after="0"/>
              <w:rPr>
                <w:sz w:val="15"/>
                <w:szCs w:val="15"/>
                <w:color w:val="auto"/>
              </w:rPr>
            </w:pPr>
          </w:p>
        </w:tc>
      </w:tr>
      <w:tr>
        <w:trPr>
          <w:trHeight w:val="188"/>
        </w:trPr>
        <w:tc>
          <w:tcPr>
            <w:tcW w:w="9320" w:type="dxa"/>
            <w:vAlign w:val="bottom"/>
          </w:tcPr>
          <w:p>
            <w:pPr>
              <w:spacing w:after="0"/>
              <w:rPr>
                <w:sz w:val="20"/>
                <w:szCs w:val="20"/>
                <w:color w:val="auto"/>
              </w:rPr>
            </w:pPr>
            <w:r>
              <w:rPr>
                <w:rFonts w:ascii="Arial" w:cs="Arial" w:eastAsia="Arial" w:hAnsi="Arial"/>
                <w:sz w:val="15"/>
                <w:szCs w:val="15"/>
                <w:color w:val="auto"/>
              </w:rPr>
              <w:t>Interest income</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(3.3)</w:t>
            </w:r>
          </w:p>
        </w:tc>
        <w:tc>
          <w:tcPr>
            <w:tcW w:w="580" w:type="dxa"/>
            <w:vAlign w:val="bottom"/>
            <w:gridSpan w:val="3"/>
          </w:tcPr>
          <w:p>
            <w:pPr>
              <w:jc w:val="right"/>
              <w:ind w:right="20"/>
              <w:spacing w:after="0"/>
              <w:rPr>
                <w:sz w:val="20"/>
                <w:szCs w:val="20"/>
                <w:color w:val="auto"/>
              </w:rPr>
            </w:pPr>
            <w:r>
              <w:rPr>
                <w:rFonts w:ascii="Arial" w:cs="Arial" w:eastAsia="Arial" w:hAnsi="Arial"/>
                <w:sz w:val="15"/>
                <w:szCs w:val="15"/>
                <w:color w:val="auto"/>
              </w:rPr>
              <w:t>(2.3)</w:t>
            </w:r>
          </w:p>
        </w:tc>
      </w:tr>
      <w:tr>
        <w:trPr>
          <w:trHeight w:val="188"/>
        </w:trPr>
        <w:tc>
          <w:tcPr>
            <w:tcW w:w="932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losses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60" w:type="dxa"/>
            <w:vAlign w:val="bottom"/>
            <w:shd w:val="clear" w:color="auto" w:fill="CCEEFF"/>
          </w:tcPr>
          <w:p>
            <w:pPr>
              <w:spacing w:after="0"/>
              <w:rPr>
                <w:sz w:val="16"/>
                <w:szCs w:val="16"/>
                <w:color w:val="auto"/>
              </w:rPr>
            </w:pPr>
          </w:p>
        </w:tc>
      </w:tr>
      <w:tr>
        <w:trPr>
          <w:trHeight w:val="188"/>
        </w:trPr>
        <w:tc>
          <w:tcPr>
            <w:tcW w:w="9320" w:type="dxa"/>
            <w:vAlign w:val="bottom"/>
          </w:tcPr>
          <w:p>
            <w:pPr>
              <w:spacing w:after="0"/>
              <w:rPr>
                <w:sz w:val="20"/>
                <w:szCs w:val="20"/>
                <w:color w:val="auto"/>
              </w:rPr>
            </w:pPr>
            <w:r>
              <w:rPr>
                <w:rFonts w:ascii="Arial" w:cs="Arial" w:eastAsia="Arial" w:hAnsi="Arial"/>
                <w:sz w:val="15"/>
                <w:szCs w:val="15"/>
                <w:color w:val="auto"/>
              </w:rPr>
              <w:t>Miscellaneous (income) expenses, net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w w:val="91"/>
              </w:rPr>
              <w:t>(25.5)</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60" w:type="dxa"/>
            <w:vAlign w:val="bottom"/>
          </w:tcPr>
          <w:p>
            <w:pPr>
              <w:spacing w:after="0"/>
              <w:rPr>
                <w:sz w:val="16"/>
                <w:szCs w:val="16"/>
                <w:color w:val="auto"/>
              </w:rPr>
            </w:pPr>
          </w:p>
        </w:tc>
      </w:tr>
      <w:tr>
        <w:trPr>
          <w:trHeight w:val="24"/>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8"/>
        </w:trPr>
        <w:tc>
          <w:tcPr>
            <w:tcW w:w="93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1"/>
              </w:rPr>
              <w:t>(16.3)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11.7</w:t>
            </w:r>
          </w:p>
        </w:tc>
        <w:tc>
          <w:tcPr>
            <w:tcW w:w="60" w:type="dxa"/>
            <w:vAlign w:val="bottom"/>
            <w:shd w:val="clear" w:color="auto" w:fill="CCEEFF"/>
          </w:tcPr>
          <w:p>
            <w:pPr>
              <w:spacing w:after="0"/>
              <w:rPr>
                <w:sz w:val="16"/>
                <w:szCs w:val="16"/>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Balance Sheets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1"/>
              </w:rPr>
              <w:t>Mar. 31</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0"/>
              </w:rPr>
              <w:t>Dec. 31</w:t>
            </w:r>
          </w:p>
        </w:tc>
      </w:tr>
      <w:tr>
        <w:trPr>
          <w:trHeight w:val="151"/>
        </w:trPr>
        <w:tc>
          <w:tcPr>
            <w:tcW w:w="100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2006</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3"/>
                <w:szCs w:val="13"/>
                <w:color w:val="auto"/>
              </w:rPr>
            </w:pPr>
          </w:p>
        </w:tc>
      </w:tr>
      <w:tr>
        <w:trPr>
          <w:trHeight w:val="122"/>
        </w:trPr>
        <w:tc>
          <w:tcPr>
            <w:tcW w:w="10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tcPr>
          <w:p>
            <w:pPr>
              <w:jc w:val="right"/>
              <w:ind w:right="440"/>
              <w:spacing w:after="0" w:line="122" w:lineRule="exact"/>
              <w:rPr>
                <w:sz w:val="20"/>
                <w:szCs w:val="20"/>
                <w:color w:val="auto"/>
              </w:rPr>
            </w:pPr>
            <w:r>
              <w:rPr>
                <w:rFonts w:ascii="Arial" w:cs="Arial" w:eastAsia="Arial" w:hAnsi="Arial"/>
                <w:sz w:val="12"/>
                <w:szCs w:val="12"/>
                <w:b w:val="1"/>
                <w:bCs w:val="1"/>
                <w:color w:val="auto"/>
              </w:rPr>
              <w:t>(Unaudited)</w:t>
            </w: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554.5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454.9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3,162.2</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3,208.2</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 and other assets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129.0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107.5</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Future income tax benefits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current assets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3,929.7</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3,841.7</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 and other intangible assets, net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1,264.9</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1,256.5</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294.4</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273.8</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other assets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1,559.3</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1,530.3</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Property and equipment:</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Land, buildings, leasehold improvements and equipment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654.8</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642.4</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460.5</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446.0</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Net property and equipment</w:t>
            </w:r>
          </w:p>
        </w:tc>
        <w:tc>
          <w:tcPr>
            <w:tcW w:w="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194.3</w:t>
            </w:r>
          </w:p>
        </w:tc>
        <w:tc>
          <w:tcPr>
            <w:tcW w:w="2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60" w:type="dxa"/>
            <w:vAlign w:val="bottom"/>
            <w:shd w:val="clear" w:color="auto" w:fill="CCEEFF"/>
          </w:tcPr>
          <w:p>
            <w:pPr>
              <w:spacing w:after="0"/>
              <w:rPr>
                <w:sz w:val="16"/>
                <w:szCs w:val="16"/>
                <w:color w:val="auto"/>
              </w:rPr>
            </w:pPr>
          </w:p>
        </w:tc>
      </w:tr>
      <w:tr>
        <w:trPr>
          <w:trHeight w:val="191"/>
        </w:trPr>
        <w:tc>
          <w:tcPr>
            <w:tcW w:w="100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5,683.3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5,568.4</w:t>
            </w:r>
          </w:p>
        </w:tc>
      </w:tr>
      <w:tr>
        <w:trPr>
          <w:trHeight w:val="20"/>
        </w:trPr>
        <w:tc>
          <w:tcPr>
            <w:tcW w:w="10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793.0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685.4</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Employee compensation payable</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140.2</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150.6</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liabilities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474.3</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435.4</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Accrued payroll taxes and insurance</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507.3</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607.2</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Value added taxes payable</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420.8</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441.9</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Short-term borrowings and current maturities of long-term debt</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268.7</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260.0</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current liabilities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2,604.3</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2,580.5</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Long-term debt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485.7</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475.0</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long-term liabilities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388.0</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366.3</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other liabilities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873.7</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841.3</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stock</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Capital in excess of par value</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2,372.1</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2,346.7</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322.5</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269.9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Accumulated other comprehensive income</w:t>
            </w:r>
          </w:p>
        </w:tc>
        <w:tc>
          <w:tcPr>
            <w:tcW w:w="6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(11.0)</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Treasury stock, at cost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(487.3)</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(460.0)</w:t>
            </w:r>
          </w:p>
        </w:tc>
      </w:tr>
      <w:tr>
        <w:trPr>
          <w:trHeight w:val="195"/>
        </w:trPr>
        <w:tc>
          <w:tcPr>
            <w:tcW w:w="10020" w:type="dxa"/>
            <w:vAlign w:val="bottom"/>
          </w:tcPr>
          <w:p>
            <w:pPr>
              <w:ind w:left="1120"/>
              <w:spacing w:after="0"/>
              <w:rPr>
                <w:sz w:val="20"/>
                <w:szCs w:val="20"/>
                <w:color w:val="auto"/>
              </w:rPr>
            </w:pPr>
            <w:r>
              <w:rPr>
                <w:rFonts w:ascii="Arial" w:cs="Arial" w:eastAsia="Arial" w:hAnsi="Arial"/>
                <w:sz w:val="15"/>
                <w:szCs w:val="15"/>
                <w:color w:val="auto"/>
              </w:rPr>
              <w:t>Total shareholders’ equity</w:t>
            </w:r>
          </w:p>
        </w:tc>
        <w:tc>
          <w:tcPr>
            <w:tcW w:w="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1"/>
              </w:rPr>
              <w:t>2,205.3</w:t>
            </w:r>
          </w:p>
        </w:tc>
        <w:tc>
          <w:tcPr>
            <w:tcW w:w="2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2,146.6</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500"/>
              <w:spacing w:after="0"/>
              <w:rPr>
                <w:sz w:val="20"/>
                <w:szCs w:val="20"/>
                <w:color w:val="auto"/>
              </w:rPr>
            </w:pPr>
            <w:r>
              <w:rPr>
                <w:rFonts w:ascii="Arial" w:cs="Arial" w:eastAsia="Arial" w:hAnsi="Arial"/>
                <w:sz w:val="15"/>
                <w:szCs w:val="15"/>
                <w:color w:val="auto"/>
              </w:rPr>
              <w:t>Total liabilities and shareholders’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5,683.3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5,568.4</w:t>
            </w:r>
          </w:p>
        </w:tc>
      </w:tr>
      <w:tr>
        <w:trPr>
          <w:trHeight w:val="20"/>
        </w:trPr>
        <w:tc>
          <w:tcPr>
            <w:tcW w:w="10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Statements of Cash Flows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240"/>
              <w:spacing w:after="0"/>
              <w:rPr>
                <w:sz w:val="20"/>
                <w:szCs w:val="20"/>
                <w:color w:val="auto"/>
              </w:rPr>
            </w:pPr>
            <w:r>
              <w:rPr>
                <w:rFonts w:ascii="Arial" w:cs="Arial" w:eastAsia="Arial" w:hAnsi="Arial"/>
                <w:sz w:val="12"/>
                <w:szCs w:val="12"/>
                <w:b w:val="1"/>
                <w:bCs w:val="1"/>
                <w:color w:val="auto"/>
                <w:w w:val="99"/>
              </w:rPr>
              <w:t>3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1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5"/>
              <w:spacing w:after="0" w:line="121" w:lineRule="exact"/>
              <w:rPr>
                <w:sz w:val="20"/>
                <w:szCs w:val="20"/>
                <w:color w:val="auto"/>
              </w:rPr>
            </w:pPr>
            <w:r>
              <w:rPr>
                <w:rFonts w:ascii="Arial" w:cs="Arial" w:eastAsia="Arial" w:hAnsi="Arial"/>
                <w:sz w:val="12"/>
                <w:szCs w:val="12"/>
                <w:b w:val="1"/>
                <w:bCs w:val="1"/>
                <w:color w:val="auto"/>
                <w:w w:val="89"/>
              </w:rPr>
              <w:t>2006</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4"/>
              <w:spacing w:after="0" w:line="121" w:lineRule="exact"/>
              <w:rPr>
                <w:sz w:val="20"/>
                <w:szCs w:val="20"/>
                <w:color w:val="auto"/>
              </w:rPr>
            </w:pPr>
            <w:r>
              <w:rPr>
                <w:rFonts w:ascii="Arial" w:cs="Arial" w:eastAsia="Arial" w:hAnsi="Arial"/>
                <w:sz w:val="12"/>
                <w:szCs w:val="12"/>
                <w:b w:val="1"/>
                <w:bCs w:val="1"/>
                <w:color w:val="auto"/>
                <w:w w:val="97"/>
              </w:rPr>
              <w:t>2005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gridSpan w:val="3"/>
          </w:tcPr>
          <w:p>
            <w:pPr>
              <w:jc w:val="right"/>
              <w:ind w:right="224"/>
              <w:spacing w:after="0" w:line="121" w:lineRule="exact"/>
              <w:rPr>
                <w:sz w:val="20"/>
                <w:szCs w:val="20"/>
                <w:color w:val="auto"/>
              </w:rPr>
            </w:pPr>
            <w:r>
              <w:rPr>
                <w:rFonts w:ascii="Arial" w:cs="Arial" w:eastAsia="Arial" w:hAnsi="Arial"/>
                <w:sz w:val="11"/>
                <w:szCs w:val="11"/>
                <w:b w:val="1"/>
                <w:bCs w:val="1"/>
                <w:color w:val="auto"/>
                <w:w w:val="71"/>
              </w:rPr>
              <w:t>(Unaudited)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tcPr>
          <w:p>
            <w:pPr>
              <w:ind w:left="360"/>
              <w:spacing w:after="0"/>
              <w:rPr>
                <w:sz w:val="20"/>
                <w:szCs w:val="20"/>
                <w:color w:val="auto"/>
              </w:rPr>
            </w:pPr>
            <w:r>
              <w:rPr>
                <w:rFonts w:ascii="Arial" w:cs="Arial" w:eastAsia="Arial" w:hAnsi="Arial"/>
                <w:sz w:val="15"/>
                <w:szCs w:val="15"/>
                <w:color w:val="auto"/>
              </w:rPr>
              <w:t>Net earnings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7"/>
              <w:spacing w:after="0"/>
              <w:rPr>
                <w:sz w:val="20"/>
                <w:szCs w:val="20"/>
                <w:color w:val="auto"/>
              </w:rPr>
            </w:pPr>
            <w:r>
              <w:rPr>
                <w:rFonts w:ascii="Arial" w:cs="Arial" w:eastAsia="Arial" w:hAnsi="Arial"/>
                <w:sz w:val="15"/>
                <w:szCs w:val="15"/>
                <w:color w:val="auto"/>
              </w:rPr>
              <w:t>52.6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5"/>
                <w:szCs w:val="15"/>
                <w:color w:val="auto"/>
              </w:rPr>
              <w:t>32.2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Adjustments to reconcile net earnings to net cash provided by operating activities:</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tcPr>
          <w:p>
            <w:pPr>
              <w:ind w:left="72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6"/>
                <w:szCs w:val="16"/>
                <w:color w:val="auto"/>
              </w:rPr>
            </w:pPr>
          </w:p>
        </w:tc>
        <w:tc>
          <w:tcPr>
            <w:tcW w:w="640" w:type="dxa"/>
            <w:vAlign w:val="bottom"/>
            <w:gridSpan w:val="2"/>
          </w:tcPr>
          <w:p>
            <w:pPr>
              <w:jc w:val="right"/>
              <w:ind w:right="227"/>
              <w:spacing w:after="0"/>
              <w:rPr>
                <w:sz w:val="20"/>
                <w:szCs w:val="20"/>
                <w:color w:val="auto"/>
              </w:rPr>
            </w:pPr>
            <w:r>
              <w:rPr>
                <w:rFonts w:ascii="Arial" w:cs="Arial" w:eastAsia="Arial" w:hAnsi="Arial"/>
                <w:sz w:val="15"/>
                <w:szCs w:val="15"/>
                <w:color w:val="auto"/>
              </w:rPr>
              <w:t>21.8</w:t>
            </w:r>
          </w:p>
        </w:tc>
        <w:tc>
          <w:tcPr>
            <w:tcW w:w="8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Amortization of discount on convertible debentures</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3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tcPr>
          <w:p>
            <w:pPr>
              <w:ind w:left="720"/>
              <w:spacing w:after="0"/>
              <w:rPr>
                <w:sz w:val="20"/>
                <w:szCs w:val="20"/>
                <w:color w:val="auto"/>
              </w:rPr>
            </w:pPr>
            <w:r>
              <w:rPr>
                <w:rFonts w:ascii="Arial" w:cs="Arial" w:eastAsia="Arial" w:hAnsi="Arial"/>
                <w:sz w:val="15"/>
                <w:szCs w:val="15"/>
                <w:color w:val="auto"/>
              </w:rPr>
              <w:t>Deferred income taxes</w:t>
            </w:r>
          </w:p>
        </w:tc>
        <w:tc>
          <w:tcPr>
            <w:tcW w:w="80" w:type="dxa"/>
            <w:vAlign w:val="bottom"/>
          </w:tcPr>
          <w:p>
            <w:pPr>
              <w:spacing w:after="0"/>
              <w:rPr>
                <w:sz w:val="16"/>
                <w:szCs w:val="16"/>
                <w:color w:val="auto"/>
              </w:rPr>
            </w:pPr>
          </w:p>
        </w:tc>
        <w:tc>
          <w:tcPr>
            <w:tcW w:w="640" w:type="dxa"/>
            <w:vAlign w:val="bottom"/>
            <w:gridSpan w:val="2"/>
          </w:tcPr>
          <w:p>
            <w:pPr>
              <w:jc w:val="right"/>
              <w:ind w:right="187"/>
              <w:spacing w:after="0"/>
              <w:rPr>
                <w:sz w:val="20"/>
                <w:szCs w:val="20"/>
                <w:color w:val="auto"/>
              </w:rPr>
            </w:pPr>
            <w:r>
              <w:rPr>
                <w:rFonts w:ascii="Arial" w:cs="Arial" w:eastAsia="Arial" w:hAnsi="Arial"/>
                <w:sz w:val="15"/>
                <w:szCs w:val="15"/>
                <w:color w:val="auto"/>
                <w:w w:val="96"/>
              </w:rPr>
              <w:t>(10.0)</w:t>
            </w:r>
          </w:p>
        </w:tc>
        <w:tc>
          <w:tcPr>
            <w:tcW w:w="8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Provision for doubtful accounts</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7"/>
              <w:spacing w:after="0"/>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tcPr>
          <w:p>
            <w:pPr>
              <w:ind w:left="720"/>
              <w:spacing w:after="0"/>
              <w:rPr>
                <w:sz w:val="20"/>
                <w:szCs w:val="20"/>
                <w:color w:val="auto"/>
              </w:rPr>
            </w:pPr>
            <w:r>
              <w:rPr>
                <w:rFonts w:ascii="Arial" w:cs="Arial" w:eastAsia="Arial" w:hAnsi="Arial"/>
                <w:sz w:val="15"/>
                <w:szCs w:val="15"/>
                <w:color w:val="auto"/>
              </w:rPr>
              <w:t>Stock based compensation</w:t>
            </w:r>
          </w:p>
        </w:tc>
        <w:tc>
          <w:tcPr>
            <w:tcW w:w="80" w:type="dxa"/>
            <w:vAlign w:val="bottom"/>
          </w:tcPr>
          <w:p>
            <w:pPr>
              <w:spacing w:after="0"/>
              <w:rPr>
                <w:sz w:val="16"/>
                <w:szCs w:val="16"/>
                <w:color w:val="auto"/>
              </w:rPr>
            </w:pPr>
          </w:p>
        </w:tc>
        <w:tc>
          <w:tcPr>
            <w:tcW w:w="640" w:type="dxa"/>
            <w:vAlign w:val="bottom"/>
            <w:gridSpan w:val="2"/>
          </w:tcPr>
          <w:p>
            <w:pPr>
              <w:jc w:val="right"/>
              <w:ind w:right="227"/>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Other non-operating gains</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7"/>
              <w:spacing w:after="0"/>
              <w:rPr>
                <w:sz w:val="20"/>
                <w:szCs w:val="20"/>
                <w:color w:val="auto"/>
              </w:rPr>
            </w:pPr>
            <w:r>
              <w:rPr>
                <w:rFonts w:ascii="Arial" w:cs="Arial" w:eastAsia="Arial" w:hAnsi="Arial"/>
                <w:sz w:val="15"/>
                <w:szCs w:val="15"/>
                <w:color w:val="auto"/>
                <w:w w:val="96"/>
              </w:rPr>
              <w:t>(29.3)</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tcPr>
          <w:p>
            <w:pPr>
              <w:ind w:left="72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Accounts receivable</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7"/>
              <w:spacing w:after="0"/>
              <w:rPr>
                <w:sz w:val="20"/>
                <w:szCs w:val="20"/>
                <w:color w:val="auto"/>
              </w:rPr>
            </w:pPr>
            <w:r>
              <w:rPr>
                <w:rFonts w:ascii="Arial" w:cs="Arial" w:eastAsia="Arial" w:hAnsi="Arial"/>
                <w:sz w:val="15"/>
                <w:szCs w:val="15"/>
                <w:color w:val="auto"/>
              </w:rPr>
              <w:t>76.9</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tcPr>
          <w:p>
            <w:pPr>
              <w:ind w:left="1100"/>
              <w:spacing w:after="0"/>
              <w:rPr>
                <w:sz w:val="20"/>
                <w:szCs w:val="20"/>
                <w:color w:val="auto"/>
              </w:rPr>
            </w:pPr>
            <w:r>
              <w:rPr>
                <w:rFonts w:ascii="Arial" w:cs="Arial" w:eastAsia="Arial" w:hAnsi="Arial"/>
                <w:sz w:val="15"/>
                <w:szCs w:val="15"/>
                <w:color w:val="auto"/>
              </w:rPr>
              <w:t>Other assets</w:t>
            </w:r>
          </w:p>
        </w:tc>
        <w:tc>
          <w:tcPr>
            <w:tcW w:w="80" w:type="dxa"/>
            <w:vAlign w:val="bottom"/>
          </w:tcPr>
          <w:p>
            <w:pPr>
              <w:spacing w:after="0"/>
              <w:rPr>
                <w:sz w:val="16"/>
                <w:szCs w:val="16"/>
                <w:color w:val="auto"/>
              </w:rPr>
            </w:pPr>
          </w:p>
        </w:tc>
        <w:tc>
          <w:tcPr>
            <w:tcW w:w="640" w:type="dxa"/>
            <w:vAlign w:val="bottom"/>
            <w:gridSpan w:val="2"/>
          </w:tcPr>
          <w:p>
            <w:pPr>
              <w:jc w:val="right"/>
              <w:ind w:right="187"/>
              <w:spacing w:after="0"/>
              <w:rPr>
                <w:sz w:val="20"/>
                <w:szCs w:val="20"/>
                <w:color w:val="auto"/>
              </w:rPr>
            </w:pPr>
            <w:r>
              <w:rPr>
                <w:rFonts w:ascii="Arial" w:cs="Arial" w:eastAsia="Arial" w:hAnsi="Arial"/>
                <w:sz w:val="15"/>
                <w:szCs w:val="15"/>
                <w:color w:val="auto"/>
                <w:w w:val="96"/>
              </w:rPr>
              <w:t>(19.5)</w:t>
            </w:r>
          </w:p>
        </w:tc>
        <w:tc>
          <w:tcPr>
            <w:tcW w:w="8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Other liabilities</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7"/>
              <w:spacing w:after="0"/>
              <w:rPr>
                <w:sz w:val="20"/>
                <w:szCs w:val="20"/>
                <w:color w:val="auto"/>
              </w:rPr>
            </w:pPr>
            <w:r>
              <w:rPr>
                <w:rFonts w:ascii="Arial" w:cs="Arial" w:eastAsia="Arial" w:hAnsi="Arial"/>
                <w:sz w:val="15"/>
                <w:szCs w:val="15"/>
                <w:color w:val="auto"/>
                <w:w w:val="96"/>
              </w:rPr>
              <w:t>(26.0)</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160" w:type="dxa"/>
            <w:vAlign w:val="bottom"/>
          </w:tcPr>
          <w:p>
            <w:pPr>
              <w:ind w:left="1480"/>
              <w:spacing w:after="0"/>
              <w:rPr>
                <w:sz w:val="20"/>
                <w:szCs w:val="20"/>
                <w:color w:val="auto"/>
              </w:rPr>
            </w:pPr>
            <w:r>
              <w:rPr>
                <w:rFonts w:ascii="Arial" w:cs="Arial" w:eastAsia="Arial" w:hAnsi="Arial"/>
                <w:sz w:val="15"/>
                <w:szCs w:val="15"/>
                <w:color w:val="auto"/>
              </w:rPr>
              <w:t>Cash provided by operating activities</w:t>
            </w: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77.2</w:t>
            </w:r>
          </w:p>
        </w:tc>
        <w:tc>
          <w:tcPr>
            <w:tcW w:w="2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tcPr>
          <w:p>
            <w:pPr>
              <w:ind w:left="360"/>
              <w:spacing w:after="0"/>
              <w:rPr>
                <w:sz w:val="20"/>
                <w:szCs w:val="20"/>
                <w:color w:val="auto"/>
              </w:rPr>
            </w:pPr>
            <w:r>
              <w:rPr>
                <w:rFonts w:ascii="Arial" w:cs="Arial" w:eastAsia="Arial" w:hAnsi="Arial"/>
                <w:sz w:val="15"/>
                <w:szCs w:val="15"/>
                <w:color w:val="auto"/>
              </w:rPr>
              <w:t>Capital expenditures</w:t>
            </w:r>
          </w:p>
        </w:tc>
        <w:tc>
          <w:tcPr>
            <w:tcW w:w="80" w:type="dxa"/>
            <w:vAlign w:val="bottom"/>
          </w:tcPr>
          <w:p>
            <w:pPr>
              <w:spacing w:after="0"/>
              <w:rPr>
                <w:sz w:val="16"/>
                <w:szCs w:val="16"/>
                <w:color w:val="auto"/>
              </w:rPr>
            </w:pPr>
          </w:p>
        </w:tc>
        <w:tc>
          <w:tcPr>
            <w:tcW w:w="640" w:type="dxa"/>
            <w:vAlign w:val="bottom"/>
            <w:gridSpan w:val="2"/>
          </w:tcPr>
          <w:p>
            <w:pPr>
              <w:jc w:val="right"/>
              <w:ind w:right="187"/>
              <w:spacing w:after="0"/>
              <w:rPr>
                <w:sz w:val="20"/>
                <w:szCs w:val="20"/>
                <w:color w:val="auto"/>
              </w:rPr>
            </w:pPr>
            <w:r>
              <w:rPr>
                <w:rFonts w:ascii="Arial" w:cs="Arial" w:eastAsia="Arial" w:hAnsi="Arial"/>
                <w:sz w:val="15"/>
                <w:szCs w:val="15"/>
                <w:color w:val="auto"/>
                <w:w w:val="96"/>
              </w:rPr>
              <w:t>(15.2)</w:t>
            </w:r>
          </w:p>
        </w:tc>
        <w:tc>
          <w:tcPr>
            <w:tcW w:w="8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Acquisitions of businesses, net of cash acquired</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tcPr>
          <w:p>
            <w:pPr>
              <w:ind w:left="360"/>
              <w:spacing w:after="0"/>
              <w:rPr>
                <w:sz w:val="20"/>
                <w:szCs w:val="20"/>
                <w:color w:val="auto"/>
              </w:rPr>
            </w:pPr>
            <w:r>
              <w:rPr>
                <w:rFonts w:ascii="Arial" w:cs="Arial" w:eastAsia="Arial" w:hAnsi="Arial"/>
                <w:sz w:val="15"/>
                <w:szCs w:val="15"/>
                <w:color w:val="auto"/>
              </w:rPr>
              <w:t>Proceeds from sale of business</w:t>
            </w:r>
          </w:p>
        </w:tc>
        <w:tc>
          <w:tcPr>
            <w:tcW w:w="80" w:type="dxa"/>
            <w:vAlign w:val="bottom"/>
          </w:tcPr>
          <w:p>
            <w:pPr>
              <w:spacing w:after="0"/>
              <w:rPr>
                <w:sz w:val="16"/>
                <w:szCs w:val="16"/>
                <w:color w:val="auto"/>
              </w:rPr>
            </w:pPr>
          </w:p>
        </w:tc>
        <w:tc>
          <w:tcPr>
            <w:tcW w:w="640" w:type="dxa"/>
            <w:vAlign w:val="bottom"/>
            <w:gridSpan w:val="2"/>
          </w:tcPr>
          <w:p>
            <w:pPr>
              <w:jc w:val="right"/>
              <w:ind w:right="227"/>
              <w:spacing w:after="0"/>
              <w:rPr>
                <w:sz w:val="20"/>
                <w:szCs w:val="20"/>
                <w:color w:val="auto"/>
              </w:rPr>
            </w:pPr>
            <w:r>
              <w:rPr>
                <w:rFonts w:ascii="Arial" w:cs="Arial" w:eastAsia="Arial" w:hAnsi="Arial"/>
                <w:sz w:val="15"/>
                <w:szCs w:val="15"/>
                <w:color w:val="auto"/>
              </w:rPr>
              <w:t>29.6</w:t>
            </w: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sale of an equity interest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7"/>
              <w:spacing w:after="0"/>
              <w:rPr>
                <w:sz w:val="20"/>
                <w:szCs w:val="20"/>
                <w:color w:val="auto"/>
              </w:rPr>
            </w:pPr>
            <w:r>
              <w:rPr>
                <w:rFonts w:ascii="Arial" w:cs="Arial" w:eastAsia="Arial" w:hAnsi="Arial"/>
                <w:sz w:val="15"/>
                <w:szCs w:val="15"/>
                <w:color w:val="auto"/>
              </w:rPr>
              <w:t>8.8</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160" w:type="dxa"/>
            <w:vAlign w:val="bottom"/>
          </w:tcPr>
          <w:p>
            <w:pPr>
              <w:ind w:left="360"/>
              <w:spacing w:after="0"/>
              <w:rPr>
                <w:sz w:val="20"/>
                <w:szCs w:val="20"/>
                <w:color w:val="auto"/>
              </w:rPr>
            </w:pPr>
            <w:r>
              <w:rPr>
                <w:rFonts w:ascii="Arial" w:cs="Arial" w:eastAsia="Arial" w:hAnsi="Arial"/>
                <w:sz w:val="15"/>
                <w:szCs w:val="15"/>
                <w:color w:val="auto"/>
              </w:rPr>
              <w:t>Proceeds from the sale of property and equipment</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1480"/>
              <w:spacing w:after="0"/>
              <w:rPr>
                <w:sz w:val="20"/>
                <w:szCs w:val="20"/>
                <w:color w:val="auto"/>
              </w:rPr>
            </w:pPr>
            <w:r>
              <w:rPr>
                <w:rFonts w:ascii="Arial" w:cs="Arial" w:eastAsia="Arial" w:hAnsi="Arial"/>
                <w:sz w:val="15"/>
                <w:szCs w:val="15"/>
                <w:color w:val="auto"/>
              </w:rPr>
              <w:t>Cash provided (used) by investing activities</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7"/>
              <w:spacing w:after="0"/>
              <w:rPr>
                <w:sz w:val="20"/>
                <w:szCs w:val="20"/>
                <w:color w:val="auto"/>
              </w:rPr>
            </w:pPr>
            <w:r>
              <w:rPr>
                <w:rFonts w:ascii="Arial" w:cs="Arial" w:eastAsia="Arial" w:hAnsi="Arial"/>
                <w:sz w:val="15"/>
                <w:szCs w:val="15"/>
                <w:color w:val="auto"/>
              </w:rPr>
              <w:t>18.2</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91"/>
        </w:trPr>
        <w:tc>
          <w:tcPr>
            <w:tcW w:w="10180" w:type="dxa"/>
            <w:vAlign w:val="bottom"/>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1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borrowings of short-term facilities and long-term debt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7"/>
              <w:spacing w:after="0"/>
              <w:rPr>
                <w:sz w:val="20"/>
                <w:szCs w:val="20"/>
                <w:color w:val="auto"/>
              </w:rPr>
            </w:pPr>
            <w:r>
              <w:rPr>
                <w:rFonts w:ascii="Arial" w:cs="Arial" w:eastAsia="Arial" w:hAnsi="Arial"/>
                <w:sz w:val="15"/>
                <w:szCs w:val="15"/>
                <w:color w:val="auto"/>
              </w:rPr>
              <w:t>3.2</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tcPr>
          <w:p>
            <w:pPr>
              <w:ind w:left="360"/>
              <w:spacing w:after="0"/>
              <w:rPr>
                <w:sz w:val="20"/>
                <w:szCs w:val="20"/>
                <w:color w:val="auto"/>
              </w:rPr>
            </w:pPr>
            <w:r>
              <w:rPr>
                <w:rFonts w:ascii="Arial" w:cs="Arial" w:eastAsia="Arial" w:hAnsi="Arial"/>
                <w:sz w:val="15"/>
                <w:szCs w:val="15"/>
                <w:color w:val="auto"/>
              </w:rPr>
              <w:t>Cash paid to settle convertible debentures</w:t>
            </w:r>
          </w:p>
        </w:tc>
        <w:tc>
          <w:tcPr>
            <w:tcW w:w="80" w:type="dxa"/>
            <w:vAlign w:val="bottom"/>
          </w:tcPr>
          <w:p>
            <w:pPr>
              <w:spacing w:after="0"/>
              <w:rPr>
                <w:sz w:val="16"/>
                <w:szCs w:val="16"/>
                <w:color w:val="auto"/>
              </w:rPr>
            </w:pPr>
          </w:p>
        </w:tc>
        <w:tc>
          <w:tcPr>
            <w:tcW w:w="640" w:type="dxa"/>
            <w:vAlign w:val="bottom"/>
            <w:gridSpan w:val="2"/>
          </w:tcPr>
          <w:p>
            <w:pPr>
              <w:jc w:val="right"/>
              <w:ind w:right="30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w w:val="88"/>
              </w:rPr>
              <w:t>(206.6)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settlement of swap agreements</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3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tcPr>
          <w:p>
            <w:pPr>
              <w:ind w:left="360"/>
              <w:spacing w:after="0"/>
              <w:rPr>
                <w:sz w:val="20"/>
                <w:szCs w:val="20"/>
                <w:color w:val="auto"/>
              </w:rPr>
            </w:pPr>
            <w:r>
              <w:rPr>
                <w:rFonts w:ascii="Arial" w:cs="Arial" w:eastAsia="Arial" w:hAnsi="Arial"/>
                <w:sz w:val="15"/>
                <w:szCs w:val="15"/>
                <w:color w:val="auto"/>
              </w:rPr>
              <w:t>Proceeds from stock option and purchase plans</w:t>
            </w:r>
          </w:p>
        </w:tc>
        <w:tc>
          <w:tcPr>
            <w:tcW w:w="80" w:type="dxa"/>
            <w:vAlign w:val="bottom"/>
          </w:tcPr>
          <w:p>
            <w:pPr>
              <w:spacing w:after="0"/>
              <w:rPr>
                <w:sz w:val="16"/>
                <w:szCs w:val="16"/>
                <w:color w:val="auto"/>
              </w:rPr>
            </w:pPr>
          </w:p>
        </w:tc>
        <w:tc>
          <w:tcPr>
            <w:tcW w:w="640" w:type="dxa"/>
            <w:vAlign w:val="bottom"/>
            <w:gridSpan w:val="2"/>
          </w:tcPr>
          <w:p>
            <w:pPr>
              <w:jc w:val="right"/>
              <w:ind w:right="227"/>
              <w:spacing w:after="0"/>
              <w:rPr>
                <w:sz w:val="20"/>
                <w:szCs w:val="20"/>
                <w:color w:val="auto"/>
              </w:rPr>
            </w:pPr>
            <w:r>
              <w:rPr>
                <w:rFonts w:ascii="Arial" w:cs="Arial" w:eastAsia="Arial" w:hAnsi="Arial"/>
                <w:sz w:val="15"/>
                <w:szCs w:val="15"/>
                <w:color w:val="auto"/>
              </w:rPr>
              <w:t>26.5</w:t>
            </w:r>
          </w:p>
        </w:tc>
        <w:tc>
          <w:tcPr>
            <w:tcW w:w="8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Repurchases of common stock</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7"/>
              <w:spacing w:after="0"/>
              <w:rPr>
                <w:sz w:val="20"/>
                <w:szCs w:val="20"/>
                <w:color w:val="auto"/>
              </w:rPr>
            </w:pPr>
            <w:r>
              <w:rPr>
                <w:rFonts w:ascii="Arial" w:cs="Arial" w:eastAsia="Arial" w:hAnsi="Arial"/>
                <w:sz w:val="15"/>
                <w:szCs w:val="15"/>
                <w:color w:val="auto"/>
                <w:w w:val="96"/>
              </w:rPr>
              <w:t>(33.0)</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160" w:type="dxa"/>
            <w:vAlign w:val="bottom"/>
          </w:tcPr>
          <w:p>
            <w:pPr>
              <w:ind w:left="360"/>
              <w:spacing w:after="0"/>
              <w:rPr>
                <w:sz w:val="20"/>
                <w:szCs w:val="20"/>
                <w:color w:val="auto"/>
              </w:rPr>
            </w:pPr>
            <w:r>
              <w:rPr>
                <w:rFonts w:ascii="Arial" w:cs="Arial" w:eastAsia="Arial" w:hAnsi="Arial"/>
                <w:sz w:val="15"/>
                <w:szCs w:val="15"/>
                <w:color w:val="auto"/>
              </w:rPr>
              <w:t>Dividends paid</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ind w:left="1480"/>
              <w:spacing w:after="0"/>
              <w:rPr>
                <w:sz w:val="20"/>
                <w:szCs w:val="20"/>
                <w:color w:val="auto"/>
              </w:rPr>
            </w:pPr>
            <w:r>
              <w:rPr>
                <w:rFonts w:ascii="Arial" w:cs="Arial" w:eastAsia="Arial" w:hAnsi="Arial"/>
                <w:sz w:val="15"/>
                <w:szCs w:val="15"/>
                <w:color w:val="auto"/>
              </w:rPr>
              <w:t>Cash used by financing activities</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7"/>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(185.3)</w:t>
            </w:r>
          </w:p>
        </w:tc>
        <w:tc>
          <w:tcPr>
            <w:tcW w:w="0" w:type="dxa"/>
            <w:vAlign w:val="bottom"/>
          </w:tcPr>
          <w:p>
            <w:pPr>
              <w:spacing w:after="0"/>
              <w:rPr>
                <w:sz w:val="1"/>
                <w:szCs w:val="1"/>
                <w:color w:val="auto"/>
              </w:rPr>
            </w:pPr>
          </w:p>
        </w:tc>
      </w:tr>
      <w:tr>
        <w:trPr>
          <w:trHeight w:val="20"/>
        </w:trPr>
        <w:tc>
          <w:tcPr>
            <w:tcW w:w="10180" w:type="dxa"/>
            <w:vAlign w:val="bottom"/>
            <w:gridSpan w:val="2"/>
            <w:vMerge w:val="restart"/>
          </w:tcPr>
          <w:p>
            <w:pPr>
              <w:spacing w:after="0"/>
              <w:rPr>
                <w:sz w:val="20"/>
                <w:szCs w:val="20"/>
                <w:color w:val="auto"/>
              </w:rPr>
            </w:pPr>
            <w:r>
              <w:rPr>
                <w:rFonts w:ascii="Arial" w:cs="Arial" w:eastAsia="Arial" w:hAnsi="Arial"/>
                <w:sz w:val="15"/>
                <w:szCs w:val="15"/>
                <w:color w:val="auto"/>
              </w:rPr>
              <w:t>Effect of exchange rate changes on cash</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7.5</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5"/>
                <w:szCs w:val="15"/>
                <w:color w:val="auto"/>
              </w:rPr>
              <w:t>Change in cash and cash equivalents</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99.6</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(135.0)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160" w:type="dxa"/>
            <w:vAlign w:val="bottom"/>
          </w:tcPr>
          <w:p>
            <w:pPr>
              <w:spacing w:after="0"/>
              <w:rPr>
                <w:sz w:val="20"/>
                <w:szCs w:val="20"/>
                <w:color w:val="auto"/>
              </w:rPr>
            </w:pPr>
            <w:r>
              <w:rPr>
                <w:rFonts w:ascii="Arial" w:cs="Arial" w:eastAsia="Arial" w:hAnsi="Arial"/>
                <w:sz w:val="15"/>
                <w:szCs w:val="15"/>
                <w:color w:val="auto"/>
              </w:rPr>
              <w:t>Cash and cash equivalents, beginning of period</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454.9</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227"/>
              <w:spacing w:after="0"/>
              <w:rPr>
                <w:sz w:val="20"/>
                <w:szCs w:val="20"/>
                <w:color w:val="auto"/>
              </w:rPr>
            </w:pPr>
            <w:r>
              <w:rPr>
                <w:rFonts w:ascii="Arial" w:cs="Arial" w:eastAsia="Arial" w:hAnsi="Arial"/>
                <w:sz w:val="15"/>
                <w:szCs w:val="15"/>
                <w:color w:val="auto"/>
                <w:w w:val="90"/>
              </w:rPr>
              <w:t>554.5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8" w:name="page9"/>
    <w:bookmarkEnd w:id="8"/>
    <w:p>
      <w:pPr>
        <w:spacing w:after="0"/>
        <w:rPr>
          <w:sz w:val="20"/>
          <w:szCs w:val="20"/>
          <w:color w:val="auto"/>
        </w:rPr>
      </w:pPr>
      <w:r>
        <w:rPr>
          <w:rFonts w:ascii="Arial" w:cs="Arial" w:eastAsia="Arial" w:hAnsi="Arial"/>
          <w:sz w:val="28"/>
          <w:szCs w:val="28"/>
          <w:b w:val="1"/>
          <w:bCs w:val="1"/>
          <w:color w:val="6698C2"/>
        </w:rPr>
        <w:t>Manpower Inc.</w:t>
      </w:r>
    </w:p>
    <w:p>
      <w:pPr>
        <w:spacing w:after="0"/>
        <w:rPr>
          <w:sz w:val="20"/>
          <w:szCs w:val="20"/>
          <w:color w:val="auto"/>
        </w:rPr>
      </w:pPr>
      <w:r>
        <w:rPr>
          <w:rFonts w:ascii="Arial" w:cs="Arial" w:eastAsia="Arial" w:hAnsi="Arial"/>
          <w:sz w:val="27"/>
          <w:szCs w:val="27"/>
          <w:b w:val="1"/>
          <w:bCs w:val="1"/>
          <w:color w:val="6698C2"/>
        </w:rPr>
        <w:t>2006 1</w:t>
      </w:r>
      <w:r>
        <w:rPr>
          <w:rFonts w:ascii="Arial" w:cs="Arial" w:eastAsia="Arial" w:hAnsi="Arial"/>
          <w:sz w:val="35"/>
          <w:szCs w:val="35"/>
          <w:b w:val="1"/>
          <w:bCs w:val="1"/>
          <w:color w:val="6698C2"/>
          <w:vertAlign w:val="superscript"/>
        </w:rPr>
        <w:t>st</w:t>
      </w:r>
      <w:r>
        <w:rPr>
          <w:rFonts w:ascii="Arial" w:cs="Arial" w:eastAsia="Arial" w:hAnsi="Arial"/>
          <w:sz w:val="27"/>
          <w:szCs w:val="27"/>
          <w:b w:val="1"/>
          <w:bCs w:val="1"/>
          <w:color w:val="6698C2"/>
        </w:rPr>
        <w:t xml:space="preserve"> Quarter Results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37"/>
          <w:szCs w:val="37"/>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147320</wp:posOffset>
            </wp:positionV>
            <wp:extent cx="4128770" cy="4315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7120" w:space="720"/>
            <w:col w:w="2259"/>
          </w:cols>
          <w:pgMar w:left="360" w:top="147" w:right="1440" w:bottom="1440" w:gutter="0" w:footer="0" w:header="0"/>
        </w:sectPr>
      </w:pPr>
    </w:p>
    <w:p>
      <w:pPr>
        <w:spacing w:after="0"/>
        <w:rPr>
          <w:sz w:val="20"/>
          <w:szCs w:val="20"/>
          <w:color w:val="auto"/>
        </w:rPr>
      </w:pPr>
      <w:r>
        <w:rPr>
          <w:rFonts w:ascii="Arial" w:cs="Arial" w:eastAsia="Arial" w:hAnsi="Arial"/>
          <w:sz w:val="25"/>
          <w:szCs w:val="25"/>
          <w:color w:val="auto"/>
        </w:rPr>
        <w:t>April 18,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00"/>
        <w:spacing w:after="0"/>
        <w:rPr>
          <w:sz w:val="20"/>
          <w:szCs w:val="20"/>
          <w:color w:val="auto"/>
        </w:rPr>
      </w:pPr>
      <w:r>
        <w:rPr>
          <w:rFonts w:ascii="Arial" w:cs="Arial" w:eastAsia="Arial" w:hAnsi="Arial"/>
          <w:sz w:val="79"/>
          <w:szCs w:val="79"/>
          <w:color w:val="auto"/>
        </w:rPr>
        <w:t>Now</w:t>
      </w:r>
    </w:p>
    <w:p>
      <w:pPr>
        <w:jc w:val="right"/>
        <w:ind w:right="2619"/>
        <w:spacing w:after="0"/>
        <w:rPr>
          <w:sz w:val="20"/>
          <w:szCs w:val="20"/>
          <w:color w:val="auto"/>
        </w:rPr>
      </w:pPr>
      <w:r>
        <w:rPr>
          <w:rFonts w:ascii="Arial" w:cs="Arial" w:eastAsia="Arial" w:hAnsi="Arial"/>
          <w:sz w:val="118"/>
          <w:szCs w:val="118"/>
          <w:color w:val="auto"/>
        </w:rPr>
        <w:t>Next</w:t>
      </w:r>
    </w:p>
    <w:p>
      <w:pPr>
        <w:sectPr>
          <w:pgSz w:w="11900" w:h="16838" w:orient="portrait"/>
          <w:cols w:equalWidth="0" w:num="1">
            <w:col w:w="10099"/>
          </w:cols>
          <w:pgMar w:left="360" w:top="147" w:right="1440" w:bottom="1440" w:gutter="0" w:footer="0" w:header="0"/>
          <w:type w:val="continuous"/>
        </w:sectPr>
      </w:pPr>
    </w:p>
    <w:bookmarkStart w:id="9" w:name="page10"/>
    <w:bookmarkEnd w:id="9"/>
    <w:tbl>
      <w:tblPr>
        <w:tblLayout w:type="fixed"/>
        <w:tblInd w:w="20" w:type="dxa"/>
        <w:tblCellMar>
          <w:top w:w="0" w:type="dxa"/>
          <w:left w:w="0" w:type="dxa"/>
          <w:bottom w:w="0" w:type="dxa"/>
          <w:right w:w="0" w:type="dxa"/>
        </w:tblCellMar>
      </w:tblPr>
      <w:tr>
        <w:trPr>
          <w:trHeight w:val="394"/>
        </w:trPr>
        <w:tc>
          <w:tcPr>
            <w:tcW w:w="684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Forward Looking Statement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40"/>
        <w:spacing w:after="0" w:line="246" w:lineRule="auto"/>
        <w:rPr>
          <w:sz w:val="20"/>
          <w:szCs w:val="20"/>
          <w:color w:val="auto"/>
        </w:rPr>
      </w:pPr>
      <w:r>
        <w:rPr>
          <w:rFonts w:ascii="Arial" w:cs="Arial" w:eastAsia="Arial" w:hAnsi="Arial"/>
          <w:sz w:val="32"/>
          <w:szCs w:val="32"/>
          <w:color w:val="auto"/>
        </w:rPr>
        <w:t>This presentation includes forward-looking statements which are subject to risks and uncertainties. Actual results might differ materially from those projected in the forward-looking statements. Forward-looking statements can be identified by words such as “expect,” “plan,” “may,” “will,” and similar expressions. Additional information concerning factors that could cause actual results to materially differ from those in the forward-looking statements is contained in the Company’s Annual Report on Form 10-K dated December 31, 2005, which information is incorporated herein by reference, and such other factors as may be described from time to time in the Company’s SEC filings.</w:t>
      </w:r>
    </w:p>
    <w:p>
      <w:pPr>
        <w:sectPr>
          <w:pgSz w:w="11900" w:h="16838" w:orient="portrait"/>
          <w:cols w:equalWidth="0" w:num="1">
            <w:col w:w="9880"/>
          </w:cols>
          <w:pgMar w:left="1200" w:top="423" w:right="819" w:bottom="1440" w:gutter="0" w:footer="0" w:header="0"/>
        </w:sectPr>
      </w:pPr>
    </w:p>
    <w:bookmarkStart w:id="10" w:name="page11"/>
    <w:bookmarkEnd w:id="10"/>
    <w:tbl>
      <w:tblPr>
        <w:tblLayout w:type="fixed"/>
        <w:tblInd w:w="120" w:type="dxa"/>
        <w:tblCellMar>
          <w:top w:w="0" w:type="dxa"/>
          <w:left w:w="0" w:type="dxa"/>
          <w:bottom w:w="0" w:type="dxa"/>
          <w:right w:w="0" w:type="dxa"/>
        </w:tblCellMar>
      </w:tblPr>
      <w:tr>
        <w:trPr>
          <w:trHeight w:val="394"/>
        </w:trPr>
        <w:tc>
          <w:tcPr>
            <w:tcW w:w="684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47"/>
          <w:szCs w:val="47"/>
          <w:color w:val="6698C2"/>
        </w:rPr>
        <w:t>Consolidated Financial Highlights</w:t>
      </w:r>
    </w:p>
    <w:p>
      <w:pPr>
        <w:spacing w:after="0" w:line="98" w:lineRule="exact"/>
        <w:rPr>
          <w:sz w:val="20"/>
          <w:szCs w:val="20"/>
          <w:color w:val="auto"/>
        </w:rPr>
      </w:pPr>
    </w:p>
    <w:p>
      <w:pPr>
        <w:ind w:left="3880"/>
        <w:spacing w:after="0"/>
        <w:rPr>
          <w:sz w:val="20"/>
          <w:szCs w:val="20"/>
          <w:color w:val="auto"/>
        </w:rPr>
      </w:pPr>
      <w:r>
        <w:rPr>
          <w:rFonts w:ascii="Arial" w:cs="Arial" w:eastAsia="Arial" w:hAnsi="Arial"/>
          <w:sz w:val="41"/>
          <w:szCs w:val="41"/>
          <w:b w:val="1"/>
          <w:bCs w:val="1"/>
          <w:color w:val="auto"/>
        </w:rPr>
        <w:t>Q1 Highlights</w:t>
      </w:r>
    </w:p>
    <w:p>
      <w:pPr>
        <w:sectPr>
          <w:pgSz w:w="11900" w:h="16838" w:orient="portrait"/>
          <w:cols w:equalWidth="0" w:num="1">
            <w:col w:w="9980"/>
          </w:cols>
          <w:pgMar w:left="1100" w:top="423" w:right="819" w:bottom="1440" w:gutter="0" w:footer="0" w:header="0"/>
        </w:sectPr>
      </w:pPr>
    </w:p>
    <w:p>
      <w:pPr>
        <w:spacing w:after="0" w:line="222" w:lineRule="exact"/>
        <w:rPr>
          <w:sz w:val="20"/>
          <w:szCs w:val="20"/>
          <w:color w:val="auto"/>
        </w:rPr>
      </w:pPr>
    </w:p>
    <w:p>
      <w:pPr>
        <w:ind w:left="2740"/>
        <w:spacing w:after="0"/>
        <w:rPr>
          <w:sz w:val="20"/>
          <w:szCs w:val="20"/>
          <w:color w:val="auto"/>
        </w:rPr>
      </w:pPr>
      <w:r>
        <w:rPr>
          <w:rFonts w:ascii="Arial" w:cs="Arial" w:eastAsia="Arial" w:hAnsi="Arial"/>
          <w:sz w:val="38"/>
          <w:szCs w:val="38"/>
          <w:color w:val="auto"/>
        </w:rPr>
        <w:t>5%</w:t>
      </w:r>
    </w:p>
    <w:p>
      <w:pPr>
        <w:ind w:left="2200"/>
        <w:spacing w:after="0"/>
        <w:rPr>
          <w:sz w:val="20"/>
          <w:szCs w:val="20"/>
          <w:color w:val="auto"/>
        </w:rPr>
      </w:pPr>
      <w:r>
        <w:rPr>
          <w:rFonts w:ascii="Arial" w:cs="Arial" w:eastAsia="Arial" w:hAnsi="Arial"/>
          <w:sz w:val="37"/>
          <w:szCs w:val="37"/>
          <w:color w:val="auto"/>
        </w:rPr>
        <w:t>11% CC</w:t>
      </w:r>
    </w:p>
    <w:p>
      <w:pPr>
        <w:spacing w:after="0" w:line="327" w:lineRule="exact"/>
        <w:rPr>
          <w:sz w:val="20"/>
          <w:szCs w:val="20"/>
          <w:color w:val="auto"/>
        </w:rPr>
      </w:pPr>
    </w:p>
    <w:p>
      <w:pPr>
        <w:ind w:left="2400"/>
        <w:spacing w:after="0"/>
        <w:rPr>
          <w:sz w:val="20"/>
          <w:szCs w:val="20"/>
          <w:color w:val="auto"/>
        </w:rPr>
      </w:pPr>
      <w:r>
        <w:rPr>
          <w:rFonts w:ascii="Arial" w:cs="Arial" w:eastAsia="Arial" w:hAnsi="Arial"/>
          <w:sz w:val="38"/>
          <w:szCs w:val="38"/>
          <w:color w:val="auto"/>
        </w:rPr>
        <w:t>12 bps</w:t>
      </w:r>
    </w:p>
    <w:p>
      <w:pPr>
        <w:spacing w:after="0" w:line="220" w:lineRule="exact"/>
        <w:rPr>
          <w:sz w:val="20"/>
          <w:szCs w:val="20"/>
          <w:color w:val="auto"/>
        </w:rPr>
      </w:pPr>
    </w:p>
    <w:p>
      <w:pPr>
        <w:ind w:left="2740"/>
        <w:spacing w:after="0"/>
        <w:rPr>
          <w:sz w:val="20"/>
          <w:szCs w:val="20"/>
          <w:color w:val="auto"/>
        </w:rPr>
      </w:pPr>
      <w:r>
        <w:rPr>
          <w:rFonts w:ascii="Arial" w:cs="Arial" w:eastAsia="Arial" w:hAnsi="Arial"/>
          <w:sz w:val="38"/>
          <w:szCs w:val="38"/>
          <w:color w:val="auto"/>
        </w:rPr>
        <w:t>5%</w:t>
      </w:r>
    </w:p>
    <w:p>
      <w:pPr>
        <w:ind w:left="2320"/>
        <w:spacing w:after="0"/>
        <w:rPr>
          <w:sz w:val="20"/>
          <w:szCs w:val="20"/>
          <w:color w:val="auto"/>
        </w:rPr>
      </w:pPr>
      <w:r>
        <w:rPr>
          <w:rFonts w:ascii="Arial" w:cs="Arial" w:eastAsia="Arial" w:hAnsi="Arial"/>
          <w:sz w:val="38"/>
          <w:szCs w:val="38"/>
          <w:color w:val="auto"/>
        </w:rPr>
        <w:t>5% CC</w:t>
      </w:r>
    </w:p>
    <w:p>
      <w:pPr>
        <w:spacing w:after="0" w:line="304" w:lineRule="exact"/>
        <w:rPr>
          <w:sz w:val="20"/>
          <w:szCs w:val="20"/>
          <w:color w:val="auto"/>
        </w:rPr>
      </w:pPr>
    </w:p>
    <w:p>
      <w:pPr>
        <w:ind w:left="2420"/>
        <w:spacing w:after="0"/>
        <w:rPr>
          <w:sz w:val="20"/>
          <w:szCs w:val="20"/>
          <w:color w:val="auto"/>
        </w:rPr>
      </w:pPr>
      <w:r>
        <w:rPr>
          <w:rFonts w:ascii="Arial" w:cs="Arial" w:eastAsia="Arial" w:hAnsi="Arial"/>
          <w:sz w:val="38"/>
          <w:szCs w:val="38"/>
          <w:color w:val="auto"/>
        </w:rPr>
        <w:t>14 bps</w:t>
      </w:r>
    </w:p>
    <w:p>
      <w:pPr>
        <w:spacing w:after="0" w:line="302" w:lineRule="exact"/>
        <w:rPr>
          <w:sz w:val="20"/>
          <w:szCs w:val="20"/>
          <w:color w:val="auto"/>
        </w:rPr>
      </w:pPr>
    </w:p>
    <w:p>
      <w:pPr>
        <w:ind w:left="2600"/>
        <w:spacing w:after="0"/>
        <w:rPr>
          <w:sz w:val="20"/>
          <w:szCs w:val="20"/>
          <w:color w:val="auto"/>
        </w:rPr>
      </w:pPr>
      <w:r>
        <w:rPr>
          <w:rFonts w:ascii="Arial" w:cs="Arial" w:eastAsia="Arial" w:hAnsi="Arial"/>
          <w:sz w:val="38"/>
          <w:szCs w:val="38"/>
          <w:color w:val="auto"/>
        </w:rPr>
        <w:t>69%</w:t>
      </w:r>
    </w:p>
    <w:p>
      <w:pPr>
        <w:ind w:left="2200"/>
        <w:spacing w:after="0"/>
        <w:rPr>
          <w:sz w:val="20"/>
          <w:szCs w:val="20"/>
          <w:color w:val="auto"/>
        </w:rPr>
      </w:pPr>
      <w:r>
        <w:rPr>
          <w:rFonts w:ascii="Arial" w:cs="Arial" w:eastAsia="Arial" w:hAnsi="Arial"/>
          <w:sz w:val="37"/>
          <w:szCs w:val="37"/>
          <w:color w:val="auto"/>
        </w:rPr>
        <w:t>86% CC</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1600" w:firstLine="59"/>
        <w:spacing w:after="0" w:line="457" w:lineRule="auto"/>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6698C2"/>
        </w:rPr>
        <w:t>$3.9B</w:t>
      </w:r>
      <w:r>
        <w:rPr>
          <w:rFonts w:ascii="Arial" w:cs="Arial" w:eastAsia="Arial" w:hAnsi="Arial"/>
          <w:sz w:val="41"/>
          <w:szCs w:val="41"/>
          <w:b w:val="1"/>
          <w:bCs w:val="1"/>
          <w:color w:val="auto"/>
        </w:rPr>
        <w:t xml:space="preserve"> Gross Margin </w:t>
      </w:r>
      <w:r>
        <w:rPr>
          <w:rFonts w:ascii="Arial" w:cs="Arial" w:eastAsia="Arial" w:hAnsi="Arial"/>
          <w:sz w:val="43"/>
          <w:szCs w:val="43"/>
          <w:b w:val="1"/>
          <w:bCs w:val="1"/>
          <w:color w:val="6698C2"/>
        </w:rPr>
        <w:t>18.3%</w:t>
      </w:r>
      <w:r>
        <w:rPr>
          <w:rFonts w:ascii="Arial" w:cs="Arial" w:eastAsia="Arial" w:hAnsi="Arial"/>
          <w:sz w:val="41"/>
          <w:szCs w:val="41"/>
          <w:b w:val="1"/>
          <w:bCs w:val="1"/>
          <w:color w:val="auto"/>
        </w:rPr>
        <w:t xml:space="preserve"> Operating Profit </w:t>
      </w:r>
      <w:r>
        <w:rPr>
          <w:rFonts w:ascii="Arial" w:cs="Arial" w:eastAsia="Arial" w:hAnsi="Arial"/>
          <w:sz w:val="43"/>
          <w:szCs w:val="43"/>
          <w:b w:val="1"/>
          <w:bCs w:val="1"/>
          <w:color w:val="6698C2"/>
        </w:rPr>
        <w:t>$60M</w:t>
      </w:r>
      <w:r>
        <w:rPr>
          <w:rFonts w:ascii="Arial" w:cs="Arial" w:eastAsia="Arial" w:hAnsi="Arial"/>
          <w:sz w:val="41"/>
          <w:szCs w:val="41"/>
          <w:b w:val="1"/>
          <w:bCs w:val="1"/>
          <w:color w:val="auto"/>
        </w:rPr>
        <w:t xml:space="preserve"> OP Margin </w:t>
      </w:r>
      <w:r>
        <w:rPr>
          <w:rFonts w:ascii="Arial" w:cs="Arial" w:eastAsia="Arial" w:hAnsi="Arial"/>
          <w:sz w:val="43"/>
          <w:szCs w:val="43"/>
          <w:b w:val="1"/>
          <w:bCs w:val="1"/>
          <w:color w:val="6698C2"/>
        </w:rPr>
        <w:t>1.5%</w:t>
      </w:r>
    </w:p>
    <w:p>
      <w:pPr>
        <w:spacing w:after="0" w:line="8" w:lineRule="exact"/>
        <w:rPr>
          <w:sz w:val="20"/>
          <w:szCs w:val="20"/>
          <w:color w:val="auto"/>
        </w:rPr>
      </w:pPr>
    </w:p>
    <w:p>
      <w:pPr>
        <w:ind w:left="40"/>
        <w:spacing w:after="0"/>
        <w:rPr>
          <w:sz w:val="20"/>
          <w:szCs w:val="20"/>
          <w:color w:val="auto"/>
        </w:rPr>
      </w:pPr>
      <w:r>
        <w:rPr>
          <w:rFonts w:ascii="Arial" w:cs="Arial" w:eastAsia="Arial" w:hAnsi="Arial"/>
          <w:sz w:val="41"/>
          <w:szCs w:val="41"/>
          <w:b w:val="1"/>
          <w:bCs w:val="1"/>
          <w:color w:val="auto"/>
        </w:rPr>
        <w:t xml:space="preserve">EPS  </w:t>
      </w:r>
      <w:r>
        <w:rPr>
          <w:rFonts w:ascii="Arial" w:cs="Arial" w:eastAsia="Arial" w:hAnsi="Arial"/>
          <w:sz w:val="43"/>
          <w:szCs w:val="43"/>
          <w:b w:val="1"/>
          <w:bCs w:val="1"/>
          <w:color w:val="6698C2"/>
        </w:rPr>
        <w:t>$ .59</w:t>
      </w:r>
      <w:r>
        <w:rPr>
          <w:rFonts w:ascii="Arial" w:cs="Arial" w:eastAsia="Arial" w:hAnsi="Arial"/>
          <w:sz w:val="41"/>
          <w:szCs w:val="41"/>
          <w:b w:val="1"/>
          <w:bCs w:val="1"/>
          <w:color w:val="auto"/>
        </w:rPr>
        <w:t xml:space="preserve"> </w:t>
      </w:r>
      <w:r>
        <w:rPr>
          <w:rFonts w:ascii="Arial" w:cs="Arial" w:eastAsia="Arial" w:hAnsi="Arial"/>
          <w:sz w:val="37"/>
          <w:szCs w:val="37"/>
          <w:color w:val="auto"/>
        </w:rPr>
        <w:t>(</w:t>
      </w:r>
      <w:r>
        <w:rPr>
          <w:rFonts w:ascii="Arial" w:cs="Arial" w:eastAsia="Arial" w:hAnsi="Arial"/>
          <w:sz w:val="37"/>
          <w:szCs w:val="37"/>
          <w:color w:val="6698C2"/>
        </w:rPr>
        <w:t>$ .48</w:t>
      </w:r>
      <w:r>
        <w:rPr>
          <w:rFonts w:ascii="Arial" w:cs="Arial" w:eastAsia="Arial" w:hAnsi="Arial"/>
          <w:sz w:val="41"/>
          <w:szCs w:val="41"/>
          <w:b w:val="1"/>
          <w:bCs w:val="1"/>
          <w:color w:val="auto"/>
        </w:rPr>
        <w:t xml:space="preserve"> </w:t>
      </w:r>
      <w:r>
        <w:rPr>
          <w:rFonts w:ascii="Arial" w:cs="Arial" w:eastAsia="Arial" w:hAnsi="Arial"/>
          <w:sz w:val="37"/>
          <w:szCs w:val="37"/>
          <w:color w:val="auto"/>
        </w:rPr>
        <w:t>as adjusted*)</w:t>
      </w:r>
    </w:p>
    <w:p>
      <w:pPr>
        <w:spacing w:after="0" w:line="312" w:lineRule="exact"/>
        <w:rPr>
          <w:sz w:val="20"/>
          <w:szCs w:val="20"/>
          <w:color w:val="auto"/>
        </w:rPr>
      </w:pPr>
    </w:p>
    <w:p>
      <w:pPr>
        <w:sectPr>
          <w:pgSz w:w="11900" w:h="16838" w:orient="portrait"/>
          <w:cols w:equalWidth="0" w:num="2">
            <w:col w:w="3600" w:space="300"/>
            <w:col w:w="6080"/>
          </w:cols>
          <w:pgMar w:left="1100" w:top="423" w:right="81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Throughout this presentation, the difference between reported variances and Constant Currency</w:t>
      </w:r>
    </w:p>
    <w:p>
      <w:pPr>
        <w:spacing w:after="0" w:line="28" w:lineRule="exact"/>
        <w:rPr>
          <w:sz w:val="20"/>
          <w:szCs w:val="20"/>
          <w:color w:val="auto"/>
        </w:rPr>
      </w:pPr>
    </w:p>
    <w:p>
      <w:pPr>
        <w:ind w:right="1440" w:firstLine="4"/>
        <w:spacing w:after="0" w:line="253" w:lineRule="auto"/>
        <w:tabs>
          <w:tab w:leader="none" w:pos="449" w:val="left"/>
        </w:tabs>
        <w:numPr>
          <w:ilvl w:val="1"/>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variances represents the impact of currency on our financial results. Constant Currency is further explained on our Web site.</w:t>
      </w:r>
    </w:p>
    <w:p>
      <w:pPr>
        <w:ind w:left="120" w:right="1080" w:hanging="141"/>
        <w:spacing w:after="0" w:line="260" w:lineRule="auto"/>
        <w:rPr>
          <w:rFonts w:ascii="Arial" w:cs="Arial" w:eastAsia="Arial" w:hAnsi="Arial"/>
          <w:sz w:val="19"/>
          <w:szCs w:val="19"/>
          <w:b w:val="1"/>
          <w:bCs w:val="1"/>
          <w:color w:val="auto"/>
        </w:rPr>
      </w:pPr>
      <w:r>
        <w:rPr>
          <w:rFonts w:ascii="Arial" w:cs="Arial" w:eastAsia="Arial" w:hAnsi="Arial"/>
          <w:sz w:val="19"/>
          <w:szCs w:val="19"/>
          <w:b w:val="1"/>
          <w:bCs w:val="1"/>
          <w:color w:val="auto"/>
        </w:rPr>
        <w:t>* Represents diluted earnings per share for the quarter adjusted to exclude the one-time non-operating gain and the expenses related to reorganization charges and Project Titan, a global cost reduction initiative. As Adjusted earnings are further explained on slide 14 of this presentation and on our Web site.</w:t>
      </w:r>
    </w:p>
    <w:p>
      <w:pPr>
        <w:sectPr>
          <w:pgSz w:w="11900" w:h="16838" w:orient="portrait"/>
          <w:cols w:equalWidth="0" w:num="1">
            <w:col w:w="9980"/>
          </w:cols>
          <w:pgMar w:left="1100" w:top="423" w:right="819" w:bottom="1440" w:gutter="0" w:footer="0" w:header="0"/>
          <w:type w:val="continuous"/>
        </w:sectPr>
      </w:pPr>
    </w:p>
    <w:bookmarkStart w:id="11" w:name="page12"/>
    <w:bookmarkEnd w:id="11"/>
    <w:tbl>
      <w:tblPr>
        <w:tblLayout w:type="fixed"/>
        <w:tblInd w:w="120" w:type="dxa"/>
        <w:tblCellMar>
          <w:top w:w="0" w:type="dxa"/>
          <w:left w:w="0" w:type="dxa"/>
          <w:bottom w:w="0" w:type="dxa"/>
          <w:right w:w="0" w:type="dxa"/>
        </w:tblCellMar>
      </w:tblPr>
      <w:tr>
        <w:trPr>
          <w:trHeight w:val="394"/>
        </w:trPr>
        <w:tc>
          <w:tcPr>
            <w:tcW w:w="684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47"/>
          <w:szCs w:val="47"/>
          <w:color w:val="7EA190"/>
        </w:rPr>
        <w:t>Consolidated Gross Profit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40" w:type="dxa"/>
            <w:vAlign w:val="bottom"/>
          </w:tcPr>
          <w:p>
            <w:pPr>
              <w:spacing w:after="0"/>
              <w:rPr>
                <w:sz w:val="23"/>
                <w:szCs w:val="23"/>
                <w:color w:val="auto"/>
              </w:rPr>
            </w:pPr>
          </w:p>
        </w:tc>
        <w:tc>
          <w:tcPr>
            <w:tcW w:w="5420" w:type="dxa"/>
            <w:vAlign w:val="bottom"/>
          </w:tcPr>
          <w:p>
            <w:pPr>
              <w:jc w:val="right"/>
              <w:ind w:right="500"/>
              <w:spacing w:after="0"/>
              <w:rPr>
                <w:sz w:val="20"/>
                <w:szCs w:val="20"/>
                <w:color w:val="auto"/>
              </w:rPr>
            </w:pPr>
            <w:r>
              <w:rPr>
                <w:rFonts w:ascii="Arial" w:cs="Arial" w:eastAsia="Arial" w:hAnsi="Arial"/>
                <w:sz w:val="20"/>
                <w:szCs w:val="20"/>
                <w:b w:val="1"/>
                <w:bCs w:val="1"/>
                <w:color w:val="auto"/>
              </w:rPr>
              <w:t>+ 0.24%</w:t>
            </w:r>
          </w:p>
        </w:tc>
        <w:tc>
          <w:tcPr>
            <w:tcW w:w="3200" w:type="dxa"/>
            <w:vAlign w:val="bottom"/>
          </w:tcPr>
          <w:p>
            <w:pPr>
              <w:jc w:val="right"/>
              <w:ind w:right="1820"/>
              <w:spacing w:after="0"/>
              <w:rPr>
                <w:sz w:val="20"/>
                <w:szCs w:val="20"/>
                <w:color w:val="auto"/>
              </w:rPr>
            </w:pPr>
            <w:r>
              <w:rPr>
                <w:rFonts w:ascii="Arial" w:cs="Arial" w:eastAsia="Arial" w:hAnsi="Arial"/>
                <w:sz w:val="20"/>
                <w:szCs w:val="20"/>
                <w:b w:val="1"/>
                <w:bCs w:val="1"/>
                <w:color w:val="auto"/>
              </w:rPr>
              <w:t>- 0.22%</w:t>
            </w:r>
          </w:p>
        </w:tc>
        <w:tc>
          <w:tcPr>
            <w:tcW w:w="0" w:type="dxa"/>
            <w:vAlign w:val="bottom"/>
          </w:tcPr>
          <w:p>
            <w:pPr>
              <w:spacing w:after="0"/>
              <w:rPr>
                <w:sz w:val="1"/>
                <w:szCs w:val="1"/>
                <w:color w:val="auto"/>
              </w:rPr>
            </w:pPr>
          </w:p>
        </w:tc>
      </w:tr>
      <w:tr>
        <w:trPr>
          <w:trHeight w:val="306"/>
        </w:trPr>
        <w:tc>
          <w:tcPr>
            <w:tcW w:w="840" w:type="dxa"/>
            <w:vAlign w:val="bottom"/>
          </w:tcPr>
          <w:p>
            <w:pPr>
              <w:spacing w:after="0"/>
              <w:rPr>
                <w:sz w:val="24"/>
                <w:szCs w:val="24"/>
                <w:color w:val="auto"/>
              </w:rPr>
            </w:pPr>
          </w:p>
        </w:tc>
        <w:tc>
          <w:tcPr>
            <w:tcW w:w="5420" w:type="dxa"/>
            <w:vAlign w:val="bottom"/>
          </w:tcPr>
          <w:p>
            <w:pPr>
              <w:jc w:val="right"/>
              <w:ind w:right="2360"/>
              <w:spacing w:after="0"/>
              <w:rPr>
                <w:sz w:val="20"/>
                <w:szCs w:val="20"/>
                <w:color w:val="auto"/>
              </w:rPr>
            </w:pPr>
            <w:r>
              <w:rPr>
                <w:rFonts w:ascii="Arial" w:cs="Arial" w:eastAsia="Arial" w:hAnsi="Arial"/>
                <w:sz w:val="20"/>
                <w:szCs w:val="20"/>
                <w:b w:val="1"/>
                <w:bCs w:val="1"/>
                <w:color w:val="auto"/>
              </w:rPr>
              <w:t>+ 0.10%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40" w:type="dxa"/>
            <w:vAlign w:val="bottom"/>
            <w:vMerge w:val="restart"/>
          </w:tcPr>
          <w:p>
            <w:pPr>
              <w:jc w:val="right"/>
              <w:ind w:right="288"/>
              <w:spacing w:after="0"/>
              <w:rPr>
                <w:sz w:val="20"/>
                <w:szCs w:val="20"/>
                <w:color w:val="auto"/>
              </w:rPr>
            </w:pPr>
            <w:r>
              <w:rPr>
                <w:rFonts w:ascii="Arial" w:cs="Arial" w:eastAsia="Arial" w:hAnsi="Arial"/>
                <w:sz w:val="22"/>
                <w:szCs w:val="22"/>
                <w:b w:val="1"/>
                <w:bCs w:val="1"/>
                <w:color w:val="auto"/>
                <w:w w:val="95"/>
              </w:rPr>
              <w:t>18%</w:t>
            </w:r>
          </w:p>
        </w:tc>
        <w:tc>
          <w:tcPr>
            <w:tcW w:w="5420" w:type="dxa"/>
            <w:vAlign w:val="bottom"/>
            <w:vMerge w:val="restart"/>
          </w:tcPr>
          <w:p>
            <w:pPr>
              <w:jc w:val="right"/>
              <w:ind w:right="4260"/>
              <w:spacing w:after="0"/>
              <w:rPr>
                <w:sz w:val="20"/>
                <w:szCs w:val="20"/>
                <w:color w:val="auto"/>
              </w:rPr>
            </w:pPr>
            <w:r>
              <w:rPr>
                <w:rFonts w:ascii="Arial" w:cs="Arial" w:eastAsia="Arial" w:hAnsi="Arial"/>
                <w:sz w:val="20"/>
                <w:szCs w:val="20"/>
                <w:b w:val="1"/>
                <w:bCs w:val="1"/>
                <w:color w:val="FFFFFF"/>
              </w:rPr>
              <w:t>18.14%</w:t>
            </w:r>
          </w:p>
        </w:tc>
        <w:tc>
          <w:tcPr>
            <w:tcW w:w="3200" w:type="dxa"/>
            <w:vAlign w:val="bottom"/>
          </w:tcPr>
          <w:p>
            <w:pPr>
              <w:jc w:val="right"/>
              <w:spacing w:after="0"/>
              <w:rPr>
                <w:sz w:val="20"/>
                <w:szCs w:val="20"/>
                <w:color w:val="auto"/>
              </w:rPr>
            </w:pPr>
            <w:r>
              <w:rPr>
                <w:rFonts w:ascii="Arial" w:cs="Arial" w:eastAsia="Arial" w:hAnsi="Arial"/>
                <w:sz w:val="20"/>
                <w:szCs w:val="20"/>
                <w:b w:val="1"/>
                <w:bCs w:val="1"/>
                <w:color w:val="FFFFFF"/>
              </w:rPr>
              <w:t>18.26%</w:t>
            </w:r>
          </w:p>
        </w:tc>
        <w:tc>
          <w:tcPr>
            <w:tcW w:w="0" w:type="dxa"/>
            <w:vAlign w:val="bottom"/>
          </w:tcPr>
          <w:p>
            <w:pPr>
              <w:spacing w:after="0"/>
              <w:rPr>
                <w:sz w:val="1"/>
                <w:szCs w:val="1"/>
                <w:color w:val="auto"/>
              </w:rPr>
            </w:pPr>
          </w:p>
        </w:tc>
      </w:tr>
      <w:tr>
        <w:trPr>
          <w:trHeight w:val="153"/>
        </w:trPr>
        <w:tc>
          <w:tcPr>
            <w:tcW w:w="840" w:type="dxa"/>
            <w:vAlign w:val="bottom"/>
            <w:vMerge w:val="continue"/>
          </w:tcPr>
          <w:p>
            <w:pPr>
              <w:spacing w:after="0"/>
              <w:rPr>
                <w:sz w:val="13"/>
                <w:szCs w:val="13"/>
                <w:color w:val="auto"/>
              </w:rPr>
            </w:pPr>
          </w:p>
        </w:tc>
        <w:tc>
          <w:tcPr>
            <w:tcW w:w="5420" w:type="dxa"/>
            <w:vAlign w:val="bottom"/>
            <w:vMerge w:val="continue"/>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w:t>
      </w:r>
    </w:p>
    <w:p>
      <w:pPr>
        <w:spacing w:after="0" w:line="66"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rPr>
              <w:t>Q1 2005</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6"/>
              </w:rPr>
              <w:t>Temporary</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6"/>
              </w:rPr>
              <w:t>Permanent</w:t>
            </w:r>
          </w:p>
        </w:tc>
        <w:tc>
          <w:tcPr>
            <w:tcW w:w="1920" w:type="dxa"/>
            <w:vAlign w:val="bottom"/>
          </w:tcPr>
          <w:p>
            <w:pPr>
              <w:ind w:left="460"/>
              <w:spacing w:after="0"/>
              <w:rPr>
                <w:sz w:val="20"/>
                <w:szCs w:val="20"/>
                <w:color w:val="auto"/>
              </w:rPr>
            </w:pPr>
            <w:r>
              <w:rPr>
                <w:rFonts w:ascii="Arial" w:cs="Arial" w:eastAsia="Arial" w:hAnsi="Arial"/>
                <w:sz w:val="18"/>
                <w:szCs w:val="18"/>
                <w:b w:val="1"/>
                <w:bCs w:val="1"/>
                <w:color w:val="auto"/>
              </w:rPr>
              <w:t>Mix - Right</w:t>
            </w:r>
          </w:p>
        </w:tc>
        <w:tc>
          <w:tcPr>
            <w:tcW w:w="1220" w:type="dxa"/>
            <w:vAlign w:val="bottom"/>
          </w:tcPr>
          <w:p>
            <w:pPr>
              <w:ind w:left="540"/>
              <w:spacing w:after="0"/>
              <w:rPr>
                <w:sz w:val="20"/>
                <w:szCs w:val="20"/>
                <w:color w:val="auto"/>
              </w:rPr>
            </w:pPr>
            <w:r>
              <w:rPr>
                <w:rFonts w:ascii="Arial" w:cs="Arial" w:eastAsia="Arial" w:hAnsi="Arial"/>
                <w:sz w:val="18"/>
                <w:szCs w:val="18"/>
                <w:b w:val="1"/>
                <w:bCs w:val="1"/>
                <w:color w:val="auto"/>
                <w:w w:val="95"/>
              </w:rPr>
              <w:t>Q1 2006</w:t>
            </w:r>
          </w:p>
        </w:tc>
      </w:tr>
      <w:tr>
        <w:trPr>
          <w:trHeight w:val="235"/>
        </w:trPr>
        <w:tc>
          <w:tcPr>
            <w:tcW w:w="12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7"/>
              </w:rPr>
              <w:t>Recruitment</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7"/>
              </w:rPr>
              <w:t>Recruitment</w:t>
            </w:r>
          </w:p>
        </w:tc>
        <w:tc>
          <w:tcPr>
            <w:tcW w:w="19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ectPr>
          <w:pgSz w:w="11900" w:h="16838" w:orient="portrait"/>
          <w:cols w:equalWidth="0" w:num="1">
            <w:col w:w="9980"/>
          </w:cols>
          <w:pgMar w:left="1100" w:top="423" w:right="81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394"/>
        </w:trPr>
        <w:tc>
          <w:tcPr>
            <w:tcW w:w="682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5</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Arial" w:cs="Arial" w:eastAsia="Arial" w:hAnsi="Arial"/>
          <w:sz w:val="47"/>
          <w:szCs w:val="47"/>
          <w:color w:val="C8504F"/>
        </w:rPr>
        <w:t>United States Segment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40"/>
        <w:spacing w:after="0"/>
        <w:rPr>
          <w:sz w:val="20"/>
          <w:szCs w:val="20"/>
          <w:color w:val="auto"/>
        </w:rPr>
      </w:pPr>
      <w:r>
        <w:rPr>
          <w:rFonts w:ascii="Arial" w:cs="Arial" w:eastAsia="Arial" w:hAnsi="Arial"/>
          <w:sz w:val="41"/>
          <w:szCs w:val="41"/>
          <w:b w:val="1"/>
          <w:bCs w:val="1"/>
          <w:color w:val="auto"/>
        </w:rPr>
        <w:t>Q1 Financial Highlights</w:t>
      </w:r>
    </w:p>
    <w:p>
      <w:pPr>
        <w:spacing w:after="0" w:line="399" w:lineRule="exact"/>
        <w:rPr>
          <w:sz w:val="20"/>
          <w:szCs w:val="20"/>
          <w:color w:val="auto"/>
        </w:rPr>
      </w:pPr>
    </w:p>
    <w:p>
      <w:pPr>
        <w:ind w:left="2260"/>
        <w:spacing w:after="0"/>
        <w:tabs>
          <w:tab w:leader="none" w:pos="3480" w:val="left"/>
        </w:tabs>
        <w:rPr>
          <w:sz w:val="20"/>
          <w:szCs w:val="20"/>
          <w:color w:val="auto"/>
        </w:rPr>
      </w:pPr>
      <w:r>
        <w:rPr>
          <w:rFonts w:ascii="Arial" w:cs="Arial" w:eastAsia="Arial" w:hAnsi="Arial"/>
          <w:sz w:val="38"/>
          <w:szCs w:val="38"/>
          <w:color w:val="auto"/>
        </w:rPr>
        <w:t>7%</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$510M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80"/>
        <w:spacing w:after="0"/>
        <w:tabs>
          <w:tab w:leader="none" w:pos="3520" w:val="left"/>
        </w:tabs>
        <w:rPr>
          <w:sz w:val="20"/>
          <w:szCs w:val="20"/>
          <w:color w:val="auto"/>
        </w:rPr>
      </w:pPr>
      <w:r>
        <w:rPr>
          <w:rFonts w:ascii="Arial" w:cs="Arial" w:eastAsia="Arial" w:hAnsi="Arial"/>
          <w:sz w:val="38"/>
          <w:szCs w:val="38"/>
          <w:color w:val="auto"/>
        </w:rPr>
        <w:t>93%</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$9M</w:t>
      </w:r>
    </w:p>
    <w:p>
      <w:pPr>
        <w:spacing w:after="0" w:line="200" w:lineRule="exact"/>
        <w:rPr>
          <w:sz w:val="20"/>
          <w:szCs w:val="20"/>
          <w:color w:val="auto"/>
        </w:rPr>
      </w:pPr>
    </w:p>
    <w:p>
      <w:pPr>
        <w:spacing w:after="0" w:line="399" w:lineRule="exact"/>
        <w:rPr>
          <w:sz w:val="20"/>
          <w:szCs w:val="20"/>
          <w:color w:val="auto"/>
        </w:rPr>
      </w:pPr>
    </w:p>
    <w:p>
      <w:pPr>
        <w:ind w:left="1900"/>
        <w:spacing w:after="0"/>
        <w:tabs>
          <w:tab w:leader="none" w:pos="3500" w:val="left"/>
        </w:tabs>
        <w:rPr>
          <w:sz w:val="20"/>
          <w:szCs w:val="20"/>
          <w:color w:val="auto"/>
        </w:rPr>
      </w:pPr>
      <w:r>
        <w:rPr>
          <w:rFonts w:ascii="Arial" w:cs="Arial" w:eastAsia="Arial" w:hAnsi="Arial"/>
          <w:sz w:val="38"/>
          <w:szCs w:val="38"/>
          <w:color w:val="auto"/>
        </w:rPr>
        <w:t>90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20"/>
        <w:spacing w:after="0" w:line="265" w:lineRule="auto"/>
        <w:rPr>
          <w:sz w:val="20"/>
          <w:szCs w:val="20"/>
          <w:color w:val="auto"/>
        </w:rPr>
      </w:pPr>
      <w:r>
        <w:rPr>
          <w:rFonts w:ascii="Arial" w:cs="Arial" w:eastAsia="Arial" w:hAnsi="Arial"/>
          <w:sz w:val="22"/>
          <w:szCs w:val="22"/>
          <w:b w:val="1"/>
          <w:bCs w:val="1"/>
          <w:color w:val="auto"/>
        </w:rPr>
        <w:t>Operating Unit Profit (OUP) is the measure that we use to evaluate segment performance. OUP is equal to segment revenues less direct costs and branch and national headquarters operating costs.</w:t>
      </w:r>
    </w:p>
    <w:p>
      <w:pPr>
        <w:sectPr>
          <w:pgSz w:w="11900" w:h="16838" w:orient="portrait"/>
          <w:cols w:equalWidth="0" w:num="1">
            <w:col w:w="9940"/>
          </w:cols>
          <w:pgMar w:left="1140" w:top="423" w:right="8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394"/>
        </w:trPr>
        <w:tc>
          <w:tcPr>
            <w:tcW w:w="684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20" w:type="dxa"/>
            <w:vAlign w:val="bottom"/>
          </w:tcPr>
          <w:p>
            <w:pPr>
              <w:jc w:val="right"/>
              <w:spacing w:after="0"/>
              <w:rPr>
                <w:sz w:val="20"/>
                <w:szCs w:val="20"/>
                <w:color w:val="auto"/>
              </w:rPr>
            </w:pPr>
            <w:r>
              <w:rPr>
                <w:rFonts w:ascii="Arial" w:cs="Arial" w:eastAsia="Arial" w:hAnsi="Arial"/>
                <w:sz w:val="22"/>
                <w:szCs w:val="22"/>
                <w:color w:val="FFFFFF"/>
              </w:rPr>
              <w:t>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7"/>
          <w:szCs w:val="47"/>
          <w:color w:val="D47C18"/>
        </w:rPr>
        <w:t>France Segment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Q1 Financial Highlights</w:t>
            </w:r>
          </w:p>
        </w:tc>
        <w:tc>
          <w:tcPr>
            <w:tcW w:w="0" w:type="dxa"/>
            <w:vAlign w:val="bottom"/>
          </w:tcPr>
          <w:p>
            <w:pPr>
              <w:spacing w:after="0"/>
              <w:rPr>
                <w:sz w:val="1"/>
                <w:szCs w:val="1"/>
                <w:color w:val="auto"/>
              </w:rPr>
            </w:pPr>
          </w:p>
        </w:tc>
      </w:tr>
      <w:tr>
        <w:trPr>
          <w:trHeight w:val="676"/>
        </w:trPr>
        <w:tc>
          <w:tcPr>
            <w:tcW w:w="1560" w:type="dxa"/>
            <w:vAlign w:val="bottom"/>
          </w:tcPr>
          <w:p>
            <w:pPr>
              <w:ind w:left="540"/>
              <w:spacing w:after="0"/>
              <w:rPr>
                <w:sz w:val="20"/>
                <w:szCs w:val="20"/>
                <w:color w:val="auto"/>
              </w:rPr>
            </w:pPr>
            <w:r>
              <w:rPr>
                <w:rFonts w:ascii="Arial" w:cs="Arial" w:eastAsia="Arial" w:hAnsi="Arial"/>
                <w:sz w:val="38"/>
                <w:szCs w:val="38"/>
                <w:color w:val="auto"/>
              </w:rPr>
              <w:t>1%</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$1.3B</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10%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560" w:type="dxa"/>
            <w:vAlign w:val="bottom"/>
            <w:vMerge w:val="restart"/>
          </w:tcPr>
          <w:p>
            <w:pPr>
              <w:ind w:left="520"/>
              <w:spacing w:after="0"/>
              <w:rPr>
                <w:sz w:val="20"/>
                <w:szCs w:val="20"/>
                <w:color w:val="auto"/>
              </w:rPr>
            </w:pPr>
            <w:r>
              <w:rPr>
                <w:rFonts w:ascii="Arial" w:cs="Arial" w:eastAsia="Arial" w:hAnsi="Arial"/>
                <w:sz w:val="38"/>
                <w:szCs w:val="38"/>
                <w:color w:val="auto"/>
              </w:rPr>
              <w:t>8%</w:t>
            </w:r>
          </w:p>
        </w:tc>
        <w:tc>
          <w:tcPr>
            <w:tcW w:w="4780" w:type="dxa"/>
            <w:vAlign w:val="bottom"/>
          </w:tcPr>
          <w:p>
            <w:pPr>
              <w:ind w:left="200"/>
              <w:spacing w:after="0"/>
              <w:rPr>
                <w:sz w:val="20"/>
                <w:szCs w:val="20"/>
                <w:color w:val="auto"/>
              </w:rPr>
            </w:pPr>
            <w:r>
              <w:rPr>
                <w:rFonts w:ascii="Arial" w:cs="Arial" w:eastAsia="Arial" w:hAnsi="Arial"/>
                <w:sz w:val="32"/>
                <w:szCs w:val="32"/>
                <w:color w:val="FFFFFF"/>
              </w:rPr>
              <w:t>contemporary working</w:t>
            </w:r>
          </w:p>
        </w:tc>
        <w:tc>
          <w:tcPr>
            <w:tcW w:w="0" w:type="dxa"/>
            <w:vAlign w:val="bottom"/>
          </w:tcPr>
          <w:p>
            <w:pPr>
              <w:spacing w:after="0"/>
              <w:rPr>
                <w:sz w:val="1"/>
                <w:szCs w:val="1"/>
                <w:color w:val="auto"/>
              </w:rPr>
            </w:pPr>
          </w:p>
        </w:tc>
      </w:tr>
      <w:tr>
        <w:trPr>
          <w:trHeight w:val="236"/>
        </w:trPr>
        <w:tc>
          <w:tcPr>
            <w:tcW w:w="1560" w:type="dxa"/>
            <w:vAlign w:val="bottom"/>
            <w:vMerge w:val="continue"/>
          </w:tcPr>
          <w:p>
            <w:pPr>
              <w:spacing w:after="0"/>
              <w:rPr>
                <w:sz w:val="20"/>
                <w:szCs w:val="20"/>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$30M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18%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9"/>
              </w:rPr>
              <w:t>20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2.4%</w:t>
            </w:r>
          </w:p>
        </w:tc>
        <w:tc>
          <w:tcPr>
            <w:tcW w:w="0" w:type="dxa"/>
            <w:vAlign w:val="bottom"/>
          </w:tcPr>
          <w:p>
            <w:pPr>
              <w:spacing w:after="0"/>
              <w:rPr>
                <w:sz w:val="1"/>
                <w:szCs w:val="1"/>
                <w:color w:val="auto"/>
              </w:rPr>
            </w:pPr>
          </w:p>
        </w:tc>
      </w:tr>
    </w:tbl>
    <w:p>
      <w:pPr>
        <w:sectPr>
          <w:pgSz w:w="11900" w:h="16838" w:orient="portrait"/>
          <w:cols w:equalWidth="0" w:num="1">
            <w:col w:w="9860"/>
          </w:cols>
          <w:pgMar w:left="1220" w:top="423" w:right="81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94"/>
        </w:trPr>
        <w:tc>
          <w:tcPr>
            <w:tcW w:w="682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7</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47"/>
          <w:szCs w:val="47"/>
          <w:color w:val="5F81AA"/>
        </w:rPr>
        <w:t>EMEA Segment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Q1 Financial Highlights</w:t>
            </w:r>
          </w:p>
        </w:tc>
        <w:tc>
          <w:tcPr>
            <w:tcW w:w="0" w:type="dxa"/>
            <w:vAlign w:val="bottom"/>
          </w:tcPr>
          <w:p>
            <w:pPr>
              <w:spacing w:after="0"/>
              <w:rPr>
                <w:sz w:val="1"/>
                <w:szCs w:val="1"/>
                <w:color w:val="auto"/>
              </w:rPr>
            </w:pPr>
          </w:p>
        </w:tc>
      </w:tr>
      <w:tr>
        <w:trPr>
          <w:trHeight w:val="676"/>
        </w:trPr>
        <w:tc>
          <w:tcPr>
            <w:tcW w:w="1560" w:type="dxa"/>
            <w:vAlign w:val="bottom"/>
          </w:tcPr>
          <w:p>
            <w:pPr>
              <w:jc w:val="right"/>
              <w:ind w:right="272"/>
              <w:spacing w:after="0"/>
              <w:rPr>
                <w:sz w:val="20"/>
                <w:szCs w:val="20"/>
                <w:color w:val="auto"/>
              </w:rPr>
            </w:pPr>
            <w:r>
              <w:rPr>
                <w:rFonts w:ascii="Arial" w:cs="Arial" w:eastAsia="Arial" w:hAnsi="Arial"/>
                <w:sz w:val="38"/>
                <w:szCs w:val="38"/>
                <w:color w:val="auto"/>
              </w:rPr>
              <w:t>6%</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5F81AA"/>
              </w:rPr>
              <w:t>$1.4B</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15%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560" w:type="dxa"/>
            <w:vAlign w:val="bottom"/>
            <w:vMerge w:val="restart"/>
          </w:tcPr>
          <w:p>
            <w:pPr>
              <w:jc w:val="right"/>
              <w:ind w:right="192"/>
              <w:spacing w:after="0"/>
              <w:rPr>
                <w:sz w:val="20"/>
                <w:szCs w:val="20"/>
                <w:color w:val="auto"/>
              </w:rPr>
            </w:pPr>
            <w:r>
              <w:rPr>
                <w:rFonts w:ascii="Arial" w:cs="Arial" w:eastAsia="Arial" w:hAnsi="Arial"/>
                <w:sz w:val="38"/>
                <w:szCs w:val="38"/>
                <w:color w:val="auto"/>
              </w:rPr>
              <w:t>54%</w:t>
            </w:r>
          </w:p>
        </w:tc>
        <w:tc>
          <w:tcPr>
            <w:tcW w:w="4780" w:type="dxa"/>
            <w:vAlign w:val="bottom"/>
          </w:tcPr>
          <w:p>
            <w:pPr>
              <w:ind w:left="200"/>
              <w:spacing w:after="0"/>
              <w:rPr>
                <w:sz w:val="20"/>
                <w:szCs w:val="20"/>
                <w:color w:val="auto"/>
              </w:rPr>
            </w:pPr>
            <w:r>
              <w:rPr>
                <w:rFonts w:ascii="Arial" w:cs="Arial" w:eastAsia="Arial" w:hAnsi="Arial"/>
                <w:sz w:val="32"/>
                <w:szCs w:val="32"/>
                <w:color w:val="FFFFFF"/>
              </w:rPr>
              <w:t>contemporary working</w:t>
            </w:r>
          </w:p>
        </w:tc>
        <w:tc>
          <w:tcPr>
            <w:tcW w:w="0" w:type="dxa"/>
            <w:vAlign w:val="bottom"/>
          </w:tcPr>
          <w:p>
            <w:pPr>
              <w:spacing w:after="0"/>
              <w:rPr>
                <w:sz w:val="1"/>
                <w:szCs w:val="1"/>
                <w:color w:val="auto"/>
              </w:rPr>
            </w:pPr>
          </w:p>
        </w:tc>
      </w:tr>
      <w:tr>
        <w:trPr>
          <w:trHeight w:val="236"/>
        </w:trPr>
        <w:tc>
          <w:tcPr>
            <w:tcW w:w="1560" w:type="dxa"/>
            <w:vAlign w:val="bottom"/>
            <w:vMerge w:val="continue"/>
          </w:tcPr>
          <w:p>
            <w:pPr>
              <w:spacing w:after="0"/>
              <w:rPr>
                <w:sz w:val="20"/>
                <w:szCs w:val="20"/>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5F81AA"/>
              </w:rPr>
              <w:t>$23M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69%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9"/>
              </w:rPr>
              <w:t>50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1.6%</w:t>
            </w:r>
          </w:p>
        </w:tc>
        <w:tc>
          <w:tcPr>
            <w:tcW w:w="0" w:type="dxa"/>
            <w:vAlign w:val="bottom"/>
          </w:tcPr>
          <w:p>
            <w:pPr>
              <w:spacing w:after="0"/>
              <w:rPr>
                <w:sz w:val="1"/>
                <w:szCs w:val="1"/>
                <w:color w:val="auto"/>
              </w:rPr>
            </w:pPr>
          </w:p>
        </w:tc>
      </w:tr>
    </w:tbl>
    <w:p>
      <w:pPr>
        <w:sectPr>
          <w:pgSz w:w="11900" w:h="16838" w:orient="portrait"/>
          <w:cols w:equalWidth="0" w:num="1">
            <w:col w:w="9860"/>
          </w:cols>
          <w:pgMar w:left="1220" w:top="423" w:right="81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11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2711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94"/>
        </w:trPr>
        <w:tc>
          <w:tcPr>
            <w:tcW w:w="682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8</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
        <w:spacing w:after="0"/>
        <w:rPr>
          <w:sz w:val="20"/>
          <w:szCs w:val="20"/>
          <w:color w:val="auto"/>
        </w:rPr>
      </w:pPr>
      <w:r>
        <w:rPr>
          <w:rFonts w:ascii="Arial" w:cs="Arial" w:eastAsia="Arial" w:hAnsi="Arial"/>
          <w:sz w:val="47"/>
          <w:szCs w:val="47"/>
          <w:color w:val="6698C2"/>
        </w:rPr>
        <w:t>EMEA – Q1 Revenue Growth YoY</w:t>
      </w:r>
    </w:p>
    <w:p>
      <w:pPr>
        <w:sectPr>
          <w:pgSz w:w="11900" w:h="16838" w:orient="portrait"/>
          <w:cols w:equalWidth="0" w:num="1">
            <w:col w:w="9870"/>
          </w:cols>
          <w:pgMar w:left="1210" w:top="423" w:right="819" w:bottom="1440" w:gutter="0" w:footer="0" w:header="0"/>
        </w:sectPr>
      </w:pPr>
    </w:p>
    <w:p>
      <w:pPr>
        <w:spacing w:after="0" w:line="397" w:lineRule="exact"/>
        <w:rPr>
          <w:sz w:val="20"/>
          <w:szCs w:val="20"/>
          <w:color w:val="auto"/>
        </w:rPr>
      </w:pPr>
    </w:p>
    <w:p>
      <w:pPr>
        <w:ind w:left="10" w:right="1360" w:hanging="10"/>
        <w:spacing w:after="0" w:line="317" w:lineRule="auto"/>
        <w:tabs>
          <w:tab w:leader="none" w:pos="284"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1" w:lineRule="exact"/>
        <w:rPr>
          <w:sz w:val="20"/>
          <w:szCs w:val="20"/>
          <w:color w:val="auto"/>
        </w:rPr>
      </w:pPr>
    </w:p>
    <w:p>
      <w:pPr>
        <w:ind w:left="50"/>
        <w:spacing w:after="0"/>
        <w:tabs>
          <w:tab w:leader="none" w:pos="1830" w:val="left"/>
        </w:tabs>
        <w:rPr>
          <w:sz w:val="20"/>
          <w:szCs w:val="20"/>
          <w:color w:val="auto"/>
        </w:rPr>
      </w:pPr>
      <w:r>
        <w:rPr>
          <w:rFonts w:ascii="Arial" w:cs="Arial" w:eastAsia="Arial" w:hAnsi="Arial"/>
          <w:sz w:val="28"/>
          <w:szCs w:val="28"/>
          <w:b w:val="1"/>
          <w:bCs w:val="1"/>
          <w:color w:val="D47C18"/>
        </w:rPr>
        <w:t>18%</w:t>
      </w:r>
      <w:r>
        <w:rPr>
          <w:sz w:val="20"/>
          <w:szCs w:val="20"/>
          <w:color w:val="auto"/>
        </w:rPr>
        <w:tab/>
      </w:r>
      <w:r>
        <w:rPr>
          <w:rFonts w:ascii="Arial" w:cs="Arial" w:eastAsia="Arial" w:hAnsi="Arial"/>
          <w:sz w:val="27"/>
          <w:szCs w:val="27"/>
          <w:b w:val="1"/>
          <w:bCs w:val="1"/>
          <w:color w:val="auto"/>
        </w:rPr>
        <w:t>Nordics</w:t>
      </w:r>
    </w:p>
    <w:p>
      <w:pPr>
        <w:spacing w:after="0" w:line="253" w:lineRule="exact"/>
        <w:rPr>
          <w:sz w:val="20"/>
          <w:szCs w:val="20"/>
          <w:color w:val="auto"/>
        </w:rPr>
      </w:pPr>
    </w:p>
    <w:p>
      <w:pPr>
        <w:ind w:left="50"/>
        <w:spacing w:after="0"/>
        <w:tabs>
          <w:tab w:leader="none" w:pos="2350" w:val="left"/>
        </w:tabs>
        <w:rPr>
          <w:sz w:val="20"/>
          <w:szCs w:val="20"/>
          <w:color w:val="auto"/>
        </w:rPr>
      </w:pPr>
      <w:r>
        <w:rPr>
          <w:rFonts w:ascii="Arial" w:cs="Arial" w:eastAsia="Arial" w:hAnsi="Arial"/>
          <w:sz w:val="27"/>
          <w:szCs w:val="27"/>
          <w:b w:val="1"/>
          <w:bCs w:val="1"/>
          <w:color w:val="D47C18"/>
        </w:rPr>
        <w:t>17%</w:t>
      </w:r>
      <w:r>
        <w:rPr>
          <w:sz w:val="20"/>
          <w:szCs w:val="20"/>
          <w:color w:val="auto"/>
        </w:rPr>
        <w:tab/>
      </w:r>
      <w:r>
        <w:rPr>
          <w:rFonts w:ascii="Arial" w:cs="Arial" w:eastAsia="Arial" w:hAnsi="Arial"/>
          <w:sz w:val="26"/>
          <w:szCs w:val="26"/>
          <w:b w:val="1"/>
          <w:bCs w:val="1"/>
          <w:color w:val="auto"/>
        </w:rPr>
        <w:t>Italy</w:t>
      </w:r>
    </w:p>
    <w:p>
      <w:pPr>
        <w:spacing w:after="0" w:line="289" w:lineRule="exact"/>
        <w:rPr>
          <w:sz w:val="20"/>
          <w:szCs w:val="20"/>
          <w:color w:val="auto"/>
        </w:rPr>
      </w:pPr>
    </w:p>
    <w:p>
      <w:pPr>
        <w:ind w:left="50"/>
        <w:spacing w:after="0"/>
        <w:tabs>
          <w:tab w:leader="none" w:pos="870" w:val="left"/>
        </w:tabs>
        <w:rPr>
          <w:sz w:val="20"/>
          <w:szCs w:val="20"/>
          <w:color w:val="auto"/>
        </w:rPr>
      </w:pPr>
      <w:r>
        <w:rPr>
          <w:rFonts w:ascii="Arial" w:cs="Arial" w:eastAsia="Arial" w:hAnsi="Arial"/>
          <w:sz w:val="28"/>
          <w:szCs w:val="28"/>
          <w:b w:val="1"/>
          <w:bCs w:val="1"/>
          <w:color w:val="D47C18"/>
        </w:rPr>
        <w:t>16%</w:t>
      </w:r>
      <w:r>
        <w:rPr>
          <w:sz w:val="20"/>
          <w:szCs w:val="20"/>
          <w:color w:val="auto"/>
        </w:rPr>
        <w:tab/>
      </w:r>
      <w:r>
        <w:rPr>
          <w:rFonts w:ascii="Arial" w:cs="Arial" w:eastAsia="Arial" w:hAnsi="Arial"/>
          <w:sz w:val="26"/>
          <w:szCs w:val="26"/>
          <w:b w:val="1"/>
          <w:bCs w:val="1"/>
          <w:color w:val="auto"/>
        </w:rPr>
        <w:t>UK - Manpower</w:t>
      </w:r>
    </w:p>
    <w:p>
      <w:pPr>
        <w:spacing w:after="0" w:line="278" w:lineRule="exact"/>
        <w:rPr>
          <w:sz w:val="20"/>
          <w:szCs w:val="20"/>
          <w:color w:val="auto"/>
        </w:rPr>
      </w:pPr>
    </w:p>
    <w:p>
      <w:pPr>
        <w:ind w:left="70"/>
        <w:spacing w:after="0"/>
        <w:tabs>
          <w:tab w:leader="none" w:pos="2270" w:val="left"/>
        </w:tabs>
        <w:rPr>
          <w:sz w:val="20"/>
          <w:szCs w:val="20"/>
          <w:color w:val="auto"/>
        </w:rPr>
      </w:pPr>
      <w:r>
        <w:rPr>
          <w:rFonts w:ascii="Arial" w:cs="Arial" w:eastAsia="Arial" w:hAnsi="Arial"/>
          <w:sz w:val="28"/>
          <w:szCs w:val="28"/>
          <w:b w:val="1"/>
          <w:bCs w:val="1"/>
          <w:color w:val="D47C18"/>
        </w:rPr>
        <w:t>12%</w:t>
      </w:r>
      <w:r>
        <w:rPr>
          <w:sz w:val="20"/>
          <w:szCs w:val="20"/>
          <w:color w:val="auto"/>
        </w:rPr>
        <w:tab/>
      </w:r>
      <w:r>
        <w:rPr>
          <w:rFonts w:ascii="Arial" w:cs="Arial" w:eastAsia="Arial" w:hAnsi="Arial"/>
          <w:sz w:val="27"/>
          <w:szCs w:val="27"/>
          <w:b w:val="1"/>
          <w:bCs w:val="1"/>
          <w:color w:val="auto"/>
        </w:rPr>
        <w:t>Elan</w:t>
      </w:r>
    </w:p>
    <w:p>
      <w:pPr>
        <w:spacing w:after="0" w:line="301" w:lineRule="exact"/>
        <w:rPr>
          <w:sz w:val="20"/>
          <w:szCs w:val="20"/>
          <w:color w:val="auto"/>
        </w:rPr>
      </w:pPr>
    </w:p>
    <w:p>
      <w:pPr>
        <w:ind w:left="230"/>
        <w:spacing w:after="0"/>
        <w:tabs>
          <w:tab w:leader="none" w:pos="1710" w:val="left"/>
        </w:tabs>
        <w:rPr>
          <w:sz w:val="20"/>
          <w:szCs w:val="20"/>
          <w:color w:val="auto"/>
        </w:rPr>
      </w:pPr>
      <w:r>
        <w:rPr>
          <w:rFonts w:ascii="Arial" w:cs="Arial" w:eastAsia="Arial" w:hAnsi="Arial"/>
          <w:sz w:val="28"/>
          <w:szCs w:val="28"/>
          <w:b w:val="1"/>
          <w:bCs w:val="1"/>
          <w:color w:val="D47C18"/>
        </w:rPr>
        <w:t>8%</w:t>
      </w:r>
      <w:r>
        <w:rPr>
          <w:sz w:val="20"/>
          <w:szCs w:val="20"/>
          <w:color w:val="auto"/>
        </w:rPr>
        <w:tab/>
      </w:r>
      <w:r>
        <w:rPr>
          <w:rFonts w:ascii="Arial" w:cs="Arial" w:eastAsia="Arial" w:hAnsi="Arial"/>
          <w:sz w:val="27"/>
          <w:szCs w:val="27"/>
          <w:b w:val="1"/>
          <w:bCs w:val="1"/>
          <w:color w:val="auto"/>
        </w:rPr>
        <w:t>Germany</w:t>
      </w:r>
    </w:p>
    <w:p>
      <w:pPr>
        <w:spacing w:after="0" w:line="254" w:lineRule="exact"/>
        <w:rPr>
          <w:sz w:val="20"/>
          <w:szCs w:val="20"/>
          <w:color w:val="auto"/>
        </w:rPr>
      </w:pPr>
    </w:p>
    <w:p>
      <w:pPr>
        <w:ind w:left="230"/>
        <w:spacing w:after="0"/>
        <w:tabs>
          <w:tab w:leader="none" w:pos="1830" w:val="left"/>
        </w:tabs>
        <w:rPr>
          <w:sz w:val="20"/>
          <w:szCs w:val="20"/>
          <w:color w:val="auto"/>
        </w:rPr>
      </w:pPr>
      <w:r>
        <w:rPr>
          <w:rFonts w:ascii="Arial" w:cs="Arial" w:eastAsia="Arial" w:hAnsi="Arial"/>
          <w:sz w:val="28"/>
          <w:szCs w:val="28"/>
          <w:b w:val="1"/>
          <w:bCs w:val="1"/>
          <w:color w:val="D47C18"/>
        </w:rPr>
        <w:t>7%</w:t>
      </w:r>
      <w:r>
        <w:rPr>
          <w:sz w:val="20"/>
          <w:szCs w:val="20"/>
          <w:color w:val="auto"/>
        </w:rPr>
        <w:tab/>
      </w:r>
      <w:r>
        <w:rPr>
          <w:rFonts w:ascii="Arial" w:cs="Arial" w:eastAsia="Arial" w:hAnsi="Arial"/>
          <w:sz w:val="27"/>
          <w:szCs w:val="27"/>
          <w:b w:val="1"/>
          <w:bCs w:val="1"/>
          <w:color w:val="auto"/>
        </w:rPr>
        <w:t>Holland</w:t>
      </w:r>
    </w:p>
    <w:p>
      <w:pPr>
        <w:spacing w:after="0" w:line="289" w:lineRule="exact"/>
        <w:rPr>
          <w:sz w:val="20"/>
          <w:szCs w:val="20"/>
          <w:color w:val="auto"/>
        </w:rPr>
      </w:pPr>
    </w:p>
    <w:p>
      <w:pPr>
        <w:ind w:left="230"/>
        <w:spacing w:after="0"/>
        <w:tabs>
          <w:tab w:leader="none" w:pos="2110" w:val="left"/>
        </w:tabs>
        <w:rPr>
          <w:sz w:val="20"/>
          <w:szCs w:val="20"/>
          <w:color w:val="auto"/>
        </w:rPr>
      </w:pPr>
      <w:r>
        <w:rPr>
          <w:rFonts w:ascii="Arial" w:cs="Arial" w:eastAsia="Arial" w:hAnsi="Arial"/>
          <w:sz w:val="28"/>
          <w:szCs w:val="28"/>
          <w:b w:val="1"/>
          <w:bCs w:val="1"/>
          <w:color w:val="D47C18"/>
        </w:rPr>
        <w:t>7%</w:t>
      </w:r>
      <w:r>
        <w:rPr>
          <w:sz w:val="20"/>
          <w:szCs w:val="20"/>
          <w:color w:val="auto"/>
        </w:rPr>
        <w:tab/>
      </w:r>
      <w:r>
        <w:rPr>
          <w:rFonts w:ascii="Arial" w:cs="Arial" w:eastAsia="Arial" w:hAnsi="Arial"/>
          <w:sz w:val="27"/>
          <w:szCs w:val="27"/>
          <w:b w:val="1"/>
          <w:bCs w:val="1"/>
          <w:color w:val="auto"/>
        </w:rPr>
        <w:t>Spain</w:t>
      </w:r>
    </w:p>
    <w:p>
      <w:pPr>
        <w:spacing w:after="0" w:line="278" w:lineRule="exact"/>
        <w:rPr>
          <w:sz w:val="20"/>
          <w:szCs w:val="20"/>
          <w:color w:val="auto"/>
        </w:rPr>
      </w:pPr>
    </w:p>
    <w:p>
      <w:pPr>
        <w:ind w:left="70"/>
        <w:spacing w:after="0"/>
        <w:tabs>
          <w:tab w:leader="none" w:pos="2110" w:val="left"/>
        </w:tabs>
        <w:rPr>
          <w:sz w:val="20"/>
          <w:szCs w:val="20"/>
          <w:color w:val="auto"/>
        </w:rPr>
      </w:pPr>
      <w:r>
        <w:rPr>
          <w:rFonts w:ascii="Arial" w:cs="Arial" w:eastAsia="Arial" w:hAnsi="Arial"/>
          <w:sz w:val="28"/>
          <w:szCs w:val="28"/>
          <w:b w:val="1"/>
          <w:bCs w:val="1"/>
          <w:color w:val="D47C18"/>
        </w:rPr>
        <w:t>15%</w:t>
      </w:r>
      <w:r>
        <w:rPr>
          <w:sz w:val="20"/>
          <w:szCs w:val="20"/>
          <w:color w:val="auto"/>
        </w:rPr>
        <w:tab/>
      </w:r>
      <w:r>
        <w:rPr>
          <w:rFonts w:ascii="Arial" w:cs="Arial" w:eastAsia="Arial" w:hAnsi="Arial"/>
          <w:sz w:val="27"/>
          <w:szCs w:val="27"/>
          <w:b w:val="1"/>
          <w:bCs w:val="1"/>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20"/>
        <w:spacing w:after="0"/>
        <w:rPr>
          <w:sz w:val="20"/>
          <w:szCs w:val="20"/>
          <w:color w:val="auto"/>
        </w:rPr>
      </w:pPr>
      <w:r>
        <w:rPr>
          <w:rFonts w:ascii="Arial" w:cs="Arial" w:eastAsia="Arial" w:hAnsi="Arial"/>
          <w:sz w:val="24"/>
          <w:szCs w:val="24"/>
          <w:b w:val="1"/>
          <w:bCs w:val="1"/>
          <w:color w:val="FFFFFF"/>
        </w:rPr>
        <w:t>12%</w:t>
      </w:r>
    </w:p>
    <w:p>
      <w:pPr>
        <w:ind w:left="4680"/>
        <w:spacing w:after="0"/>
        <w:rPr>
          <w:sz w:val="20"/>
          <w:szCs w:val="20"/>
          <w:color w:val="auto"/>
        </w:rPr>
      </w:pPr>
      <w:r>
        <w:rPr>
          <w:rFonts w:ascii="Arial" w:cs="Arial" w:eastAsia="Arial" w:hAnsi="Arial"/>
          <w:sz w:val="24"/>
          <w:szCs w:val="24"/>
          <w:b w:val="1"/>
          <w:bCs w:val="1"/>
          <w:color w:val="FFFFFF"/>
        </w:rPr>
        <w:t>23%</w:t>
      </w:r>
    </w:p>
    <w:p>
      <w:pPr>
        <w:spacing w:after="0" w:line="48" w:lineRule="exact"/>
        <w:rPr>
          <w:sz w:val="20"/>
          <w:szCs w:val="20"/>
          <w:color w:val="auto"/>
        </w:rPr>
      </w:pPr>
    </w:p>
    <w:p>
      <w:pPr>
        <w:ind w:left="3360"/>
        <w:spacing w:after="0"/>
        <w:rPr>
          <w:sz w:val="20"/>
          <w:szCs w:val="20"/>
          <w:color w:val="auto"/>
        </w:rPr>
      </w:pPr>
      <w:r>
        <w:rPr>
          <w:rFonts w:ascii="Arial" w:cs="Arial" w:eastAsia="Arial" w:hAnsi="Arial"/>
          <w:sz w:val="24"/>
          <w:szCs w:val="24"/>
          <w:b w:val="1"/>
          <w:bCs w:val="1"/>
          <w:color w:val="FFFFFF"/>
        </w:rPr>
        <w:t>13%</w:t>
      </w:r>
    </w:p>
    <w:p>
      <w:pPr>
        <w:ind w:left="4620"/>
        <w:spacing w:after="0"/>
        <w:rPr>
          <w:sz w:val="20"/>
          <w:szCs w:val="20"/>
          <w:color w:val="auto"/>
        </w:rPr>
      </w:pPr>
      <w:r>
        <w:rPr>
          <w:rFonts w:ascii="Arial" w:cs="Arial" w:eastAsia="Arial" w:hAnsi="Arial"/>
          <w:sz w:val="24"/>
          <w:szCs w:val="24"/>
          <w:b w:val="1"/>
          <w:bCs w:val="1"/>
          <w:color w:val="FFFFFF"/>
        </w:rPr>
        <w:t>23%</w:t>
      </w:r>
    </w:p>
    <w:p>
      <w:pPr>
        <w:spacing w:after="0" w:line="48"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FFFFFF"/>
        </w:rPr>
        <w:t>-18%</w:t>
      </w:r>
    </w:p>
    <w:p>
      <w:pPr>
        <w:ind w:left="900"/>
        <w:spacing w:after="0"/>
        <w:rPr>
          <w:sz w:val="20"/>
          <w:szCs w:val="20"/>
          <w:color w:val="auto"/>
        </w:rPr>
      </w:pPr>
      <w:r>
        <w:rPr>
          <w:rFonts w:ascii="Arial" w:cs="Arial" w:eastAsia="Arial" w:hAnsi="Arial"/>
          <w:sz w:val="24"/>
          <w:szCs w:val="24"/>
          <w:b w:val="1"/>
          <w:bCs w:val="1"/>
          <w:color w:val="FFFFFF"/>
        </w:rPr>
        <w:t>-12%</w:t>
      </w:r>
    </w:p>
    <w:p>
      <w:pPr>
        <w:spacing w:after="0" w:line="48" w:lineRule="exact"/>
        <w:rPr>
          <w:sz w:val="20"/>
          <w:szCs w:val="20"/>
          <w:color w:val="auto"/>
        </w:rPr>
      </w:pPr>
    </w:p>
    <w:p>
      <w:pPr>
        <w:ind w:left="3100"/>
        <w:spacing w:after="0"/>
        <w:rPr>
          <w:sz w:val="20"/>
          <w:szCs w:val="20"/>
          <w:color w:val="auto"/>
        </w:rPr>
      </w:pPr>
      <w:r>
        <w:rPr>
          <w:rFonts w:ascii="Arial" w:cs="Arial" w:eastAsia="Arial" w:hAnsi="Arial"/>
          <w:sz w:val="24"/>
          <w:szCs w:val="24"/>
          <w:b w:val="1"/>
          <w:bCs w:val="1"/>
          <w:color w:val="FFFFFF"/>
        </w:rPr>
        <w:t>11%</w:t>
      </w:r>
    </w:p>
    <w:p>
      <w:pPr>
        <w:ind w:left="4260"/>
        <w:spacing w:after="0"/>
        <w:rPr>
          <w:sz w:val="20"/>
          <w:szCs w:val="20"/>
          <w:color w:val="auto"/>
        </w:rPr>
      </w:pPr>
      <w:r>
        <w:rPr>
          <w:rFonts w:ascii="Arial" w:cs="Arial" w:eastAsia="Arial" w:hAnsi="Arial"/>
          <w:sz w:val="24"/>
          <w:szCs w:val="24"/>
          <w:b w:val="1"/>
          <w:bCs w:val="1"/>
          <w:color w:val="FFFFFF"/>
        </w:rPr>
        <w:t>20%</w:t>
      </w:r>
    </w:p>
    <w:p>
      <w:pPr>
        <w:spacing w:after="0" w:line="59" w:lineRule="exact"/>
        <w:rPr>
          <w:sz w:val="20"/>
          <w:szCs w:val="20"/>
          <w:color w:val="auto"/>
        </w:rPr>
      </w:pPr>
    </w:p>
    <w:p>
      <w:pPr>
        <w:ind w:left="3920"/>
        <w:spacing w:after="0"/>
        <w:rPr>
          <w:sz w:val="20"/>
          <w:szCs w:val="20"/>
          <w:color w:val="auto"/>
        </w:rPr>
      </w:pPr>
      <w:r>
        <w:rPr>
          <w:rFonts w:ascii="Arial" w:cs="Arial" w:eastAsia="Arial" w:hAnsi="Arial"/>
          <w:sz w:val="24"/>
          <w:szCs w:val="24"/>
          <w:b w:val="1"/>
          <w:bCs w:val="1"/>
          <w:color w:val="FFFFFF"/>
        </w:rPr>
        <w:t>17%</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24"/>
          <w:szCs w:val="24"/>
          <w:b w:val="1"/>
          <w:bCs w:val="1"/>
          <w:color w:val="FFFFFF"/>
        </w:rPr>
        <w:t>28%</w:t>
      </w:r>
    </w:p>
    <w:p>
      <w:pPr>
        <w:spacing w:after="0" w:line="48" w:lineRule="exact"/>
        <w:rPr>
          <w:sz w:val="20"/>
          <w:szCs w:val="20"/>
          <w:color w:val="auto"/>
        </w:rPr>
      </w:pPr>
    </w:p>
    <w:p>
      <w:pPr>
        <w:ind w:left="4220"/>
        <w:spacing w:after="0"/>
        <w:rPr>
          <w:sz w:val="20"/>
          <w:szCs w:val="20"/>
          <w:color w:val="auto"/>
        </w:rPr>
      </w:pPr>
      <w:r>
        <w:rPr>
          <w:rFonts w:ascii="Arial" w:cs="Arial" w:eastAsia="Arial" w:hAnsi="Arial"/>
          <w:sz w:val="24"/>
          <w:szCs w:val="24"/>
          <w:b w:val="1"/>
          <w:bCs w:val="1"/>
          <w:color w:val="FFFFFF"/>
        </w:rPr>
        <w:t>19%</w:t>
      </w:r>
    </w:p>
    <w:p>
      <w:pPr>
        <w:jc w:val="right"/>
        <w:ind w:right="560"/>
        <w:spacing w:after="0"/>
        <w:rPr>
          <w:sz w:val="20"/>
          <w:szCs w:val="20"/>
          <w:color w:val="auto"/>
        </w:rPr>
      </w:pPr>
      <w:r>
        <w:rPr>
          <w:rFonts w:ascii="Arial" w:cs="Arial" w:eastAsia="Arial" w:hAnsi="Arial"/>
          <w:sz w:val="24"/>
          <w:szCs w:val="24"/>
          <w:b w:val="1"/>
          <w:bCs w:val="1"/>
          <w:color w:val="FFFFFF"/>
        </w:rPr>
        <w:t>30%</w:t>
      </w:r>
    </w:p>
    <w:p>
      <w:pPr>
        <w:spacing w:after="0" w:line="48" w:lineRule="exact"/>
        <w:rPr>
          <w:sz w:val="20"/>
          <w:szCs w:val="20"/>
          <w:color w:val="auto"/>
        </w:rPr>
      </w:pPr>
    </w:p>
    <w:p>
      <w:pPr>
        <w:jc w:val="center"/>
        <w:ind w:right="400"/>
        <w:spacing w:after="0"/>
        <w:rPr>
          <w:sz w:val="20"/>
          <w:szCs w:val="20"/>
          <w:color w:val="auto"/>
        </w:rPr>
      </w:pPr>
      <w:r>
        <w:rPr>
          <w:rFonts w:ascii="Arial" w:cs="Arial" w:eastAsia="Arial" w:hAnsi="Arial"/>
          <w:sz w:val="24"/>
          <w:szCs w:val="24"/>
          <w:b w:val="1"/>
          <w:bCs w:val="1"/>
          <w:color w:val="FFFFFF"/>
        </w:rPr>
        <w:t>8%</w:t>
      </w:r>
    </w:p>
    <w:p>
      <w:pPr>
        <w:ind w:left="4060"/>
        <w:spacing w:after="0"/>
        <w:rPr>
          <w:sz w:val="20"/>
          <w:szCs w:val="20"/>
          <w:color w:val="auto"/>
        </w:rPr>
      </w:pPr>
      <w:r>
        <w:rPr>
          <w:rFonts w:ascii="Arial" w:cs="Arial" w:eastAsia="Arial" w:hAnsi="Arial"/>
          <w:sz w:val="24"/>
          <w:szCs w:val="24"/>
          <w:b w:val="1"/>
          <w:bCs w:val="1"/>
          <w:color w:val="FFFFFF"/>
        </w:rPr>
        <w:t>18%</w:t>
      </w:r>
    </w:p>
    <w:p>
      <w:pPr>
        <w:spacing w:after="0" w:line="48" w:lineRule="exact"/>
        <w:rPr>
          <w:sz w:val="20"/>
          <w:szCs w:val="20"/>
          <w:color w:val="auto"/>
        </w:rPr>
      </w:pPr>
    </w:p>
    <w:p>
      <w:pPr>
        <w:jc w:val="center"/>
        <w:ind w:right="200"/>
        <w:spacing w:after="0"/>
        <w:rPr>
          <w:sz w:val="20"/>
          <w:szCs w:val="20"/>
          <w:color w:val="auto"/>
        </w:rPr>
      </w:pPr>
      <w:r>
        <w:rPr>
          <w:rFonts w:ascii="Arial" w:cs="Arial" w:eastAsia="Arial" w:hAnsi="Arial"/>
          <w:sz w:val="24"/>
          <w:szCs w:val="24"/>
          <w:b w:val="1"/>
          <w:bCs w:val="1"/>
          <w:color w:val="FFFFFF"/>
        </w:rPr>
        <w:t>10%</w:t>
      </w:r>
    </w:p>
    <w:p>
      <w:pPr>
        <w:ind w:left="4100"/>
        <w:spacing w:after="0"/>
        <w:rPr>
          <w:sz w:val="20"/>
          <w:szCs w:val="20"/>
          <w:color w:val="auto"/>
        </w:rPr>
      </w:pPr>
      <w:r>
        <w:rPr>
          <w:rFonts w:ascii="Arial" w:cs="Arial" w:eastAsia="Arial" w:hAnsi="Arial"/>
          <w:sz w:val="24"/>
          <w:szCs w:val="24"/>
          <w:b w:val="1"/>
          <w:bCs w:val="1"/>
          <w:color w:val="FFFFFF"/>
        </w:rPr>
        <w:t>19%</w:t>
      </w:r>
    </w:p>
    <w:p>
      <w:pPr>
        <w:spacing w:after="0" w:line="224" w:lineRule="exact"/>
        <w:rPr>
          <w:sz w:val="20"/>
          <w:szCs w:val="20"/>
          <w:color w:val="auto"/>
        </w:rPr>
      </w:pPr>
    </w:p>
    <w:p>
      <w:pPr>
        <w:spacing w:after="0"/>
        <w:tabs>
          <w:tab w:leader="none" w:pos="2240"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ectPr>
          <w:pgSz w:w="11900" w:h="16838" w:orient="portrait"/>
          <w:cols w:equalWidth="0" w:num="2">
            <w:col w:w="2910" w:space="380"/>
            <w:col w:w="6580"/>
          </w:cols>
          <w:pgMar w:left="1210" w:top="423" w:right="819" w:bottom="1440" w:gutter="0" w:footer="0" w:header="0"/>
          <w:type w:val="continuous"/>
        </w:sectPr>
      </w:pPr>
    </w:p>
    <w:bookmarkStart w:id="16" w:name="page17"/>
    <w:bookmarkEnd w:id="16"/>
    <w:p>
      <w:pPr>
        <w:spacing w:after="0"/>
        <w:tabs>
          <w:tab w:leader="none" w:pos="972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1"/>
          <w:szCs w:val="21"/>
          <w:color w:val="FFFFFF"/>
        </w:rPr>
        <w:t>9</w:t>
      </w:r>
    </w:p>
    <w:p>
      <w:pPr>
        <w:sectPr>
          <w:pgSz w:w="11900" w:h="16838" w:orient="portrait"/>
          <w:cols w:equalWidth="0" w:num="1">
            <w:col w:w="9860"/>
          </w:cols>
          <w:pgMar w:left="1220" w:top="423"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47"/>
          <w:szCs w:val="47"/>
          <w:color w:val="7EA190"/>
        </w:rPr>
        <w:t>Jefferson Wells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Q1 Financial Highlights</w:t>
      </w:r>
    </w:p>
    <w:p>
      <w:pPr>
        <w:spacing w:after="0" w:line="399" w:lineRule="exact"/>
        <w:rPr>
          <w:sz w:val="20"/>
          <w:szCs w:val="20"/>
          <w:color w:val="auto"/>
        </w:rPr>
      </w:pPr>
    </w:p>
    <w:p>
      <w:pPr>
        <w:ind w:left="2180"/>
        <w:spacing w:after="0"/>
        <w:tabs>
          <w:tab w:leader="none" w:pos="3400" w:val="left"/>
          <w:tab w:leader="none" w:pos="5520" w:val="left"/>
        </w:tabs>
        <w:rPr>
          <w:sz w:val="20"/>
          <w:szCs w:val="20"/>
          <w:color w:val="auto"/>
        </w:rPr>
      </w:pPr>
      <w:r>
        <w:rPr>
          <w:rFonts w:ascii="Arial" w:cs="Arial" w:eastAsia="Arial" w:hAnsi="Arial"/>
          <w:sz w:val="38"/>
          <w:szCs w:val="38"/>
          <w:color w:val="auto"/>
        </w:rPr>
        <w:t>3%</w:t>
      </w:r>
      <w:r>
        <w:rPr>
          <w:sz w:val="20"/>
          <w:szCs w:val="20"/>
          <w:color w:val="auto"/>
        </w:rPr>
        <w:tab/>
      </w:r>
      <w:r>
        <w:rPr>
          <w:rFonts w:ascii="Arial" w:cs="Arial" w:eastAsia="Arial" w:hAnsi="Arial"/>
          <w:sz w:val="41"/>
          <w:szCs w:val="41"/>
          <w:b w:val="1"/>
          <w:bCs w:val="1"/>
          <w:color w:val="auto"/>
        </w:rPr>
        <w:t>Revenue</w:t>
      </w:r>
      <w:r>
        <w:rPr>
          <w:sz w:val="20"/>
          <w:szCs w:val="20"/>
          <w:color w:val="auto"/>
        </w:rPr>
        <w:tab/>
      </w:r>
      <w:r>
        <w:rPr>
          <w:rFonts w:ascii="Arial" w:cs="Arial" w:eastAsia="Arial" w:hAnsi="Arial"/>
          <w:sz w:val="42"/>
          <w:szCs w:val="42"/>
          <w:b w:val="1"/>
          <w:bCs w:val="1"/>
          <w:color w:val="7EA190"/>
        </w:rPr>
        <w:t>$96M</w:t>
      </w:r>
    </w:p>
    <w:p>
      <w:pPr>
        <w:spacing w:after="0" w:line="379" w:lineRule="exact"/>
        <w:rPr>
          <w:sz w:val="20"/>
          <w:szCs w:val="20"/>
          <w:color w:val="auto"/>
        </w:rPr>
      </w:pPr>
    </w:p>
    <w:p>
      <w:pPr>
        <w:ind w:left="3460"/>
        <w:spacing w:after="0"/>
        <w:rPr>
          <w:sz w:val="20"/>
          <w:szCs w:val="20"/>
          <w:color w:val="auto"/>
        </w:rPr>
      </w:pPr>
      <w:r>
        <w:rPr>
          <w:rFonts w:ascii="Arial" w:cs="Arial" w:eastAsia="Arial" w:hAnsi="Arial"/>
          <w:sz w:val="32"/>
          <w:szCs w:val="32"/>
          <w:color w:val="FFFFFF"/>
        </w:rPr>
        <w:t>contemporary working</w:t>
      </w:r>
    </w:p>
    <w:p>
      <w:pPr>
        <w:ind w:left="2100"/>
        <w:spacing w:after="0"/>
        <w:tabs>
          <w:tab w:leader="none" w:pos="3440" w:val="left"/>
        </w:tabs>
        <w:rPr>
          <w:sz w:val="20"/>
          <w:szCs w:val="20"/>
          <w:color w:val="auto"/>
        </w:rPr>
      </w:pPr>
      <w:r>
        <w:rPr>
          <w:rFonts w:ascii="Arial" w:cs="Arial" w:eastAsia="Arial" w:hAnsi="Arial"/>
          <w:sz w:val="38"/>
          <w:szCs w:val="38"/>
          <w:color w:val="auto"/>
        </w:rPr>
        <w:t>29%</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7EA190"/>
        </w:rPr>
        <w:t>$6M</w:t>
      </w:r>
    </w:p>
    <w:p>
      <w:pPr>
        <w:spacing w:after="0" w:line="200" w:lineRule="exact"/>
        <w:rPr>
          <w:sz w:val="20"/>
          <w:szCs w:val="20"/>
          <w:color w:val="auto"/>
        </w:rPr>
      </w:pPr>
    </w:p>
    <w:p>
      <w:pPr>
        <w:spacing w:after="0" w:line="345" w:lineRule="exact"/>
        <w:rPr>
          <w:sz w:val="20"/>
          <w:szCs w:val="20"/>
          <w:color w:val="auto"/>
        </w:rPr>
      </w:pPr>
    </w:p>
    <w:p>
      <w:pPr>
        <w:ind w:left="1720"/>
        <w:spacing w:after="0"/>
        <w:tabs>
          <w:tab w:leader="none" w:pos="3420" w:val="left"/>
        </w:tabs>
        <w:rPr>
          <w:sz w:val="20"/>
          <w:szCs w:val="20"/>
          <w:color w:val="auto"/>
        </w:rPr>
      </w:pPr>
      <w:r>
        <w:rPr>
          <w:rFonts w:ascii="Arial" w:cs="Arial" w:eastAsia="Arial" w:hAnsi="Arial"/>
          <w:sz w:val="38"/>
          <w:szCs w:val="38"/>
          <w:color w:val="auto"/>
        </w:rPr>
        <w:t>270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7EA190"/>
        </w:rPr>
        <w:t>6.0%</w:t>
      </w:r>
    </w:p>
    <w:p>
      <w:pPr>
        <w:sectPr>
          <w:pgSz w:w="11900" w:h="16838" w:orient="portrait"/>
          <w:cols w:equalWidth="0" w:num="1">
            <w:col w:w="9860"/>
          </w:cols>
          <w:pgMar w:left="1220" w:top="423" w:right="819" w:bottom="1440" w:gutter="0" w:footer="0" w:header="0"/>
          <w:type w:val="continuous"/>
        </w:sectPr>
      </w:pPr>
    </w:p>
    <w:bookmarkStart w:id="17" w:name="page18"/>
    <w:bookmarkEnd w:id="17"/>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10</w:t>
      </w:r>
    </w:p>
    <w:p>
      <w:pPr>
        <w:sectPr>
          <w:pgSz w:w="11900" w:h="16838" w:orient="portrait"/>
          <w:cols w:equalWidth="0" w:num="1">
            <w:col w:w="9860"/>
          </w:cols>
          <w:pgMar w:left="1220" w:top="423"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47"/>
          <w:szCs w:val="47"/>
          <w:color w:val="C8504F"/>
        </w:rPr>
        <w:t>Right Management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Q1 Financial Highlights</w:t>
            </w:r>
          </w:p>
        </w:tc>
        <w:tc>
          <w:tcPr>
            <w:tcW w:w="0" w:type="dxa"/>
            <w:vAlign w:val="bottom"/>
          </w:tcPr>
          <w:p>
            <w:pPr>
              <w:spacing w:after="0"/>
              <w:rPr>
                <w:sz w:val="1"/>
                <w:szCs w:val="1"/>
                <w:color w:val="auto"/>
              </w:rPr>
            </w:pPr>
          </w:p>
        </w:tc>
      </w:tr>
      <w:tr>
        <w:trPr>
          <w:trHeight w:val="676"/>
        </w:trPr>
        <w:tc>
          <w:tcPr>
            <w:tcW w:w="1560" w:type="dxa"/>
            <w:vAlign w:val="bottom"/>
          </w:tcPr>
          <w:p>
            <w:pPr>
              <w:jc w:val="right"/>
              <w:ind w:right="272"/>
              <w:spacing w:after="0"/>
              <w:rPr>
                <w:sz w:val="20"/>
                <w:szCs w:val="20"/>
                <w:color w:val="auto"/>
              </w:rPr>
            </w:pPr>
            <w:r>
              <w:rPr>
                <w:rFonts w:ascii="Arial" w:cs="Arial" w:eastAsia="Arial" w:hAnsi="Arial"/>
                <w:sz w:val="38"/>
                <w:szCs w:val="38"/>
                <w:color w:val="auto"/>
              </w:rPr>
              <w:t>8%</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$96M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9"/>
              </w:rPr>
              <w:t>4%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560" w:type="dxa"/>
            <w:vAlign w:val="bottom"/>
            <w:vMerge w:val="restart"/>
          </w:tcPr>
          <w:p>
            <w:pPr>
              <w:jc w:val="right"/>
              <w:ind w:right="192"/>
              <w:spacing w:after="0"/>
              <w:rPr>
                <w:sz w:val="20"/>
                <w:szCs w:val="20"/>
                <w:color w:val="auto"/>
              </w:rPr>
            </w:pPr>
            <w:r>
              <w:rPr>
                <w:rFonts w:ascii="Arial" w:cs="Arial" w:eastAsia="Arial" w:hAnsi="Arial"/>
                <w:sz w:val="38"/>
                <w:szCs w:val="38"/>
                <w:color w:val="auto"/>
              </w:rPr>
              <w:t>56%</w:t>
            </w:r>
          </w:p>
        </w:tc>
        <w:tc>
          <w:tcPr>
            <w:tcW w:w="4780" w:type="dxa"/>
            <w:vAlign w:val="bottom"/>
          </w:tcPr>
          <w:p>
            <w:pPr>
              <w:ind w:left="200"/>
              <w:spacing w:after="0"/>
              <w:rPr>
                <w:sz w:val="20"/>
                <w:szCs w:val="20"/>
                <w:color w:val="auto"/>
              </w:rPr>
            </w:pPr>
            <w:r>
              <w:rPr>
                <w:rFonts w:ascii="Arial" w:cs="Arial" w:eastAsia="Arial" w:hAnsi="Arial"/>
                <w:sz w:val="32"/>
                <w:szCs w:val="32"/>
                <w:color w:val="FFFFFF"/>
              </w:rPr>
              <w:t>contemporary working</w:t>
            </w:r>
          </w:p>
        </w:tc>
        <w:tc>
          <w:tcPr>
            <w:tcW w:w="0" w:type="dxa"/>
            <w:vAlign w:val="bottom"/>
          </w:tcPr>
          <w:p>
            <w:pPr>
              <w:spacing w:after="0"/>
              <w:rPr>
                <w:sz w:val="1"/>
                <w:szCs w:val="1"/>
                <w:color w:val="auto"/>
              </w:rPr>
            </w:pPr>
          </w:p>
        </w:tc>
      </w:tr>
      <w:tr>
        <w:trPr>
          <w:trHeight w:val="236"/>
        </w:trPr>
        <w:tc>
          <w:tcPr>
            <w:tcW w:w="1560" w:type="dxa"/>
            <w:vAlign w:val="bottom"/>
            <w:vMerge w:val="continue"/>
          </w:tcPr>
          <w:p>
            <w:pPr>
              <w:spacing w:after="0"/>
              <w:rPr>
                <w:sz w:val="20"/>
                <w:szCs w:val="20"/>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$4M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57%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9"/>
              </w:rPr>
              <w:t>490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4.5%</w:t>
            </w:r>
          </w:p>
        </w:tc>
        <w:tc>
          <w:tcPr>
            <w:tcW w:w="0" w:type="dxa"/>
            <w:vAlign w:val="bottom"/>
          </w:tcPr>
          <w:p>
            <w:pPr>
              <w:spacing w:after="0"/>
              <w:rPr>
                <w:sz w:val="1"/>
                <w:szCs w:val="1"/>
                <w:color w:val="auto"/>
              </w:rPr>
            </w:pPr>
          </w:p>
        </w:tc>
      </w:tr>
    </w:tbl>
    <w:p>
      <w:pPr>
        <w:sectPr>
          <w:pgSz w:w="11900" w:h="16838" w:orient="portrait"/>
          <w:cols w:equalWidth="0" w:num="1">
            <w:col w:w="9860"/>
          </w:cols>
          <w:pgMar w:left="1220" w:top="423" w:right="819" w:bottom="1440" w:gutter="0" w:footer="0" w:header="0"/>
          <w:type w:val="continuous"/>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94"/>
        </w:trPr>
        <w:tc>
          <w:tcPr>
            <w:tcW w:w="678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11</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7"/>
          <w:szCs w:val="47"/>
          <w:color w:val="D47C18"/>
        </w:rPr>
        <w:t>Other Operations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Q1 Financial Highlights</w:t>
            </w:r>
          </w:p>
        </w:tc>
        <w:tc>
          <w:tcPr>
            <w:tcW w:w="0" w:type="dxa"/>
            <w:vAlign w:val="bottom"/>
          </w:tcPr>
          <w:p>
            <w:pPr>
              <w:spacing w:after="0"/>
              <w:rPr>
                <w:sz w:val="1"/>
                <w:szCs w:val="1"/>
                <w:color w:val="auto"/>
              </w:rPr>
            </w:pPr>
          </w:p>
        </w:tc>
      </w:tr>
      <w:tr>
        <w:trPr>
          <w:trHeight w:val="676"/>
        </w:trPr>
        <w:tc>
          <w:tcPr>
            <w:tcW w:w="1560" w:type="dxa"/>
            <w:vAlign w:val="bottom"/>
          </w:tcPr>
          <w:p>
            <w:pPr>
              <w:ind w:left="440"/>
              <w:spacing w:after="0"/>
              <w:rPr>
                <w:sz w:val="20"/>
                <w:szCs w:val="20"/>
                <w:color w:val="auto"/>
              </w:rPr>
            </w:pPr>
            <w:r>
              <w:rPr>
                <w:rFonts w:ascii="Arial" w:cs="Arial" w:eastAsia="Arial" w:hAnsi="Arial"/>
                <w:sz w:val="38"/>
                <w:szCs w:val="38"/>
                <w:color w:val="auto"/>
              </w:rPr>
              <w:t>10%</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$555M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14%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560" w:type="dxa"/>
            <w:vAlign w:val="bottom"/>
            <w:vMerge w:val="restart"/>
          </w:tcPr>
          <w:p>
            <w:pPr>
              <w:ind w:left="420"/>
              <w:spacing w:after="0"/>
              <w:rPr>
                <w:sz w:val="20"/>
                <w:szCs w:val="20"/>
                <w:color w:val="auto"/>
              </w:rPr>
            </w:pPr>
            <w:r>
              <w:rPr>
                <w:rFonts w:ascii="Arial" w:cs="Arial" w:eastAsia="Arial" w:hAnsi="Arial"/>
                <w:sz w:val="38"/>
                <w:szCs w:val="38"/>
                <w:color w:val="auto"/>
              </w:rPr>
              <w:t>43%</w:t>
            </w:r>
          </w:p>
        </w:tc>
        <w:tc>
          <w:tcPr>
            <w:tcW w:w="4780" w:type="dxa"/>
            <w:vAlign w:val="bottom"/>
          </w:tcPr>
          <w:p>
            <w:pPr>
              <w:ind w:left="200"/>
              <w:spacing w:after="0"/>
              <w:rPr>
                <w:sz w:val="20"/>
                <w:szCs w:val="20"/>
                <w:color w:val="auto"/>
              </w:rPr>
            </w:pPr>
            <w:r>
              <w:rPr>
                <w:rFonts w:ascii="Arial" w:cs="Arial" w:eastAsia="Arial" w:hAnsi="Arial"/>
                <w:sz w:val="32"/>
                <w:szCs w:val="32"/>
                <w:color w:val="FFFFFF"/>
              </w:rPr>
              <w:t>contemporary working</w:t>
            </w:r>
          </w:p>
        </w:tc>
        <w:tc>
          <w:tcPr>
            <w:tcW w:w="0" w:type="dxa"/>
            <w:vAlign w:val="bottom"/>
          </w:tcPr>
          <w:p>
            <w:pPr>
              <w:spacing w:after="0"/>
              <w:rPr>
                <w:sz w:val="1"/>
                <w:szCs w:val="1"/>
                <w:color w:val="auto"/>
              </w:rPr>
            </w:pPr>
          </w:p>
        </w:tc>
      </w:tr>
      <w:tr>
        <w:trPr>
          <w:trHeight w:val="236"/>
        </w:trPr>
        <w:tc>
          <w:tcPr>
            <w:tcW w:w="1560" w:type="dxa"/>
            <w:vAlign w:val="bottom"/>
            <w:vMerge w:val="continue"/>
          </w:tcPr>
          <w:p>
            <w:pPr>
              <w:spacing w:after="0"/>
              <w:rPr>
                <w:sz w:val="20"/>
                <w:szCs w:val="20"/>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$18M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52%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9"/>
              </w:rPr>
              <w:t>70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3.2%</w:t>
            </w:r>
          </w:p>
        </w:tc>
        <w:tc>
          <w:tcPr>
            <w:tcW w:w="0" w:type="dxa"/>
            <w:vAlign w:val="bottom"/>
          </w:tcPr>
          <w:p>
            <w:pPr>
              <w:spacing w:after="0"/>
              <w:rPr>
                <w:sz w:val="1"/>
                <w:szCs w:val="1"/>
                <w:color w:val="auto"/>
              </w:rPr>
            </w:pPr>
          </w:p>
        </w:tc>
      </w:tr>
    </w:tbl>
    <w:p>
      <w:pPr>
        <w:sectPr>
          <w:pgSz w:w="11900" w:h="16838" w:orient="portrait"/>
          <w:cols w:equalWidth="0" w:num="1">
            <w:col w:w="9860"/>
          </w:cols>
          <w:pgMar w:left="1220" w:top="423" w:right="81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394"/>
        </w:trPr>
        <w:tc>
          <w:tcPr>
            <w:tcW w:w="676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100" w:type="dxa"/>
            <w:vAlign w:val="bottom"/>
          </w:tcPr>
          <w:p>
            <w:pPr>
              <w:jc w:val="right"/>
              <w:spacing w:after="0"/>
              <w:rPr>
                <w:sz w:val="20"/>
                <w:szCs w:val="20"/>
                <w:color w:val="auto"/>
              </w:rPr>
            </w:pPr>
            <w:r>
              <w:rPr>
                <w:rFonts w:ascii="Arial" w:cs="Arial" w:eastAsia="Arial" w:hAnsi="Arial"/>
                <w:sz w:val="22"/>
                <w:szCs w:val="22"/>
                <w:color w:val="FFFFFF"/>
              </w:rPr>
              <w:t>12</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Other Operations – Q1 Revenue Growth YoY</w:t>
      </w:r>
    </w:p>
    <w:p>
      <w:pPr>
        <w:spacing w:after="0" w:line="200" w:lineRule="exact"/>
        <w:rPr>
          <w:sz w:val="20"/>
          <w:szCs w:val="20"/>
          <w:color w:val="auto"/>
        </w:rPr>
      </w:pPr>
    </w:p>
    <w:p>
      <w:pPr>
        <w:spacing w:after="0" w:line="279" w:lineRule="exact"/>
        <w:rPr>
          <w:sz w:val="20"/>
          <w:szCs w:val="20"/>
          <w:color w:val="auto"/>
        </w:rPr>
      </w:pPr>
    </w:p>
    <w:p>
      <w:pPr>
        <w:ind w:left="20" w:right="8400" w:hanging="10"/>
        <w:spacing w:after="0" w:line="284" w:lineRule="auto"/>
        <w:tabs>
          <w:tab w:leader="none" w:pos="294"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1120" w:type="dxa"/>
            <w:vAlign w:val="bottom"/>
            <w:vMerge w:val="restart"/>
          </w:tcPr>
          <w:p>
            <w:pPr>
              <w:jc w:val="right"/>
              <w:ind w:right="419"/>
              <w:spacing w:after="0"/>
              <w:rPr>
                <w:sz w:val="20"/>
                <w:szCs w:val="20"/>
                <w:color w:val="auto"/>
              </w:rPr>
            </w:pPr>
            <w:r>
              <w:rPr>
                <w:rFonts w:ascii="Arial" w:cs="Arial" w:eastAsia="Arial" w:hAnsi="Arial"/>
                <w:sz w:val="28"/>
                <w:szCs w:val="28"/>
                <w:b w:val="1"/>
                <w:bCs w:val="1"/>
                <w:color w:val="D47C18"/>
                <w:w w:val="96"/>
              </w:rPr>
              <w:t>37%</w:t>
            </w:r>
          </w:p>
        </w:tc>
        <w:tc>
          <w:tcPr>
            <w:tcW w:w="1660" w:type="dxa"/>
            <w:vAlign w:val="bottom"/>
            <w:vMerge w:val="restart"/>
          </w:tcPr>
          <w:p>
            <w:pPr>
              <w:ind w:left="560"/>
              <w:spacing w:after="0"/>
              <w:rPr>
                <w:sz w:val="20"/>
                <w:szCs w:val="20"/>
                <w:color w:val="auto"/>
              </w:rPr>
            </w:pPr>
            <w:r>
              <w:rPr>
                <w:rFonts w:ascii="Arial" w:cs="Arial" w:eastAsia="Arial" w:hAnsi="Arial"/>
                <w:sz w:val="29"/>
                <w:szCs w:val="29"/>
                <w:b w:val="1"/>
                <w:bCs w:val="1"/>
                <w:color w:val="auto"/>
              </w:rPr>
              <w:t>Japan</w:t>
            </w:r>
          </w:p>
        </w:tc>
        <w:tc>
          <w:tcPr>
            <w:tcW w:w="2000" w:type="dxa"/>
            <w:vAlign w:val="bottom"/>
          </w:tcPr>
          <w:p>
            <w:pPr>
              <w:jc w:val="right"/>
              <w:ind w:right="1222"/>
              <w:spacing w:after="0"/>
              <w:rPr>
                <w:sz w:val="20"/>
                <w:szCs w:val="20"/>
                <w:color w:val="auto"/>
              </w:rPr>
            </w:pPr>
            <w:r>
              <w:rPr>
                <w:rFonts w:ascii="Arial" w:cs="Arial" w:eastAsia="Arial" w:hAnsi="Arial"/>
                <w:sz w:val="24"/>
                <w:szCs w:val="24"/>
                <w:b w:val="1"/>
                <w:bCs w:val="1"/>
                <w:color w:val="FFFFFF"/>
              </w:rPr>
              <w:t>-4%</w:t>
            </w:r>
          </w:p>
        </w:tc>
        <w:tc>
          <w:tcPr>
            <w:tcW w:w="0" w:type="dxa"/>
            <w:vAlign w:val="bottom"/>
          </w:tcPr>
          <w:p>
            <w:pPr>
              <w:spacing w:after="0"/>
              <w:rPr>
                <w:sz w:val="1"/>
                <w:szCs w:val="1"/>
                <w:color w:val="auto"/>
              </w:rPr>
            </w:pPr>
          </w:p>
        </w:tc>
      </w:tr>
      <w:tr>
        <w:trPr>
          <w:trHeight w:val="201"/>
        </w:trPr>
        <w:tc>
          <w:tcPr>
            <w:tcW w:w="11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000" w:type="dxa"/>
            <w:vAlign w:val="bottom"/>
            <w:vMerge w:val="restart"/>
          </w:tcPr>
          <w:p>
            <w:pPr>
              <w:jc w:val="right"/>
              <w:spacing w:after="0"/>
              <w:rPr>
                <w:sz w:val="20"/>
                <w:szCs w:val="20"/>
                <w:color w:val="auto"/>
              </w:rPr>
            </w:pPr>
            <w:r>
              <w:rPr>
                <w:rFonts w:ascii="Arial" w:cs="Arial" w:eastAsia="Arial" w:hAnsi="Arial"/>
                <w:sz w:val="24"/>
                <w:szCs w:val="24"/>
                <w:b w:val="1"/>
                <w:bCs w:val="1"/>
                <w:color w:val="FFFFFF"/>
              </w:rPr>
              <w:t>7%</w:t>
            </w:r>
          </w:p>
        </w:tc>
        <w:tc>
          <w:tcPr>
            <w:tcW w:w="0" w:type="dxa"/>
            <w:vAlign w:val="bottom"/>
          </w:tcPr>
          <w:p>
            <w:pPr>
              <w:spacing w:after="0"/>
              <w:rPr>
                <w:sz w:val="1"/>
                <w:szCs w:val="1"/>
                <w:color w:val="auto"/>
              </w:rPr>
            </w:pPr>
          </w:p>
        </w:tc>
      </w:tr>
      <w:tr>
        <w:trPr>
          <w:trHeight w:val="111"/>
        </w:trPr>
        <w:tc>
          <w:tcPr>
            <w:tcW w:w="1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tabs>
          <w:tab w:leader="none" w:pos="840" w:val="left"/>
          <w:tab w:leader="none" w:pos="3180" w:val="left"/>
        </w:tabs>
        <w:rPr>
          <w:sz w:val="20"/>
          <w:szCs w:val="20"/>
          <w:color w:val="auto"/>
        </w:rPr>
      </w:pPr>
      <w:r>
        <w:rPr>
          <w:rFonts w:ascii="Arial" w:cs="Arial" w:eastAsia="Arial" w:hAnsi="Arial"/>
          <w:sz w:val="28"/>
          <w:szCs w:val="28"/>
          <w:b w:val="1"/>
          <w:bCs w:val="1"/>
          <w:color w:val="D47C18"/>
        </w:rPr>
        <w:t>16%</w:t>
      </w:r>
      <w:r>
        <w:rPr>
          <w:sz w:val="20"/>
          <w:szCs w:val="20"/>
          <w:color w:val="auto"/>
        </w:rPr>
        <w:tab/>
      </w:r>
      <w:r>
        <w:rPr>
          <w:rFonts w:ascii="Arial" w:cs="Arial" w:eastAsia="Arial" w:hAnsi="Arial"/>
          <w:sz w:val="29"/>
          <w:szCs w:val="29"/>
          <w:b w:val="1"/>
          <w:bCs w:val="1"/>
          <w:color w:val="auto"/>
        </w:rPr>
        <w:t>Australia/NZ</w:t>
      </w:r>
      <w:r>
        <w:rPr>
          <w:sz w:val="20"/>
          <w:szCs w:val="20"/>
          <w:color w:val="auto"/>
        </w:rPr>
        <w:tab/>
      </w:r>
      <w:r>
        <w:rPr>
          <w:rFonts w:ascii="Arial" w:cs="Arial" w:eastAsia="Arial" w:hAnsi="Arial"/>
          <w:sz w:val="36"/>
          <w:szCs w:val="36"/>
          <w:b w:val="1"/>
          <w:bCs w:val="1"/>
          <w:color w:val="FFFFFF"/>
          <w:vertAlign w:val="superscript"/>
        </w:rPr>
        <w:t>-3%</w:t>
      </w:r>
      <w:r>
        <w:rPr>
          <w:rFonts w:ascii="Arial" w:cs="Arial" w:eastAsia="Arial" w:hAnsi="Arial"/>
          <w:sz w:val="36"/>
          <w:szCs w:val="36"/>
          <w:b w:val="1"/>
          <w:bCs w:val="1"/>
          <w:color w:val="FFFFFF"/>
          <w:vertAlign w:val="subscript"/>
        </w:rPr>
        <w:t>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1060" w:type="dxa"/>
            <w:vAlign w:val="bottom"/>
            <w:vMerge w:val="restart"/>
          </w:tcPr>
          <w:p>
            <w:pPr>
              <w:spacing w:after="0"/>
              <w:rPr>
                <w:sz w:val="20"/>
                <w:szCs w:val="20"/>
                <w:color w:val="auto"/>
              </w:rPr>
            </w:pPr>
            <w:r>
              <w:rPr>
                <w:rFonts w:ascii="Arial" w:cs="Arial" w:eastAsia="Arial" w:hAnsi="Arial"/>
                <w:sz w:val="28"/>
                <w:szCs w:val="28"/>
                <w:b w:val="1"/>
                <w:bCs w:val="1"/>
                <w:color w:val="D47C18"/>
              </w:rPr>
              <w:t>15%</w:t>
            </w:r>
          </w:p>
        </w:tc>
        <w:tc>
          <w:tcPr>
            <w:tcW w:w="3800" w:type="dxa"/>
            <w:vAlign w:val="bottom"/>
            <w:vMerge w:val="restart"/>
          </w:tcPr>
          <w:p>
            <w:pPr>
              <w:ind w:left="480"/>
              <w:spacing w:after="0"/>
              <w:rPr>
                <w:sz w:val="20"/>
                <w:szCs w:val="20"/>
                <w:color w:val="auto"/>
              </w:rPr>
            </w:pPr>
            <w:r>
              <w:rPr>
                <w:rFonts w:ascii="Arial" w:cs="Arial" w:eastAsia="Arial" w:hAnsi="Arial"/>
                <w:sz w:val="29"/>
                <w:szCs w:val="29"/>
                <w:b w:val="1"/>
                <w:bCs w:val="1"/>
                <w:color w:val="auto"/>
              </w:rPr>
              <w:t>Mexico</w:t>
            </w:r>
          </w:p>
        </w:tc>
        <w:tc>
          <w:tcPr>
            <w:tcW w:w="5100" w:type="dxa"/>
            <w:vAlign w:val="bottom"/>
          </w:tcPr>
          <w:p>
            <w:pPr>
              <w:jc w:val="right"/>
              <w:spacing w:after="0"/>
              <w:rPr>
                <w:sz w:val="20"/>
                <w:szCs w:val="20"/>
                <w:color w:val="auto"/>
              </w:rPr>
            </w:pPr>
            <w:r>
              <w:rPr>
                <w:rFonts w:ascii="Arial" w:cs="Arial" w:eastAsia="Arial" w:hAnsi="Arial"/>
                <w:sz w:val="24"/>
                <w:szCs w:val="24"/>
                <w:b w:val="1"/>
                <w:bCs w:val="1"/>
                <w:color w:val="FFFFFF"/>
              </w:rPr>
              <w:t>38%</w:t>
            </w:r>
          </w:p>
        </w:tc>
        <w:tc>
          <w:tcPr>
            <w:tcW w:w="0" w:type="dxa"/>
            <w:vAlign w:val="bottom"/>
          </w:tcPr>
          <w:p>
            <w:pPr>
              <w:spacing w:after="0"/>
              <w:rPr>
                <w:sz w:val="1"/>
                <w:szCs w:val="1"/>
                <w:color w:val="auto"/>
              </w:rPr>
            </w:pPr>
          </w:p>
        </w:tc>
      </w:tr>
      <w:tr>
        <w:trPr>
          <w:trHeight w:val="201"/>
        </w:trPr>
        <w:tc>
          <w:tcPr>
            <w:tcW w:w="1060" w:type="dxa"/>
            <w:vAlign w:val="bottom"/>
            <w:vMerge w:val="continue"/>
          </w:tcPr>
          <w:p>
            <w:pPr>
              <w:spacing w:after="0"/>
              <w:rPr>
                <w:sz w:val="17"/>
                <w:szCs w:val="17"/>
                <w:color w:val="auto"/>
              </w:rPr>
            </w:pPr>
          </w:p>
        </w:tc>
        <w:tc>
          <w:tcPr>
            <w:tcW w:w="3800" w:type="dxa"/>
            <w:vAlign w:val="bottom"/>
            <w:vMerge w:val="continue"/>
          </w:tcPr>
          <w:p>
            <w:pPr>
              <w:spacing w:after="0"/>
              <w:rPr>
                <w:sz w:val="17"/>
                <w:szCs w:val="17"/>
                <w:color w:val="auto"/>
              </w:rPr>
            </w:pPr>
          </w:p>
        </w:tc>
        <w:tc>
          <w:tcPr>
            <w:tcW w:w="5100" w:type="dxa"/>
            <w:vAlign w:val="bottom"/>
            <w:vMerge w:val="restart"/>
          </w:tcPr>
          <w:p>
            <w:pPr>
              <w:jc w:val="right"/>
              <w:ind w:right="1082"/>
              <w:spacing w:after="0"/>
              <w:rPr>
                <w:sz w:val="20"/>
                <w:szCs w:val="20"/>
                <w:color w:val="auto"/>
              </w:rPr>
            </w:pPr>
            <w:r>
              <w:rPr>
                <w:rFonts w:ascii="Arial" w:cs="Arial" w:eastAsia="Arial" w:hAnsi="Arial"/>
                <w:sz w:val="24"/>
                <w:szCs w:val="24"/>
                <w:b w:val="1"/>
                <w:bCs w:val="1"/>
                <w:color w:val="FFFFFF"/>
              </w:rPr>
              <w:t>31%</w:t>
            </w: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2"/>
        </w:trPr>
        <w:tc>
          <w:tcPr>
            <w:tcW w:w="1060" w:type="dxa"/>
            <w:vAlign w:val="bottom"/>
            <w:vMerge w:val="restart"/>
          </w:tcPr>
          <w:p>
            <w:pPr>
              <w:ind w:left="20"/>
              <w:spacing w:after="0"/>
              <w:rPr>
                <w:sz w:val="20"/>
                <w:szCs w:val="20"/>
                <w:color w:val="auto"/>
              </w:rPr>
            </w:pPr>
            <w:r>
              <w:rPr>
                <w:rFonts w:ascii="Arial" w:cs="Arial" w:eastAsia="Arial" w:hAnsi="Arial"/>
                <w:sz w:val="28"/>
                <w:szCs w:val="28"/>
                <w:b w:val="1"/>
                <w:bCs w:val="1"/>
                <w:color w:val="D47C18"/>
              </w:rPr>
              <w:t>32%</w:t>
            </w:r>
          </w:p>
        </w:tc>
        <w:tc>
          <w:tcPr>
            <w:tcW w:w="3800" w:type="dxa"/>
            <w:vAlign w:val="bottom"/>
            <w:vMerge w:val="restart"/>
          </w:tcPr>
          <w:p>
            <w:pPr>
              <w:ind w:left="660"/>
              <w:spacing w:after="0"/>
              <w:rPr>
                <w:sz w:val="20"/>
                <w:szCs w:val="20"/>
                <w:color w:val="auto"/>
              </w:rPr>
            </w:pPr>
            <w:r>
              <w:rPr>
                <w:rFonts w:ascii="Arial" w:cs="Arial" w:eastAsia="Arial" w:hAnsi="Arial"/>
                <w:sz w:val="29"/>
                <w:szCs w:val="29"/>
                <w:b w:val="1"/>
                <w:bCs w:val="1"/>
                <w:color w:val="auto"/>
              </w:rPr>
              <w:t>Other</w:t>
            </w:r>
          </w:p>
        </w:tc>
        <w:tc>
          <w:tcPr>
            <w:tcW w:w="5100" w:type="dxa"/>
            <w:vAlign w:val="bottom"/>
          </w:tcPr>
          <w:p>
            <w:pPr>
              <w:jc w:val="right"/>
              <w:ind w:right="1822"/>
              <w:spacing w:after="0"/>
              <w:rPr>
                <w:sz w:val="20"/>
                <w:szCs w:val="20"/>
                <w:color w:val="auto"/>
              </w:rPr>
            </w:pPr>
            <w:r>
              <w:rPr>
                <w:rFonts w:ascii="Arial" w:cs="Arial" w:eastAsia="Arial" w:hAnsi="Arial"/>
                <w:sz w:val="24"/>
                <w:szCs w:val="24"/>
                <w:b w:val="1"/>
                <w:bCs w:val="1"/>
                <w:color w:val="FFFFFF"/>
              </w:rPr>
              <w:t>27%</w:t>
            </w:r>
          </w:p>
        </w:tc>
        <w:tc>
          <w:tcPr>
            <w:tcW w:w="0" w:type="dxa"/>
            <w:vAlign w:val="bottom"/>
          </w:tcPr>
          <w:p>
            <w:pPr>
              <w:spacing w:after="0"/>
              <w:rPr>
                <w:sz w:val="1"/>
                <w:szCs w:val="1"/>
                <w:color w:val="auto"/>
              </w:rPr>
            </w:pPr>
          </w:p>
        </w:tc>
      </w:tr>
      <w:tr>
        <w:trPr>
          <w:trHeight w:val="194"/>
        </w:trPr>
        <w:tc>
          <w:tcPr>
            <w:tcW w:w="1060" w:type="dxa"/>
            <w:vAlign w:val="bottom"/>
            <w:vMerge w:val="continue"/>
          </w:tcPr>
          <w:p>
            <w:pPr>
              <w:spacing w:after="0"/>
              <w:rPr>
                <w:sz w:val="16"/>
                <w:szCs w:val="16"/>
                <w:color w:val="auto"/>
              </w:rPr>
            </w:pPr>
          </w:p>
        </w:tc>
        <w:tc>
          <w:tcPr>
            <w:tcW w:w="3800" w:type="dxa"/>
            <w:vAlign w:val="bottom"/>
            <w:vMerge w:val="continue"/>
          </w:tcPr>
          <w:p>
            <w:pPr>
              <w:spacing w:after="0"/>
              <w:rPr>
                <w:sz w:val="16"/>
                <w:szCs w:val="16"/>
                <w:color w:val="auto"/>
              </w:rPr>
            </w:pPr>
          </w:p>
        </w:tc>
        <w:tc>
          <w:tcPr>
            <w:tcW w:w="5100" w:type="dxa"/>
            <w:vAlign w:val="bottom"/>
            <w:vMerge w:val="restart"/>
          </w:tcPr>
          <w:p>
            <w:pPr>
              <w:jc w:val="right"/>
              <w:ind w:right="2182"/>
              <w:spacing w:after="0"/>
              <w:rPr>
                <w:sz w:val="20"/>
                <w:szCs w:val="20"/>
                <w:color w:val="auto"/>
              </w:rPr>
            </w:pPr>
            <w:r>
              <w:rPr>
                <w:rFonts w:ascii="Arial" w:cs="Arial" w:eastAsia="Arial" w:hAnsi="Arial"/>
                <w:sz w:val="24"/>
                <w:szCs w:val="24"/>
                <w:b w:val="1"/>
                <w:bCs w:val="1"/>
                <w:color w:val="FFFFFF"/>
              </w:rPr>
              <w:t>25%</w:t>
            </w:r>
          </w:p>
        </w:tc>
        <w:tc>
          <w:tcPr>
            <w:tcW w:w="0" w:type="dxa"/>
            <w:vAlign w:val="bottom"/>
          </w:tcPr>
          <w:p>
            <w:pPr>
              <w:spacing w:after="0"/>
              <w:rPr>
                <w:sz w:val="1"/>
                <w:szCs w:val="1"/>
                <w:color w:val="auto"/>
              </w:rPr>
            </w:pPr>
          </w:p>
        </w:tc>
      </w:tr>
      <w:tr>
        <w:trPr>
          <w:trHeight w:val="123"/>
        </w:trPr>
        <w:tc>
          <w:tcPr>
            <w:tcW w:w="106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5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00"/>
        <w:spacing w:after="0"/>
        <w:tabs>
          <w:tab w:leader="none" w:pos="5540"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ectPr>
          <w:pgSz w:w="11900" w:h="16838" w:orient="portrait"/>
          <w:cols w:equalWidth="0" w:num="1">
            <w:col w:w="9960"/>
          </w:cols>
          <w:pgMar w:left="1200" w:top="423" w:right="739" w:bottom="1440" w:gutter="0" w:footer="0" w:header="0"/>
        </w:sectPr>
      </w:pPr>
    </w:p>
    <w:bookmarkStart w:id="20" w:name="page21"/>
    <w:bookmarkEnd w:id="20"/>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13</w:t>
      </w:r>
    </w:p>
    <w:p>
      <w:pPr>
        <w:sectPr>
          <w:pgSz w:w="11900" w:h="16838" w:orient="portrait"/>
          <w:cols w:equalWidth="0" w:num="1">
            <w:col w:w="9860"/>
          </w:cols>
          <w:pgMar w:left="1220" w:top="423"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380"/>
        <w:spacing w:after="0"/>
        <w:rPr>
          <w:sz w:val="20"/>
          <w:szCs w:val="20"/>
          <w:color w:val="auto"/>
        </w:rPr>
      </w:pPr>
      <w:r>
        <w:rPr>
          <w:rFonts w:ascii="Arial" w:cs="Arial" w:eastAsia="Arial" w:hAnsi="Arial"/>
          <w:sz w:val="85"/>
          <w:szCs w:val="85"/>
          <w:color w:val="6698C2"/>
        </w:rPr>
        <w:t>Financial Highlights</w:t>
      </w:r>
    </w:p>
    <w:p>
      <w:pPr>
        <w:sectPr>
          <w:pgSz w:w="11900" w:h="16838" w:orient="portrait"/>
          <w:cols w:equalWidth="0" w:num="1">
            <w:col w:w="9860"/>
          </w:cols>
          <w:pgMar w:left="1220" w:top="423" w:right="819" w:bottom="1440" w:gutter="0" w:footer="0" w:header="0"/>
          <w:type w:val="continuous"/>
        </w:sectPr>
      </w:pPr>
    </w:p>
    <w:bookmarkStart w:id="21" w:name="page22"/>
    <w:bookmarkEnd w:id="21"/>
    <w:tbl>
      <w:tblPr>
        <w:tblLayout w:type="fixed"/>
        <w:tblInd w:w="420" w:type="dxa"/>
        <w:tblCellMar>
          <w:top w:w="0" w:type="dxa"/>
          <w:left w:w="0" w:type="dxa"/>
          <w:bottom w:w="0" w:type="dxa"/>
          <w:right w:w="0" w:type="dxa"/>
        </w:tblCellMar>
      </w:tblPr>
      <w:tr>
        <w:trPr>
          <w:trHeight w:val="394"/>
        </w:trPr>
        <w:tc>
          <w:tcPr>
            <w:tcW w:w="676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100" w:type="dxa"/>
            <w:vAlign w:val="bottom"/>
          </w:tcPr>
          <w:p>
            <w:pPr>
              <w:jc w:val="right"/>
              <w:spacing w:after="0"/>
              <w:rPr>
                <w:sz w:val="20"/>
                <w:szCs w:val="20"/>
                <w:color w:val="auto"/>
              </w:rPr>
            </w:pPr>
            <w:r>
              <w:rPr>
                <w:rFonts w:ascii="Arial" w:cs="Arial" w:eastAsia="Arial" w:hAnsi="Arial"/>
                <w:sz w:val="22"/>
                <w:szCs w:val="22"/>
                <w:color w:val="FFFFFF"/>
              </w:rPr>
              <w:t>14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20"/>
        <w:spacing w:after="0"/>
        <w:rPr>
          <w:sz w:val="20"/>
          <w:szCs w:val="20"/>
          <w:color w:val="auto"/>
        </w:rPr>
      </w:pPr>
      <w:r>
        <w:rPr>
          <w:rFonts w:ascii="Arial" w:cs="Arial" w:eastAsia="Arial" w:hAnsi="Arial"/>
          <w:sz w:val="47"/>
          <w:szCs w:val="47"/>
          <w:color w:val="7EA190"/>
        </w:rPr>
        <w:t>Impact of One-Time Items</w:t>
      </w:r>
    </w:p>
    <w:p>
      <w:pPr>
        <w:ind w:left="380"/>
        <w:spacing w:after="0"/>
        <w:rPr>
          <w:sz w:val="20"/>
          <w:szCs w:val="20"/>
          <w:color w:val="auto"/>
        </w:rPr>
      </w:pPr>
      <w:r>
        <w:rPr>
          <w:rFonts w:ascii="Arial" w:cs="Arial" w:eastAsia="Arial" w:hAnsi="Arial"/>
          <w:sz w:val="22"/>
          <w:szCs w:val="22"/>
          <w:color w:val="7EA190"/>
        </w:rPr>
        <w:t>($ in millions, except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Arial" w:cs="Arial" w:eastAsia="Arial" w:hAnsi="Arial"/>
                <w:sz w:val="20"/>
                <w:szCs w:val="20"/>
                <w:b w:val="1"/>
                <w:bCs w:val="1"/>
                <w:color w:val="auto"/>
              </w:rPr>
              <w:t>2006</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Gain on Sale</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Reorganization</w:t>
            </w:r>
          </w:p>
        </w:tc>
        <w:tc>
          <w:tcPr>
            <w:tcW w:w="260" w:type="dxa"/>
            <w:vAlign w:val="bottom"/>
          </w:tcPr>
          <w:p>
            <w:pPr>
              <w:spacing w:after="0"/>
              <w:rPr>
                <w:sz w:val="24"/>
                <w:szCs w:val="24"/>
                <w:color w:val="auto"/>
              </w:rPr>
            </w:pPr>
          </w:p>
        </w:tc>
        <w:tc>
          <w:tcPr>
            <w:tcW w:w="1040" w:type="dxa"/>
            <w:vAlign w:val="bottom"/>
          </w:tcPr>
          <w:p>
            <w:pPr>
              <w:jc w:val="right"/>
              <w:ind w:right="280"/>
              <w:spacing w:after="0"/>
              <w:rPr>
                <w:sz w:val="20"/>
                <w:szCs w:val="20"/>
                <w:color w:val="auto"/>
              </w:rPr>
            </w:pPr>
            <w:r>
              <w:rPr>
                <w:rFonts w:ascii="Arial" w:cs="Arial" w:eastAsia="Arial" w:hAnsi="Arial"/>
                <w:sz w:val="20"/>
                <w:szCs w:val="20"/>
                <w:color w:val="auto"/>
              </w:rPr>
              <w:t>Project</w:t>
            </w:r>
          </w:p>
        </w:tc>
        <w:tc>
          <w:tcPr>
            <w:tcW w:w="420" w:type="dxa"/>
            <w:vAlign w:val="bottom"/>
          </w:tcPr>
          <w:p>
            <w:pPr>
              <w:spacing w:after="0"/>
              <w:rPr>
                <w:sz w:val="24"/>
                <w:szCs w:val="24"/>
                <w:color w:val="auto"/>
              </w:rPr>
            </w:pPr>
          </w:p>
        </w:tc>
        <w:tc>
          <w:tcPr>
            <w:tcW w:w="920" w:type="dxa"/>
            <w:vAlign w:val="bottom"/>
          </w:tcPr>
          <w:p>
            <w:pPr>
              <w:jc w:val="right"/>
              <w:ind w:right="260"/>
              <w:spacing w:after="0"/>
              <w:rPr>
                <w:sz w:val="20"/>
                <w:szCs w:val="20"/>
                <w:color w:val="auto"/>
              </w:rPr>
            </w:pPr>
            <w:r>
              <w:rPr>
                <w:rFonts w:ascii="Arial" w:cs="Arial" w:eastAsia="Arial" w:hAnsi="Arial"/>
                <w:sz w:val="20"/>
                <w:szCs w:val="20"/>
                <w:b w:val="1"/>
                <w:bCs w:val="1"/>
                <w:color w:val="auto"/>
              </w:rPr>
              <w:t>2006</w:t>
            </w:r>
          </w:p>
        </w:tc>
      </w:tr>
      <w:tr>
        <w:trPr>
          <w:trHeight w:val="282"/>
        </w:trPr>
        <w:tc>
          <w:tcPr>
            <w:tcW w:w="338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20"/>
                <w:szCs w:val="20"/>
                <w:b w:val="1"/>
                <w:bCs w:val="1"/>
                <w:color w:val="auto"/>
              </w:rPr>
              <w:t>As Reported</w:t>
            </w: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of Business</w:t>
            </w:r>
          </w:p>
        </w:tc>
        <w:tc>
          <w:tcPr>
            <w:tcW w:w="340" w:type="dxa"/>
            <w:vAlign w:val="bottom"/>
          </w:tcPr>
          <w:p>
            <w:pPr>
              <w:spacing w:after="0"/>
              <w:rPr>
                <w:sz w:val="24"/>
                <w:szCs w:val="24"/>
                <w:color w:val="auto"/>
              </w:rPr>
            </w:pPr>
          </w:p>
        </w:tc>
        <w:tc>
          <w:tcPr>
            <w:tcW w:w="1160" w:type="dxa"/>
            <w:vAlign w:val="bottom"/>
          </w:tcPr>
          <w:p>
            <w:pPr>
              <w:jc w:val="right"/>
              <w:ind w:right="300"/>
              <w:spacing w:after="0"/>
              <w:rPr>
                <w:sz w:val="20"/>
                <w:szCs w:val="20"/>
                <w:color w:val="auto"/>
              </w:rPr>
            </w:pPr>
            <w:r>
              <w:rPr>
                <w:rFonts w:ascii="Arial" w:cs="Arial" w:eastAsia="Arial" w:hAnsi="Arial"/>
                <w:sz w:val="20"/>
                <w:szCs w:val="20"/>
                <w:color w:val="auto"/>
                <w:w w:val="97"/>
              </w:rPr>
              <w:t>Charges</w:t>
            </w:r>
          </w:p>
        </w:tc>
        <w:tc>
          <w:tcPr>
            <w:tcW w:w="260" w:type="dxa"/>
            <w:vAlign w:val="bottom"/>
          </w:tcPr>
          <w:p>
            <w:pPr>
              <w:spacing w:after="0"/>
              <w:rPr>
                <w:sz w:val="24"/>
                <w:szCs w:val="24"/>
                <w:color w:val="auto"/>
              </w:rPr>
            </w:pPr>
          </w:p>
        </w:tc>
        <w:tc>
          <w:tcPr>
            <w:tcW w:w="1040" w:type="dxa"/>
            <w:vAlign w:val="bottom"/>
          </w:tcPr>
          <w:p>
            <w:pPr>
              <w:jc w:val="right"/>
              <w:ind w:right="400"/>
              <w:spacing w:after="0"/>
              <w:rPr>
                <w:sz w:val="20"/>
                <w:szCs w:val="20"/>
                <w:color w:val="auto"/>
              </w:rPr>
            </w:pPr>
            <w:r>
              <w:rPr>
                <w:rFonts w:ascii="Arial" w:cs="Arial" w:eastAsia="Arial" w:hAnsi="Arial"/>
                <w:sz w:val="20"/>
                <w:szCs w:val="20"/>
                <w:color w:val="auto"/>
              </w:rPr>
              <w:t>Titan</w:t>
            </w:r>
          </w:p>
        </w:tc>
        <w:tc>
          <w:tcPr>
            <w:tcW w:w="1340" w:type="dxa"/>
            <w:vAlign w:val="bottom"/>
            <w:gridSpan w:val="2"/>
          </w:tcPr>
          <w:p>
            <w:pPr>
              <w:ind w:left="160"/>
              <w:spacing w:after="0"/>
              <w:rPr>
                <w:sz w:val="20"/>
                <w:szCs w:val="20"/>
                <w:color w:val="auto"/>
              </w:rPr>
            </w:pPr>
            <w:r>
              <w:rPr>
                <w:rFonts w:ascii="Arial" w:cs="Arial" w:eastAsia="Arial" w:hAnsi="Arial"/>
                <w:sz w:val="20"/>
                <w:szCs w:val="20"/>
                <w:b w:val="1"/>
                <w:bCs w:val="1"/>
                <w:color w:val="auto"/>
                <w:w w:val="99"/>
              </w:rPr>
              <w:t>As Adjusted</w:t>
            </w:r>
          </w:p>
        </w:tc>
      </w:tr>
      <w:tr>
        <w:trPr>
          <w:trHeight w:val="517"/>
        </w:trPr>
        <w:tc>
          <w:tcPr>
            <w:tcW w:w="3380" w:type="dxa"/>
            <w:vAlign w:val="bottom"/>
          </w:tcPr>
          <w:p>
            <w:pPr>
              <w:spacing w:after="0"/>
              <w:rPr>
                <w:sz w:val="20"/>
                <w:szCs w:val="20"/>
                <w:color w:val="auto"/>
              </w:rPr>
            </w:pPr>
            <w:r>
              <w:rPr>
                <w:rFonts w:ascii="Arial" w:cs="Arial" w:eastAsia="Arial" w:hAnsi="Arial"/>
                <w:sz w:val="20"/>
                <w:szCs w:val="20"/>
                <w:color w:val="auto"/>
              </w:rPr>
              <w:t>Revenue</w:t>
            </w:r>
          </w:p>
        </w:tc>
        <w:tc>
          <w:tcPr>
            <w:tcW w:w="440" w:type="dxa"/>
            <w:vAlign w:val="bottom"/>
          </w:tcPr>
          <w:p>
            <w:pPr>
              <w:ind w:left="20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100"/>
              <w:spacing w:after="0"/>
              <w:rPr>
                <w:sz w:val="20"/>
                <w:szCs w:val="20"/>
                <w:color w:val="auto"/>
              </w:rPr>
            </w:pPr>
            <w:r>
              <w:rPr>
                <w:rFonts w:ascii="Arial" w:cs="Arial" w:eastAsia="Arial" w:hAnsi="Arial"/>
                <w:sz w:val="20"/>
                <w:szCs w:val="20"/>
                <w:b w:val="1"/>
                <w:bCs w:val="1"/>
                <w:color w:val="auto"/>
              </w:rPr>
              <w:t>3,929.9</w:t>
            </w:r>
          </w:p>
        </w:tc>
        <w:tc>
          <w:tcPr>
            <w:tcW w:w="5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420" w:type="dxa"/>
            <w:vAlign w:val="bottom"/>
          </w:tcPr>
          <w:p>
            <w:pPr>
              <w:ind w:left="180"/>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3,929.9</w:t>
            </w:r>
          </w:p>
        </w:tc>
      </w:tr>
      <w:tr>
        <w:trPr>
          <w:trHeight w:val="435"/>
        </w:trPr>
        <w:tc>
          <w:tcPr>
            <w:tcW w:w="3380" w:type="dxa"/>
            <w:vAlign w:val="bottom"/>
          </w:tcPr>
          <w:p>
            <w:pPr>
              <w:spacing w:after="0"/>
              <w:rPr>
                <w:sz w:val="20"/>
                <w:szCs w:val="20"/>
                <w:color w:val="auto"/>
              </w:rPr>
            </w:pPr>
            <w:r>
              <w:rPr>
                <w:rFonts w:ascii="Arial" w:cs="Arial" w:eastAsia="Arial" w:hAnsi="Arial"/>
                <w:sz w:val="20"/>
                <w:szCs w:val="20"/>
                <w:color w:val="auto"/>
              </w:rPr>
              <w:t>Cost of services</w:t>
            </w:r>
          </w:p>
        </w:tc>
        <w:tc>
          <w:tcPr>
            <w:tcW w:w="440" w:type="dxa"/>
            <w:vAlign w:val="bottom"/>
          </w:tcPr>
          <w:p>
            <w:pPr>
              <w:spacing w:after="0"/>
              <w:rPr>
                <w:sz w:val="24"/>
                <w:szCs w:val="24"/>
                <w:color w:val="auto"/>
              </w:rPr>
            </w:pPr>
          </w:p>
        </w:tc>
        <w:tc>
          <w:tcPr>
            <w:tcW w:w="1080" w:type="dxa"/>
            <w:vAlign w:val="bottom"/>
          </w:tcPr>
          <w:p>
            <w:pPr>
              <w:jc w:val="right"/>
              <w:ind w:right="100"/>
              <w:spacing w:after="0"/>
              <w:rPr>
                <w:sz w:val="20"/>
                <w:szCs w:val="20"/>
                <w:color w:val="auto"/>
              </w:rPr>
            </w:pPr>
            <w:r>
              <w:rPr>
                <w:rFonts w:ascii="Arial" w:cs="Arial" w:eastAsia="Arial" w:hAnsi="Arial"/>
                <w:sz w:val="20"/>
                <w:szCs w:val="20"/>
                <w:b w:val="1"/>
                <w:bCs w:val="1"/>
                <w:color w:val="auto"/>
              </w:rPr>
              <w:t>3,212.5</w:t>
            </w:r>
          </w:p>
        </w:tc>
        <w:tc>
          <w:tcPr>
            <w:tcW w:w="540" w:type="dxa"/>
            <w:vAlign w:val="bottom"/>
          </w:tcPr>
          <w:p>
            <w:pPr>
              <w:spacing w:after="0"/>
              <w:rPr>
                <w:sz w:val="24"/>
                <w:szCs w:val="24"/>
                <w:color w:val="auto"/>
              </w:rPr>
            </w:pPr>
          </w:p>
        </w:tc>
        <w:tc>
          <w:tcPr>
            <w:tcW w:w="80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6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04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3,212.5</w:t>
            </w:r>
          </w:p>
        </w:tc>
      </w:tr>
      <w:tr>
        <w:trPr>
          <w:trHeight w:val="435"/>
        </w:trPr>
        <w:tc>
          <w:tcPr>
            <w:tcW w:w="3380" w:type="dxa"/>
            <w:vAlign w:val="bottom"/>
          </w:tcPr>
          <w:p>
            <w:pPr>
              <w:ind w:left="100"/>
              <w:spacing w:after="0"/>
              <w:rPr>
                <w:sz w:val="20"/>
                <w:szCs w:val="20"/>
                <w:color w:val="auto"/>
              </w:rPr>
            </w:pPr>
            <w:r>
              <w:rPr>
                <w:rFonts w:ascii="Arial" w:cs="Arial" w:eastAsia="Arial" w:hAnsi="Arial"/>
                <w:sz w:val="20"/>
                <w:szCs w:val="20"/>
                <w:color w:val="auto"/>
              </w:rPr>
              <w:t>Gross profit</w:t>
            </w:r>
          </w:p>
        </w:tc>
        <w:tc>
          <w:tcPr>
            <w:tcW w:w="440" w:type="dxa"/>
            <w:vAlign w:val="bottom"/>
          </w:tcPr>
          <w:p>
            <w:pPr>
              <w:spacing w:after="0"/>
              <w:rPr>
                <w:sz w:val="24"/>
                <w:szCs w:val="24"/>
                <w:color w:val="auto"/>
              </w:rPr>
            </w:pPr>
          </w:p>
        </w:tc>
        <w:tc>
          <w:tcPr>
            <w:tcW w:w="1080" w:type="dxa"/>
            <w:vAlign w:val="bottom"/>
          </w:tcPr>
          <w:p>
            <w:pPr>
              <w:jc w:val="right"/>
              <w:ind w:right="100"/>
              <w:spacing w:after="0"/>
              <w:rPr>
                <w:sz w:val="20"/>
                <w:szCs w:val="20"/>
                <w:color w:val="auto"/>
              </w:rPr>
            </w:pPr>
            <w:r>
              <w:rPr>
                <w:rFonts w:ascii="Arial" w:cs="Arial" w:eastAsia="Arial" w:hAnsi="Arial"/>
                <w:sz w:val="20"/>
                <w:szCs w:val="20"/>
                <w:b w:val="1"/>
                <w:bCs w:val="1"/>
                <w:color w:val="auto"/>
              </w:rPr>
              <w:t>717.4</w:t>
            </w:r>
          </w:p>
        </w:tc>
        <w:tc>
          <w:tcPr>
            <w:tcW w:w="540" w:type="dxa"/>
            <w:vAlign w:val="bottom"/>
          </w:tcPr>
          <w:p>
            <w:pPr>
              <w:spacing w:after="0"/>
              <w:rPr>
                <w:sz w:val="24"/>
                <w:szCs w:val="24"/>
                <w:color w:val="auto"/>
              </w:rPr>
            </w:pPr>
          </w:p>
        </w:tc>
        <w:tc>
          <w:tcPr>
            <w:tcW w:w="80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6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04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717.4</w:t>
            </w:r>
          </w:p>
        </w:tc>
      </w:tr>
      <w:tr>
        <w:trPr>
          <w:trHeight w:val="435"/>
        </w:trPr>
        <w:tc>
          <w:tcPr>
            <w:tcW w:w="3380" w:type="dxa"/>
            <w:vAlign w:val="bottom"/>
          </w:tcPr>
          <w:p>
            <w:pPr>
              <w:spacing w:after="0"/>
              <w:rPr>
                <w:sz w:val="20"/>
                <w:szCs w:val="20"/>
                <w:color w:val="auto"/>
              </w:rPr>
            </w:pPr>
            <w:r>
              <w:rPr>
                <w:rFonts w:ascii="Arial" w:cs="Arial" w:eastAsia="Arial" w:hAnsi="Arial"/>
                <w:sz w:val="20"/>
                <w:szCs w:val="20"/>
                <w:color w:val="auto"/>
              </w:rPr>
              <w:t>Selling and administrative expenses</w:t>
            </w:r>
          </w:p>
        </w:tc>
        <w:tc>
          <w:tcPr>
            <w:tcW w:w="440" w:type="dxa"/>
            <w:vAlign w:val="bottom"/>
          </w:tcPr>
          <w:p>
            <w:pPr>
              <w:spacing w:after="0"/>
              <w:rPr>
                <w:sz w:val="24"/>
                <w:szCs w:val="24"/>
                <w:color w:val="auto"/>
              </w:rPr>
            </w:pPr>
          </w:p>
        </w:tc>
        <w:tc>
          <w:tcPr>
            <w:tcW w:w="1080" w:type="dxa"/>
            <w:vAlign w:val="bottom"/>
          </w:tcPr>
          <w:p>
            <w:pPr>
              <w:jc w:val="right"/>
              <w:ind w:right="100"/>
              <w:spacing w:after="0"/>
              <w:rPr>
                <w:sz w:val="20"/>
                <w:szCs w:val="20"/>
                <w:color w:val="auto"/>
              </w:rPr>
            </w:pPr>
            <w:r>
              <w:rPr>
                <w:rFonts w:ascii="Arial" w:cs="Arial" w:eastAsia="Arial" w:hAnsi="Arial"/>
                <w:sz w:val="20"/>
                <w:szCs w:val="20"/>
                <w:b w:val="1"/>
                <w:bCs w:val="1"/>
                <w:color w:val="auto"/>
              </w:rPr>
              <w:t>657.7</w:t>
            </w:r>
          </w:p>
        </w:tc>
        <w:tc>
          <w:tcPr>
            <w:tcW w:w="540" w:type="dxa"/>
            <w:vAlign w:val="bottom"/>
          </w:tcPr>
          <w:p>
            <w:pPr>
              <w:spacing w:after="0"/>
              <w:rPr>
                <w:sz w:val="24"/>
                <w:szCs w:val="24"/>
                <w:color w:val="auto"/>
              </w:rPr>
            </w:pPr>
          </w:p>
        </w:tc>
        <w:tc>
          <w:tcPr>
            <w:tcW w:w="80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60" w:type="dxa"/>
            <w:vAlign w:val="bottom"/>
          </w:tcPr>
          <w:p>
            <w:pPr>
              <w:jc w:val="right"/>
              <w:ind w:right="80"/>
              <w:spacing w:after="0"/>
              <w:rPr>
                <w:sz w:val="20"/>
                <w:szCs w:val="20"/>
                <w:color w:val="auto"/>
              </w:rPr>
            </w:pPr>
            <w:r>
              <w:rPr>
                <w:rFonts w:ascii="Arial" w:cs="Arial" w:eastAsia="Arial" w:hAnsi="Arial"/>
                <w:sz w:val="20"/>
                <w:szCs w:val="20"/>
                <w:color w:val="auto"/>
              </w:rPr>
              <w:t>(9.0)</w:t>
            </w:r>
          </w:p>
        </w:tc>
        <w:tc>
          <w:tcPr>
            <w:tcW w:w="260" w:type="dxa"/>
            <w:vAlign w:val="bottom"/>
          </w:tcPr>
          <w:p>
            <w:pPr>
              <w:spacing w:after="0"/>
              <w:rPr>
                <w:sz w:val="24"/>
                <w:szCs w:val="24"/>
                <w:color w:val="auto"/>
              </w:rPr>
            </w:pPr>
          </w:p>
        </w:tc>
        <w:tc>
          <w:tcPr>
            <w:tcW w:w="1040" w:type="dxa"/>
            <w:vAlign w:val="bottom"/>
          </w:tcPr>
          <w:p>
            <w:pPr>
              <w:jc w:val="right"/>
              <w:ind w:right="80"/>
              <w:spacing w:after="0"/>
              <w:rPr>
                <w:sz w:val="20"/>
                <w:szCs w:val="20"/>
                <w:color w:val="auto"/>
              </w:rPr>
            </w:pPr>
            <w:r>
              <w:rPr>
                <w:rFonts w:ascii="Arial" w:cs="Arial" w:eastAsia="Arial" w:hAnsi="Arial"/>
                <w:sz w:val="20"/>
                <w:szCs w:val="20"/>
                <w:color w:val="auto"/>
              </w:rPr>
              <w:t>(9.2)</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639.5</w:t>
            </w:r>
          </w:p>
        </w:tc>
      </w:tr>
      <w:tr>
        <w:trPr>
          <w:trHeight w:val="423"/>
        </w:trPr>
        <w:tc>
          <w:tcPr>
            <w:tcW w:w="3380" w:type="dxa"/>
            <w:vAlign w:val="bottom"/>
          </w:tcPr>
          <w:p>
            <w:pPr>
              <w:ind w:left="100"/>
              <w:spacing w:after="0"/>
              <w:rPr>
                <w:sz w:val="20"/>
                <w:szCs w:val="20"/>
                <w:color w:val="auto"/>
              </w:rPr>
            </w:pPr>
            <w:r>
              <w:rPr>
                <w:rFonts w:ascii="Arial" w:cs="Arial" w:eastAsia="Arial" w:hAnsi="Arial"/>
                <w:sz w:val="20"/>
                <w:szCs w:val="20"/>
                <w:color w:val="auto"/>
              </w:rPr>
              <w:t>Operating profit</w:t>
            </w:r>
          </w:p>
        </w:tc>
        <w:tc>
          <w:tcPr>
            <w:tcW w:w="440" w:type="dxa"/>
            <w:vAlign w:val="bottom"/>
          </w:tcPr>
          <w:p>
            <w:pPr>
              <w:spacing w:after="0"/>
              <w:rPr>
                <w:sz w:val="24"/>
                <w:szCs w:val="24"/>
                <w:color w:val="auto"/>
              </w:rPr>
            </w:pPr>
          </w:p>
        </w:tc>
        <w:tc>
          <w:tcPr>
            <w:tcW w:w="1080" w:type="dxa"/>
            <w:vAlign w:val="bottom"/>
          </w:tcPr>
          <w:p>
            <w:pPr>
              <w:jc w:val="right"/>
              <w:ind w:right="80"/>
              <w:spacing w:after="0"/>
              <w:rPr>
                <w:sz w:val="20"/>
                <w:szCs w:val="20"/>
                <w:color w:val="auto"/>
              </w:rPr>
            </w:pPr>
            <w:r>
              <w:rPr>
                <w:rFonts w:ascii="Arial" w:cs="Arial" w:eastAsia="Arial" w:hAnsi="Arial"/>
                <w:sz w:val="20"/>
                <w:szCs w:val="20"/>
                <w:b w:val="1"/>
                <w:bCs w:val="1"/>
                <w:color w:val="auto"/>
              </w:rPr>
              <w:t>59.7</w:t>
            </w:r>
          </w:p>
        </w:tc>
        <w:tc>
          <w:tcPr>
            <w:tcW w:w="540" w:type="dxa"/>
            <w:vAlign w:val="bottom"/>
          </w:tcPr>
          <w:p>
            <w:pPr>
              <w:spacing w:after="0"/>
              <w:rPr>
                <w:sz w:val="24"/>
                <w:szCs w:val="24"/>
                <w:color w:val="auto"/>
              </w:rPr>
            </w:pPr>
          </w:p>
        </w:tc>
        <w:tc>
          <w:tcPr>
            <w:tcW w:w="800" w:type="dxa"/>
            <w:vAlign w:val="bottom"/>
          </w:tcPr>
          <w:p>
            <w:pPr>
              <w:jc w:val="right"/>
              <w:ind w:right="30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60" w:type="dxa"/>
            <w:vAlign w:val="bottom"/>
          </w:tcPr>
          <w:p>
            <w:pPr>
              <w:jc w:val="right"/>
              <w:ind w:right="140"/>
              <w:spacing w:after="0"/>
              <w:rPr>
                <w:sz w:val="20"/>
                <w:szCs w:val="20"/>
                <w:color w:val="auto"/>
              </w:rPr>
            </w:pPr>
            <w:r>
              <w:rPr>
                <w:rFonts w:ascii="Arial" w:cs="Arial" w:eastAsia="Arial" w:hAnsi="Arial"/>
                <w:sz w:val="20"/>
                <w:szCs w:val="20"/>
                <w:color w:val="auto"/>
              </w:rPr>
              <w:t>9.0</w:t>
            </w:r>
          </w:p>
        </w:tc>
        <w:tc>
          <w:tcPr>
            <w:tcW w:w="260" w:type="dxa"/>
            <w:vAlign w:val="bottom"/>
          </w:tcPr>
          <w:p>
            <w:pPr>
              <w:spacing w:after="0"/>
              <w:rPr>
                <w:sz w:val="24"/>
                <w:szCs w:val="24"/>
                <w:color w:val="auto"/>
              </w:rPr>
            </w:pPr>
          </w:p>
        </w:tc>
        <w:tc>
          <w:tcPr>
            <w:tcW w:w="1040" w:type="dxa"/>
            <w:vAlign w:val="bottom"/>
          </w:tcPr>
          <w:p>
            <w:pPr>
              <w:jc w:val="right"/>
              <w:ind w:right="140"/>
              <w:spacing w:after="0"/>
              <w:rPr>
                <w:sz w:val="20"/>
                <w:szCs w:val="20"/>
                <w:color w:val="auto"/>
              </w:rPr>
            </w:pPr>
            <w:r>
              <w:rPr>
                <w:rFonts w:ascii="Arial" w:cs="Arial" w:eastAsia="Arial" w:hAnsi="Arial"/>
                <w:sz w:val="20"/>
                <w:szCs w:val="20"/>
                <w:color w:val="auto"/>
              </w:rPr>
              <w:t>9.2</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77.9</w:t>
            </w:r>
          </w:p>
        </w:tc>
      </w:tr>
      <w:tr>
        <w:trPr>
          <w:trHeight w:val="435"/>
        </w:trPr>
        <w:tc>
          <w:tcPr>
            <w:tcW w:w="3380" w:type="dxa"/>
            <w:vAlign w:val="bottom"/>
          </w:tcPr>
          <w:p>
            <w:pPr>
              <w:spacing w:after="0"/>
              <w:rPr>
                <w:sz w:val="20"/>
                <w:szCs w:val="20"/>
                <w:color w:val="auto"/>
              </w:rPr>
            </w:pPr>
            <w:r>
              <w:rPr>
                <w:rFonts w:ascii="Arial" w:cs="Arial" w:eastAsia="Arial" w:hAnsi="Arial"/>
                <w:sz w:val="20"/>
                <w:szCs w:val="20"/>
                <w:color w:val="auto"/>
              </w:rPr>
              <w:t>Interest and other (income) expense</w:t>
            </w:r>
          </w:p>
        </w:tc>
        <w:tc>
          <w:tcPr>
            <w:tcW w:w="44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Arial" w:cs="Arial" w:eastAsia="Arial" w:hAnsi="Arial"/>
                <w:sz w:val="20"/>
                <w:szCs w:val="20"/>
                <w:b w:val="1"/>
                <w:bCs w:val="1"/>
                <w:color w:val="auto"/>
              </w:rPr>
              <w:t>(16.3)</w:t>
            </w:r>
          </w:p>
        </w:tc>
        <w:tc>
          <w:tcPr>
            <w:tcW w:w="540" w:type="dxa"/>
            <w:vAlign w:val="bottom"/>
          </w:tcPr>
          <w:p>
            <w:pPr>
              <w:spacing w:after="0"/>
              <w:rPr>
                <w:sz w:val="24"/>
                <w:szCs w:val="24"/>
                <w:color w:val="auto"/>
              </w:rPr>
            </w:pPr>
          </w:p>
        </w:tc>
        <w:tc>
          <w:tcPr>
            <w:tcW w:w="800" w:type="dxa"/>
            <w:vAlign w:val="bottom"/>
          </w:tcPr>
          <w:p>
            <w:pPr>
              <w:jc w:val="right"/>
              <w:ind w:right="80"/>
              <w:spacing w:after="0"/>
              <w:rPr>
                <w:sz w:val="20"/>
                <w:szCs w:val="20"/>
                <w:color w:val="auto"/>
              </w:rPr>
            </w:pPr>
            <w:r>
              <w:rPr>
                <w:rFonts w:ascii="Arial" w:cs="Arial" w:eastAsia="Arial" w:hAnsi="Arial"/>
                <w:sz w:val="20"/>
                <w:szCs w:val="20"/>
                <w:color w:val="auto"/>
              </w:rPr>
              <w:t>29.3</w:t>
            </w:r>
          </w:p>
        </w:tc>
        <w:tc>
          <w:tcPr>
            <w:tcW w:w="340" w:type="dxa"/>
            <w:vAlign w:val="bottom"/>
          </w:tcPr>
          <w:p>
            <w:pPr>
              <w:spacing w:after="0"/>
              <w:rPr>
                <w:sz w:val="24"/>
                <w:szCs w:val="24"/>
                <w:color w:val="auto"/>
              </w:rPr>
            </w:pPr>
          </w:p>
        </w:tc>
        <w:tc>
          <w:tcPr>
            <w:tcW w:w="1160" w:type="dxa"/>
            <w:vAlign w:val="bottom"/>
          </w:tcPr>
          <w:p>
            <w:pPr>
              <w:jc w:val="right"/>
              <w:ind w:right="80"/>
              <w:spacing w:after="0"/>
              <w:rPr>
                <w:sz w:val="20"/>
                <w:szCs w:val="20"/>
                <w:color w:val="auto"/>
              </w:rPr>
            </w:pPr>
            <w:r>
              <w:rPr>
                <w:rFonts w:ascii="Arial" w:cs="Arial" w:eastAsia="Arial" w:hAnsi="Arial"/>
                <w:sz w:val="20"/>
                <w:szCs w:val="20"/>
                <w:color w:val="auto"/>
              </w:rPr>
              <w:t>(1.7)</w:t>
            </w:r>
          </w:p>
        </w:tc>
        <w:tc>
          <w:tcPr>
            <w:tcW w:w="260" w:type="dxa"/>
            <w:vAlign w:val="bottom"/>
          </w:tcPr>
          <w:p>
            <w:pPr>
              <w:spacing w:after="0"/>
              <w:rPr>
                <w:sz w:val="24"/>
                <w:szCs w:val="24"/>
                <w:color w:val="auto"/>
              </w:rPr>
            </w:pPr>
          </w:p>
        </w:tc>
        <w:tc>
          <w:tcPr>
            <w:tcW w:w="1040" w:type="dxa"/>
            <w:vAlign w:val="bottom"/>
          </w:tcPr>
          <w:p>
            <w:pPr>
              <w:jc w:val="right"/>
              <w:ind w:right="36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11.3</w:t>
            </w:r>
          </w:p>
        </w:tc>
      </w:tr>
      <w:tr>
        <w:trPr>
          <w:trHeight w:val="435"/>
        </w:trPr>
        <w:tc>
          <w:tcPr>
            <w:tcW w:w="3380" w:type="dxa"/>
            <w:vAlign w:val="bottom"/>
          </w:tcPr>
          <w:p>
            <w:pPr>
              <w:ind w:left="100"/>
              <w:spacing w:after="0"/>
              <w:rPr>
                <w:sz w:val="20"/>
                <w:szCs w:val="20"/>
                <w:color w:val="auto"/>
              </w:rPr>
            </w:pPr>
            <w:r>
              <w:rPr>
                <w:rFonts w:ascii="Arial" w:cs="Arial" w:eastAsia="Arial" w:hAnsi="Arial"/>
                <w:sz w:val="20"/>
                <w:szCs w:val="20"/>
                <w:color w:val="auto"/>
              </w:rPr>
              <w:t>Earnings before income taxes</w:t>
            </w:r>
          </w:p>
        </w:tc>
        <w:tc>
          <w:tcPr>
            <w:tcW w:w="440" w:type="dxa"/>
            <w:vAlign w:val="bottom"/>
          </w:tcPr>
          <w:p>
            <w:pPr>
              <w:spacing w:after="0"/>
              <w:rPr>
                <w:sz w:val="24"/>
                <w:szCs w:val="24"/>
                <w:color w:val="auto"/>
              </w:rPr>
            </w:pPr>
          </w:p>
        </w:tc>
        <w:tc>
          <w:tcPr>
            <w:tcW w:w="1080" w:type="dxa"/>
            <w:vAlign w:val="bottom"/>
          </w:tcPr>
          <w:p>
            <w:pPr>
              <w:jc w:val="right"/>
              <w:ind w:right="80"/>
              <w:spacing w:after="0"/>
              <w:rPr>
                <w:sz w:val="20"/>
                <w:szCs w:val="20"/>
                <w:color w:val="auto"/>
              </w:rPr>
            </w:pPr>
            <w:r>
              <w:rPr>
                <w:rFonts w:ascii="Arial" w:cs="Arial" w:eastAsia="Arial" w:hAnsi="Arial"/>
                <w:sz w:val="20"/>
                <w:szCs w:val="20"/>
                <w:b w:val="1"/>
                <w:bCs w:val="1"/>
                <w:color w:val="auto"/>
              </w:rPr>
              <w:t>76.0</w:t>
            </w:r>
          </w:p>
        </w:tc>
        <w:tc>
          <w:tcPr>
            <w:tcW w:w="5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(29.3)</w:t>
            </w:r>
          </w:p>
        </w:tc>
        <w:tc>
          <w:tcPr>
            <w:tcW w:w="340" w:type="dxa"/>
            <w:vAlign w:val="bottom"/>
          </w:tcPr>
          <w:p>
            <w:pPr>
              <w:spacing w:after="0"/>
              <w:rPr>
                <w:sz w:val="24"/>
                <w:szCs w:val="24"/>
                <w:color w:val="auto"/>
              </w:rPr>
            </w:pPr>
          </w:p>
        </w:tc>
        <w:tc>
          <w:tcPr>
            <w:tcW w:w="1160" w:type="dxa"/>
            <w:vAlign w:val="bottom"/>
          </w:tcPr>
          <w:p>
            <w:pPr>
              <w:jc w:val="right"/>
              <w:ind w:right="160"/>
              <w:spacing w:after="0"/>
              <w:rPr>
                <w:sz w:val="20"/>
                <w:szCs w:val="20"/>
                <w:color w:val="auto"/>
              </w:rPr>
            </w:pPr>
            <w:r>
              <w:rPr>
                <w:rFonts w:ascii="Arial" w:cs="Arial" w:eastAsia="Arial" w:hAnsi="Arial"/>
                <w:sz w:val="20"/>
                <w:szCs w:val="20"/>
                <w:color w:val="auto"/>
              </w:rPr>
              <w:t>10.7</w:t>
            </w:r>
          </w:p>
        </w:tc>
        <w:tc>
          <w:tcPr>
            <w:tcW w:w="260" w:type="dxa"/>
            <w:vAlign w:val="bottom"/>
          </w:tcPr>
          <w:p>
            <w:pPr>
              <w:spacing w:after="0"/>
              <w:rPr>
                <w:sz w:val="24"/>
                <w:szCs w:val="24"/>
                <w:color w:val="auto"/>
              </w:rPr>
            </w:pPr>
          </w:p>
        </w:tc>
        <w:tc>
          <w:tcPr>
            <w:tcW w:w="1040" w:type="dxa"/>
            <w:vAlign w:val="bottom"/>
          </w:tcPr>
          <w:p>
            <w:pPr>
              <w:jc w:val="right"/>
              <w:ind w:right="140"/>
              <w:spacing w:after="0"/>
              <w:rPr>
                <w:sz w:val="20"/>
                <w:szCs w:val="20"/>
                <w:color w:val="auto"/>
              </w:rPr>
            </w:pPr>
            <w:r>
              <w:rPr>
                <w:rFonts w:ascii="Arial" w:cs="Arial" w:eastAsia="Arial" w:hAnsi="Arial"/>
                <w:sz w:val="20"/>
                <w:szCs w:val="20"/>
                <w:color w:val="auto"/>
              </w:rPr>
              <w:t>9.2</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66.6</w:t>
            </w:r>
          </w:p>
        </w:tc>
      </w:tr>
      <w:tr>
        <w:trPr>
          <w:trHeight w:val="435"/>
        </w:trPr>
        <w:tc>
          <w:tcPr>
            <w:tcW w:w="338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440" w:type="dxa"/>
            <w:vAlign w:val="bottom"/>
          </w:tcPr>
          <w:p>
            <w:pPr>
              <w:spacing w:after="0"/>
              <w:rPr>
                <w:sz w:val="24"/>
                <w:szCs w:val="24"/>
                <w:color w:val="auto"/>
              </w:rPr>
            </w:pPr>
          </w:p>
        </w:tc>
        <w:tc>
          <w:tcPr>
            <w:tcW w:w="1080" w:type="dxa"/>
            <w:vAlign w:val="bottom"/>
          </w:tcPr>
          <w:p>
            <w:pPr>
              <w:jc w:val="right"/>
              <w:ind w:right="80"/>
              <w:spacing w:after="0"/>
              <w:rPr>
                <w:sz w:val="20"/>
                <w:szCs w:val="20"/>
                <w:color w:val="auto"/>
              </w:rPr>
            </w:pPr>
            <w:r>
              <w:rPr>
                <w:rFonts w:ascii="Arial" w:cs="Arial" w:eastAsia="Arial" w:hAnsi="Arial"/>
                <w:sz w:val="20"/>
                <w:szCs w:val="20"/>
                <w:b w:val="1"/>
                <w:bCs w:val="1"/>
                <w:color w:val="auto"/>
              </w:rPr>
              <w:t>23.4</w:t>
            </w:r>
          </w:p>
        </w:tc>
        <w:tc>
          <w:tcPr>
            <w:tcW w:w="5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(5.6)</w:t>
            </w:r>
          </w:p>
        </w:tc>
        <w:tc>
          <w:tcPr>
            <w:tcW w:w="340" w:type="dxa"/>
            <w:vAlign w:val="bottom"/>
          </w:tcPr>
          <w:p>
            <w:pPr>
              <w:spacing w:after="0"/>
              <w:rPr>
                <w:sz w:val="24"/>
                <w:szCs w:val="24"/>
                <w:color w:val="auto"/>
              </w:rPr>
            </w:pPr>
          </w:p>
        </w:tc>
        <w:tc>
          <w:tcPr>
            <w:tcW w:w="1160" w:type="dxa"/>
            <w:vAlign w:val="bottom"/>
          </w:tcPr>
          <w:p>
            <w:pPr>
              <w:jc w:val="right"/>
              <w:ind w:right="140"/>
              <w:spacing w:after="0"/>
              <w:rPr>
                <w:sz w:val="20"/>
                <w:szCs w:val="20"/>
                <w:color w:val="auto"/>
              </w:rPr>
            </w:pPr>
            <w:r>
              <w:rPr>
                <w:rFonts w:ascii="Arial" w:cs="Arial" w:eastAsia="Arial" w:hAnsi="Arial"/>
                <w:sz w:val="20"/>
                <w:szCs w:val="20"/>
                <w:color w:val="auto"/>
              </w:rPr>
              <w:t>3.1</w:t>
            </w:r>
          </w:p>
        </w:tc>
        <w:tc>
          <w:tcPr>
            <w:tcW w:w="260" w:type="dxa"/>
            <w:vAlign w:val="bottom"/>
          </w:tcPr>
          <w:p>
            <w:pPr>
              <w:spacing w:after="0"/>
              <w:rPr>
                <w:sz w:val="24"/>
                <w:szCs w:val="24"/>
                <w:color w:val="auto"/>
              </w:rPr>
            </w:pPr>
          </w:p>
        </w:tc>
        <w:tc>
          <w:tcPr>
            <w:tcW w:w="1040" w:type="dxa"/>
            <w:vAlign w:val="bottom"/>
          </w:tcPr>
          <w:p>
            <w:pPr>
              <w:jc w:val="right"/>
              <w:ind w:right="140"/>
              <w:spacing w:after="0"/>
              <w:rPr>
                <w:sz w:val="20"/>
                <w:szCs w:val="20"/>
                <w:color w:val="auto"/>
              </w:rPr>
            </w:pPr>
            <w:r>
              <w:rPr>
                <w:rFonts w:ascii="Arial" w:cs="Arial" w:eastAsia="Arial" w:hAnsi="Arial"/>
                <w:sz w:val="20"/>
                <w:szCs w:val="20"/>
                <w:color w:val="auto"/>
              </w:rPr>
              <w:t>3.4</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24.3</w:t>
            </w:r>
          </w:p>
        </w:tc>
      </w:tr>
      <w:tr>
        <w:trPr>
          <w:trHeight w:val="423"/>
        </w:trPr>
        <w:tc>
          <w:tcPr>
            <w:tcW w:w="3380" w:type="dxa"/>
            <w:vAlign w:val="bottom"/>
          </w:tcPr>
          <w:p>
            <w:pPr>
              <w:spacing w:after="0"/>
              <w:rPr>
                <w:sz w:val="20"/>
                <w:szCs w:val="20"/>
                <w:color w:val="auto"/>
              </w:rPr>
            </w:pPr>
            <w:r>
              <w:rPr>
                <w:rFonts w:ascii="Arial" w:cs="Arial" w:eastAsia="Arial" w:hAnsi="Arial"/>
                <w:sz w:val="20"/>
                <w:szCs w:val="20"/>
                <w:color w:val="auto"/>
              </w:rPr>
              <w:t>Net earnings</w:t>
            </w:r>
          </w:p>
        </w:tc>
        <w:tc>
          <w:tcPr>
            <w:tcW w:w="440" w:type="dxa"/>
            <w:vAlign w:val="bottom"/>
          </w:tcPr>
          <w:p>
            <w:pPr>
              <w:ind w:left="20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0"/>
              <w:spacing w:after="0"/>
              <w:rPr>
                <w:sz w:val="20"/>
                <w:szCs w:val="20"/>
                <w:color w:val="auto"/>
              </w:rPr>
            </w:pPr>
            <w:r>
              <w:rPr>
                <w:rFonts w:ascii="Arial" w:cs="Arial" w:eastAsia="Arial" w:hAnsi="Arial"/>
                <w:sz w:val="20"/>
                <w:szCs w:val="20"/>
                <w:b w:val="1"/>
                <w:bCs w:val="1"/>
                <w:color w:val="auto"/>
              </w:rPr>
              <w:t>52.6</w:t>
            </w:r>
          </w:p>
        </w:tc>
        <w:tc>
          <w:tcPr>
            <w:tcW w:w="5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(23.7)</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40"/>
              <w:spacing w:after="0"/>
              <w:rPr>
                <w:sz w:val="20"/>
                <w:szCs w:val="20"/>
                <w:color w:val="auto"/>
              </w:rPr>
            </w:pPr>
            <w:r>
              <w:rPr>
                <w:rFonts w:ascii="Arial" w:cs="Arial" w:eastAsia="Arial" w:hAnsi="Arial"/>
                <w:sz w:val="20"/>
                <w:szCs w:val="20"/>
                <w:color w:val="auto"/>
              </w:rPr>
              <w:t>7.6</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40"/>
              <w:spacing w:after="0"/>
              <w:rPr>
                <w:sz w:val="20"/>
                <w:szCs w:val="20"/>
                <w:color w:val="auto"/>
              </w:rPr>
            </w:pPr>
            <w:r>
              <w:rPr>
                <w:rFonts w:ascii="Arial" w:cs="Arial" w:eastAsia="Arial" w:hAnsi="Arial"/>
                <w:sz w:val="20"/>
                <w:szCs w:val="20"/>
                <w:color w:val="auto"/>
              </w:rPr>
              <w:t>5.8</w:t>
            </w:r>
          </w:p>
        </w:tc>
        <w:tc>
          <w:tcPr>
            <w:tcW w:w="420" w:type="dxa"/>
            <w:vAlign w:val="bottom"/>
          </w:tcPr>
          <w:p>
            <w:pPr>
              <w:ind w:left="180"/>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42.3</w:t>
            </w:r>
          </w:p>
        </w:tc>
      </w:tr>
      <w:tr>
        <w:trPr>
          <w:trHeight w:val="529"/>
        </w:trPr>
        <w:tc>
          <w:tcPr>
            <w:tcW w:w="3380" w:type="dxa"/>
            <w:vAlign w:val="bottom"/>
          </w:tcPr>
          <w:p>
            <w:pPr>
              <w:spacing w:after="0"/>
              <w:rPr>
                <w:sz w:val="20"/>
                <w:szCs w:val="20"/>
                <w:color w:val="auto"/>
              </w:rPr>
            </w:pPr>
            <w:r>
              <w:rPr>
                <w:rFonts w:ascii="Arial" w:cs="Arial" w:eastAsia="Arial" w:hAnsi="Arial"/>
                <w:sz w:val="20"/>
                <w:szCs w:val="20"/>
                <w:color w:val="auto"/>
              </w:rPr>
              <w:t>Net earnings per share - diluted</w:t>
            </w:r>
          </w:p>
        </w:tc>
        <w:tc>
          <w:tcPr>
            <w:tcW w:w="440" w:type="dxa"/>
            <w:vAlign w:val="bottom"/>
          </w:tcPr>
          <w:p>
            <w:pPr>
              <w:ind w:left="200"/>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80"/>
              <w:spacing w:after="0"/>
              <w:rPr>
                <w:sz w:val="20"/>
                <w:szCs w:val="20"/>
                <w:color w:val="auto"/>
              </w:rPr>
            </w:pPr>
            <w:r>
              <w:rPr>
                <w:rFonts w:ascii="Arial" w:cs="Arial" w:eastAsia="Arial" w:hAnsi="Arial"/>
                <w:sz w:val="20"/>
                <w:szCs w:val="20"/>
                <w:b w:val="1"/>
                <w:bCs w:val="1"/>
                <w:color w:val="auto"/>
              </w:rPr>
              <w:t>0.59</w:t>
            </w:r>
          </w:p>
        </w:tc>
        <w:tc>
          <w:tcPr>
            <w:tcW w:w="5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(0.27)</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60"/>
              <w:spacing w:after="0"/>
              <w:rPr>
                <w:sz w:val="20"/>
                <w:szCs w:val="20"/>
                <w:color w:val="auto"/>
              </w:rPr>
            </w:pPr>
            <w:r>
              <w:rPr>
                <w:rFonts w:ascii="Arial" w:cs="Arial" w:eastAsia="Arial" w:hAnsi="Arial"/>
                <w:sz w:val="20"/>
                <w:szCs w:val="20"/>
                <w:color w:val="auto"/>
              </w:rPr>
              <w:t>0.09</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40"/>
              <w:spacing w:after="0"/>
              <w:rPr>
                <w:sz w:val="20"/>
                <w:szCs w:val="20"/>
                <w:color w:val="auto"/>
              </w:rPr>
            </w:pPr>
            <w:r>
              <w:rPr>
                <w:rFonts w:ascii="Arial" w:cs="Arial" w:eastAsia="Arial" w:hAnsi="Arial"/>
                <w:sz w:val="20"/>
                <w:szCs w:val="20"/>
                <w:color w:val="auto"/>
              </w:rPr>
              <w:t>0.07</w:t>
            </w:r>
          </w:p>
        </w:tc>
        <w:tc>
          <w:tcPr>
            <w:tcW w:w="420" w:type="dxa"/>
            <w:vAlign w:val="bottom"/>
          </w:tcPr>
          <w:p>
            <w:pPr>
              <w:ind w:left="180"/>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0.48</w:t>
            </w:r>
          </w:p>
        </w:tc>
      </w:tr>
    </w:tbl>
    <w:p>
      <w:pPr>
        <w:sectPr>
          <w:pgSz w:w="11900" w:h="16838" w:orient="portrait"/>
          <w:cols w:equalWidth="0" w:num="1">
            <w:col w:w="10380"/>
          </w:cols>
          <w:pgMar w:left="800" w:top="423" w:right="71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394"/>
        </w:trPr>
        <w:tc>
          <w:tcPr>
            <w:tcW w:w="676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100" w:type="dxa"/>
            <w:vAlign w:val="bottom"/>
          </w:tcPr>
          <w:p>
            <w:pPr>
              <w:jc w:val="right"/>
              <w:spacing w:after="0"/>
              <w:rPr>
                <w:sz w:val="20"/>
                <w:szCs w:val="20"/>
                <w:color w:val="auto"/>
              </w:rPr>
            </w:pPr>
            <w:r>
              <w:rPr>
                <w:rFonts w:ascii="Arial" w:cs="Arial" w:eastAsia="Arial" w:hAnsi="Arial"/>
                <w:sz w:val="22"/>
                <w:szCs w:val="22"/>
                <w:color w:val="FFFFFF"/>
              </w:rPr>
              <w:t>15</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Arial" w:cs="Arial" w:eastAsia="Arial" w:hAnsi="Arial"/>
          <w:sz w:val="47"/>
          <w:szCs w:val="47"/>
          <w:color w:val="C8504F"/>
        </w:rPr>
        <w:t>Balance Sheet Highlights</w:t>
      </w:r>
    </w:p>
    <w:p>
      <w:pPr>
        <w:sectPr>
          <w:pgSz w:w="11900" w:h="16838" w:orient="portrait"/>
          <w:cols w:equalWidth="0" w:num="1">
            <w:col w:w="10220"/>
          </w:cols>
          <w:pgMar w:left="860" w:top="423" w:right="819" w:bottom="1440" w:gutter="0" w:footer="0" w:header="0"/>
        </w:sectPr>
      </w:pPr>
    </w:p>
    <w:p>
      <w:pPr>
        <w:spacing w:after="0" w:line="200" w:lineRule="exact"/>
        <w:rPr>
          <w:sz w:val="20"/>
          <w:szCs w:val="20"/>
          <w:color w:val="auto"/>
        </w:rPr>
      </w:pPr>
    </w:p>
    <w:p>
      <w:pPr>
        <w:spacing w:after="0" w:line="398" w:lineRule="exact"/>
        <w:rPr>
          <w:sz w:val="20"/>
          <w:szCs w:val="20"/>
          <w:color w:val="auto"/>
        </w:rPr>
      </w:pPr>
    </w:p>
    <w:tbl>
      <w:tblPr>
        <w:tblLayout w:type="fixed"/>
        <w:tblInd w:w="340" w:type="dxa"/>
        <w:tblCellMar>
          <w:top w:w="0" w:type="dxa"/>
          <w:left w:w="0" w:type="dxa"/>
          <w:bottom w:w="0" w:type="dxa"/>
          <w:right w:w="0" w:type="dxa"/>
        </w:tblCellMar>
      </w:tblPr>
      <w:tr>
        <w:trPr>
          <w:trHeight w:val="283"/>
        </w:trPr>
        <w:tc>
          <w:tcPr>
            <w:tcW w:w="1400" w:type="dxa"/>
            <w:vAlign w:val="bottom"/>
          </w:tcPr>
          <w:p>
            <w:pPr>
              <w:spacing w:after="0"/>
              <w:rPr>
                <w:sz w:val="20"/>
                <w:szCs w:val="20"/>
                <w:color w:val="auto"/>
              </w:rPr>
            </w:pPr>
            <w:r>
              <w:rPr>
                <w:rFonts w:ascii="Arial" w:cs="Arial" w:eastAsia="Arial" w:hAnsi="Arial"/>
                <w:sz w:val="22"/>
                <w:szCs w:val="22"/>
                <w:b w:val="1"/>
                <w:bCs w:val="1"/>
                <w:color w:val="auto"/>
              </w:rPr>
              <w:t>Total Debt</w:t>
            </w:r>
          </w:p>
        </w:tc>
        <w:tc>
          <w:tcPr>
            <w:tcW w:w="800" w:type="dxa"/>
            <w:vAlign w:val="bottom"/>
          </w:tcPr>
          <w:p>
            <w:pPr>
              <w:jc w:val="right"/>
              <w:spacing w:after="0"/>
              <w:rPr>
                <w:sz w:val="20"/>
                <w:szCs w:val="20"/>
                <w:color w:val="auto"/>
              </w:rPr>
            </w:pPr>
            <w:r>
              <w:rPr>
                <w:rFonts w:ascii="Arial" w:cs="Arial" w:eastAsia="Arial" w:hAnsi="Arial"/>
                <w:sz w:val="19"/>
                <w:szCs w:val="19"/>
                <w:color w:val="auto"/>
              </w:rPr>
              <w:t>1,000</w:t>
            </w:r>
          </w:p>
        </w:tc>
      </w:tr>
    </w:tbl>
    <w:p>
      <w:pPr>
        <w:ind w:left="320"/>
        <w:spacing w:after="0" w:line="180" w:lineRule="auto"/>
        <w:rPr>
          <w:sz w:val="20"/>
          <w:szCs w:val="20"/>
          <w:color w:val="auto"/>
        </w:rPr>
      </w:pPr>
      <w:r>
        <w:rPr>
          <w:rFonts w:ascii="Arial" w:cs="Arial" w:eastAsia="Arial" w:hAnsi="Arial"/>
          <w:sz w:val="19"/>
          <w:szCs w:val="19"/>
          <w:color w:val="auto"/>
        </w:rPr>
        <w:t>($ in millions)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800</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600</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400</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200</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0</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Total Debt to</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Total Capitalization </w:t>
      </w:r>
      <w:r>
        <w:rPr>
          <w:rFonts w:ascii="Arial" w:cs="Arial" w:eastAsia="Arial" w:hAnsi="Arial"/>
          <w:sz w:val="35"/>
          <w:szCs w:val="35"/>
          <w:color w:val="auto"/>
          <w:vertAlign w:val="superscript"/>
        </w:rPr>
        <w:t>40%</w:t>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30%</w:t>
      </w:r>
    </w:p>
    <w:p>
      <w:pPr>
        <w:spacing w:after="0" w:line="275"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20%</w:t>
      </w:r>
    </w:p>
    <w:p>
      <w:pPr>
        <w:spacing w:after="0" w:line="275"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10%</w:t>
      </w:r>
    </w:p>
    <w:p>
      <w:pPr>
        <w:spacing w:after="0" w:line="275" w:lineRule="exact"/>
        <w:rPr>
          <w:sz w:val="20"/>
          <w:szCs w:val="20"/>
          <w:color w:val="auto"/>
        </w:rPr>
      </w:pPr>
    </w:p>
    <w:p>
      <w:pPr>
        <w:ind w:left="2240"/>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900" w:type="dxa"/>
            <w:vAlign w:val="bottom"/>
            <w:vMerge w:val="restart"/>
          </w:tcPr>
          <w:p>
            <w:pPr>
              <w:jc w:val="center"/>
              <w:ind w:right="346"/>
              <w:spacing w:after="0"/>
              <w:rPr>
                <w:sz w:val="20"/>
                <w:szCs w:val="20"/>
                <w:color w:val="auto"/>
              </w:rPr>
            </w:pPr>
            <w:r>
              <w:rPr>
                <w:rFonts w:ascii="Arial" w:cs="Arial" w:eastAsia="Arial" w:hAnsi="Arial"/>
                <w:sz w:val="19"/>
                <w:szCs w:val="19"/>
                <w:b w:val="1"/>
                <w:bCs w:val="1"/>
                <w:color w:val="FFFFFF"/>
                <w:w w:val="94"/>
              </w:rPr>
              <w:t>842</w:t>
            </w:r>
          </w:p>
        </w:tc>
        <w:tc>
          <w:tcPr>
            <w:tcW w:w="1340" w:type="dxa"/>
            <w:vAlign w:val="bottom"/>
          </w:tcPr>
          <w:p>
            <w:pPr>
              <w:jc w:val="right"/>
              <w:ind w:right="386"/>
              <w:spacing w:after="0"/>
              <w:rPr>
                <w:sz w:val="20"/>
                <w:szCs w:val="20"/>
                <w:color w:val="auto"/>
              </w:rPr>
            </w:pPr>
            <w:r>
              <w:rPr>
                <w:rFonts w:ascii="Arial" w:cs="Arial" w:eastAsia="Arial" w:hAnsi="Arial"/>
                <w:sz w:val="19"/>
                <w:szCs w:val="19"/>
                <w:b w:val="1"/>
                <w:bCs w:val="1"/>
                <w:color w:val="FFFFFF"/>
              </w:rPr>
              <w:t>902</w:t>
            </w:r>
          </w:p>
        </w:tc>
        <w:tc>
          <w:tcPr>
            <w:tcW w:w="1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9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300" w:type="dxa"/>
            <w:vAlign w:val="bottom"/>
            <w:vMerge w:val="restart"/>
          </w:tcPr>
          <w:p>
            <w:pPr>
              <w:ind w:left="520"/>
              <w:spacing w:after="0"/>
              <w:rPr>
                <w:sz w:val="20"/>
                <w:szCs w:val="20"/>
                <w:color w:val="auto"/>
              </w:rPr>
            </w:pPr>
            <w:r>
              <w:rPr>
                <w:rFonts w:ascii="Arial" w:cs="Arial" w:eastAsia="Arial" w:hAnsi="Arial"/>
                <w:sz w:val="19"/>
                <w:szCs w:val="19"/>
                <w:b w:val="1"/>
                <w:bCs w:val="1"/>
                <w:color w:val="FFFFFF"/>
              </w:rPr>
              <w:t>735</w:t>
            </w:r>
          </w:p>
        </w:tc>
        <w:tc>
          <w:tcPr>
            <w:tcW w:w="1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600" w:type="dxa"/>
            <w:vAlign w:val="bottom"/>
            <w:vMerge w:val="restart"/>
          </w:tcPr>
          <w:p>
            <w:pPr>
              <w:jc w:val="right"/>
              <w:ind w:right="606"/>
              <w:spacing w:after="0"/>
              <w:rPr>
                <w:sz w:val="20"/>
                <w:szCs w:val="20"/>
                <w:color w:val="auto"/>
              </w:rPr>
            </w:pPr>
            <w:r>
              <w:rPr>
                <w:rFonts w:ascii="Arial" w:cs="Arial" w:eastAsia="Arial" w:hAnsi="Arial"/>
                <w:sz w:val="19"/>
                <w:szCs w:val="19"/>
                <w:b w:val="1"/>
                <w:bCs w:val="1"/>
                <w:color w:val="FFFFFF"/>
              </w:rPr>
              <w:t>754</w:t>
            </w:r>
          </w:p>
        </w:tc>
        <w:tc>
          <w:tcPr>
            <w:tcW w:w="1300" w:type="dxa"/>
            <w:vAlign w:val="bottom"/>
            <w:vMerge w:val="restart"/>
          </w:tcPr>
          <w:p>
            <w:pPr>
              <w:ind w:left="460"/>
              <w:spacing w:after="0"/>
              <w:rPr>
                <w:sz w:val="20"/>
                <w:szCs w:val="20"/>
                <w:color w:val="auto"/>
              </w:rPr>
            </w:pPr>
            <w:r>
              <w:rPr>
                <w:rFonts w:ascii="Arial" w:cs="Arial" w:eastAsia="Arial" w:hAnsi="Arial"/>
                <w:sz w:val="19"/>
                <w:szCs w:val="19"/>
                <w:color w:val="auto"/>
                <w:w w:val="93"/>
              </w:rPr>
              <w:t>Total Debt</w:t>
            </w:r>
          </w:p>
        </w:tc>
        <w:tc>
          <w:tcPr>
            <w:tcW w:w="0" w:type="dxa"/>
            <w:vAlign w:val="bottom"/>
          </w:tcPr>
          <w:p>
            <w:pPr>
              <w:spacing w:after="0"/>
              <w:rPr>
                <w:sz w:val="1"/>
                <w:szCs w:val="1"/>
                <w:color w:val="auto"/>
              </w:rPr>
            </w:pPr>
          </w:p>
        </w:tc>
      </w:tr>
      <w:tr>
        <w:trPr>
          <w:trHeight w:val="71"/>
        </w:trPr>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900" w:type="dxa"/>
            <w:vAlign w:val="bottom"/>
            <w:vMerge w:val="restart"/>
          </w:tcPr>
          <w:p>
            <w:pPr>
              <w:jc w:val="center"/>
              <w:ind w:right="326"/>
              <w:spacing w:after="0"/>
              <w:rPr>
                <w:sz w:val="20"/>
                <w:szCs w:val="20"/>
                <w:color w:val="auto"/>
              </w:rPr>
            </w:pPr>
            <w:r>
              <w:rPr>
                <w:rFonts w:ascii="Arial" w:cs="Arial" w:eastAsia="Arial" w:hAnsi="Arial"/>
                <w:sz w:val="19"/>
                <w:szCs w:val="19"/>
                <w:b w:val="1"/>
                <w:bCs w:val="1"/>
                <w:color w:val="FFFFFF"/>
              </w:rPr>
              <w:t>416</w:t>
            </w:r>
          </w:p>
        </w:tc>
        <w:tc>
          <w:tcPr>
            <w:tcW w:w="1340" w:type="dxa"/>
            <w:vAlign w:val="bottom"/>
            <w:vMerge w:val="restart"/>
          </w:tcPr>
          <w:p>
            <w:pPr>
              <w:jc w:val="right"/>
              <w:ind w:right="406"/>
              <w:spacing w:after="0"/>
              <w:rPr>
                <w:sz w:val="20"/>
                <w:szCs w:val="20"/>
                <w:color w:val="auto"/>
              </w:rPr>
            </w:pPr>
            <w:r>
              <w:rPr>
                <w:rFonts w:ascii="Arial" w:cs="Arial" w:eastAsia="Arial" w:hAnsi="Arial"/>
                <w:sz w:val="19"/>
                <w:szCs w:val="19"/>
                <w:b w:val="1"/>
                <w:bCs w:val="1"/>
                <w:color w:val="FFFFFF"/>
              </w:rPr>
              <w:t>370</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ind w:left="460"/>
              <w:spacing w:after="0"/>
              <w:rPr>
                <w:sz w:val="20"/>
                <w:szCs w:val="20"/>
                <w:color w:val="auto"/>
              </w:rPr>
            </w:pPr>
            <w:r>
              <w:rPr>
                <w:rFonts w:ascii="Arial" w:cs="Arial" w:eastAsia="Arial" w:hAnsi="Arial"/>
                <w:sz w:val="19"/>
                <w:szCs w:val="19"/>
                <w:color w:val="auto"/>
              </w:rPr>
              <w:t>Net Debt</w:t>
            </w: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300" w:type="dxa"/>
            <w:vAlign w:val="bottom"/>
            <w:vMerge w:val="restart"/>
          </w:tcPr>
          <w:p>
            <w:pPr>
              <w:ind w:left="520"/>
              <w:spacing w:after="0"/>
              <w:rPr>
                <w:sz w:val="20"/>
                <w:szCs w:val="20"/>
                <w:color w:val="auto"/>
              </w:rPr>
            </w:pPr>
            <w:r>
              <w:rPr>
                <w:rFonts w:ascii="Arial" w:cs="Arial" w:eastAsia="Arial" w:hAnsi="Arial"/>
                <w:sz w:val="19"/>
                <w:szCs w:val="19"/>
                <w:b w:val="1"/>
                <w:bCs w:val="1"/>
                <w:color w:val="FFFFFF"/>
              </w:rPr>
              <w:t>280</w:t>
            </w:r>
          </w:p>
        </w:tc>
        <w:tc>
          <w:tcPr>
            <w:tcW w:w="16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600" w:type="dxa"/>
            <w:vAlign w:val="bottom"/>
            <w:vMerge w:val="restart"/>
          </w:tcPr>
          <w:p>
            <w:pPr>
              <w:ind w:left="560"/>
              <w:spacing w:after="0"/>
              <w:rPr>
                <w:sz w:val="20"/>
                <w:szCs w:val="20"/>
                <w:color w:val="auto"/>
              </w:rPr>
            </w:pPr>
            <w:r>
              <w:rPr>
                <w:rFonts w:ascii="Arial" w:cs="Arial" w:eastAsia="Arial" w:hAnsi="Arial"/>
                <w:sz w:val="19"/>
                <w:szCs w:val="19"/>
                <w:b w:val="1"/>
                <w:bCs w:val="1"/>
                <w:color w:val="FFFFFF"/>
              </w:rPr>
              <w:t>200</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00" w:type="dxa"/>
            <w:vAlign w:val="bottom"/>
          </w:tcPr>
          <w:p>
            <w:pPr>
              <w:jc w:val="center"/>
              <w:ind w:right="346"/>
              <w:spacing w:after="0"/>
              <w:rPr>
                <w:sz w:val="20"/>
                <w:szCs w:val="20"/>
                <w:color w:val="auto"/>
              </w:rPr>
            </w:pPr>
            <w:r>
              <w:rPr>
                <w:rFonts w:ascii="Arial" w:cs="Arial" w:eastAsia="Arial" w:hAnsi="Arial"/>
                <w:sz w:val="19"/>
                <w:szCs w:val="19"/>
                <w:color w:val="auto"/>
                <w:w w:val="99"/>
              </w:rPr>
              <w:t>2003</w:t>
            </w:r>
          </w:p>
        </w:tc>
        <w:tc>
          <w:tcPr>
            <w:tcW w:w="1340" w:type="dxa"/>
            <w:vAlign w:val="bottom"/>
          </w:tcPr>
          <w:p>
            <w:pPr>
              <w:jc w:val="right"/>
              <w:ind w:right="366"/>
              <w:spacing w:after="0"/>
              <w:rPr>
                <w:sz w:val="20"/>
                <w:szCs w:val="20"/>
                <w:color w:val="auto"/>
              </w:rPr>
            </w:pPr>
            <w:r>
              <w:rPr>
                <w:rFonts w:ascii="Arial" w:cs="Arial" w:eastAsia="Arial" w:hAnsi="Arial"/>
                <w:sz w:val="19"/>
                <w:szCs w:val="19"/>
                <w:color w:val="auto"/>
              </w:rPr>
              <w:t>2004</w:t>
            </w:r>
          </w:p>
        </w:tc>
        <w:tc>
          <w:tcPr>
            <w:tcW w:w="1300" w:type="dxa"/>
            <w:vAlign w:val="bottom"/>
          </w:tcPr>
          <w:p>
            <w:pPr>
              <w:jc w:val="right"/>
              <w:ind w:right="326"/>
              <w:spacing w:after="0"/>
              <w:rPr>
                <w:sz w:val="20"/>
                <w:szCs w:val="20"/>
                <w:color w:val="auto"/>
              </w:rPr>
            </w:pPr>
            <w:r>
              <w:rPr>
                <w:rFonts w:ascii="Arial" w:cs="Arial" w:eastAsia="Arial" w:hAnsi="Arial"/>
                <w:sz w:val="19"/>
                <w:szCs w:val="19"/>
                <w:color w:val="auto"/>
              </w:rPr>
              <w:t>2005</w:t>
            </w:r>
          </w:p>
        </w:tc>
        <w:tc>
          <w:tcPr>
            <w:tcW w:w="1600" w:type="dxa"/>
            <w:vAlign w:val="bottom"/>
          </w:tcPr>
          <w:p>
            <w:pPr>
              <w:jc w:val="center"/>
              <w:ind w:right="66"/>
              <w:spacing w:after="0"/>
              <w:rPr>
                <w:sz w:val="20"/>
                <w:szCs w:val="20"/>
                <w:color w:val="auto"/>
              </w:rPr>
            </w:pPr>
            <w:r>
              <w:rPr>
                <w:rFonts w:ascii="Arial" w:cs="Arial" w:eastAsia="Arial" w:hAnsi="Arial"/>
                <w:sz w:val="19"/>
                <w:szCs w:val="19"/>
                <w:color w:val="auto"/>
                <w:w w:val="98"/>
              </w:rPr>
              <w:t>Q1 2006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900" w:type="dxa"/>
            <w:vAlign w:val="bottom"/>
          </w:tcPr>
          <w:p>
            <w:pPr>
              <w:spacing w:after="0"/>
              <w:rPr>
                <w:sz w:val="20"/>
                <w:szCs w:val="20"/>
                <w:color w:val="auto"/>
              </w:rPr>
            </w:pPr>
            <w:r>
              <w:rPr>
                <w:rFonts w:ascii="Arial" w:cs="Arial" w:eastAsia="Arial" w:hAnsi="Arial"/>
                <w:sz w:val="19"/>
                <w:szCs w:val="19"/>
                <w:b w:val="1"/>
                <w:bCs w:val="1"/>
                <w:color w:val="FFFFFF"/>
              </w:rPr>
              <w:t>39%</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900" w:type="dxa"/>
            <w:vAlign w:val="bottom"/>
          </w:tcPr>
          <w:p>
            <w:pPr>
              <w:spacing w:after="0"/>
              <w:rPr>
                <w:sz w:val="24"/>
                <w:szCs w:val="24"/>
                <w:color w:val="auto"/>
              </w:rPr>
            </w:pPr>
          </w:p>
        </w:tc>
        <w:tc>
          <w:tcPr>
            <w:tcW w:w="1340" w:type="dxa"/>
            <w:vAlign w:val="bottom"/>
          </w:tcPr>
          <w:p>
            <w:pPr>
              <w:jc w:val="right"/>
              <w:ind w:right="386"/>
              <w:spacing w:after="0"/>
              <w:rPr>
                <w:sz w:val="20"/>
                <w:szCs w:val="20"/>
                <w:color w:val="auto"/>
              </w:rPr>
            </w:pPr>
            <w:r>
              <w:rPr>
                <w:rFonts w:ascii="Arial" w:cs="Arial" w:eastAsia="Arial" w:hAnsi="Arial"/>
                <w:sz w:val="19"/>
                <w:szCs w:val="19"/>
                <w:b w:val="1"/>
                <w:bCs w:val="1"/>
                <w:color w:val="FFFFFF"/>
              </w:rPr>
              <w:t>29%</w:t>
            </w:r>
          </w:p>
        </w:tc>
        <w:tc>
          <w:tcPr>
            <w:tcW w:w="1300" w:type="dxa"/>
            <w:vAlign w:val="bottom"/>
            <w:vMerge w:val="restart"/>
          </w:tcPr>
          <w:p>
            <w:pPr>
              <w:jc w:val="right"/>
              <w:ind w:right="326"/>
              <w:spacing w:after="0"/>
              <w:rPr>
                <w:sz w:val="20"/>
                <w:szCs w:val="20"/>
                <w:color w:val="auto"/>
              </w:rPr>
            </w:pPr>
            <w:r>
              <w:rPr>
                <w:rFonts w:ascii="Arial" w:cs="Arial" w:eastAsia="Arial" w:hAnsi="Arial"/>
                <w:sz w:val="19"/>
                <w:szCs w:val="19"/>
                <w:b w:val="1"/>
                <w:bCs w:val="1"/>
                <w:color w:val="FFFFFF"/>
              </w:rPr>
              <w:t>26%</w:t>
            </w:r>
          </w:p>
        </w:tc>
        <w:tc>
          <w:tcPr>
            <w:tcW w:w="1600" w:type="dxa"/>
            <w:vAlign w:val="bottom"/>
            <w:vMerge w:val="restart"/>
          </w:tcPr>
          <w:p>
            <w:pPr>
              <w:ind w:left="560"/>
              <w:spacing w:after="0"/>
              <w:rPr>
                <w:sz w:val="20"/>
                <w:szCs w:val="20"/>
                <w:color w:val="auto"/>
              </w:rPr>
            </w:pPr>
            <w:r>
              <w:rPr>
                <w:rFonts w:ascii="Arial" w:cs="Arial" w:eastAsia="Arial" w:hAnsi="Arial"/>
                <w:sz w:val="19"/>
                <w:szCs w:val="19"/>
                <w:b w:val="1"/>
                <w:bCs w:val="1"/>
                <w:color w:val="FFFFFF"/>
              </w:rPr>
              <w:t>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2"/>
        </w:trPr>
        <w:tc>
          <w:tcPr>
            <w:tcW w:w="900" w:type="dxa"/>
            <w:vAlign w:val="bottom"/>
          </w:tcPr>
          <w:p>
            <w:pPr>
              <w:spacing w:after="0"/>
              <w:rPr>
                <w:sz w:val="20"/>
                <w:szCs w:val="20"/>
                <w:color w:val="auto"/>
              </w:rPr>
            </w:pPr>
            <w:r>
              <w:rPr>
                <w:rFonts w:ascii="Arial" w:cs="Arial" w:eastAsia="Arial" w:hAnsi="Arial"/>
                <w:sz w:val="19"/>
                <w:szCs w:val="19"/>
                <w:color w:val="auto"/>
              </w:rPr>
              <w:t>2003</w:t>
            </w:r>
          </w:p>
        </w:tc>
        <w:tc>
          <w:tcPr>
            <w:tcW w:w="1340" w:type="dxa"/>
            <w:vAlign w:val="bottom"/>
          </w:tcPr>
          <w:p>
            <w:pPr>
              <w:jc w:val="right"/>
              <w:ind w:right="366"/>
              <w:spacing w:after="0"/>
              <w:rPr>
                <w:sz w:val="20"/>
                <w:szCs w:val="20"/>
                <w:color w:val="auto"/>
              </w:rPr>
            </w:pPr>
            <w:r>
              <w:rPr>
                <w:rFonts w:ascii="Arial" w:cs="Arial" w:eastAsia="Arial" w:hAnsi="Arial"/>
                <w:sz w:val="19"/>
                <w:szCs w:val="19"/>
                <w:color w:val="auto"/>
              </w:rPr>
              <w:t>2004</w:t>
            </w:r>
          </w:p>
        </w:tc>
        <w:tc>
          <w:tcPr>
            <w:tcW w:w="1300" w:type="dxa"/>
            <w:vAlign w:val="bottom"/>
          </w:tcPr>
          <w:p>
            <w:pPr>
              <w:ind w:left="500"/>
              <w:spacing w:after="0"/>
              <w:rPr>
                <w:sz w:val="20"/>
                <w:szCs w:val="20"/>
                <w:color w:val="auto"/>
              </w:rPr>
            </w:pPr>
            <w:r>
              <w:rPr>
                <w:rFonts w:ascii="Arial" w:cs="Arial" w:eastAsia="Arial" w:hAnsi="Arial"/>
                <w:sz w:val="19"/>
                <w:szCs w:val="19"/>
                <w:color w:val="auto"/>
              </w:rPr>
              <w:t>2005</w:t>
            </w:r>
          </w:p>
        </w:tc>
        <w:tc>
          <w:tcPr>
            <w:tcW w:w="1600" w:type="dxa"/>
            <w:vAlign w:val="bottom"/>
          </w:tcPr>
          <w:p>
            <w:pPr>
              <w:ind w:left="420"/>
              <w:spacing w:after="0"/>
              <w:rPr>
                <w:sz w:val="20"/>
                <w:szCs w:val="20"/>
                <w:color w:val="auto"/>
              </w:rPr>
            </w:pPr>
            <w:r>
              <w:rPr>
                <w:rFonts w:ascii="Arial" w:cs="Arial" w:eastAsia="Arial" w:hAnsi="Arial"/>
                <w:sz w:val="19"/>
                <w:szCs w:val="19"/>
                <w:color w:val="auto"/>
              </w:rPr>
              <w:t>Q1 2006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2540" w:space="580"/>
            <w:col w:w="7100"/>
          </w:cols>
          <w:pgMar w:left="860" w:top="423" w:right="819" w:bottom="1440" w:gutter="0" w:footer="0" w:header="0"/>
          <w:type w:val="continuous"/>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94"/>
        </w:trPr>
        <w:tc>
          <w:tcPr>
            <w:tcW w:w="676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100" w:type="dxa"/>
            <w:vAlign w:val="bottom"/>
          </w:tcPr>
          <w:p>
            <w:pPr>
              <w:jc w:val="right"/>
              <w:spacing w:after="0"/>
              <w:rPr>
                <w:sz w:val="20"/>
                <w:szCs w:val="20"/>
                <w:color w:val="auto"/>
              </w:rPr>
            </w:pPr>
            <w:r>
              <w:rPr>
                <w:rFonts w:ascii="Arial" w:cs="Arial" w:eastAsia="Arial" w:hAnsi="Arial"/>
                <w:sz w:val="22"/>
                <w:szCs w:val="22"/>
                <w:color w:val="FFFFFF"/>
              </w:rPr>
              <w:t>16</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7"/>
          <w:szCs w:val="47"/>
          <w:color w:val="D47C18"/>
        </w:rPr>
        <w:t>Cash Flow Summary – First Quarter</w:t>
      </w:r>
    </w:p>
    <w:p>
      <w:pPr>
        <w:sectPr>
          <w:pgSz w:w="11900" w:h="16838" w:orient="portrait"/>
          <w:cols w:equalWidth="0" w:num="1">
            <w:col w:w="9860"/>
          </w:cols>
          <w:pgMar w:left="1220" w:top="423" w:right="819" w:bottom="1440" w:gutter="0" w:footer="0" w:header="0"/>
        </w:sectPr>
      </w:pPr>
    </w:p>
    <w:p>
      <w:pPr>
        <w:spacing w:after="0" w:line="349" w:lineRule="exact"/>
        <w:rPr>
          <w:sz w:val="20"/>
          <w:szCs w:val="20"/>
          <w:color w:val="auto"/>
        </w:rPr>
      </w:pPr>
    </w:p>
    <w:p>
      <w:pPr>
        <w:ind w:left="140"/>
        <w:spacing w:after="0"/>
        <w:rPr>
          <w:sz w:val="20"/>
          <w:szCs w:val="20"/>
          <w:color w:val="auto"/>
        </w:rPr>
      </w:pPr>
      <w:r>
        <w:rPr>
          <w:rFonts w:ascii="Arial" w:cs="Arial" w:eastAsia="Arial" w:hAnsi="Arial"/>
          <w:sz w:val="28"/>
          <w:szCs w:val="28"/>
          <w:color w:val="D47C18"/>
        </w:rPr>
        <w:t>($ in millions)</w:t>
      </w:r>
    </w:p>
    <w:p>
      <w:pPr>
        <w:spacing w:after="0" w:line="159" w:lineRule="exact"/>
        <w:rPr>
          <w:sz w:val="20"/>
          <w:szCs w:val="20"/>
          <w:color w:val="auto"/>
        </w:rPr>
      </w:pPr>
    </w:p>
    <w:p>
      <w:pPr>
        <w:jc w:val="center"/>
        <w:ind w:left="140" w:right="1420"/>
        <w:spacing w:after="0" w:line="326" w:lineRule="auto"/>
        <w:rPr>
          <w:sz w:val="20"/>
          <w:szCs w:val="20"/>
          <w:color w:val="auto"/>
        </w:rPr>
      </w:pPr>
      <w:r>
        <w:rPr>
          <w:rFonts w:ascii="Arial" w:cs="Arial" w:eastAsia="Arial" w:hAnsi="Arial"/>
          <w:sz w:val="31"/>
          <w:szCs w:val="31"/>
          <w:b w:val="1"/>
          <w:bCs w:val="1"/>
          <w:color w:val="auto"/>
        </w:rPr>
        <w:t>Cash from Operations Capital Expenditures Free Cash Flow</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Share Repurchases *</w:t>
      </w:r>
    </w:p>
    <w:p>
      <w:pPr>
        <w:spacing w:after="0" w:line="102" w:lineRule="exact"/>
        <w:rPr>
          <w:sz w:val="20"/>
          <w:szCs w:val="20"/>
          <w:color w:val="auto"/>
        </w:rPr>
      </w:pPr>
    </w:p>
    <w:p>
      <w:pPr>
        <w:ind w:left="500" w:right="560" w:hanging="269"/>
        <w:spacing w:after="0" w:line="288" w:lineRule="auto"/>
        <w:rPr>
          <w:sz w:val="20"/>
          <w:szCs w:val="20"/>
          <w:color w:val="auto"/>
        </w:rPr>
      </w:pPr>
      <w:r>
        <w:rPr>
          <w:rFonts w:ascii="Arial" w:cs="Arial" w:eastAsia="Arial" w:hAnsi="Arial"/>
          <w:sz w:val="31"/>
          <w:szCs w:val="31"/>
          <w:b w:val="1"/>
          <w:bCs w:val="1"/>
          <w:color w:val="auto"/>
        </w:rPr>
        <w:t>Proceeds from Stock Option and Purchase Plans</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Change in Debt</w:t>
      </w:r>
    </w:p>
    <w:p>
      <w:pPr>
        <w:spacing w:after="0" w:line="149" w:lineRule="exact"/>
        <w:rPr>
          <w:sz w:val="20"/>
          <w:szCs w:val="20"/>
          <w:color w:val="auto"/>
        </w:rPr>
      </w:pPr>
    </w:p>
    <w:p>
      <w:pPr>
        <w:ind w:left="240" w:hanging="11"/>
        <w:spacing w:after="0" w:line="333" w:lineRule="auto"/>
        <w:rPr>
          <w:sz w:val="20"/>
          <w:szCs w:val="20"/>
          <w:color w:val="auto"/>
        </w:rPr>
      </w:pPr>
      <w:r>
        <w:rPr>
          <w:rFonts w:ascii="Arial" w:cs="Arial" w:eastAsia="Arial" w:hAnsi="Arial"/>
          <w:sz w:val="32"/>
          <w:szCs w:val="32"/>
          <w:b w:val="1"/>
          <w:bCs w:val="1"/>
          <w:color w:val="auto"/>
        </w:rPr>
        <w:t>Proceeds from Sale of Business Other</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32"/>
          <w:szCs w:val="32"/>
          <w:b w:val="1"/>
          <w:bCs w:val="1"/>
          <w:color w:val="auto"/>
        </w:rPr>
        <w:t>Change in Cash</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560"/>
        <w:spacing w:after="0"/>
        <w:tabs>
          <w:tab w:leader="none" w:pos="2380" w:val="left"/>
        </w:tabs>
        <w:rPr>
          <w:sz w:val="20"/>
          <w:szCs w:val="20"/>
          <w:color w:val="auto"/>
        </w:rPr>
      </w:pPr>
      <w:r>
        <w:rPr>
          <w:rFonts w:ascii="Arial" w:cs="Arial" w:eastAsia="Arial" w:hAnsi="Arial"/>
          <w:sz w:val="32"/>
          <w:szCs w:val="32"/>
          <w:b w:val="1"/>
          <w:bCs w:val="1"/>
          <w:color w:val="D47C18"/>
        </w:rPr>
        <w:t>2006</w:t>
      </w:r>
      <w:r>
        <w:rPr>
          <w:sz w:val="20"/>
          <w:szCs w:val="20"/>
          <w:color w:val="auto"/>
        </w:rPr>
        <w:tab/>
      </w:r>
      <w:r>
        <w:rPr>
          <w:rFonts w:ascii="Arial" w:cs="Arial" w:eastAsia="Arial" w:hAnsi="Arial"/>
          <w:sz w:val="32"/>
          <w:szCs w:val="32"/>
          <w:b w:val="1"/>
          <w:bCs w:val="1"/>
          <w:color w:val="D47C18"/>
        </w:rPr>
        <w:t>2005</w:t>
      </w:r>
    </w:p>
    <w:p>
      <w:pPr>
        <w:spacing w:after="0" w:line="232" w:lineRule="exact"/>
        <w:rPr>
          <w:sz w:val="20"/>
          <w:szCs w:val="20"/>
          <w:color w:val="auto"/>
        </w:rPr>
      </w:pPr>
    </w:p>
    <w:p>
      <w:pPr>
        <w:spacing w:after="0"/>
        <w:tabs>
          <w:tab w:leader="none" w:pos="860" w:val="left"/>
          <w:tab w:leader="none" w:pos="1920" w:val="left"/>
          <w:tab w:leader="none" w:pos="2760" w:val="left"/>
        </w:tabs>
        <w:rPr>
          <w:sz w:val="20"/>
          <w:szCs w:val="20"/>
          <w:color w:val="auto"/>
        </w:rPr>
      </w:pPr>
      <w:r>
        <w:rPr>
          <w:rFonts w:ascii="Arial" w:cs="Arial" w:eastAsia="Arial" w:hAnsi="Arial"/>
          <w:sz w:val="34"/>
          <w:szCs w:val="34"/>
          <w:b w:val="1"/>
          <w:bCs w:val="1"/>
          <w:color w:val="auto"/>
        </w:rPr>
        <w:t>$</w:t>
      </w:r>
      <w:r>
        <w:rPr>
          <w:sz w:val="20"/>
          <w:szCs w:val="20"/>
          <w:color w:val="auto"/>
        </w:rPr>
        <w:tab/>
      </w:r>
      <w:r>
        <w:rPr>
          <w:rFonts w:ascii="Arial" w:cs="Arial" w:eastAsia="Arial" w:hAnsi="Arial"/>
          <w:sz w:val="34"/>
          <w:szCs w:val="34"/>
          <w:b w:val="1"/>
          <w:bCs w:val="1"/>
          <w:color w:val="auto"/>
        </w:rPr>
        <w:t>77</w:t>
      </w:r>
      <w:r>
        <w:rPr>
          <w:sz w:val="20"/>
          <w:szCs w:val="20"/>
          <w:color w:val="auto"/>
        </w:rPr>
        <w:tab/>
      </w:r>
      <w:r>
        <w:rPr>
          <w:rFonts w:ascii="Arial" w:cs="Arial" w:eastAsia="Arial" w:hAnsi="Arial"/>
          <w:sz w:val="34"/>
          <w:szCs w:val="34"/>
          <w:b w:val="1"/>
          <w:bCs w:val="1"/>
          <w:color w:val="auto"/>
        </w:rPr>
        <w:t>$</w:t>
      </w:r>
      <w:r>
        <w:rPr>
          <w:sz w:val="20"/>
          <w:szCs w:val="20"/>
          <w:color w:val="auto"/>
        </w:rPr>
        <w:tab/>
      </w:r>
      <w:r>
        <w:rPr>
          <w:rFonts w:ascii="Arial" w:cs="Arial" w:eastAsia="Arial" w:hAnsi="Arial"/>
          <w:sz w:val="34"/>
          <w:szCs w:val="34"/>
          <w:b w:val="1"/>
          <w:bCs w:val="1"/>
          <w:color w:val="auto"/>
        </w:rPr>
        <w:t>86</w:t>
      </w:r>
    </w:p>
    <w:p>
      <w:pPr>
        <w:spacing w:after="0" w:line="79" w:lineRule="exact"/>
        <w:rPr>
          <w:sz w:val="20"/>
          <w:szCs w:val="20"/>
          <w:color w:val="auto"/>
        </w:rPr>
      </w:pPr>
    </w:p>
    <w:p>
      <w:pPr>
        <w:ind w:left="2660" w:hanging="1917"/>
        <w:spacing w:after="0"/>
        <w:tabs>
          <w:tab w:leader="none" w:pos="2660" w:val="left"/>
        </w:tabs>
        <w:numPr>
          <w:ilvl w:val="0"/>
          <w:numId w:val="7"/>
        </w:numPr>
        <w:rPr>
          <w:rFonts w:ascii="Arial" w:cs="Arial" w:eastAsia="Arial" w:hAnsi="Arial"/>
          <w:sz w:val="34"/>
          <w:szCs w:val="34"/>
          <w:b w:val="1"/>
          <w:bCs w:val="1"/>
          <w:color w:val="auto"/>
        </w:rPr>
      </w:pPr>
      <w:r>
        <w:rPr>
          <w:rFonts w:ascii="Arial" w:cs="Arial" w:eastAsia="Arial" w:hAnsi="Arial"/>
          <w:sz w:val="34"/>
          <w:szCs w:val="34"/>
          <w:b w:val="1"/>
          <w:bCs w:val="1"/>
          <w:color w:val="auto"/>
        </w:rPr>
        <w:t>(19)</w:t>
      </w:r>
    </w:p>
    <w:p>
      <w:pPr>
        <w:spacing w:after="0" w:line="62" w:lineRule="exact"/>
        <w:rPr>
          <w:sz w:val="20"/>
          <w:szCs w:val="20"/>
          <w:color w:val="auto"/>
        </w:rPr>
      </w:pPr>
    </w:p>
    <w:p>
      <w:pPr>
        <w:ind w:left="840"/>
        <w:spacing w:after="0"/>
        <w:tabs>
          <w:tab w:leader="none" w:pos="2760" w:val="left"/>
        </w:tabs>
        <w:rPr>
          <w:sz w:val="20"/>
          <w:szCs w:val="20"/>
          <w:color w:val="auto"/>
        </w:rPr>
      </w:pPr>
      <w:r>
        <w:rPr>
          <w:rFonts w:ascii="Arial" w:cs="Arial" w:eastAsia="Arial" w:hAnsi="Arial"/>
          <w:sz w:val="34"/>
          <w:szCs w:val="34"/>
          <w:b w:val="1"/>
          <w:bCs w:val="1"/>
          <w:color w:val="auto"/>
        </w:rPr>
        <w:t>62</w:t>
      </w:r>
      <w:r>
        <w:rPr>
          <w:sz w:val="20"/>
          <w:szCs w:val="20"/>
          <w:color w:val="auto"/>
        </w:rPr>
        <w:tab/>
      </w:r>
      <w:r>
        <w:rPr>
          <w:rFonts w:ascii="Arial" w:cs="Arial" w:eastAsia="Arial" w:hAnsi="Arial"/>
          <w:sz w:val="34"/>
          <w:szCs w:val="34"/>
          <w:b w:val="1"/>
          <w:bCs w:val="1"/>
          <w:color w:val="auto"/>
        </w:rPr>
        <w:t>67</w:t>
      </w:r>
    </w:p>
    <w:p>
      <w:pPr>
        <w:spacing w:after="0" w:line="144" w:lineRule="exact"/>
        <w:rPr>
          <w:sz w:val="20"/>
          <w:szCs w:val="20"/>
          <w:color w:val="auto"/>
        </w:rPr>
      </w:pPr>
    </w:p>
    <w:p>
      <w:pPr>
        <w:ind w:left="2660" w:hanging="1917"/>
        <w:spacing w:after="0"/>
        <w:tabs>
          <w:tab w:leader="none" w:pos="2660" w:val="left"/>
        </w:tabs>
        <w:numPr>
          <w:ilvl w:val="0"/>
          <w:numId w:val="8"/>
        </w:numPr>
        <w:rPr>
          <w:rFonts w:ascii="Arial" w:cs="Arial" w:eastAsia="Arial" w:hAnsi="Arial"/>
          <w:sz w:val="34"/>
          <w:szCs w:val="34"/>
          <w:b w:val="1"/>
          <w:bCs w:val="1"/>
          <w:color w:val="auto"/>
        </w:rPr>
      </w:pPr>
      <w:r>
        <w:rPr>
          <w:rFonts w:ascii="Arial" w:cs="Arial" w:eastAsia="Arial" w:hAnsi="Arial"/>
          <w:sz w:val="34"/>
          <w:szCs w:val="34"/>
          <w:b w:val="1"/>
          <w:bCs w:val="1"/>
          <w:color w:val="auto"/>
        </w:rPr>
        <w:t>(47)</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453"/>
        </w:trPr>
        <w:tc>
          <w:tcPr>
            <w:tcW w:w="1580" w:type="dxa"/>
            <w:vAlign w:val="bottom"/>
          </w:tcPr>
          <w:p>
            <w:pPr>
              <w:jc w:val="right"/>
              <w:ind w:right="210"/>
              <w:spacing w:after="0"/>
              <w:rPr>
                <w:sz w:val="20"/>
                <w:szCs w:val="20"/>
                <w:color w:val="auto"/>
              </w:rPr>
            </w:pPr>
            <w:r>
              <w:rPr>
                <w:rFonts w:ascii="Arial" w:cs="Arial" w:eastAsia="Arial" w:hAnsi="Arial"/>
                <w:sz w:val="34"/>
                <w:szCs w:val="34"/>
                <w:b w:val="1"/>
                <w:bCs w:val="1"/>
                <w:color w:val="auto"/>
              </w:rPr>
              <w:t>27</w:t>
            </w:r>
          </w:p>
        </w:tc>
        <w:tc>
          <w:tcPr>
            <w:tcW w:w="1680" w:type="dxa"/>
            <w:vAlign w:val="bottom"/>
          </w:tcPr>
          <w:p>
            <w:pPr>
              <w:jc w:val="right"/>
              <w:spacing w:after="0"/>
              <w:rPr>
                <w:sz w:val="20"/>
                <w:szCs w:val="20"/>
                <w:color w:val="auto"/>
              </w:rPr>
            </w:pPr>
            <w:r>
              <w:rPr>
                <w:rFonts w:ascii="Arial" w:cs="Arial" w:eastAsia="Arial" w:hAnsi="Arial"/>
                <w:sz w:val="34"/>
                <w:szCs w:val="34"/>
                <w:b w:val="1"/>
                <w:bCs w:val="1"/>
                <w:color w:val="auto"/>
              </w:rPr>
              <w:t>7</w:t>
            </w:r>
          </w:p>
        </w:tc>
      </w:tr>
      <w:tr>
        <w:trPr>
          <w:trHeight w:val="517"/>
        </w:trPr>
        <w:tc>
          <w:tcPr>
            <w:tcW w:w="1580" w:type="dxa"/>
            <w:vAlign w:val="bottom"/>
          </w:tcPr>
          <w:p>
            <w:pPr>
              <w:jc w:val="right"/>
              <w:ind w:right="210"/>
              <w:spacing w:after="0"/>
              <w:rPr>
                <w:sz w:val="20"/>
                <w:szCs w:val="20"/>
                <w:color w:val="auto"/>
              </w:rPr>
            </w:pPr>
            <w:r>
              <w:rPr>
                <w:rFonts w:ascii="Arial" w:cs="Arial" w:eastAsia="Arial" w:hAnsi="Arial"/>
                <w:sz w:val="34"/>
                <w:szCs w:val="34"/>
                <w:b w:val="1"/>
                <w:bCs w:val="1"/>
                <w:color w:val="auto"/>
              </w:rPr>
              <w:t>3</w:t>
            </w:r>
          </w:p>
        </w:tc>
        <w:tc>
          <w:tcPr>
            <w:tcW w:w="1680" w:type="dxa"/>
            <w:vAlign w:val="bottom"/>
          </w:tcPr>
          <w:p>
            <w:pPr>
              <w:jc w:val="right"/>
              <w:spacing w:after="0"/>
              <w:rPr>
                <w:sz w:val="20"/>
                <w:szCs w:val="20"/>
                <w:color w:val="auto"/>
              </w:rPr>
            </w:pPr>
            <w:r>
              <w:rPr>
                <w:rFonts w:ascii="Arial" w:cs="Arial" w:eastAsia="Arial" w:hAnsi="Arial"/>
                <w:sz w:val="34"/>
                <w:szCs w:val="34"/>
                <w:b w:val="1"/>
                <w:bCs w:val="1"/>
                <w:color w:val="auto"/>
              </w:rPr>
              <w:t>(145)</w:t>
            </w:r>
          </w:p>
        </w:tc>
      </w:tr>
      <w:tr>
        <w:trPr>
          <w:trHeight w:val="506"/>
        </w:trPr>
        <w:tc>
          <w:tcPr>
            <w:tcW w:w="1580" w:type="dxa"/>
            <w:vAlign w:val="bottom"/>
          </w:tcPr>
          <w:p>
            <w:pPr>
              <w:jc w:val="right"/>
              <w:ind w:right="170"/>
              <w:spacing w:after="0"/>
              <w:rPr>
                <w:sz w:val="20"/>
                <w:szCs w:val="20"/>
                <w:color w:val="auto"/>
              </w:rPr>
            </w:pPr>
            <w:r>
              <w:rPr>
                <w:rFonts w:ascii="Arial" w:cs="Arial" w:eastAsia="Arial" w:hAnsi="Arial"/>
                <w:sz w:val="34"/>
                <w:szCs w:val="34"/>
                <w:b w:val="1"/>
                <w:bCs w:val="1"/>
                <w:color w:val="auto"/>
              </w:rPr>
              <w:t>30</w:t>
            </w:r>
          </w:p>
        </w:tc>
        <w:tc>
          <w:tcPr>
            <w:tcW w:w="1680" w:type="dxa"/>
            <w:vAlign w:val="bottom"/>
          </w:tcPr>
          <w:p>
            <w:pPr>
              <w:jc w:val="right"/>
              <w:ind w:right="30"/>
              <w:spacing w:after="0"/>
              <w:rPr>
                <w:sz w:val="20"/>
                <w:szCs w:val="20"/>
                <w:color w:val="auto"/>
              </w:rPr>
            </w:pPr>
            <w:r>
              <w:rPr>
                <w:rFonts w:ascii="Arial" w:cs="Arial" w:eastAsia="Arial" w:hAnsi="Arial"/>
                <w:sz w:val="34"/>
                <w:szCs w:val="34"/>
                <w:color w:val="auto"/>
              </w:rPr>
              <w:t>-</w:t>
            </w:r>
          </w:p>
        </w:tc>
      </w:tr>
      <w:tr>
        <w:trPr>
          <w:trHeight w:val="470"/>
        </w:trPr>
        <w:tc>
          <w:tcPr>
            <w:tcW w:w="1580" w:type="dxa"/>
            <w:vAlign w:val="bottom"/>
          </w:tcPr>
          <w:p>
            <w:pPr>
              <w:jc w:val="right"/>
              <w:ind w:right="190"/>
              <w:spacing w:after="0"/>
              <w:rPr>
                <w:sz w:val="20"/>
                <w:szCs w:val="20"/>
                <w:color w:val="auto"/>
              </w:rPr>
            </w:pPr>
            <w:r>
              <w:rPr>
                <w:rFonts w:ascii="Arial" w:cs="Arial" w:eastAsia="Arial" w:hAnsi="Arial"/>
                <w:sz w:val="34"/>
                <w:szCs w:val="34"/>
                <w:b w:val="1"/>
                <w:bCs w:val="1"/>
                <w:color w:val="auto"/>
              </w:rPr>
              <w:t>11</w:t>
            </w:r>
          </w:p>
        </w:tc>
        <w:tc>
          <w:tcPr>
            <w:tcW w:w="1680" w:type="dxa"/>
            <w:vAlign w:val="bottom"/>
          </w:tcPr>
          <w:p>
            <w:pPr>
              <w:jc w:val="right"/>
              <w:spacing w:after="0"/>
              <w:rPr>
                <w:sz w:val="20"/>
                <w:szCs w:val="20"/>
                <w:color w:val="auto"/>
              </w:rPr>
            </w:pPr>
            <w:r>
              <w:rPr>
                <w:rFonts w:ascii="Arial" w:cs="Arial" w:eastAsia="Arial" w:hAnsi="Arial"/>
                <w:sz w:val="34"/>
                <w:szCs w:val="34"/>
                <w:b w:val="1"/>
                <w:bCs w:val="1"/>
                <w:color w:val="auto"/>
              </w:rPr>
              <w:t>(17)</w:t>
            </w:r>
          </w:p>
        </w:tc>
      </w:tr>
      <w:tr>
        <w:trPr>
          <w:trHeight w:val="494"/>
        </w:trPr>
        <w:tc>
          <w:tcPr>
            <w:tcW w:w="1580" w:type="dxa"/>
            <w:vAlign w:val="bottom"/>
          </w:tcPr>
          <w:p>
            <w:pPr>
              <w:jc w:val="right"/>
              <w:ind w:right="210"/>
              <w:spacing w:after="0"/>
              <w:rPr>
                <w:sz w:val="20"/>
                <w:szCs w:val="20"/>
                <w:color w:val="auto"/>
              </w:rPr>
            </w:pPr>
            <w:r>
              <w:rPr>
                <w:rFonts w:ascii="Arial" w:cs="Arial" w:eastAsia="Arial" w:hAnsi="Arial"/>
                <w:sz w:val="34"/>
                <w:szCs w:val="34"/>
                <w:b w:val="1"/>
                <w:bCs w:val="1"/>
                <w:color w:val="auto"/>
              </w:rPr>
              <w:t>$   100</w:t>
            </w:r>
          </w:p>
        </w:tc>
        <w:tc>
          <w:tcPr>
            <w:tcW w:w="1680" w:type="dxa"/>
            <w:vAlign w:val="bottom"/>
          </w:tcPr>
          <w:p>
            <w:pPr>
              <w:jc w:val="right"/>
              <w:spacing w:after="0"/>
              <w:rPr>
                <w:sz w:val="20"/>
                <w:szCs w:val="20"/>
                <w:color w:val="auto"/>
              </w:rPr>
            </w:pPr>
            <w:r>
              <w:rPr>
                <w:rFonts w:ascii="Arial" w:cs="Arial" w:eastAsia="Arial" w:hAnsi="Arial"/>
                <w:sz w:val="34"/>
                <w:szCs w:val="34"/>
                <w:b w:val="1"/>
                <w:bCs w:val="1"/>
                <w:color w:val="auto"/>
              </w:rPr>
              <w:t>$  (135)</w:t>
            </w:r>
          </w:p>
        </w:tc>
      </w:tr>
    </w:tbl>
    <w:p>
      <w:pPr>
        <w:spacing w:after="0" w:line="200" w:lineRule="exact"/>
        <w:rPr>
          <w:sz w:val="20"/>
          <w:szCs w:val="20"/>
          <w:color w:val="auto"/>
        </w:rPr>
      </w:pPr>
    </w:p>
    <w:p>
      <w:pPr>
        <w:sectPr>
          <w:pgSz w:w="11900" w:h="16838" w:orient="portrait"/>
          <w:cols w:equalWidth="0" w:num="2">
            <w:col w:w="5080" w:space="340"/>
            <w:col w:w="4440"/>
          </w:cols>
          <w:pgMar w:left="1220" w:top="423" w:right="819" w:bottom="1440" w:gutter="0" w:footer="0" w:header="0"/>
          <w:type w:val="continuous"/>
        </w:sectPr>
      </w:pPr>
    </w:p>
    <w:p>
      <w:pPr>
        <w:spacing w:after="0" w:line="242" w:lineRule="exact"/>
        <w:rPr>
          <w:sz w:val="20"/>
          <w:szCs w:val="20"/>
          <w:color w:val="auto"/>
        </w:rPr>
      </w:pPr>
    </w:p>
    <w:p>
      <w:pPr>
        <w:ind w:left="260"/>
        <w:spacing w:after="0"/>
        <w:rPr>
          <w:sz w:val="20"/>
          <w:szCs w:val="20"/>
          <w:color w:val="auto"/>
        </w:rPr>
      </w:pPr>
      <w:r>
        <w:rPr>
          <w:rFonts w:ascii="Arial" w:cs="Arial" w:eastAsia="Arial" w:hAnsi="Arial"/>
          <w:sz w:val="28"/>
          <w:szCs w:val="28"/>
          <w:color w:val="auto"/>
        </w:rPr>
        <w:t>* 612,600 shares in 2006 and 1,065,000 shares in 2005</w:t>
      </w:r>
    </w:p>
    <w:p>
      <w:pPr>
        <w:sectPr>
          <w:pgSz w:w="11900" w:h="16838" w:orient="portrait"/>
          <w:cols w:equalWidth="0" w:num="1">
            <w:col w:w="9860"/>
          </w:cols>
          <w:pgMar w:left="1220" w:top="423" w:right="81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394"/>
        </w:trPr>
        <w:tc>
          <w:tcPr>
            <w:tcW w:w="6760" w:type="dxa"/>
            <w:vAlign w:val="bottom"/>
          </w:tcPr>
          <w:p>
            <w:pPr>
              <w:spacing w:after="0"/>
              <w:rPr>
                <w:sz w:val="20"/>
                <w:szCs w:val="20"/>
                <w:color w:val="auto"/>
              </w:rPr>
            </w:pPr>
            <w:r>
              <w:rPr>
                <w:rFonts w:ascii="Arial" w:cs="Arial" w:eastAsia="Arial" w:hAnsi="Arial"/>
                <w:sz w:val="22"/>
                <w:szCs w:val="22"/>
                <w:color w:val="FFFFFF"/>
              </w:rPr>
              <w:t>Manpower Inc. 2006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100" w:type="dxa"/>
            <w:vAlign w:val="bottom"/>
          </w:tcPr>
          <w:p>
            <w:pPr>
              <w:jc w:val="right"/>
              <w:spacing w:after="0"/>
              <w:rPr>
                <w:sz w:val="20"/>
                <w:szCs w:val="20"/>
                <w:color w:val="auto"/>
              </w:rPr>
            </w:pPr>
            <w:r>
              <w:rPr>
                <w:rFonts w:ascii="Arial" w:cs="Arial" w:eastAsia="Arial" w:hAnsi="Arial"/>
                <w:sz w:val="22"/>
                <w:szCs w:val="22"/>
                <w:color w:val="FFFFFF"/>
              </w:rPr>
              <w:t>17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47"/>
          <w:szCs w:val="47"/>
          <w:color w:val="5F81AA"/>
        </w:rPr>
        <w:t>Second Quarter Outlook</w:t>
      </w:r>
    </w:p>
    <w:p>
      <w:pPr>
        <w:sectPr>
          <w:pgSz w:w="11900" w:h="16838" w:orient="portrait"/>
          <w:cols w:equalWidth="0" w:num="1">
            <w:col w:w="9860"/>
          </w:cols>
          <w:pgMar w:left="1220" w:top="423" w:right="8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34"/>
          <w:szCs w:val="34"/>
          <w:b w:val="1"/>
          <w:bCs w:val="1"/>
          <w:color w:val="5F81AA"/>
        </w:rPr>
        <w:t>Revenue</w:t>
      </w:r>
      <w:r>
        <w:rPr>
          <w:sz w:val="20"/>
          <w:szCs w:val="20"/>
          <w:color w:val="auto"/>
        </w:rPr>
        <w:tab/>
      </w:r>
      <w:r>
        <w:rPr>
          <w:rFonts w:ascii="Arial" w:cs="Arial" w:eastAsia="Arial" w:hAnsi="Arial"/>
          <w:sz w:val="32"/>
          <w:szCs w:val="32"/>
          <w:b w:val="1"/>
          <w:bCs w:val="1"/>
          <w:color w:val="auto"/>
        </w:rPr>
        <w:t>U.S.</w:t>
      </w:r>
    </w:p>
    <w:p>
      <w:pPr>
        <w:spacing w:after="0" w:line="103" w:lineRule="exact"/>
        <w:rPr>
          <w:sz w:val="20"/>
          <w:szCs w:val="20"/>
          <w:color w:val="auto"/>
        </w:rPr>
      </w:pPr>
    </w:p>
    <w:p>
      <w:pPr>
        <w:jc w:val="right"/>
        <w:ind w:right="140"/>
        <w:spacing w:after="0"/>
        <w:rPr>
          <w:sz w:val="20"/>
          <w:szCs w:val="20"/>
          <w:color w:val="auto"/>
        </w:rPr>
      </w:pPr>
      <w:r>
        <w:rPr>
          <w:rFonts w:ascii="Arial" w:cs="Arial" w:eastAsia="Arial" w:hAnsi="Arial"/>
          <w:sz w:val="32"/>
          <w:szCs w:val="32"/>
          <w:b w:val="1"/>
          <w:bCs w:val="1"/>
          <w:color w:val="auto"/>
        </w:rPr>
        <w:t>France</w:t>
      </w:r>
    </w:p>
    <w:p>
      <w:pPr>
        <w:spacing w:after="0" w:line="55" w:lineRule="exact"/>
        <w:rPr>
          <w:sz w:val="20"/>
          <w:szCs w:val="20"/>
          <w:color w:val="auto"/>
        </w:rPr>
      </w:pPr>
    </w:p>
    <w:p>
      <w:pPr>
        <w:jc w:val="right"/>
        <w:ind w:right="140"/>
        <w:spacing w:after="0"/>
        <w:rPr>
          <w:sz w:val="20"/>
          <w:szCs w:val="20"/>
          <w:color w:val="auto"/>
        </w:rPr>
      </w:pPr>
      <w:r>
        <w:rPr>
          <w:rFonts w:ascii="Arial" w:cs="Arial" w:eastAsia="Arial" w:hAnsi="Arial"/>
          <w:sz w:val="32"/>
          <w:szCs w:val="32"/>
          <w:b w:val="1"/>
          <w:bCs w:val="1"/>
          <w:color w:val="auto"/>
        </w:rPr>
        <w:t>EMEA</w:t>
      </w:r>
    </w:p>
    <w:p>
      <w:pPr>
        <w:spacing w:after="0" w:line="67" w:lineRule="exact"/>
        <w:rPr>
          <w:sz w:val="20"/>
          <w:szCs w:val="20"/>
          <w:color w:val="auto"/>
        </w:rPr>
      </w:pPr>
    </w:p>
    <w:p>
      <w:pPr>
        <w:jc w:val="right"/>
        <w:ind w:right="120"/>
        <w:spacing w:after="0"/>
        <w:rPr>
          <w:sz w:val="20"/>
          <w:szCs w:val="20"/>
          <w:color w:val="auto"/>
        </w:rPr>
      </w:pPr>
      <w:r>
        <w:rPr>
          <w:rFonts w:ascii="Arial" w:cs="Arial" w:eastAsia="Arial" w:hAnsi="Arial"/>
          <w:sz w:val="32"/>
          <w:szCs w:val="32"/>
          <w:b w:val="1"/>
          <w:bCs w:val="1"/>
          <w:color w:val="auto"/>
        </w:rPr>
        <w:t>Jefferson Wells</w:t>
      </w:r>
    </w:p>
    <w:p>
      <w:pPr>
        <w:spacing w:after="0" w:line="55" w:lineRule="exact"/>
        <w:rPr>
          <w:sz w:val="20"/>
          <w:szCs w:val="20"/>
          <w:color w:val="auto"/>
        </w:rPr>
      </w:pPr>
    </w:p>
    <w:p>
      <w:pPr>
        <w:jc w:val="right"/>
        <w:ind w:right="160"/>
        <w:spacing w:after="0"/>
        <w:rPr>
          <w:sz w:val="20"/>
          <w:szCs w:val="20"/>
          <w:color w:val="auto"/>
        </w:rPr>
      </w:pPr>
      <w:r>
        <w:rPr>
          <w:rFonts w:ascii="Arial" w:cs="Arial" w:eastAsia="Arial" w:hAnsi="Arial"/>
          <w:sz w:val="32"/>
          <w:szCs w:val="32"/>
          <w:b w:val="1"/>
          <w:bCs w:val="1"/>
          <w:color w:val="auto"/>
        </w:rPr>
        <w:t>Right</w:t>
      </w:r>
    </w:p>
    <w:p>
      <w:pPr>
        <w:spacing w:after="0" w:line="79" w:lineRule="exact"/>
        <w:rPr>
          <w:sz w:val="20"/>
          <w:szCs w:val="20"/>
          <w:color w:val="auto"/>
        </w:rPr>
      </w:pPr>
    </w:p>
    <w:p>
      <w:pPr>
        <w:jc w:val="right"/>
        <w:ind w:right="140"/>
        <w:spacing w:after="0"/>
        <w:rPr>
          <w:sz w:val="20"/>
          <w:szCs w:val="20"/>
          <w:color w:val="auto"/>
        </w:rPr>
      </w:pPr>
      <w:r>
        <w:rPr>
          <w:rFonts w:ascii="Arial" w:cs="Arial" w:eastAsia="Arial" w:hAnsi="Arial"/>
          <w:sz w:val="32"/>
          <w:szCs w:val="32"/>
          <w:b w:val="1"/>
          <w:bCs w:val="1"/>
          <w:color w:val="auto"/>
        </w:rPr>
        <w:t>Other</w:t>
      </w:r>
    </w:p>
    <w:p>
      <w:pPr>
        <w:spacing w:after="0" w:line="185" w:lineRule="exact"/>
        <w:rPr>
          <w:sz w:val="20"/>
          <w:szCs w:val="20"/>
          <w:color w:val="auto"/>
        </w:rPr>
      </w:pPr>
    </w:p>
    <w:p>
      <w:pPr>
        <w:ind w:left="2900"/>
        <w:spacing w:after="0"/>
        <w:rPr>
          <w:sz w:val="20"/>
          <w:szCs w:val="20"/>
          <w:color w:val="auto"/>
        </w:rPr>
      </w:pPr>
      <w:r>
        <w:rPr>
          <w:rFonts w:ascii="Arial" w:cs="Arial" w:eastAsia="Arial" w:hAnsi="Arial"/>
          <w:sz w:val="32"/>
          <w:szCs w:val="32"/>
          <w:b w:val="1"/>
          <w:bCs w:val="1"/>
          <w:color w:val="auto"/>
        </w:rPr>
        <w:t>Total</w:t>
      </w:r>
    </w:p>
    <w:p>
      <w:pPr>
        <w:spacing w:after="0" w:line="150" w:lineRule="exact"/>
        <w:rPr>
          <w:sz w:val="20"/>
          <w:szCs w:val="20"/>
          <w:color w:val="auto"/>
        </w:rPr>
      </w:pPr>
    </w:p>
    <w:p>
      <w:pPr>
        <w:ind w:left="20" w:firstLine="35"/>
        <w:spacing w:after="0" w:line="357" w:lineRule="auto"/>
        <w:rPr>
          <w:sz w:val="20"/>
          <w:szCs w:val="20"/>
          <w:color w:val="auto"/>
        </w:rPr>
      </w:pPr>
      <w:r>
        <w:rPr>
          <w:rFonts w:ascii="Arial" w:cs="Arial" w:eastAsia="Arial" w:hAnsi="Arial"/>
          <w:sz w:val="34"/>
          <w:szCs w:val="34"/>
          <w:b w:val="1"/>
          <w:bCs w:val="1"/>
          <w:color w:val="5F81AA"/>
        </w:rPr>
        <w:t>Gross Profit Margin Operating Profit Margin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34"/>
          <w:szCs w:val="34"/>
          <w:b w:val="1"/>
          <w:bCs w:val="1"/>
          <w:color w:val="5F81AA"/>
        </w:rPr>
        <w:t>Tax Rate</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34"/>
          <w:szCs w:val="34"/>
          <w:b w:val="1"/>
          <w:bCs w:val="1"/>
          <w:color w:val="5F81AA"/>
        </w:rPr>
        <w:t>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color w:val="auto"/>
        </w:rPr>
        <w:t>Up 4-6%</w:t>
      </w:r>
    </w:p>
    <w:p>
      <w:pPr>
        <w:spacing w:after="0" w:line="79" w:lineRule="exact"/>
        <w:rPr>
          <w:sz w:val="20"/>
          <w:szCs w:val="20"/>
          <w:color w:val="auto"/>
        </w:rPr>
      </w:pPr>
    </w:p>
    <w:p>
      <w:pPr>
        <w:spacing w:after="0"/>
        <w:rPr>
          <w:sz w:val="20"/>
          <w:szCs w:val="20"/>
          <w:color w:val="auto"/>
        </w:rPr>
      </w:pPr>
      <w:r>
        <w:rPr>
          <w:rFonts w:ascii="Arial" w:cs="Arial" w:eastAsia="Arial" w:hAnsi="Arial"/>
          <w:sz w:val="32"/>
          <w:szCs w:val="32"/>
          <w:color w:val="auto"/>
        </w:rPr>
        <w:t>Up 3-5% (Up 7-9% CC)</w:t>
      </w:r>
    </w:p>
    <w:p>
      <w:pPr>
        <w:spacing w:after="0" w:line="79" w:lineRule="exact"/>
        <w:rPr>
          <w:sz w:val="20"/>
          <w:szCs w:val="20"/>
          <w:color w:val="auto"/>
        </w:rPr>
      </w:pPr>
    </w:p>
    <w:p>
      <w:pPr>
        <w:spacing w:after="0"/>
        <w:rPr>
          <w:sz w:val="20"/>
          <w:szCs w:val="20"/>
          <w:color w:val="auto"/>
        </w:rPr>
      </w:pPr>
      <w:r>
        <w:rPr>
          <w:rFonts w:ascii="Arial" w:cs="Arial" w:eastAsia="Arial" w:hAnsi="Arial"/>
          <w:sz w:val="32"/>
          <w:szCs w:val="32"/>
          <w:color w:val="auto"/>
        </w:rPr>
        <w:t>Up 3-5% (Up 7-9% CC)</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7-9%</w:t>
      </w:r>
    </w:p>
    <w:p>
      <w:pPr>
        <w:spacing w:after="0" w:line="55" w:lineRule="exact"/>
        <w:rPr>
          <w:sz w:val="20"/>
          <w:szCs w:val="20"/>
          <w:color w:val="auto"/>
        </w:rPr>
      </w:pPr>
    </w:p>
    <w:p>
      <w:pPr>
        <w:spacing w:after="0"/>
        <w:rPr>
          <w:sz w:val="20"/>
          <w:szCs w:val="20"/>
          <w:color w:val="auto"/>
        </w:rPr>
      </w:pPr>
      <w:r>
        <w:rPr>
          <w:rFonts w:ascii="Arial" w:cs="Arial" w:eastAsia="Arial" w:hAnsi="Arial"/>
          <w:sz w:val="32"/>
          <w:szCs w:val="32"/>
          <w:color w:val="auto"/>
        </w:rPr>
        <w:t>Down 5-7% (Down 3-5% CC)</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9-11% (Up 12-14% CC)</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32"/>
          <w:szCs w:val="32"/>
          <w:color w:val="auto"/>
        </w:rPr>
        <w:t>Up 4-6%  (Up 7-9% CC)</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32"/>
          <w:szCs w:val="32"/>
          <w:color w:val="auto"/>
        </w:rPr>
        <w:t>18.4 - 18.6%</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32"/>
          <w:szCs w:val="32"/>
          <w:color w:val="auto"/>
        </w:rPr>
        <w:t>2.8 – 3.0%</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32"/>
          <w:szCs w:val="32"/>
          <w:color w:val="auto"/>
        </w:rPr>
        <w:t>36.5%</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31"/>
          <w:szCs w:val="31"/>
          <w:color w:val="auto"/>
        </w:rPr>
        <w:t>$.76 - $.80 (Neg. $.03 Currency)</w:t>
      </w:r>
    </w:p>
    <w:p>
      <w:pPr>
        <w:sectPr>
          <w:pgSz w:w="11900" w:h="16838" w:orient="portrait"/>
          <w:cols w:equalWidth="0" w:num="2">
            <w:col w:w="3820" w:space="500"/>
            <w:col w:w="5540"/>
          </w:cols>
          <w:pgMar w:left="1220" w:top="423" w:right="8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8"/>
          <w:szCs w:val="28"/>
          <w:b w:val="1"/>
          <w:bCs w:val="1"/>
          <w:color w:val="6698C2"/>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2006 1</w:t>
      </w:r>
      <w:r>
        <w:rPr>
          <w:rFonts w:ascii="Arial" w:cs="Arial" w:eastAsia="Arial" w:hAnsi="Arial"/>
          <w:sz w:val="37"/>
          <w:szCs w:val="37"/>
          <w:b w:val="1"/>
          <w:bCs w:val="1"/>
          <w:color w:val="6698C2"/>
          <w:vertAlign w:val="superscript"/>
        </w:rPr>
        <w:t>st</w:t>
      </w:r>
      <w:r>
        <w:rPr>
          <w:rFonts w:ascii="Arial" w:cs="Arial" w:eastAsia="Arial" w:hAnsi="Arial"/>
          <w:sz w:val="28"/>
          <w:szCs w:val="28"/>
          <w:b w:val="1"/>
          <w:bCs w:val="1"/>
          <w:color w:val="6698C2"/>
        </w:rPr>
        <w:t xml:space="preserve">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-4445</wp:posOffset>
            </wp:positionV>
            <wp:extent cx="4128770" cy="4315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color w:val="auto"/>
        </w:rPr>
        <w:t>April 18,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0"/>
        <w:spacing w:after="0"/>
        <w:rPr>
          <w:sz w:val="20"/>
          <w:szCs w:val="20"/>
          <w:color w:val="auto"/>
        </w:rPr>
      </w:pPr>
      <w:r>
        <w:rPr>
          <w:rFonts w:ascii="Arial" w:cs="Arial" w:eastAsia="Arial" w:hAnsi="Arial"/>
          <w:sz w:val="62"/>
          <w:szCs w:val="62"/>
          <w:color w:val="auto"/>
        </w:rPr>
        <w:t>Questions?</w:t>
      </w:r>
    </w:p>
    <w:p>
      <w:pPr>
        <w:jc w:val="right"/>
        <w:ind w:right="1499"/>
        <w:spacing w:after="0"/>
        <w:rPr>
          <w:sz w:val="20"/>
          <w:szCs w:val="20"/>
          <w:color w:val="auto"/>
        </w:rPr>
      </w:pPr>
      <w:r>
        <w:rPr>
          <w:rFonts w:ascii="Arial" w:cs="Arial" w:eastAsia="Arial" w:hAnsi="Arial"/>
          <w:sz w:val="94"/>
          <w:szCs w:val="94"/>
          <w:color w:val="auto"/>
        </w:rPr>
        <w:t>Answers</w:t>
      </w:r>
    </w:p>
    <w:sectPr>
      <w:pgSz w:w="11900" w:h="16838" w:orient="portrait"/>
      <w:cols w:equalWidth="0" w:num="1">
        <w:col w:w="10099"/>
      </w:cols>
      <w:pgMar w:left="36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
      <w:numFmt w:val="bullet"/>
      <w:start w:val="1"/>
    </w:lvl>
    <w:lvl w:ilvl="1">
      <w:lvlJc w:val="left"/>
      <w:lvlText w:val="(%2)"/>
      <w:numFmt w:val="upperLetter"/>
      <w:start w:val="29"/>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5"/>
    </w:lvl>
  </w:abstractNum>
  <w:abstractNum w:abstractNumId="7">
    <w:nsid w:val="7545E146"/>
    <w:multiLevelType w:val="hybridMultilevel"/>
    <w:lvl w:ilvl="0">
      <w:lvlJc w:val="left"/>
      <w:lvlText w:val="(%1)"/>
      <w:numFmt w:val="decimal"/>
      <w:start w:val="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2019-12-20T17:46:03Z</dcterms:created>
  <dcterms:modified xsi:type="dcterms:W3CDTF">2019-12-20T17:46:03Z</dcterms:modified>
</cp:coreProperties>
</file>