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82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829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BUCHBAND RICHARD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MANPOWERGROUP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ManpowerGroup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SVP, General Counsel</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20" w:type="dxa"/>
            <w:vAlign w:val="bottom"/>
            <w:gridSpan w:val="10"/>
          </w:tcPr>
          <w:p>
            <w:pPr>
              <w:ind w:left="3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3"/>
          </w:tcPr>
          <w:p>
            <w:pPr>
              <w:ind w:left="3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color w:val="0000FF"/>
              </w:rPr>
              <w:t>MILWAUKEE   WI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53212</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jc w:val="center"/>
              <w:ind w:left="67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3"/>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680" w:type="dxa"/>
            <w:vAlign w:val="bottom"/>
            <w:gridSpan w:val="3"/>
          </w:tcPr>
          <w:p>
            <w:pPr>
              <w:ind w:left="760"/>
              <w:spacing w:after="0"/>
              <w:rPr>
                <w:sz w:val="20"/>
                <w:szCs w:val="20"/>
                <w:color w:val="auto"/>
              </w:rPr>
            </w:pPr>
            <w:r>
              <w:rPr>
                <w:rFonts w:ascii="Arial" w:cs="Arial" w:eastAsia="Arial" w:hAnsi="Arial"/>
                <w:sz w:val="18"/>
                <w:szCs w:val="18"/>
                <w:color w:val="0000FF"/>
                <w:w w:val="99"/>
              </w:rPr>
              <w:t>11/13/2017</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40" w:type="dxa"/>
            <w:vAlign w:val="bottom"/>
          </w:tcPr>
          <w:p>
            <w:pPr>
              <w:jc w:val="center"/>
              <w:ind w:left="70"/>
              <w:spacing w:after="0"/>
              <w:rPr>
                <w:sz w:val="20"/>
                <w:szCs w:val="20"/>
                <w:color w:val="auto"/>
              </w:rPr>
            </w:pPr>
            <w:r>
              <w:rPr>
                <w:rFonts w:ascii="Arial" w:cs="Arial" w:eastAsia="Arial" w:hAnsi="Arial"/>
                <w:sz w:val="18"/>
                <w:szCs w:val="18"/>
                <w:color w:val="0000FF"/>
                <w:w w:val="88"/>
              </w:rPr>
              <w:t>1,659</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620" w:type="dxa"/>
            <w:vAlign w:val="bottom"/>
            <w:gridSpan w:val="2"/>
          </w:tcPr>
          <w:p>
            <w:pPr>
              <w:jc w:val="center"/>
              <w:ind w:left="7"/>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52.55</w:t>
            </w:r>
          </w:p>
        </w:tc>
        <w:tc>
          <w:tcPr>
            <w:tcW w:w="160" w:type="dxa"/>
            <w:vAlign w:val="bottom"/>
          </w:tcPr>
          <w:p>
            <w:pPr>
              <w:spacing w:after="0"/>
              <w:rPr>
                <w:sz w:val="23"/>
                <w:szCs w:val="23"/>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5,543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680" w:type="dxa"/>
            <w:vAlign w:val="bottom"/>
            <w:gridSpan w:val="3"/>
          </w:tcPr>
          <w:p>
            <w:pPr>
              <w:ind w:left="760"/>
              <w:spacing w:after="0"/>
              <w:rPr>
                <w:sz w:val="20"/>
                <w:szCs w:val="20"/>
                <w:color w:val="auto"/>
              </w:rPr>
            </w:pPr>
            <w:r>
              <w:rPr>
                <w:rFonts w:ascii="Arial" w:cs="Arial" w:eastAsia="Arial" w:hAnsi="Arial"/>
                <w:sz w:val="18"/>
                <w:szCs w:val="18"/>
                <w:color w:val="0000FF"/>
                <w:w w:val="99"/>
              </w:rPr>
              <w:t>11/13/2017</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40" w:type="dxa"/>
            <w:vAlign w:val="bottom"/>
          </w:tcPr>
          <w:p>
            <w:pPr>
              <w:jc w:val="center"/>
              <w:ind w:left="50"/>
              <w:spacing w:after="0"/>
              <w:rPr>
                <w:sz w:val="20"/>
                <w:szCs w:val="20"/>
                <w:color w:val="auto"/>
              </w:rPr>
            </w:pPr>
            <w:r>
              <w:rPr>
                <w:rFonts w:ascii="Arial" w:cs="Arial" w:eastAsia="Arial" w:hAnsi="Arial"/>
                <w:sz w:val="18"/>
                <w:szCs w:val="18"/>
                <w:color w:val="0000FF"/>
                <w:w w:val="86"/>
              </w:rPr>
              <w:t>400</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620" w:type="dxa"/>
            <w:vAlign w:val="bottom"/>
            <w:gridSpan w:val="2"/>
          </w:tcPr>
          <w:p>
            <w:pPr>
              <w:jc w:val="center"/>
              <w:ind w:left="7"/>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76.13</w:t>
            </w:r>
          </w:p>
        </w:tc>
        <w:tc>
          <w:tcPr>
            <w:tcW w:w="160" w:type="dxa"/>
            <w:vAlign w:val="bottom"/>
          </w:tcPr>
          <w:p>
            <w:pPr>
              <w:spacing w:after="0"/>
              <w:rPr>
                <w:sz w:val="23"/>
                <w:szCs w:val="23"/>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5,943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60"/>
              <w:spacing w:after="0"/>
              <w:rPr>
                <w:sz w:val="20"/>
                <w:szCs w:val="20"/>
                <w:color w:val="auto"/>
              </w:rPr>
            </w:pPr>
            <w:r>
              <w:rPr>
                <w:rFonts w:ascii="Arial" w:cs="Arial" w:eastAsia="Arial" w:hAnsi="Arial"/>
                <w:sz w:val="18"/>
                <w:szCs w:val="18"/>
                <w:color w:val="0000FF"/>
                <w:w w:val="99"/>
              </w:rPr>
              <w:t>11/13/2017</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8"/>
                <w:szCs w:val="18"/>
                <w:color w:val="0000FF"/>
                <w:w w:val="88"/>
              </w:rPr>
              <w:t>2,059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126.48</w:t>
            </w:r>
            <w:r>
              <w:rPr>
                <w:rFonts w:ascii="Arial" w:cs="Arial" w:eastAsia="Arial" w:hAnsi="Arial"/>
                <w:sz w:val="22"/>
                <w:szCs w:val="22"/>
                <w:color w:val="008000"/>
                <w:w w:val="84"/>
                <w:vertAlign w:val="superscript"/>
              </w:rPr>
              <w:t>(1)</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3,884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10"/>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52.55</w:t>
            </w:r>
          </w:p>
        </w:tc>
        <w:tc>
          <w:tcPr>
            <w:tcW w:w="1020" w:type="dxa"/>
            <w:vAlign w:val="bottom"/>
          </w:tcPr>
          <w:p>
            <w:pPr>
              <w:jc w:val="right"/>
              <w:ind w:right="130"/>
              <w:spacing w:after="0"/>
              <w:rPr>
                <w:sz w:val="20"/>
                <w:szCs w:val="20"/>
                <w:color w:val="auto"/>
              </w:rPr>
            </w:pPr>
            <w:r>
              <w:rPr>
                <w:rFonts w:ascii="Arial" w:cs="Arial" w:eastAsia="Arial" w:hAnsi="Arial"/>
                <w:sz w:val="14"/>
                <w:szCs w:val="14"/>
                <w:color w:val="0000FF"/>
              </w:rPr>
              <w:t>11/13/2017</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ind w:left="8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60" w:type="dxa"/>
            <w:vAlign w:val="bottom"/>
          </w:tcPr>
          <w:p>
            <w:pPr>
              <w:jc w:val="right"/>
              <w:ind w:right="78"/>
              <w:spacing w:after="0"/>
              <w:rPr>
                <w:sz w:val="20"/>
                <w:szCs w:val="20"/>
                <w:color w:val="auto"/>
              </w:rPr>
            </w:pPr>
            <w:r>
              <w:rPr>
                <w:rFonts w:ascii="Arial" w:cs="Arial" w:eastAsia="Arial" w:hAnsi="Arial"/>
                <w:sz w:val="14"/>
                <w:szCs w:val="14"/>
                <w:color w:val="0000FF"/>
              </w:rPr>
              <w:t>1,659</w:t>
            </w:r>
          </w:p>
        </w:tc>
        <w:tc>
          <w:tcPr>
            <w:tcW w:w="780" w:type="dxa"/>
            <w:vAlign w:val="bottom"/>
          </w:tcPr>
          <w:p>
            <w:pPr>
              <w:ind w:left="280"/>
              <w:spacing w:after="0"/>
              <w:rPr>
                <w:sz w:val="20"/>
                <w:szCs w:val="20"/>
                <w:color w:val="auto"/>
              </w:rPr>
            </w:pPr>
            <w:r>
              <w:rPr>
                <w:rFonts w:ascii="Arial" w:cs="Arial" w:eastAsia="Arial" w:hAnsi="Arial"/>
                <w:sz w:val="11"/>
                <w:szCs w:val="11"/>
                <w:color w:val="008000"/>
              </w:rPr>
              <w:t>(2)</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02/13/2023</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jc w:val="right"/>
              <w:ind w:right="47"/>
              <w:spacing w:after="0" w:line="200" w:lineRule="exact"/>
              <w:rPr>
                <w:sz w:val="20"/>
                <w:szCs w:val="20"/>
                <w:color w:val="auto"/>
              </w:rPr>
            </w:pPr>
            <w:r>
              <w:rPr>
                <w:rFonts w:ascii="Arial" w:cs="Arial" w:eastAsia="Arial" w:hAnsi="Arial"/>
                <w:sz w:val="18"/>
                <w:szCs w:val="18"/>
                <w:color w:val="0000FF"/>
                <w:w w:val="97"/>
              </w:rPr>
              <w:t>1,659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ind w:right="98"/>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76.13</w:t>
            </w: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0000FF"/>
              </w:rPr>
              <w:t>11/13/2017</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60" w:type="dxa"/>
            <w:vAlign w:val="bottom"/>
            <w:vMerge w:val="restart"/>
          </w:tcPr>
          <w:p>
            <w:pPr>
              <w:jc w:val="right"/>
              <w:ind w:right="118"/>
              <w:spacing w:after="0"/>
              <w:rPr>
                <w:sz w:val="20"/>
                <w:szCs w:val="20"/>
                <w:color w:val="auto"/>
              </w:rPr>
            </w:pPr>
            <w:r>
              <w:rPr>
                <w:rFonts w:ascii="Arial" w:cs="Arial" w:eastAsia="Arial" w:hAnsi="Arial"/>
                <w:sz w:val="14"/>
                <w:szCs w:val="14"/>
                <w:color w:val="0000FF"/>
              </w:rPr>
              <w:t>400</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60"/>
              <w:spacing w:after="0"/>
              <w:rPr>
                <w:sz w:val="20"/>
                <w:szCs w:val="20"/>
                <w:color w:val="auto"/>
              </w:rPr>
            </w:pPr>
            <w:r>
              <w:rPr>
                <w:rFonts w:ascii="Arial" w:cs="Arial" w:eastAsia="Arial" w:hAnsi="Arial"/>
                <w:sz w:val="14"/>
                <w:szCs w:val="14"/>
                <w:color w:val="0000FF"/>
                <w:w w:val="94"/>
              </w:rPr>
              <w:t>02/11/2024</w:t>
            </w:r>
          </w:p>
        </w:tc>
        <w:tc>
          <w:tcPr>
            <w:tcW w:w="68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80" w:type="dxa"/>
            <w:vAlign w:val="bottom"/>
            <w:vMerge w:val="restart"/>
          </w:tcPr>
          <w:p>
            <w:pPr>
              <w:jc w:val="right"/>
              <w:ind w:right="107"/>
              <w:spacing w:after="0"/>
              <w:rPr>
                <w:sz w:val="20"/>
                <w:szCs w:val="20"/>
                <w:color w:val="auto"/>
              </w:rPr>
            </w:pPr>
            <w:r>
              <w:rPr>
                <w:rFonts w:ascii="Arial" w:cs="Arial" w:eastAsia="Arial" w:hAnsi="Arial"/>
                <w:sz w:val="18"/>
                <w:szCs w:val="18"/>
                <w:color w:val="0000FF"/>
              </w:rPr>
              <w:t>400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0000FF"/>
              </w:rPr>
              <w:t>5,089</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$126.02 to $126.88. Upon request, the reporting person will provide to the SEC staff, the issuer, or any security holder of the issuer, full information regarding the number of shares sold at each separate price within this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 of the options became exercisable on each of 2/13/2014, 2/13/2015, 2/13/2016 and 2/13/2017.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 of the options became exercisable on each of 2/11/2015, 2/11/2016 and 2/11/2017 and the remaining 25% will become exercisable on 2/11/2018.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Richard Buchband</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11/14/2017</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705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2019-12-23T15:24:07Z</dcterms:created>
  <dcterms:modified xsi:type="dcterms:W3CDTF">2019-12-23T15:24:07Z</dcterms:modified>
</cp:coreProperties>
</file>