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line="234"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13" w:lineRule="exact"/>
        <w:rPr>
          <w:sz w:val="24"/>
          <w:szCs w:val="24"/>
          <w:color w:val="auto"/>
        </w:rPr>
      </w:pPr>
    </w:p>
    <w:p>
      <w:pPr>
        <w:ind w:left="3680" w:right="2200" w:hanging="3672"/>
        <w:spacing w:after="0" w:line="343" w:lineRule="auto"/>
        <w:tabs>
          <w:tab w:leader="none" w:pos="68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QUARTERLY REPORT PURSUANT TO SECTION 13 OR 15(D) OF THE SECURITIES EXCHANGE ACT OF 1934: For the quarterly period ended: </w:t>
      </w:r>
      <w:r>
        <w:rPr>
          <w:rFonts w:ascii="Arial" w:cs="Arial" w:eastAsia="Arial" w:hAnsi="Arial"/>
          <w:sz w:val="16"/>
          <w:szCs w:val="16"/>
          <w:b w:val="1"/>
          <w:bCs w:val="1"/>
          <w:color w:val="auto"/>
        </w:rPr>
        <w:t>September 30,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73" w:lineRule="exact"/>
        <w:rPr>
          <w:sz w:val="24"/>
          <w:szCs w:val="24"/>
          <w:color w:val="auto"/>
        </w:rPr>
      </w:pPr>
    </w:p>
    <w:p>
      <w:pPr>
        <w:ind w:left="380" w:right="480" w:hanging="372"/>
        <w:spacing w:after="0" w:line="256" w:lineRule="auto"/>
        <w:tabs>
          <w:tab w:leader="none" w:pos="6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1-10686</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B89B4"/>
        </w:rPr>
        <w:t>MANPOWERGROUP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9" w:lineRule="exact"/>
        <w:rPr>
          <w:sz w:val="24"/>
          <w:szCs w:val="24"/>
          <w:color w:val="auto"/>
        </w:rPr>
      </w:pPr>
    </w:p>
    <w:tbl>
      <w:tblPr>
        <w:tblLayout w:type="fixed"/>
        <w:tblInd w:w="820" w:type="dxa"/>
        <w:tblCellMar>
          <w:top w:w="0" w:type="dxa"/>
          <w:left w:w="0" w:type="dxa"/>
          <w:bottom w:w="0" w:type="dxa"/>
          <w:right w:w="0" w:type="dxa"/>
        </w:tblCellMar>
      </w:tblPr>
      <w:tr>
        <w:trPr>
          <w:trHeight w:val="247"/>
        </w:trPr>
        <w:tc>
          <w:tcPr>
            <w:tcW w:w="5660" w:type="dxa"/>
            <w:vAlign w:val="bottom"/>
          </w:tcPr>
          <w:p>
            <w:pPr>
              <w:jc w:val="center"/>
              <w:ind w:right="1135"/>
              <w:spacing w:after="0"/>
              <w:rPr>
                <w:sz w:val="20"/>
                <w:szCs w:val="20"/>
                <w:color w:val="auto"/>
              </w:rPr>
            </w:pPr>
            <w:r>
              <w:rPr>
                <w:rFonts w:ascii="Arial" w:cs="Arial" w:eastAsia="Arial" w:hAnsi="Arial"/>
                <w:sz w:val="18"/>
                <w:szCs w:val="18"/>
                <w:b w:val="1"/>
                <w:bCs w:val="1"/>
                <w:color w:val="auto"/>
                <w:w w:val="99"/>
              </w:rPr>
              <w:t>WISCONSIN</w:t>
            </w:r>
          </w:p>
        </w:tc>
        <w:tc>
          <w:tcPr>
            <w:tcW w:w="2580" w:type="dxa"/>
            <w:vAlign w:val="bottom"/>
          </w:tcPr>
          <w:p>
            <w:pPr>
              <w:jc w:val="right"/>
              <w:ind w:right="159"/>
              <w:spacing w:after="0"/>
              <w:rPr>
                <w:sz w:val="20"/>
                <w:szCs w:val="20"/>
                <w:color w:val="auto"/>
              </w:rPr>
            </w:pPr>
            <w:r>
              <w:rPr>
                <w:rFonts w:ascii="Arial" w:cs="Arial" w:eastAsia="Arial" w:hAnsi="Arial"/>
                <w:sz w:val="16"/>
                <w:szCs w:val="16"/>
                <w:b w:val="1"/>
                <w:bCs w:val="1"/>
                <w:color w:val="auto"/>
              </w:rPr>
              <w:t>39-1672779</w:t>
            </w:r>
          </w:p>
        </w:tc>
      </w:tr>
      <w:tr>
        <w:trPr>
          <w:trHeight w:val="224"/>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(State or other jurisdiction</w:t>
            </w:r>
          </w:p>
        </w:tc>
        <w:tc>
          <w:tcPr>
            <w:tcW w:w="2580" w:type="dxa"/>
            <w:vAlign w:val="bottom"/>
          </w:tcPr>
          <w:p>
            <w:pPr>
              <w:jc w:val="center"/>
              <w:ind w:left="1079"/>
              <w:spacing w:after="0"/>
              <w:rPr>
                <w:sz w:val="20"/>
                <w:szCs w:val="20"/>
                <w:color w:val="auto"/>
              </w:rPr>
            </w:pPr>
            <w:r>
              <w:rPr>
                <w:rFonts w:ascii="Arial" w:cs="Arial" w:eastAsia="Arial" w:hAnsi="Arial"/>
                <w:sz w:val="16"/>
                <w:szCs w:val="16"/>
                <w:b w:val="1"/>
                <w:bCs w:val="1"/>
                <w:color w:val="auto"/>
              </w:rPr>
              <w:t>(IRS Employer</w:t>
            </w:r>
          </w:p>
        </w:tc>
      </w:tr>
      <w:tr>
        <w:trPr>
          <w:trHeight w:val="218"/>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of incorporation)</w:t>
            </w:r>
          </w:p>
        </w:tc>
        <w:tc>
          <w:tcPr>
            <w:tcW w:w="2580" w:type="dxa"/>
            <w:vAlign w:val="bottom"/>
          </w:tcPr>
          <w:p>
            <w:pPr>
              <w:jc w:val="center"/>
              <w:ind w:left="1139"/>
              <w:spacing w:after="0"/>
              <w:rPr>
                <w:sz w:val="20"/>
                <w:szCs w:val="20"/>
                <w:color w:val="auto"/>
              </w:rPr>
            </w:pPr>
            <w:r>
              <w:rPr>
                <w:rFonts w:ascii="Arial" w:cs="Arial" w:eastAsia="Arial" w:hAnsi="Arial"/>
                <w:sz w:val="16"/>
                <w:szCs w:val="16"/>
                <w:b w:val="1"/>
                <w:bCs w:val="1"/>
                <w:color w:val="auto"/>
              </w:rPr>
              <w:t>Identification No.)</w:t>
            </w:r>
          </w:p>
        </w:tc>
      </w:tr>
      <w:tr>
        <w:trPr>
          <w:trHeight w:val="247"/>
        </w:trPr>
        <w:tc>
          <w:tcPr>
            <w:tcW w:w="5660" w:type="dxa"/>
            <w:vAlign w:val="bottom"/>
          </w:tcPr>
          <w:p>
            <w:pPr>
              <w:jc w:val="center"/>
              <w:ind w:right="1135"/>
              <w:spacing w:after="0"/>
              <w:rPr>
                <w:sz w:val="20"/>
                <w:szCs w:val="20"/>
                <w:color w:val="auto"/>
              </w:rPr>
            </w:pPr>
            <w:r>
              <w:rPr>
                <w:rFonts w:ascii="Arial" w:cs="Arial" w:eastAsia="Arial" w:hAnsi="Arial"/>
                <w:sz w:val="18"/>
                <w:szCs w:val="18"/>
                <w:b w:val="1"/>
                <w:bCs w:val="1"/>
                <w:color w:val="auto"/>
                <w:w w:val="99"/>
              </w:rPr>
              <w:t>100 MANPOWER PLACE, MILWAUKEE, WISCONSIN</w:t>
            </w:r>
          </w:p>
        </w:tc>
        <w:tc>
          <w:tcPr>
            <w:tcW w:w="2580" w:type="dxa"/>
            <w:vAlign w:val="bottom"/>
          </w:tcPr>
          <w:p>
            <w:pPr>
              <w:jc w:val="right"/>
              <w:ind w:right="379"/>
              <w:spacing w:after="0"/>
              <w:rPr>
                <w:sz w:val="20"/>
                <w:szCs w:val="20"/>
                <w:color w:val="auto"/>
              </w:rPr>
            </w:pPr>
            <w:r>
              <w:rPr>
                <w:rFonts w:ascii="Arial" w:cs="Arial" w:eastAsia="Arial" w:hAnsi="Arial"/>
                <w:sz w:val="16"/>
                <w:szCs w:val="16"/>
                <w:b w:val="1"/>
                <w:bCs w:val="1"/>
                <w:color w:val="auto"/>
              </w:rPr>
              <w:t>53212</w:t>
            </w:r>
          </w:p>
        </w:tc>
      </w:tr>
      <w:tr>
        <w:trPr>
          <w:trHeight w:val="223"/>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(Address of principal executive offices)</w:t>
            </w:r>
          </w:p>
        </w:tc>
        <w:tc>
          <w:tcPr>
            <w:tcW w:w="2580" w:type="dxa"/>
            <w:vAlign w:val="bottom"/>
          </w:tcPr>
          <w:p>
            <w:pPr>
              <w:jc w:val="center"/>
              <w:ind w:left="1139"/>
              <w:spacing w:after="0"/>
              <w:rPr>
                <w:sz w:val="20"/>
                <w:szCs w:val="20"/>
                <w:color w:val="auto"/>
              </w:rPr>
            </w:pPr>
            <w:r>
              <w:rPr>
                <w:rFonts w:ascii="Arial" w:cs="Arial" w:eastAsia="Arial" w:hAnsi="Arial"/>
                <w:sz w:val="16"/>
                <w:szCs w:val="16"/>
                <w:b w:val="1"/>
                <w:bCs w:val="1"/>
                <w:color w:val="auto"/>
              </w:rPr>
              <w:t>(Zip Code)</w:t>
            </w: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(414) 961-1000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255" w:right="339" w:bottom="1440" w:gutter="0" w:footer="0" w:header="0"/>
        </w:sectPr>
      </w:pPr>
    </w:p>
    <w:p>
      <w:pPr>
        <w:spacing w:after="0" w:line="106"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7"/>
          <w:szCs w:val="17"/>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Trading Symbol(s)</w:t>
      </w:r>
    </w:p>
    <w:p>
      <w:pPr>
        <w:spacing w:after="0" w:line="3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MAN</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340"/>
        <w:spacing w:after="0"/>
        <w:rPr>
          <w:sz w:val="20"/>
          <w:szCs w:val="20"/>
          <w:color w:val="auto"/>
        </w:rPr>
      </w:pPr>
      <w:r>
        <w:rPr>
          <w:rFonts w:ascii="Arial" w:cs="Arial" w:eastAsia="Arial" w:hAnsi="Arial"/>
          <w:sz w:val="17"/>
          <w:szCs w:val="17"/>
          <w:b w:val="1"/>
          <w:bCs w:val="1"/>
          <w:color w:val="auto"/>
        </w:rPr>
        <w:t>Name of each exchange on which registered</w:t>
      </w:r>
    </w:p>
    <w:p>
      <w:pPr>
        <w:spacing w:after="0" w:line="3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New York Stock Exchange</w:t>
      </w:r>
    </w:p>
    <w:p>
      <w:pPr>
        <w:spacing w:after="0" w:line="150" w:lineRule="exact"/>
        <w:rPr>
          <w:sz w:val="24"/>
          <w:szCs w:val="24"/>
          <w:color w:val="auto"/>
        </w:rPr>
      </w:pPr>
    </w:p>
    <w:p>
      <w:pPr>
        <w:sectPr>
          <w:pgSz w:w="11900" w:h="16838" w:orient="portrait"/>
          <w:cols w:equalWidth="0" w:num="3">
            <w:col w:w="3640" w:space="720"/>
            <w:col w:w="2020" w:space="720"/>
            <w:col w:w="4140"/>
          </w:cols>
          <w:pgMar w:left="320" w:top="1255" w:right="339" w:bottom="1440" w:gutter="0" w:footer="0" w:header="0"/>
          <w:type w:val="continuous"/>
        </w:sectPr>
      </w:pPr>
    </w:p>
    <w:p>
      <w:pPr>
        <w:jc w:val="both"/>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20"/>
        <w:spacing w:after="0" w:line="20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100"/>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ind w:left="2520"/>
              <w:spacing w:after="0"/>
              <w:rPr>
                <w:sz w:val="20"/>
                <w:szCs w:val="20"/>
                <w:color w:val="auto"/>
              </w:rPr>
            </w:pPr>
            <w:r>
              <w:rPr>
                <w:rFonts w:ascii="Arial" w:cs="Arial" w:eastAsia="Arial" w:hAnsi="Arial"/>
                <w:sz w:val="17"/>
                <w:szCs w:val="17"/>
                <w:color w:val="auto"/>
              </w:rPr>
              <w:t>Accelerated filer</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3"/>
        </w:trPr>
        <w:tc>
          <w:tcPr>
            <w:tcW w:w="25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ind w:left="2520"/>
              <w:spacing w:after="0"/>
              <w:rPr>
                <w:sz w:val="20"/>
                <w:szCs w:val="20"/>
                <w:color w:val="auto"/>
              </w:rPr>
            </w:pPr>
            <w:r>
              <w:rPr>
                <w:rFonts w:ascii="Arial" w:cs="Arial" w:eastAsia="Arial" w:hAnsi="Arial"/>
                <w:sz w:val="17"/>
                <w:szCs w:val="17"/>
                <w:color w:val="auto"/>
              </w:rPr>
              <w:t>Smaller reporting company</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5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96" w:lineRule="exact"/>
        <w:rPr>
          <w:sz w:val="24"/>
          <w:szCs w:val="24"/>
          <w:color w:val="auto"/>
        </w:r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560"/>
        <w:spacing w:after="0" w:line="21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6260" w:type="dxa"/>
            <w:vAlign w:val="bottom"/>
          </w:tcPr>
          <w:p>
            <w:pPr>
              <w:jc w:val="center"/>
              <w:ind w:left="719"/>
              <w:spacing w:after="0"/>
              <w:rPr>
                <w:sz w:val="20"/>
                <w:szCs w:val="20"/>
                <w:color w:val="auto"/>
              </w:rPr>
            </w:pPr>
            <w:r>
              <w:rPr>
                <w:rFonts w:ascii="Arial" w:cs="Arial" w:eastAsia="Arial" w:hAnsi="Arial"/>
                <w:sz w:val="16"/>
                <w:szCs w:val="16"/>
                <w:b w:val="1"/>
                <w:bCs w:val="1"/>
                <w:color w:val="auto"/>
              </w:rPr>
              <w:t>Shares Outstanding</w:t>
            </w:r>
          </w:p>
        </w:tc>
      </w:tr>
      <w:tr>
        <w:trPr>
          <w:trHeight w:val="203"/>
        </w:trPr>
        <w:tc>
          <w:tcPr>
            <w:tcW w:w="4980" w:type="dxa"/>
            <w:vAlign w:val="bottom"/>
          </w:tcPr>
          <w:p>
            <w:pPr>
              <w:spacing w:after="0"/>
              <w:rPr>
                <w:sz w:val="20"/>
                <w:szCs w:val="20"/>
                <w:color w:val="auto"/>
              </w:rPr>
            </w:pPr>
            <w:r>
              <w:rPr>
                <w:rFonts w:ascii="Arial" w:cs="Arial" w:eastAsia="Arial" w:hAnsi="Arial"/>
                <w:sz w:val="16"/>
                <w:szCs w:val="16"/>
                <w:b w:val="1"/>
                <w:bCs w:val="1"/>
                <w:color w:val="auto"/>
              </w:rPr>
              <w:t>Class</w:t>
            </w:r>
          </w:p>
        </w:tc>
        <w:tc>
          <w:tcPr>
            <w:tcW w:w="6260" w:type="dxa"/>
            <w:vAlign w:val="bottom"/>
          </w:tcPr>
          <w:p>
            <w:pPr>
              <w:jc w:val="center"/>
              <w:ind w:left="739"/>
              <w:spacing w:after="0"/>
              <w:rPr>
                <w:sz w:val="20"/>
                <w:szCs w:val="20"/>
                <w:color w:val="auto"/>
              </w:rPr>
            </w:pPr>
            <w:r>
              <w:rPr>
                <w:rFonts w:ascii="Arial" w:cs="Arial" w:eastAsia="Arial" w:hAnsi="Arial"/>
                <w:sz w:val="16"/>
                <w:szCs w:val="16"/>
                <w:b w:val="1"/>
                <w:bCs w:val="1"/>
                <w:color w:val="auto"/>
              </w:rPr>
              <w:t>at October 28, 2026</w:t>
            </w: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Common Stock, $.01 par value</w:t>
            </w:r>
          </w:p>
        </w:tc>
        <w:tc>
          <w:tcPr>
            <w:tcW w:w="6260" w:type="dxa"/>
            <w:vAlign w:val="bottom"/>
          </w:tcPr>
          <w:p>
            <w:pPr>
              <w:jc w:val="center"/>
              <w:ind w:left="719"/>
              <w:spacing w:after="0"/>
              <w:rPr>
                <w:sz w:val="20"/>
                <w:szCs w:val="20"/>
                <w:color w:val="auto"/>
              </w:rPr>
            </w:pPr>
            <w:r>
              <w:rPr>
                <w:rFonts w:ascii="Arial" w:cs="Arial" w:eastAsia="Arial" w:hAnsi="Arial"/>
                <w:sz w:val="16"/>
                <w:szCs w:val="16"/>
                <w:color w:val="auto"/>
              </w:rPr>
              <w:t>46,505,570</w:t>
            </w:r>
          </w:p>
        </w:tc>
      </w:tr>
      <w:tr>
        <w:trPr>
          <w:trHeight w:val="1413"/>
        </w:trPr>
        <w:tc>
          <w:tcPr>
            <w:tcW w:w="49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43" w:lineRule="exact"/>
        <w:rPr>
          <w:sz w:val="20"/>
          <w:szCs w:val="20"/>
          <w:color w:val="auto"/>
        </w:rPr>
      </w:pPr>
    </w:p>
    <w:p>
      <w:pPr>
        <w:spacing w:after="0"/>
        <w:rPr>
          <w:sz w:val="20"/>
          <w:szCs w:val="20"/>
          <w:color w:val="auto"/>
        </w:rPr>
      </w:pPr>
      <w:r>
        <w:rPr>
          <w:rFonts w:ascii="Arial" w:cs="Arial" w:eastAsia="Arial" w:hAnsi="Arial"/>
          <w:sz w:val="43"/>
          <w:szCs w:val="43"/>
          <w:color w:val="5B89B4"/>
        </w:rPr>
        <w:t>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jc w:val="center"/>
              <w:ind w:left="592"/>
              <w:spacing w:after="0"/>
              <w:rPr>
                <w:sz w:val="20"/>
                <w:szCs w:val="20"/>
                <w:color w:val="auto"/>
              </w:rPr>
            </w:pPr>
            <w:r>
              <w:rPr>
                <w:rFonts w:ascii="Arial" w:cs="Arial" w:eastAsia="Arial" w:hAnsi="Arial"/>
                <w:sz w:val="14"/>
                <w:szCs w:val="14"/>
                <w:b w:val="1"/>
                <w:bCs w:val="1"/>
                <w:color w:val="auto"/>
              </w:rPr>
              <w:t>Page</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Pr>
          <w:p>
            <w:pPr>
              <w:jc w:val="center"/>
              <w:ind w:left="592"/>
              <w:spacing w:after="0"/>
              <w:rPr>
                <w:sz w:val="20"/>
                <w:szCs w:val="20"/>
                <w:color w:val="auto"/>
              </w:rPr>
            </w:pPr>
            <w:r>
              <w:rPr>
                <w:rFonts w:ascii="Arial" w:cs="Arial" w:eastAsia="Arial" w:hAnsi="Arial"/>
                <w:sz w:val="14"/>
                <w:szCs w:val="14"/>
                <w:b w:val="1"/>
                <w:bCs w:val="1"/>
                <w:color w:val="auto"/>
              </w:rPr>
              <w:t>Number</w:t>
            </w:r>
          </w:p>
        </w:tc>
      </w:tr>
      <w:tr>
        <w:trPr>
          <w:trHeight w:val="137"/>
        </w:trPr>
        <w:tc>
          <w:tcPr>
            <w:tcW w:w="500" w:type="dxa"/>
            <w:vAlign w:val="bottom"/>
            <w:tcBorders>
              <w:bottom w:val="single" w:sz="8" w:color="5B89B4"/>
            </w:tcBorders>
          </w:tcPr>
          <w:p>
            <w:pPr>
              <w:spacing w:after="0"/>
              <w:rPr>
                <w:sz w:val="11"/>
                <w:szCs w:val="11"/>
                <w:color w:val="auto"/>
              </w:rPr>
            </w:pPr>
          </w:p>
        </w:tc>
        <w:tc>
          <w:tcPr>
            <w:tcW w:w="80" w:type="dxa"/>
            <w:vAlign w:val="bottom"/>
            <w:tcBorders>
              <w:bottom w:val="single" w:sz="8" w:color="5B89B4"/>
            </w:tcBorders>
          </w:tcPr>
          <w:p>
            <w:pPr>
              <w:spacing w:after="0"/>
              <w:rPr>
                <w:sz w:val="11"/>
                <w:szCs w:val="11"/>
                <w:color w:val="auto"/>
              </w:rPr>
            </w:pPr>
          </w:p>
        </w:tc>
        <w:tc>
          <w:tcPr>
            <w:tcW w:w="40" w:type="dxa"/>
            <w:vAlign w:val="bottom"/>
            <w:tcBorders>
              <w:bottom w:val="single" w:sz="8" w:color="5B89B4"/>
            </w:tcBorders>
          </w:tcPr>
          <w:p>
            <w:pPr>
              <w:spacing w:after="0"/>
              <w:rPr>
                <w:sz w:val="11"/>
                <w:szCs w:val="11"/>
                <w:color w:val="auto"/>
              </w:rPr>
            </w:pPr>
          </w:p>
        </w:tc>
        <w:tc>
          <w:tcPr>
            <w:tcW w:w="20" w:type="dxa"/>
            <w:vAlign w:val="bottom"/>
            <w:tcBorders>
              <w:bottom w:val="single" w:sz="8" w:color="5B89B4"/>
            </w:tcBorders>
          </w:tcPr>
          <w:p>
            <w:pPr>
              <w:spacing w:after="0"/>
              <w:rPr>
                <w:sz w:val="11"/>
                <w:szCs w:val="11"/>
                <w:color w:val="auto"/>
              </w:rPr>
            </w:pPr>
          </w:p>
        </w:tc>
        <w:tc>
          <w:tcPr>
            <w:tcW w:w="540" w:type="dxa"/>
            <w:vAlign w:val="bottom"/>
            <w:tcBorders>
              <w:bottom w:val="single" w:sz="8" w:color="5B89B4"/>
            </w:tcBorders>
          </w:tcPr>
          <w:p>
            <w:pPr>
              <w:spacing w:after="0"/>
              <w:rPr>
                <w:sz w:val="11"/>
                <w:szCs w:val="11"/>
                <w:color w:val="auto"/>
              </w:rPr>
            </w:pPr>
          </w:p>
        </w:tc>
        <w:tc>
          <w:tcPr>
            <w:tcW w:w="520" w:type="dxa"/>
            <w:vAlign w:val="bottom"/>
            <w:tcBorders>
              <w:bottom w:val="single" w:sz="8" w:color="5B89B4"/>
            </w:tcBorders>
          </w:tcPr>
          <w:p>
            <w:pPr>
              <w:spacing w:after="0"/>
              <w:rPr>
                <w:sz w:val="11"/>
                <w:szCs w:val="11"/>
                <w:color w:val="auto"/>
              </w:rPr>
            </w:pPr>
          </w:p>
        </w:tc>
        <w:tc>
          <w:tcPr>
            <w:tcW w:w="640" w:type="dxa"/>
            <w:vAlign w:val="bottom"/>
            <w:tcBorders>
              <w:bottom w:val="single" w:sz="8" w:color="5B89B4"/>
            </w:tcBorders>
          </w:tcPr>
          <w:p>
            <w:pPr>
              <w:spacing w:after="0"/>
              <w:rPr>
                <w:sz w:val="11"/>
                <w:szCs w:val="11"/>
                <w:color w:val="auto"/>
              </w:rPr>
            </w:pPr>
          </w:p>
        </w:tc>
        <w:tc>
          <w:tcPr>
            <w:tcW w:w="360" w:type="dxa"/>
            <w:vAlign w:val="bottom"/>
            <w:tcBorders>
              <w:bottom w:val="single" w:sz="8" w:color="5B89B4"/>
            </w:tcBorders>
          </w:tcPr>
          <w:p>
            <w:pPr>
              <w:spacing w:after="0"/>
              <w:rPr>
                <w:sz w:val="11"/>
                <w:szCs w:val="11"/>
                <w:color w:val="auto"/>
              </w:rPr>
            </w:pPr>
          </w:p>
        </w:tc>
        <w:tc>
          <w:tcPr>
            <w:tcW w:w="400" w:type="dxa"/>
            <w:vAlign w:val="bottom"/>
            <w:tcBorders>
              <w:bottom w:val="single" w:sz="8" w:color="5B89B4"/>
            </w:tcBorders>
          </w:tcPr>
          <w:p>
            <w:pPr>
              <w:spacing w:after="0"/>
              <w:rPr>
                <w:sz w:val="11"/>
                <w:szCs w:val="11"/>
                <w:color w:val="auto"/>
              </w:rPr>
            </w:pPr>
          </w:p>
        </w:tc>
        <w:tc>
          <w:tcPr>
            <w:tcW w:w="540" w:type="dxa"/>
            <w:vAlign w:val="bottom"/>
            <w:tcBorders>
              <w:bottom w:val="single" w:sz="8" w:color="5B89B4"/>
            </w:tcBorders>
          </w:tcPr>
          <w:p>
            <w:pPr>
              <w:spacing w:after="0"/>
              <w:rPr>
                <w:sz w:val="11"/>
                <w:szCs w:val="11"/>
                <w:color w:val="auto"/>
              </w:rPr>
            </w:pPr>
          </w:p>
        </w:tc>
        <w:tc>
          <w:tcPr>
            <w:tcW w:w="60" w:type="dxa"/>
            <w:vAlign w:val="bottom"/>
            <w:tcBorders>
              <w:bottom w:val="single" w:sz="8" w:color="5B89B4"/>
            </w:tcBorders>
          </w:tcPr>
          <w:p>
            <w:pPr>
              <w:spacing w:after="0"/>
              <w:rPr>
                <w:sz w:val="11"/>
                <w:szCs w:val="11"/>
                <w:color w:val="auto"/>
              </w:rPr>
            </w:pPr>
          </w:p>
        </w:tc>
        <w:tc>
          <w:tcPr>
            <w:tcW w:w="260" w:type="dxa"/>
            <w:vAlign w:val="bottom"/>
            <w:tcBorders>
              <w:bottom w:val="single" w:sz="8" w:color="5B89B4"/>
            </w:tcBorders>
          </w:tcPr>
          <w:p>
            <w:pPr>
              <w:spacing w:after="0"/>
              <w:rPr>
                <w:sz w:val="11"/>
                <w:szCs w:val="11"/>
                <w:color w:val="auto"/>
              </w:rPr>
            </w:pPr>
          </w:p>
        </w:tc>
        <w:tc>
          <w:tcPr>
            <w:tcW w:w="100" w:type="dxa"/>
            <w:vAlign w:val="bottom"/>
            <w:tcBorders>
              <w:bottom w:val="single" w:sz="8" w:color="5B89B4"/>
            </w:tcBorders>
          </w:tcPr>
          <w:p>
            <w:pPr>
              <w:spacing w:after="0"/>
              <w:rPr>
                <w:sz w:val="11"/>
                <w:szCs w:val="11"/>
                <w:color w:val="auto"/>
              </w:rPr>
            </w:pPr>
          </w:p>
        </w:tc>
        <w:tc>
          <w:tcPr>
            <w:tcW w:w="280" w:type="dxa"/>
            <w:vAlign w:val="bottom"/>
            <w:tcBorders>
              <w:bottom w:val="single" w:sz="8" w:color="5B89B4"/>
            </w:tcBorders>
          </w:tcPr>
          <w:p>
            <w:pPr>
              <w:spacing w:after="0"/>
              <w:rPr>
                <w:sz w:val="11"/>
                <w:szCs w:val="11"/>
                <w:color w:val="auto"/>
              </w:rPr>
            </w:pPr>
          </w:p>
        </w:tc>
        <w:tc>
          <w:tcPr>
            <w:tcW w:w="500" w:type="dxa"/>
            <w:vAlign w:val="bottom"/>
            <w:tcBorders>
              <w:bottom w:val="single" w:sz="8" w:color="5B89B4"/>
            </w:tcBorders>
          </w:tcPr>
          <w:p>
            <w:pPr>
              <w:spacing w:after="0"/>
              <w:rPr>
                <w:sz w:val="11"/>
                <w:szCs w:val="11"/>
                <w:color w:val="auto"/>
              </w:rPr>
            </w:pPr>
          </w:p>
        </w:tc>
        <w:tc>
          <w:tcPr>
            <w:tcW w:w="60" w:type="dxa"/>
            <w:vAlign w:val="bottom"/>
            <w:tcBorders>
              <w:bottom w:val="single" w:sz="8" w:color="5B89B4"/>
            </w:tcBorders>
          </w:tcPr>
          <w:p>
            <w:pPr>
              <w:spacing w:after="0"/>
              <w:rPr>
                <w:sz w:val="11"/>
                <w:szCs w:val="11"/>
                <w:color w:val="auto"/>
              </w:rPr>
            </w:pPr>
          </w:p>
        </w:tc>
        <w:tc>
          <w:tcPr>
            <w:tcW w:w="300" w:type="dxa"/>
            <w:vAlign w:val="bottom"/>
            <w:tcBorders>
              <w:bottom w:val="single" w:sz="8" w:color="5B89B4"/>
            </w:tcBorders>
          </w:tcPr>
          <w:p>
            <w:pPr>
              <w:spacing w:after="0"/>
              <w:rPr>
                <w:sz w:val="11"/>
                <w:szCs w:val="11"/>
                <w:color w:val="auto"/>
              </w:rPr>
            </w:pPr>
          </w:p>
        </w:tc>
        <w:tc>
          <w:tcPr>
            <w:tcW w:w="420" w:type="dxa"/>
            <w:vAlign w:val="bottom"/>
            <w:tcBorders>
              <w:bottom w:val="single" w:sz="8" w:color="5B89B4"/>
            </w:tcBorders>
          </w:tcPr>
          <w:p>
            <w:pPr>
              <w:spacing w:after="0"/>
              <w:rPr>
                <w:sz w:val="11"/>
                <w:szCs w:val="11"/>
                <w:color w:val="auto"/>
              </w:rPr>
            </w:pPr>
          </w:p>
        </w:tc>
        <w:tc>
          <w:tcPr>
            <w:tcW w:w="800" w:type="dxa"/>
            <w:vAlign w:val="bottom"/>
            <w:tcBorders>
              <w:bottom w:val="single" w:sz="8" w:color="5B89B4"/>
            </w:tcBorders>
          </w:tcPr>
          <w:p>
            <w:pPr>
              <w:spacing w:after="0"/>
              <w:rPr>
                <w:sz w:val="11"/>
                <w:szCs w:val="11"/>
                <w:color w:val="auto"/>
              </w:rPr>
            </w:pPr>
          </w:p>
        </w:tc>
        <w:tc>
          <w:tcPr>
            <w:tcW w:w="20" w:type="dxa"/>
            <w:vAlign w:val="bottom"/>
            <w:tcBorders>
              <w:bottom w:val="single" w:sz="8" w:color="5B89B4"/>
            </w:tcBorders>
          </w:tcPr>
          <w:p>
            <w:pPr>
              <w:spacing w:after="0"/>
              <w:rPr>
                <w:sz w:val="11"/>
                <w:szCs w:val="11"/>
                <w:color w:val="auto"/>
              </w:rPr>
            </w:pPr>
          </w:p>
        </w:tc>
        <w:tc>
          <w:tcPr>
            <w:tcW w:w="120" w:type="dxa"/>
            <w:vAlign w:val="bottom"/>
            <w:tcBorders>
              <w:bottom w:val="single" w:sz="8" w:color="5B89B4"/>
            </w:tcBorders>
          </w:tcPr>
          <w:p>
            <w:pPr>
              <w:spacing w:after="0"/>
              <w:rPr>
                <w:sz w:val="11"/>
                <w:szCs w:val="11"/>
                <w:color w:val="auto"/>
              </w:rPr>
            </w:pPr>
          </w:p>
        </w:tc>
        <w:tc>
          <w:tcPr>
            <w:tcW w:w="2220" w:type="dxa"/>
            <w:vAlign w:val="bottom"/>
            <w:tcBorders>
              <w:bottom w:val="single" w:sz="8" w:color="5B89B4"/>
            </w:tcBorders>
          </w:tcPr>
          <w:p>
            <w:pPr>
              <w:spacing w:after="0"/>
              <w:rPr>
                <w:sz w:val="11"/>
                <w:szCs w:val="11"/>
                <w:color w:val="auto"/>
              </w:rPr>
            </w:pPr>
          </w:p>
        </w:tc>
        <w:tc>
          <w:tcPr>
            <w:tcW w:w="860" w:type="dxa"/>
            <w:vAlign w:val="bottom"/>
            <w:tcBorders>
              <w:bottom w:val="single" w:sz="8" w:color="5B89B4"/>
            </w:tcBorders>
          </w:tcPr>
          <w:p>
            <w:pPr>
              <w:spacing w:after="0"/>
              <w:rPr>
                <w:sz w:val="11"/>
                <w:szCs w:val="11"/>
                <w:color w:val="auto"/>
              </w:rPr>
            </w:pPr>
          </w:p>
        </w:tc>
        <w:tc>
          <w:tcPr>
            <w:tcW w:w="1600" w:type="dxa"/>
            <w:vAlign w:val="bottom"/>
            <w:tcBorders>
              <w:bottom w:val="single" w:sz="8" w:color="5B89B4"/>
            </w:tcBorders>
          </w:tcPr>
          <w:p>
            <w:pPr>
              <w:spacing w:after="0"/>
              <w:rPr>
                <w:sz w:val="11"/>
                <w:szCs w:val="11"/>
                <w:color w:val="auto"/>
              </w:rPr>
            </w:pPr>
          </w:p>
        </w:tc>
      </w:tr>
      <w:tr>
        <w:trPr>
          <w:trHeight w:val="210"/>
        </w:trPr>
        <w:tc>
          <w:tcPr>
            <w:tcW w:w="1700" w:type="dxa"/>
            <w:vAlign w:val="bottom"/>
            <w:gridSpan w:val="6"/>
          </w:tcPr>
          <w:p>
            <w:pPr>
              <w:spacing w:after="0"/>
              <w:rPr>
                <w:sz w:val="20"/>
                <w:szCs w:val="20"/>
                <w:color w:val="auto"/>
              </w:rPr>
            </w:pPr>
            <w:r>
              <w:rPr>
                <w:rFonts w:ascii="Arial" w:cs="Arial" w:eastAsia="Arial" w:hAnsi="Arial"/>
                <w:sz w:val="18"/>
                <w:szCs w:val="18"/>
                <w:color w:val="5B89B4"/>
              </w:rPr>
              <w:t>PART I</w:t>
            </w:r>
          </w:p>
        </w:tc>
        <w:tc>
          <w:tcPr>
            <w:tcW w:w="7940" w:type="dxa"/>
            <w:vAlign w:val="bottom"/>
            <w:gridSpan w:val="17"/>
          </w:tcPr>
          <w:p>
            <w:pPr>
              <w:spacing w:after="0"/>
              <w:rPr>
                <w:sz w:val="20"/>
                <w:szCs w:val="20"/>
                <w:color w:val="auto"/>
              </w:rPr>
            </w:pPr>
            <w:r>
              <w:rPr>
                <w:rFonts w:ascii="Arial" w:cs="Arial" w:eastAsia="Arial" w:hAnsi="Arial"/>
                <w:sz w:val="18"/>
                <w:szCs w:val="18"/>
                <w:color w:val="5B89B4"/>
              </w:rPr>
              <w:t>FINANCIAL INFORMATION</w:t>
            </w:r>
          </w:p>
        </w:tc>
        <w:tc>
          <w:tcPr>
            <w:tcW w:w="1600" w:type="dxa"/>
            <w:vAlign w:val="bottom"/>
          </w:tcPr>
          <w:p>
            <w:pPr>
              <w:spacing w:after="0"/>
              <w:rPr>
                <w:sz w:val="18"/>
                <w:szCs w:val="18"/>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5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120" w:type="dxa"/>
            <w:vAlign w:val="bottom"/>
            <w:gridSpan w:val="4"/>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Pr>
          <w:p>
            <w:pPr>
              <w:spacing w:after="0"/>
              <w:rPr>
                <w:sz w:val="20"/>
                <w:szCs w:val="20"/>
                <w:color w:val="auto"/>
              </w:rPr>
            </w:pPr>
          </w:p>
        </w:tc>
      </w:tr>
      <w:tr>
        <w:trPr>
          <w:trHeight w:val="237"/>
        </w:trPr>
        <w:tc>
          <w:tcPr>
            <w:tcW w:w="5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Consolidated Balance Sheets</w:t>
            </w:r>
          </w:p>
        </w:tc>
        <w:tc>
          <w:tcPr>
            <w:tcW w:w="5300" w:type="dxa"/>
            <w:vAlign w:val="bottom"/>
            <w:gridSpan w:val="9"/>
          </w:tcPr>
          <w:p>
            <w:pPr>
              <w:spacing w:after="0"/>
              <w:rPr>
                <w:sz w:val="20"/>
                <w:szCs w:val="20"/>
                <w:color w:val="auto"/>
              </w:rPr>
            </w:pP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Operations</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4</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auto"/>
              </w:rPr>
              <w:t>Consolidated Statements of Comprehensive (Loss) Income</w:t>
            </w:r>
          </w:p>
        </w:tc>
        <w:tc>
          <w:tcPr>
            <w:tcW w:w="3200" w:type="dxa"/>
            <w:vAlign w:val="bottom"/>
            <w:gridSpan w:val="3"/>
          </w:tcPr>
          <w:p>
            <w:pPr>
              <w:spacing w:after="0"/>
              <w:rPr>
                <w:sz w:val="20"/>
                <w:szCs w:val="20"/>
                <w:color w:val="auto"/>
              </w:rPr>
            </w:pP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4</w:t>
            </w:r>
          </w:p>
        </w:tc>
      </w:tr>
      <w:tr>
        <w:trPr>
          <w:trHeight w:val="236"/>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Cash Flows</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5</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Shareholders' Equity</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6-7</w:t>
            </w: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92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Notes to Consolidated Financial Statements</w:t>
            </w:r>
          </w:p>
        </w:tc>
        <w:tc>
          <w:tcPr>
            <w:tcW w:w="4020" w:type="dxa"/>
            <w:vAlign w:val="bottom"/>
            <w:gridSpan w:val="5"/>
          </w:tcPr>
          <w:p>
            <w:pPr>
              <w:spacing w:after="0"/>
              <w:rPr>
                <w:sz w:val="20"/>
                <w:szCs w:val="20"/>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8-24</w:t>
            </w:r>
          </w:p>
        </w:tc>
      </w:tr>
      <w:tr>
        <w:trPr>
          <w:trHeight w:val="20"/>
        </w:trPr>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70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940" w:type="dxa"/>
            <w:vAlign w:val="bottom"/>
            <w:gridSpan w:val="17"/>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25-39</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20" w:type="dxa"/>
            <w:vAlign w:val="bottom"/>
            <w:gridSpan w:val="8"/>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700" w:type="dxa"/>
            <w:vAlign w:val="bottom"/>
            <w:gridSpan w:val="6"/>
          </w:tcPr>
          <w:p>
            <w:pPr>
              <w:spacing w:after="0"/>
              <w:rPr>
                <w:sz w:val="20"/>
                <w:szCs w:val="20"/>
                <w:color w:val="auto"/>
              </w:rPr>
            </w:pPr>
            <w:r>
              <w:rPr>
                <w:rFonts w:ascii="Arial" w:cs="Arial" w:eastAsia="Arial" w:hAnsi="Arial"/>
                <w:sz w:val="18"/>
                <w:szCs w:val="18"/>
                <w:color w:val="auto"/>
              </w:rPr>
              <w:t>Item 3</w:t>
            </w:r>
          </w:p>
        </w:tc>
        <w:tc>
          <w:tcPr>
            <w:tcW w:w="7940" w:type="dxa"/>
            <w:vAlign w:val="bottom"/>
            <w:gridSpan w:val="17"/>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40</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20" w:type="dxa"/>
            <w:vAlign w:val="bottom"/>
            <w:gridSpan w:val="8"/>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4</w:t>
            </w:r>
          </w:p>
        </w:tc>
        <w:tc>
          <w:tcPr>
            <w:tcW w:w="7940" w:type="dxa"/>
            <w:vAlign w:val="bottom"/>
            <w:gridSpan w:val="17"/>
          </w:tcPr>
          <w:p>
            <w:pPr>
              <w:spacing w:after="0"/>
              <w:rPr>
                <w:sz w:val="20"/>
                <w:szCs w:val="20"/>
                <w:color w:val="auto"/>
              </w:rPr>
            </w:pPr>
            <w:r>
              <w:rPr>
                <w:rFonts w:ascii="Arial" w:cs="Arial" w:eastAsia="Arial" w:hAnsi="Arial"/>
                <w:sz w:val="18"/>
                <w:szCs w:val="18"/>
                <w:color w:val="auto"/>
              </w:rPr>
              <w:t>Controls and Procedures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40</w:t>
            </w:r>
          </w:p>
        </w:tc>
      </w:tr>
      <w:tr>
        <w:trPr>
          <w:trHeight w:val="277"/>
        </w:trPr>
        <w:tc>
          <w:tcPr>
            <w:tcW w:w="500" w:type="dxa"/>
            <w:vAlign w:val="bottom"/>
            <w:tcBorders>
              <w:top w:val="single" w:sz="8" w:color="0000EE"/>
              <w:bottom w:val="single" w:sz="8" w:color="5B89B4"/>
            </w:tcBorders>
          </w:tcPr>
          <w:p>
            <w:pPr>
              <w:spacing w:after="0"/>
              <w:rPr>
                <w:sz w:val="24"/>
                <w:szCs w:val="24"/>
                <w:color w:val="auto"/>
              </w:rPr>
            </w:pPr>
          </w:p>
        </w:tc>
        <w:tc>
          <w:tcPr>
            <w:tcW w:w="80" w:type="dxa"/>
            <w:vAlign w:val="bottom"/>
            <w:tcBorders>
              <w:bottom w:val="single" w:sz="8" w:color="5B89B4"/>
            </w:tcBorders>
          </w:tcPr>
          <w:p>
            <w:pPr>
              <w:spacing w:after="0"/>
              <w:rPr>
                <w:sz w:val="24"/>
                <w:szCs w:val="24"/>
                <w:color w:val="auto"/>
              </w:rPr>
            </w:pPr>
          </w:p>
        </w:tc>
        <w:tc>
          <w:tcPr>
            <w:tcW w:w="40" w:type="dxa"/>
            <w:vAlign w:val="bottom"/>
            <w:tcBorders>
              <w:bottom w:val="single" w:sz="8" w:color="5B89B4"/>
            </w:tcBorders>
          </w:tcPr>
          <w:p>
            <w:pPr>
              <w:spacing w:after="0"/>
              <w:rPr>
                <w:sz w:val="24"/>
                <w:szCs w:val="24"/>
                <w:color w:val="auto"/>
              </w:rPr>
            </w:pPr>
          </w:p>
        </w:tc>
        <w:tc>
          <w:tcPr>
            <w:tcW w:w="20" w:type="dxa"/>
            <w:vAlign w:val="bottom"/>
            <w:tcBorders>
              <w:bottom w:val="single" w:sz="8" w:color="5B89B4"/>
            </w:tcBorders>
          </w:tcPr>
          <w:p>
            <w:pPr>
              <w:spacing w:after="0"/>
              <w:rPr>
                <w:sz w:val="24"/>
                <w:szCs w:val="24"/>
                <w:color w:val="auto"/>
              </w:rPr>
            </w:pPr>
          </w:p>
        </w:tc>
        <w:tc>
          <w:tcPr>
            <w:tcW w:w="540" w:type="dxa"/>
            <w:vAlign w:val="bottom"/>
            <w:tcBorders>
              <w:bottom w:val="single" w:sz="8" w:color="5B89B4"/>
            </w:tcBorders>
          </w:tcPr>
          <w:p>
            <w:pPr>
              <w:spacing w:after="0"/>
              <w:rPr>
                <w:sz w:val="24"/>
                <w:szCs w:val="24"/>
                <w:color w:val="auto"/>
              </w:rPr>
            </w:pPr>
          </w:p>
        </w:tc>
        <w:tc>
          <w:tcPr>
            <w:tcW w:w="520" w:type="dxa"/>
            <w:vAlign w:val="bottom"/>
            <w:tcBorders>
              <w:bottom w:val="single" w:sz="8" w:color="5B89B4"/>
            </w:tcBorders>
          </w:tcPr>
          <w:p>
            <w:pPr>
              <w:spacing w:after="0"/>
              <w:rPr>
                <w:sz w:val="24"/>
                <w:szCs w:val="24"/>
                <w:color w:val="auto"/>
              </w:rPr>
            </w:pPr>
          </w:p>
        </w:tc>
        <w:tc>
          <w:tcPr>
            <w:tcW w:w="640" w:type="dxa"/>
            <w:vAlign w:val="bottom"/>
            <w:tcBorders>
              <w:top w:val="single" w:sz="8" w:color="0000EE"/>
              <w:bottom w:val="single" w:sz="8" w:color="5B89B4"/>
            </w:tcBorders>
          </w:tcPr>
          <w:p>
            <w:pPr>
              <w:spacing w:after="0"/>
              <w:rPr>
                <w:sz w:val="24"/>
                <w:szCs w:val="24"/>
                <w:color w:val="auto"/>
              </w:rPr>
            </w:pPr>
          </w:p>
        </w:tc>
        <w:tc>
          <w:tcPr>
            <w:tcW w:w="360" w:type="dxa"/>
            <w:vAlign w:val="bottom"/>
            <w:tcBorders>
              <w:top w:val="single" w:sz="8" w:color="0000EE"/>
              <w:bottom w:val="single" w:sz="8" w:color="5B89B4"/>
            </w:tcBorders>
          </w:tcPr>
          <w:p>
            <w:pPr>
              <w:spacing w:after="0"/>
              <w:rPr>
                <w:sz w:val="24"/>
                <w:szCs w:val="24"/>
                <w:color w:val="auto"/>
              </w:rPr>
            </w:pPr>
          </w:p>
        </w:tc>
        <w:tc>
          <w:tcPr>
            <w:tcW w:w="400" w:type="dxa"/>
            <w:vAlign w:val="bottom"/>
            <w:tcBorders>
              <w:top w:val="single" w:sz="8" w:color="0000EE"/>
              <w:bottom w:val="single" w:sz="8" w:color="5B89B4"/>
            </w:tcBorders>
          </w:tcPr>
          <w:p>
            <w:pPr>
              <w:spacing w:after="0"/>
              <w:rPr>
                <w:sz w:val="24"/>
                <w:szCs w:val="24"/>
                <w:color w:val="auto"/>
              </w:rPr>
            </w:pPr>
          </w:p>
        </w:tc>
        <w:tc>
          <w:tcPr>
            <w:tcW w:w="540" w:type="dxa"/>
            <w:vAlign w:val="bottom"/>
            <w:tcBorders>
              <w:top w:val="single" w:sz="8" w:color="0000EE"/>
              <w:bottom w:val="single" w:sz="8" w:color="5B89B4"/>
            </w:tcBorders>
          </w:tcPr>
          <w:p>
            <w:pPr>
              <w:spacing w:after="0"/>
              <w:rPr>
                <w:sz w:val="24"/>
                <w:szCs w:val="24"/>
                <w:color w:val="auto"/>
              </w:rPr>
            </w:pPr>
          </w:p>
        </w:tc>
        <w:tc>
          <w:tcPr>
            <w:tcW w:w="60" w:type="dxa"/>
            <w:vAlign w:val="bottom"/>
            <w:tcBorders>
              <w:top w:val="single" w:sz="8" w:color="0000EE"/>
              <w:bottom w:val="single" w:sz="8" w:color="5B89B4"/>
            </w:tcBorders>
          </w:tcPr>
          <w:p>
            <w:pPr>
              <w:spacing w:after="0"/>
              <w:rPr>
                <w:sz w:val="24"/>
                <w:szCs w:val="24"/>
                <w:color w:val="auto"/>
              </w:rPr>
            </w:pPr>
          </w:p>
        </w:tc>
        <w:tc>
          <w:tcPr>
            <w:tcW w:w="260" w:type="dxa"/>
            <w:vAlign w:val="bottom"/>
            <w:tcBorders>
              <w:bottom w:val="single" w:sz="8" w:color="5B89B4"/>
            </w:tcBorders>
          </w:tcPr>
          <w:p>
            <w:pPr>
              <w:spacing w:after="0"/>
              <w:rPr>
                <w:sz w:val="24"/>
                <w:szCs w:val="24"/>
                <w:color w:val="auto"/>
              </w:rPr>
            </w:pPr>
          </w:p>
        </w:tc>
        <w:tc>
          <w:tcPr>
            <w:tcW w:w="100" w:type="dxa"/>
            <w:vAlign w:val="bottom"/>
            <w:tcBorders>
              <w:bottom w:val="single" w:sz="8" w:color="5B89B4"/>
            </w:tcBorders>
          </w:tcPr>
          <w:p>
            <w:pPr>
              <w:spacing w:after="0"/>
              <w:rPr>
                <w:sz w:val="24"/>
                <w:szCs w:val="24"/>
                <w:color w:val="auto"/>
              </w:rPr>
            </w:pPr>
          </w:p>
        </w:tc>
        <w:tc>
          <w:tcPr>
            <w:tcW w:w="280" w:type="dxa"/>
            <w:vAlign w:val="bottom"/>
            <w:tcBorders>
              <w:bottom w:val="single" w:sz="8" w:color="5B89B4"/>
            </w:tcBorders>
          </w:tcPr>
          <w:p>
            <w:pPr>
              <w:spacing w:after="0"/>
              <w:rPr>
                <w:sz w:val="24"/>
                <w:szCs w:val="24"/>
                <w:color w:val="auto"/>
              </w:rPr>
            </w:pPr>
          </w:p>
        </w:tc>
        <w:tc>
          <w:tcPr>
            <w:tcW w:w="500" w:type="dxa"/>
            <w:vAlign w:val="bottom"/>
            <w:tcBorders>
              <w:bottom w:val="single" w:sz="8" w:color="5B89B4"/>
            </w:tcBorders>
          </w:tcPr>
          <w:p>
            <w:pPr>
              <w:spacing w:after="0"/>
              <w:rPr>
                <w:sz w:val="24"/>
                <w:szCs w:val="24"/>
                <w:color w:val="auto"/>
              </w:rPr>
            </w:pPr>
          </w:p>
        </w:tc>
        <w:tc>
          <w:tcPr>
            <w:tcW w:w="60" w:type="dxa"/>
            <w:vAlign w:val="bottom"/>
            <w:tcBorders>
              <w:bottom w:val="single" w:sz="8" w:color="5B89B4"/>
            </w:tcBorders>
          </w:tcPr>
          <w:p>
            <w:pPr>
              <w:spacing w:after="0"/>
              <w:rPr>
                <w:sz w:val="24"/>
                <w:szCs w:val="24"/>
                <w:color w:val="auto"/>
              </w:rPr>
            </w:pPr>
          </w:p>
        </w:tc>
        <w:tc>
          <w:tcPr>
            <w:tcW w:w="300" w:type="dxa"/>
            <w:vAlign w:val="bottom"/>
            <w:tcBorders>
              <w:bottom w:val="single" w:sz="8" w:color="5B89B4"/>
            </w:tcBorders>
          </w:tcPr>
          <w:p>
            <w:pPr>
              <w:spacing w:after="0"/>
              <w:rPr>
                <w:sz w:val="24"/>
                <w:szCs w:val="24"/>
                <w:color w:val="auto"/>
              </w:rPr>
            </w:pPr>
          </w:p>
        </w:tc>
        <w:tc>
          <w:tcPr>
            <w:tcW w:w="420" w:type="dxa"/>
            <w:vAlign w:val="bottom"/>
            <w:tcBorders>
              <w:bottom w:val="single" w:sz="8" w:color="5B89B4"/>
            </w:tcBorders>
          </w:tcPr>
          <w:p>
            <w:pPr>
              <w:spacing w:after="0"/>
              <w:rPr>
                <w:sz w:val="24"/>
                <w:szCs w:val="24"/>
                <w:color w:val="auto"/>
              </w:rPr>
            </w:pPr>
          </w:p>
        </w:tc>
        <w:tc>
          <w:tcPr>
            <w:tcW w:w="800" w:type="dxa"/>
            <w:vAlign w:val="bottom"/>
            <w:tcBorders>
              <w:bottom w:val="single" w:sz="8" w:color="5B89B4"/>
            </w:tcBorders>
          </w:tcPr>
          <w:p>
            <w:pPr>
              <w:spacing w:after="0"/>
              <w:rPr>
                <w:sz w:val="24"/>
                <w:szCs w:val="24"/>
                <w:color w:val="auto"/>
              </w:rPr>
            </w:pPr>
          </w:p>
        </w:tc>
        <w:tc>
          <w:tcPr>
            <w:tcW w:w="20" w:type="dxa"/>
            <w:vAlign w:val="bottom"/>
            <w:tcBorders>
              <w:bottom w:val="single" w:sz="8" w:color="5B89B4"/>
            </w:tcBorders>
          </w:tcPr>
          <w:p>
            <w:pPr>
              <w:spacing w:after="0"/>
              <w:rPr>
                <w:sz w:val="24"/>
                <w:szCs w:val="24"/>
                <w:color w:val="auto"/>
              </w:rPr>
            </w:pPr>
          </w:p>
        </w:tc>
        <w:tc>
          <w:tcPr>
            <w:tcW w:w="120" w:type="dxa"/>
            <w:vAlign w:val="bottom"/>
            <w:tcBorders>
              <w:bottom w:val="single" w:sz="8" w:color="5B89B4"/>
            </w:tcBorders>
          </w:tcPr>
          <w:p>
            <w:pPr>
              <w:spacing w:after="0"/>
              <w:rPr>
                <w:sz w:val="24"/>
                <w:szCs w:val="24"/>
                <w:color w:val="auto"/>
              </w:rPr>
            </w:pPr>
          </w:p>
        </w:tc>
        <w:tc>
          <w:tcPr>
            <w:tcW w:w="2220" w:type="dxa"/>
            <w:vAlign w:val="bottom"/>
            <w:tcBorders>
              <w:bottom w:val="single" w:sz="8" w:color="5B89B4"/>
            </w:tcBorders>
          </w:tcPr>
          <w:p>
            <w:pPr>
              <w:spacing w:after="0"/>
              <w:rPr>
                <w:sz w:val="24"/>
                <w:szCs w:val="24"/>
                <w:color w:val="auto"/>
              </w:rPr>
            </w:pPr>
          </w:p>
        </w:tc>
        <w:tc>
          <w:tcPr>
            <w:tcW w:w="860" w:type="dxa"/>
            <w:vAlign w:val="bottom"/>
            <w:tcBorders>
              <w:bottom w:val="single" w:sz="8" w:color="5B89B4"/>
            </w:tcBorders>
          </w:tcPr>
          <w:p>
            <w:pPr>
              <w:spacing w:after="0"/>
              <w:rPr>
                <w:sz w:val="24"/>
                <w:szCs w:val="24"/>
                <w:color w:val="auto"/>
              </w:rPr>
            </w:pPr>
          </w:p>
        </w:tc>
        <w:tc>
          <w:tcPr>
            <w:tcW w:w="1600" w:type="dxa"/>
            <w:vAlign w:val="bottom"/>
            <w:tcBorders>
              <w:bottom w:val="single" w:sz="8" w:color="5B89B4"/>
            </w:tcBorders>
          </w:tcPr>
          <w:p>
            <w:pPr>
              <w:spacing w:after="0"/>
              <w:rPr>
                <w:sz w:val="24"/>
                <w:szCs w:val="24"/>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5B89B4"/>
                <w:w w:val="98"/>
              </w:rPr>
              <w:t>PART II</w:t>
            </w:r>
          </w:p>
        </w:tc>
        <w:tc>
          <w:tcPr>
            <w:tcW w:w="1060" w:type="dxa"/>
            <w:vAlign w:val="bottom"/>
            <w:gridSpan w:val="2"/>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5B89B4"/>
              </w:rPr>
              <w:t>OTHER INFORMATION</w:t>
            </w:r>
          </w:p>
        </w:tc>
        <w:tc>
          <w:tcPr>
            <w:tcW w:w="1600" w:type="dxa"/>
            <w:vAlign w:val="bottom"/>
          </w:tcPr>
          <w:p>
            <w:pPr>
              <w:spacing w:after="0"/>
              <w:rPr>
                <w:sz w:val="18"/>
                <w:szCs w:val="18"/>
                <w:color w:val="auto"/>
              </w:rPr>
            </w:pPr>
          </w:p>
        </w:tc>
      </w:tr>
      <w:tr>
        <w:trPr>
          <w:trHeight w:val="237"/>
        </w:trPr>
        <w:tc>
          <w:tcPr>
            <w:tcW w:w="6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w w:val="99"/>
              </w:rPr>
              <w:t>Item 1A</w:t>
            </w:r>
          </w:p>
        </w:tc>
        <w:tc>
          <w:tcPr>
            <w:tcW w:w="1060" w:type="dxa"/>
            <w:vAlign w:val="bottom"/>
            <w:gridSpan w:val="2"/>
          </w:tcPr>
          <w:p>
            <w:pPr>
              <w:spacing w:after="0"/>
              <w:rPr>
                <w:sz w:val="20"/>
                <w:szCs w:val="20"/>
                <w:color w:val="auto"/>
              </w:rPr>
            </w:pPr>
          </w:p>
        </w:tc>
        <w:tc>
          <w:tcPr>
            <w:tcW w:w="19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Risk Factors</w:t>
            </w:r>
          </w:p>
        </w:tc>
        <w:tc>
          <w:tcPr>
            <w:tcW w:w="6000" w:type="dxa"/>
            <w:vAlign w:val="bottom"/>
            <w:gridSpan w:val="13"/>
          </w:tcPr>
          <w:p>
            <w:pPr>
              <w:spacing w:after="0"/>
              <w:rPr>
                <w:sz w:val="20"/>
                <w:szCs w:val="20"/>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41</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6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80" w:type="dxa"/>
            <w:vAlign w:val="bottom"/>
            <w:gridSpan w:val="3"/>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41</w:t>
            </w:r>
          </w:p>
        </w:tc>
      </w:tr>
      <w:tr>
        <w:trPr>
          <w:trHeight w:val="20"/>
        </w:trPr>
        <w:tc>
          <w:tcPr>
            <w:tcW w:w="5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60" w:type="dxa"/>
            <w:vAlign w:val="bottom"/>
            <w:gridSpan w:val="12"/>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5</w:t>
            </w:r>
          </w:p>
        </w:tc>
        <w:tc>
          <w:tcPr>
            <w:tcW w:w="7940" w:type="dxa"/>
            <w:vAlign w:val="bottom"/>
            <w:gridSpan w:val="17"/>
          </w:tcPr>
          <w:p>
            <w:pPr>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41</w:t>
            </w:r>
          </w:p>
        </w:tc>
      </w:tr>
      <w:tr>
        <w:trPr>
          <w:trHeight w:val="20"/>
        </w:trPr>
        <w:tc>
          <w:tcPr>
            <w:tcW w:w="5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6</w:t>
            </w:r>
          </w:p>
        </w:tc>
        <w:tc>
          <w:tcPr>
            <w:tcW w:w="7940" w:type="dxa"/>
            <w:vAlign w:val="bottom"/>
            <w:gridSpan w:val="17"/>
          </w:tcPr>
          <w:p>
            <w:pPr>
              <w:spacing w:after="0"/>
              <w:rPr>
                <w:sz w:val="20"/>
                <w:szCs w:val="20"/>
                <w:color w:val="auto"/>
              </w:rPr>
            </w:pPr>
            <w:r>
              <w:rPr>
                <w:rFonts w:ascii="Arial" w:cs="Arial" w:eastAsia="Arial" w:hAnsi="Arial"/>
                <w:sz w:val="18"/>
                <w:szCs w:val="18"/>
                <w:color w:val="auto"/>
              </w:rPr>
              <w:t>Exhibits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42</w:t>
            </w:r>
          </w:p>
        </w:tc>
      </w:tr>
      <w:tr>
        <w:trPr>
          <w:trHeight w:val="237"/>
        </w:trPr>
        <w:tc>
          <w:tcPr>
            <w:tcW w:w="500" w:type="dxa"/>
            <w:vAlign w:val="bottom"/>
            <w:tcBorders>
              <w:top w:val="single" w:sz="8" w:color="0000EE"/>
              <w:bottom w:val="single" w:sz="8" w:color="5B89B4"/>
            </w:tcBorders>
          </w:tcPr>
          <w:p>
            <w:pPr>
              <w:spacing w:after="0"/>
              <w:rPr>
                <w:sz w:val="20"/>
                <w:szCs w:val="20"/>
                <w:color w:val="auto"/>
              </w:rPr>
            </w:pPr>
          </w:p>
        </w:tc>
        <w:tc>
          <w:tcPr>
            <w:tcW w:w="80" w:type="dxa"/>
            <w:vAlign w:val="bottom"/>
            <w:tcBorders>
              <w:bottom w:val="single" w:sz="8" w:color="5B89B4"/>
            </w:tcBorders>
          </w:tcPr>
          <w:p>
            <w:pPr>
              <w:spacing w:after="0"/>
              <w:rPr>
                <w:sz w:val="20"/>
                <w:szCs w:val="20"/>
                <w:color w:val="auto"/>
              </w:rPr>
            </w:pPr>
          </w:p>
        </w:tc>
        <w:tc>
          <w:tcPr>
            <w:tcW w:w="40" w:type="dxa"/>
            <w:vAlign w:val="bottom"/>
            <w:tcBorders>
              <w:bottom w:val="single" w:sz="8" w:color="5B89B4"/>
            </w:tcBorders>
          </w:tcPr>
          <w:p>
            <w:pPr>
              <w:spacing w:after="0"/>
              <w:rPr>
                <w:sz w:val="20"/>
                <w:szCs w:val="20"/>
                <w:color w:val="auto"/>
              </w:rPr>
            </w:pPr>
          </w:p>
        </w:tc>
        <w:tc>
          <w:tcPr>
            <w:tcW w:w="20" w:type="dxa"/>
            <w:vAlign w:val="bottom"/>
            <w:tcBorders>
              <w:bottom w:val="single" w:sz="8" w:color="5B89B4"/>
            </w:tcBorders>
          </w:tcPr>
          <w:p>
            <w:pPr>
              <w:spacing w:after="0"/>
              <w:rPr>
                <w:sz w:val="20"/>
                <w:szCs w:val="20"/>
                <w:color w:val="auto"/>
              </w:rPr>
            </w:pPr>
          </w:p>
        </w:tc>
        <w:tc>
          <w:tcPr>
            <w:tcW w:w="540" w:type="dxa"/>
            <w:vAlign w:val="bottom"/>
            <w:tcBorders>
              <w:bottom w:val="single" w:sz="8" w:color="5B89B4"/>
            </w:tcBorders>
          </w:tcPr>
          <w:p>
            <w:pPr>
              <w:spacing w:after="0"/>
              <w:rPr>
                <w:sz w:val="20"/>
                <w:szCs w:val="20"/>
                <w:color w:val="auto"/>
              </w:rPr>
            </w:pPr>
          </w:p>
        </w:tc>
        <w:tc>
          <w:tcPr>
            <w:tcW w:w="520" w:type="dxa"/>
            <w:vAlign w:val="bottom"/>
            <w:tcBorders>
              <w:bottom w:val="single" w:sz="8" w:color="5B89B4"/>
            </w:tcBorders>
          </w:tcPr>
          <w:p>
            <w:pPr>
              <w:spacing w:after="0"/>
              <w:rPr>
                <w:sz w:val="20"/>
                <w:szCs w:val="20"/>
                <w:color w:val="auto"/>
              </w:rPr>
            </w:pPr>
          </w:p>
        </w:tc>
        <w:tc>
          <w:tcPr>
            <w:tcW w:w="640" w:type="dxa"/>
            <w:vAlign w:val="bottom"/>
            <w:tcBorders>
              <w:top w:val="single" w:sz="8" w:color="0000EE"/>
              <w:bottom w:val="single" w:sz="8" w:color="5B89B4"/>
            </w:tcBorders>
          </w:tcPr>
          <w:p>
            <w:pPr>
              <w:spacing w:after="0"/>
              <w:rPr>
                <w:sz w:val="20"/>
                <w:szCs w:val="20"/>
                <w:color w:val="auto"/>
              </w:rPr>
            </w:pPr>
          </w:p>
        </w:tc>
        <w:tc>
          <w:tcPr>
            <w:tcW w:w="360" w:type="dxa"/>
            <w:vAlign w:val="bottom"/>
            <w:tcBorders>
              <w:bottom w:val="single" w:sz="8" w:color="5B89B4"/>
            </w:tcBorders>
          </w:tcPr>
          <w:p>
            <w:pPr>
              <w:spacing w:after="0"/>
              <w:rPr>
                <w:sz w:val="20"/>
                <w:szCs w:val="20"/>
                <w:color w:val="auto"/>
              </w:rPr>
            </w:pPr>
          </w:p>
        </w:tc>
        <w:tc>
          <w:tcPr>
            <w:tcW w:w="400" w:type="dxa"/>
            <w:vAlign w:val="bottom"/>
            <w:tcBorders>
              <w:bottom w:val="single" w:sz="8" w:color="5B89B4"/>
            </w:tcBorders>
          </w:tcPr>
          <w:p>
            <w:pPr>
              <w:spacing w:after="0"/>
              <w:rPr>
                <w:sz w:val="20"/>
                <w:szCs w:val="20"/>
                <w:color w:val="auto"/>
              </w:rPr>
            </w:pPr>
          </w:p>
        </w:tc>
        <w:tc>
          <w:tcPr>
            <w:tcW w:w="540" w:type="dxa"/>
            <w:vAlign w:val="bottom"/>
            <w:tcBorders>
              <w:bottom w:val="single" w:sz="8" w:color="5B89B4"/>
            </w:tcBorders>
          </w:tcPr>
          <w:p>
            <w:pPr>
              <w:spacing w:after="0"/>
              <w:rPr>
                <w:sz w:val="20"/>
                <w:szCs w:val="20"/>
                <w:color w:val="auto"/>
              </w:rPr>
            </w:pPr>
          </w:p>
        </w:tc>
        <w:tc>
          <w:tcPr>
            <w:tcW w:w="60" w:type="dxa"/>
            <w:vAlign w:val="bottom"/>
            <w:tcBorders>
              <w:bottom w:val="single" w:sz="8" w:color="5B89B4"/>
            </w:tcBorders>
          </w:tcPr>
          <w:p>
            <w:pPr>
              <w:spacing w:after="0"/>
              <w:rPr>
                <w:sz w:val="20"/>
                <w:szCs w:val="20"/>
                <w:color w:val="auto"/>
              </w:rPr>
            </w:pPr>
          </w:p>
        </w:tc>
        <w:tc>
          <w:tcPr>
            <w:tcW w:w="260" w:type="dxa"/>
            <w:vAlign w:val="bottom"/>
            <w:tcBorders>
              <w:bottom w:val="single" w:sz="8" w:color="5B89B4"/>
            </w:tcBorders>
          </w:tcPr>
          <w:p>
            <w:pPr>
              <w:spacing w:after="0"/>
              <w:rPr>
                <w:sz w:val="20"/>
                <w:szCs w:val="20"/>
                <w:color w:val="auto"/>
              </w:rPr>
            </w:pPr>
          </w:p>
        </w:tc>
        <w:tc>
          <w:tcPr>
            <w:tcW w:w="100" w:type="dxa"/>
            <w:vAlign w:val="bottom"/>
            <w:tcBorders>
              <w:bottom w:val="single" w:sz="8" w:color="5B89B4"/>
            </w:tcBorders>
          </w:tcPr>
          <w:p>
            <w:pPr>
              <w:spacing w:after="0"/>
              <w:rPr>
                <w:sz w:val="20"/>
                <w:szCs w:val="20"/>
                <w:color w:val="auto"/>
              </w:rPr>
            </w:pPr>
          </w:p>
        </w:tc>
        <w:tc>
          <w:tcPr>
            <w:tcW w:w="280" w:type="dxa"/>
            <w:vAlign w:val="bottom"/>
            <w:tcBorders>
              <w:bottom w:val="single" w:sz="8" w:color="5B89B4"/>
            </w:tcBorders>
          </w:tcPr>
          <w:p>
            <w:pPr>
              <w:spacing w:after="0"/>
              <w:rPr>
                <w:sz w:val="20"/>
                <w:szCs w:val="20"/>
                <w:color w:val="auto"/>
              </w:rPr>
            </w:pPr>
          </w:p>
        </w:tc>
        <w:tc>
          <w:tcPr>
            <w:tcW w:w="500" w:type="dxa"/>
            <w:vAlign w:val="bottom"/>
            <w:tcBorders>
              <w:bottom w:val="single" w:sz="8" w:color="5B89B4"/>
            </w:tcBorders>
          </w:tcPr>
          <w:p>
            <w:pPr>
              <w:spacing w:after="0"/>
              <w:rPr>
                <w:sz w:val="20"/>
                <w:szCs w:val="20"/>
                <w:color w:val="auto"/>
              </w:rPr>
            </w:pPr>
          </w:p>
        </w:tc>
        <w:tc>
          <w:tcPr>
            <w:tcW w:w="60" w:type="dxa"/>
            <w:vAlign w:val="bottom"/>
            <w:tcBorders>
              <w:bottom w:val="single" w:sz="8" w:color="5B89B4"/>
            </w:tcBorders>
          </w:tcPr>
          <w:p>
            <w:pPr>
              <w:spacing w:after="0"/>
              <w:rPr>
                <w:sz w:val="20"/>
                <w:szCs w:val="20"/>
                <w:color w:val="auto"/>
              </w:rPr>
            </w:pPr>
          </w:p>
        </w:tc>
        <w:tc>
          <w:tcPr>
            <w:tcW w:w="300" w:type="dxa"/>
            <w:vAlign w:val="bottom"/>
            <w:tcBorders>
              <w:bottom w:val="single" w:sz="8" w:color="5B89B4"/>
            </w:tcBorders>
          </w:tcPr>
          <w:p>
            <w:pPr>
              <w:spacing w:after="0"/>
              <w:rPr>
                <w:sz w:val="20"/>
                <w:szCs w:val="20"/>
                <w:color w:val="auto"/>
              </w:rPr>
            </w:pPr>
          </w:p>
        </w:tc>
        <w:tc>
          <w:tcPr>
            <w:tcW w:w="420" w:type="dxa"/>
            <w:vAlign w:val="bottom"/>
            <w:tcBorders>
              <w:bottom w:val="single" w:sz="8" w:color="5B89B4"/>
            </w:tcBorders>
          </w:tcPr>
          <w:p>
            <w:pPr>
              <w:spacing w:after="0"/>
              <w:rPr>
                <w:sz w:val="20"/>
                <w:szCs w:val="20"/>
                <w:color w:val="auto"/>
              </w:rPr>
            </w:pPr>
          </w:p>
        </w:tc>
        <w:tc>
          <w:tcPr>
            <w:tcW w:w="800" w:type="dxa"/>
            <w:vAlign w:val="bottom"/>
            <w:tcBorders>
              <w:bottom w:val="single" w:sz="8" w:color="5B89B4"/>
            </w:tcBorders>
          </w:tcPr>
          <w:p>
            <w:pPr>
              <w:spacing w:after="0"/>
              <w:rPr>
                <w:sz w:val="20"/>
                <w:szCs w:val="20"/>
                <w:color w:val="auto"/>
              </w:rPr>
            </w:pPr>
          </w:p>
        </w:tc>
        <w:tc>
          <w:tcPr>
            <w:tcW w:w="20" w:type="dxa"/>
            <w:vAlign w:val="bottom"/>
            <w:tcBorders>
              <w:bottom w:val="single" w:sz="8" w:color="5B89B4"/>
            </w:tcBorders>
          </w:tcPr>
          <w:p>
            <w:pPr>
              <w:spacing w:after="0"/>
              <w:rPr>
                <w:sz w:val="20"/>
                <w:szCs w:val="20"/>
                <w:color w:val="auto"/>
              </w:rPr>
            </w:pPr>
          </w:p>
        </w:tc>
        <w:tc>
          <w:tcPr>
            <w:tcW w:w="120" w:type="dxa"/>
            <w:vAlign w:val="bottom"/>
            <w:tcBorders>
              <w:bottom w:val="single" w:sz="8" w:color="5B89B4"/>
            </w:tcBorders>
          </w:tcPr>
          <w:p>
            <w:pPr>
              <w:spacing w:after="0"/>
              <w:rPr>
                <w:sz w:val="20"/>
                <w:szCs w:val="20"/>
                <w:color w:val="auto"/>
              </w:rPr>
            </w:pPr>
          </w:p>
        </w:tc>
        <w:tc>
          <w:tcPr>
            <w:tcW w:w="2220" w:type="dxa"/>
            <w:vAlign w:val="bottom"/>
            <w:tcBorders>
              <w:bottom w:val="single" w:sz="8" w:color="5B89B4"/>
            </w:tcBorders>
          </w:tcPr>
          <w:p>
            <w:pPr>
              <w:spacing w:after="0"/>
              <w:rPr>
                <w:sz w:val="20"/>
                <w:szCs w:val="20"/>
                <w:color w:val="auto"/>
              </w:rPr>
            </w:pPr>
          </w:p>
        </w:tc>
        <w:tc>
          <w:tcPr>
            <w:tcW w:w="860" w:type="dxa"/>
            <w:vAlign w:val="bottom"/>
            <w:tcBorders>
              <w:bottom w:val="single" w:sz="8" w:color="5B89B4"/>
            </w:tcBorders>
          </w:tcPr>
          <w:p>
            <w:pPr>
              <w:spacing w:after="0"/>
              <w:rPr>
                <w:sz w:val="20"/>
                <w:szCs w:val="20"/>
                <w:color w:val="auto"/>
              </w:rPr>
            </w:pPr>
          </w:p>
        </w:tc>
        <w:tc>
          <w:tcPr>
            <w:tcW w:w="1600" w:type="dxa"/>
            <w:vAlign w:val="bottom"/>
            <w:tcBorders>
              <w:bottom w:val="single" w:sz="8" w:color="5B89B4"/>
            </w:tcBorders>
          </w:tcPr>
          <w:p>
            <w:pPr>
              <w:spacing w:after="0"/>
              <w:rPr>
                <w:sz w:val="20"/>
                <w:szCs w:val="20"/>
                <w:color w:val="auto"/>
              </w:rPr>
            </w:pPr>
          </w:p>
        </w:tc>
      </w:tr>
      <w:tr>
        <w:trPr>
          <w:trHeight w:val="263"/>
        </w:trPr>
        <w:tc>
          <w:tcPr>
            <w:tcW w:w="1700" w:type="dxa"/>
            <w:vAlign w:val="bottom"/>
            <w:gridSpan w:val="6"/>
          </w:tcPr>
          <w:p>
            <w:pPr>
              <w:spacing w:after="0"/>
              <w:rPr>
                <w:sz w:val="20"/>
                <w:szCs w:val="20"/>
                <w:color w:val="auto"/>
              </w:rPr>
            </w:pPr>
            <w:r>
              <w:rPr>
                <w:rFonts w:ascii="Arial" w:cs="Arial" w:eastAsia="Arial" w:hAnsi="Arial"/>
                <w:sz w:val="18"/>
                <w:szCs w:val="18"/>
                <w:color w:val="auto"/>
              </w:rPr>
              <w:t>SIGNATURES</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43</w:t>
            </w:r>
          </w:p>
        </w:tc>
      </w:tr>
      <w:tr>
        <w:trPr>
          <w:trHeight w:val="250"/>
        </w:trPr>
        <w:tc>
          <w:tcPr>
            <w:tcW w:w="500" w:type="dxa"/>
            <w:vAlign w:val="bottom"/>
            <w:tcBorders>
              <w:top w:val="single" w:sz="8" w:color="0000EE"/>
              <w:bottom w:val="single" w:sz="8" w:color="5B89B4"/>
            </w:tcBorders>
          </w:tcPr>
          <w:p>
            <w:pPr>
              <w:spacing w:after="0"/>
              <w:rPr>
                <w:sz w:val="21"/>
                <w:szCs w:val="21"/>
                <w:color w:val="auto"/>
              </w:rPr>
            </w:pPr>
          </w:p>
        </w:tc>
        <w:tc>
          <w:tcPr>
            <w:tcW w:w="80" w:type="dxa"/>
            <w:vAlign w:val="bottom"/>
            <w:tcBorders>
              <w:top w:val="single" w:sz="8" w:color="0000EE"/>
              <w:bottom w:val="single" w:sz="8" w:color="5B89B4"/>
            </w:tcBorders>
          </w:tcPr>
          <w:p>
            <w:pPr>
              <w:spacing w:after="0"/>
              <w:rPr>
                <w:sz w:val="21"/>
                <w:szCs w:val="21"/>
                <w:color w:val="auto"/>
              </w:rPr>
            </w:pPr>
          </w:p>
        </w:tc>
        <w:tc>
          <w:tcPr>
            <w:tcW w:w="40" w:type="dxa"/>
            <w:vAlign w:val="bottom"/>
            <w:tcBorders>
              <w:top w:val="single" w:sz="8" w:color="0000EE"/>
              <w:bottom w:val="single" w:sz="8" w:color="5B89B4"/>
            </w:tcBorders>
          </w:tcPr>
          <w:p>
            <w:pPr>
              <w:spacing w:after="0"/>
              <w:rPr>
                <w:sz w:val="21"/>
                <w:szCs w:val="21"/>
                <w:color w:val="auto"/>
              </w:rPr>
            </w:pPr>
          </w:p>
        </w:tc>
        <w:tc>
          <w:tcPr>
            <w:tcW w:w="20" w:type="dxa"/>
            <w:vAlign w:val="bottom"/>
            <w:tcBorders>
              <w:top w:val="single" w:sz="8" w:color="0000EE"/>
              <w:bottom w:val="single" w:sz="8" w:color="5B89B4"/>
            </w:tcBorders>
          </w:tcPr>
          <w:p>
            <w:pPr>
              <w:spacing w:after="0"/>
              <w:rPr>
                <w:sz w:val="21"/>
                <w:szCs w:val="21"/>
                <w:color w:val="auto"/>
              </w:rPr>
            </w:pPr>
          </w:p>
        </w:tc>
        <w:tc>
          <w:tcPr>
            <w:tcW w:w="540" w:type="dxa"/>
            <w:vAlign w:val="bottom"/>
            <w:tcBorders>
              <w:top w:val="single" w:sz="8" w:color="0000EE"/>
              <w:bottom w:val="single" w:sz="8" w:color="5B89B4"/>
            </w:tcBorders>
          </w:tcPr>
          <w:p>
            <w:pPr>
              <w:spacing w:after="0"/>
              <w:rPr>
                <w:sz w:val="21"/>
                <w:szCs w:val="21"/>
                <w:color w:val="auto"/>
              </w:rPr>
            </w:pPr>
          </w:p>
        </w:tc>
        <w:tc>
          <w:tcPr>
            <w:tcW w:w="520" w:type="dxa"/>
            <w:vAlign w:val="bottom"/>
            <w:tcBorders>
              <w:bottom w:val="single" w:sz="8" w:color="5B89B4"/>
            </w:tcBorders>
          </w:tcPr>
          <w:p>
            <w:pPr>
              <w:spacing w:after="0"/>
              <w:rPr>
                <w:sz w:val="21"/>
                <w:szCs w:val="21"/>
                <w:color w:val="auto"/>
              </w:rPr>
            </w:pPr>
          </w:p>
        </w:tc>
        <w:tc>
          <w:tcPr>
            <w:tcW w:w="640" w:type="dxa"/>
            <w:vAlign w:val="bottom"/>
            <w:tcBorders>
              <w:bottom w:val="single" w:sz="8" w:color="5B89B4"/>
            </w:tcBorders>
          </w:tcPr>
          <w:p>
            <w:pPr>
              <w:spacing w:after="0"/>
              <w:rPr>
                <w:sz w:val="21"/>
                <w:szCs w:val="21"/>
                <w:color w:val="auto"/>
              </w:rPr>
            </w:pPr>
          </w:p>
        </w:tc>
        <w:tc>
          <w:tcPr>
            <w:tcW w:w="360" w:type="dxa"/>
            <w:vAlign w:val="bottom"/>
            <w:tcBorders>
              <w:bottom w:val="single" w:sz="8" w:color="5B89B4"/>
            </w:tcBorders>
          </w:tcPr>
          <w:p>
            <w:pPr>
              <w:spacing w:after="0"/>
              <w:rPr>
                <w:sz w:val="21"/>
                <w:szCs w:val="21"/>
                <w:color w:val="auto"/>
              </w:rPr>
            </w:pPr>
          </w:p>
        </w:tc>
        <w:tc>
          <w:tcPr>
            <w:tcW w:w="400" w:type="dxa"/>
            <w:vAlign w:val="bottom"/>
            <w:tcBorders>
              <w:bottom w:val="single" w:sz="8" w:color="5B89B4"/>
            </w:tcBorders>
          </w:tcPr>
          <w:p>
            <w:pPr>
              <w:spacing w:after="0"/>
              <w:rPr>
                <w:sz w:val="21"/>
                <w:szCs w:val="21"/>
                <w:color w:val="auto"/>
              </w:rPr>
            </w:pPr>
          </w:p>
        </w:tc>
        <w:tc>
          <w:tcPr>
            <w:tcW w:w="540" w:type="dxa"/>
            <w:vAlign w:val="bottom"/>
            <w:tcBorders>
              <w:bottom w:val="single" w:sz="8" w:color="5B89B4"/>
            </w:tcBorders>
          </w:tcPr>
          <w:p>
            <w:pPr>
              <w:spacing w:after="0"/>
              <w:rPr>
                <w:sz w:val="21"/>
                <w:szCs w:val="21"/>
                <w:color w:val="auto"/>
              </w:rPr>
            </w:pPr>
          </w:p>
        </w:tc>
        <w:tc>
          <w:tcPr>
            <w:tcW w:w="60" w:type="dxa"/>
            <w:vAlign w:val="bottom"/>
            <w:tcBorders>
              <w:bottom w:val="single" w:sz="8" w:color="5B89B4"/>
            </w:tcBorders>
          </w:tcPr>
          <w:p>
            <w:pPr>
              <w:spacing w:after="0"/>
              <w:rPr>
                <w:sz w:val="21"/>
                <w:szCs w:val="21"/>
                <w:color w:val="auto"/>
              </w:rPr>
            </w:pPr>
          </w:p>
        </w:tc>
        <w:tc>
          <w:tcPr>
            <w:tcW w:w="260" w:type="dxa"/>
            <w:vAlign w:val="bottom"/>
            <w:tcBorders>
              <w:bottom w:val="single" w:sz="8" w:color="5B89B4"/>
            </w:tcBorders>
          </w:tcPr>
          <w:p>
            <w:pPr>
              <w:spacing w:after="0"/>
              <w:rPr>
                <w:sz w:val="21"/>
                <w:szCs w:val="21"/>
                <w:color w:val="auto"/>
              </w:rPr>
            </w:pPr>
          </w:p>
        </w:tc>
        <w:tc>
          <w:tcPr>
            <w:tcW w:w="100" w:type="dxa"/>
            <w:vAlign w:val="bottom"/>
            <w:tcBorders>
              <w:bottom w:val="single" w:sz="8" w:color="5B89B4"/>
            </w:tcBorders>
          </w:tcPr>
          <w:p>
            <w:pPr>
              <w:spacing w:after="0"/>
              <w:rPr>
                <w:sz w:val="21"/>
                <w:szCs w:val="21"/>
                <w:color w:val="auto"/>
              </w:rPr>
            </w:pPr>
          </w:p>
        </w:tc>
        <w:tc>
          <w:tcPr>
            <w:tcW w:w="280" w:type="dxa"/>
            <w:vAlign w:val="bottom"/>
            <w:tcBorders>
              <w:bottom w:val="single" w:sz="8" w:color="5B89B4"/>
            </w:tcBorders>
          </w:tcPr>
          <w:p>
            <w:pPr>
              <w:spacing w:after="0"/>
              <w:rPr>
                <w:sz w:val="21"/>
                <w:szCs w:val="21"/>
                <w:color w:val="auto"/>
              </w:rPr>
            </w:pPr>
          </w:p>
        </w:tc>
        <w:tc>
          <w:tcPr>
            <w:tcW w:w="500" w:type="dxa"/>
            <w:vAlign w:val="bottom"/>
            <w:tcBorders>
              <w:bottom w:val="single" w:sz="8" w:color="5B89B4"/>
            </w:tcBorders>
          </w:tcPr>
          <w:p>
            <w:pPr>
              <w:spacing w:after="0"/>
              <w:rPr>
                <w:sz w:val="21"/>
                <w:szCs w:val="21"/>
                <w:color w:val="auto"/>
              </w:rPr>
            </w:pPr>
          </w:p>
        </w:tc>
        <w:tc>
          <w:tcPr>
            <w:tcW w:w="60" w:type="dxa"/>
            <w:vAlign w:val="bottom"/>
            <w:tcBorders>
              <w:bottom w:val="single" w:sz="8" w:color="5B89B4"/>
            </w:tcBorders>
          </w:tcPr>
          <w:p>
            <w:pPr>
              <w:spacing w:after="0"/>
              <w:rPr>
                <w:sz w:val="21"/>
                <w:szCs w:val="21"/>
                <w:color w:val="auto"/>
              </w:rPr>
            </w:pPr>
          </w:p>
        </w:tc>
        <w:tc>
          <w:tcPr>
            <w:tcW w:w="300" w:type="dxa"/>
            <w:vAlign w:val="bottom"/>
            <w:tcBorders>
              <w:bottom w:val="single" w:sz="8" w:color="5B89B4"/>
            </w:tcBorders>
          </w:tcPr>
          <w:p>
            <w:pPr>
              <w:spacing w:after="0"/>
              <w:rPr>
                <w:sz w:val="21"/>
                <w:szCs w:val="21"/>
                <w:color w:val="auto"/>
              </w:rPr>
            </w:pPr>
          </w:p>
        </w:tc>
        <w:tc>
          <w:tcPr>
            <w:tcW w:w="420" w:type="dxa"/>
            <w:vAlign w:val="bottom"/>
            <w:tcBorders>
              <w:bottom w:val="single" w:sz="8" w:color="5B89B4"/>
            </w:tcBorders>
          </w:tcPr>
          <w:p>
            <w:pPr>
              <w:spacing w:after="0"/>
              <w:rPr>
                <w:sz w:val="21"/>
                <w:szCs w:val="21"/>
                <w:color w:val="auto"/>
              </w:rPr>
            </w:pPr>
          </w:p>
        </w:tc>
        <w:tc>
          <w:tcPr>
            <w:tcW w:w="800" w:type="dxa"/>
            <w:vAlign w:val="bottom"/>
            <w:tcBorders>
              <w:bottom w:val="single" w:sz="8" w:color="5B89B4"/>
            </w:tcBorders>
          </w:tcPr>
          <w:p>
            <w:pPr>
              <w:spacing w:after="0"/>
              <w:rPr>
                <w:sz w:val="21"/>
                <w:szCs w:val="21"/>
                <w:color w:val="auto"/>
              </w:rPr>
            </w:pPr>
          </w:p>
        </w:tc>
        <w:tc>
          <w:tcPr>
            <w:tcW w:w="20" w:type="dxa"/>
            <w:vAlign w:val="bottom"/>
            <w:tcBorders>
              <w:bottom w:val="single" w:sz="8" w:color="5B89B4"/>
            </w:tcBorders>
          </w:tcPr>
          <w:p>
            <w:pPr>
              <w:spacing w:after="0"/>
              <w:rPr>
                <w:sz w:val="21"/>
                <w:szCs w:val="21"/>
                <w:color w:val="auto"/>
              </w:rPr>
            </w:pPr>
          </w:p>
        </w:tc>
        <w:tc>
          <w:tcPr>
            <w:tcW w:w="120" w:type="dxa"/>
            <w:vAlign w:val="bottom"/>
            <w:tcBorders>
              <w:bottom w:val="single" w:sz="8" w:color="5B89B4"/>
            </w:tcBorders>
          </w:tcPr>
          <w:p>
            <w:pPr>
              <w:spacing w:after="0"/>
              <w:rPr>
                <w:sz w:val="21"/>
                <w:szCs w:val="21"/>
                <w:color w:val="auto"/>
              </w:rPr>
            </w:pPr>
          </w:p>
        </w:tc>
        <w:tc>
          <w:tcPr>
            <w:tcW w:w="2220" w:type="dxa"/>
            <w:vAlign w:val="bottom"/>
            <w:tcBorders>
              <w:bottom w:val="single" w:sz="8" w:color="5B89B4"/>
            </w:tcBorders>
          </w:tcPr>
          <w:p>
            <w:pPr>
              <w:spacing w:after="0"/>
              <w:rPr>
                <w:sz w:val="21"/>
                <w:szCs w:val="21"/>
                <w:color w:val="auto"/>
              </w:rPr>
            </w:pPr>
          </w:p>
        </w:tc>
        <w:tc>
          <w:tcPr>
            <w:tcW w:w="860" w:type="dxa"/>
            <w:vAlign w:val="bottom"/>
            <w:tcBorders>
              <w:bottom w:val="single" w:sz="8" w:color="5B89B4"/>
            </w:tcBorders>
          </w:tcPr>
          <w:p>
            <w:pPr>
              <w:spacing w:after="0"/>
              <w:rPr>
                <w:sz w:val="21"/>
                <w:szCs w:val="21"/>
                <w:color w:val="auto"/>
              </w:rPr>
            </w:pPr>
          </w:p>
        </w:tc>
        <w:tc>
          <w:tcPr>
            <w:tcW w:w="1600" w:type="dxa"/>
            <w:vAlign w:val="bottom"/>
            <w:tcBorders>
              <w:bottom w:val="single" w:sz="8" w:color="5B89B4"/>
            </w:tcBorders>
          </w:tcPr>
          <w:p>
            <w:pPr>
              <w:spacing w:after="0"/>
              <w:rPr>
                <w:sz w:val="21"/>
                <w:szCs w:val="21"/>
                <w:color w:val="auto"/>
              </w:rPr>
            </w:pPr>
          </w:p>
        </w:tc>
      </w:tr>
      <w:tr>
        <w:trPr>
          <w:trHeight w:val="64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20" w:type="dxa"/>
            <w:vAlign w:val="bottom"/>
            <w:gridSpan w:val="13"/>
          </w:tcPr>
          <w:p>
            <w:pPr>
              <w:ind w:left="38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3"/>
        </w:trPr>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color w:val="5B89B4"/>
        </w:rPr>
        <w:t xml:space="preserve">PART I </w:t>
      </w:r>
      <w:r>
        <w:rPr>
          <w:rFonts w:ascii="Arial" w:cs="Arial" w:eastAsia="Arial" w:hAnsi="Arial"/>
          <w:sz w:val="43"/>
          <w:szCs w:val="43"/>
          <w:b w:val="1"/>
          <w:bCs w:val="1"/>
          <w:color w:val="5B89B4"/>
        </w:rPr>
        <w:t>–</w:t>
      </w:r>
      <w:r>
        <w:rPr>
          <w:rFonts w:ascii="Arial" w:cs="Arial" w:eastAsia="Arial" w:hAnsi="Arial"/>
          <w:sz w:val="43"/>
          <w:szCs w:val="43"/>
          <w:color w:val="5B89B4"/>
        </w:rPr>
        <w:t xml:space="preserve">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1 – Financial Statements (unaudited)</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Balance Sheets (Unaudited)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data)</w:t>
      </w:r>
    </w:p>
    <w:tbl>
      <w:tblPr>
        <w:tblLayout w:type="fixed"/>
        <w:tblInd w:w="0" w:type="dxa"/>
        <w:tblCellMar>
          <w:top w:w="0" w:type="dxa"/>
          <w:left w:w="0" w:type="dxa"/>
          <w:bottom w:w="0" w:type="dxa"/>
          <w:right w:w="0" w:type="dxa"/>
        </w:tblCellMar>
      </w:tblPr>
      <w:tr>
        <w:trPr>
          <w:trHeight w:val="146"/>
        </w:trPr>
        <w:tc>
          <w:tcPr>
            <w:tcW w:w="9200" w:type="dxa"/>
            <w:vAlign w:val="bottom"/>
            <w:tcBorders>
              <w:top w:val="single" w:sz="8" w:color="auto"/>
            </w:tcBorders>
            <w:shd w:val="clear" w:color="auto" w:fill="98B0CF"/>
          </w:tcPr>
          <w:p>
            <w:pPr>
              <w:jc w:val="center"/>
              <w:ind w:left="7068"/>
              <w:spacing w:after="0" w:line="147" w:lineRule="exact"/>
              <w:rPr>
                <w:sz w:val="20"/>
                <w:szCs w:val="20"/>
                <w:color w:val="auto"/>
              </w:rPr>
            </w:pPr>
            <w:r>
              <w:rPr>
                <w:rFonts w:ascii="Arial" w:cs="Arial" w:eastAsia="Arial" w:hAnsi="Arial"/>
                <w:sz w:val="14"/>
                <w:szCs w:val="14"/>
                <w:b w:val="1"/>
                <w:bCs w:val="1"/>
                <w:color w:val="auto"/>
              </w:rPr>
              <w:t>September 30,</w:t>
            </w:r>
          </w:p>
        </w:tc>
        <w:tc>
          <w:tcPr>
            <w:tcW w:w="2040" w:type="dxa"/>
            <w:vAlign w:val="bottom"/>
            <w:tcBorders>
              <w:top w:val="single" w:sz="8" w:color="auto"/>
            </w:tcBorders>
            <w:shd w:val="clear" w:color="auto" w:fill="98B0CF"/>
          </w:tcPr>
          <w:p>
            <w:pPr>
              <w:jc w:val="center"/>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9200" w:type="dxa"/>
            <w:vAlign w:val="bottom"/>
            <w:tcBorders>
              <w:bottom w:val="single" w:sz="8" w:color="auto"/>
            </w:tcBorders>
            <w:shd w:val="clear" w:color="auto" w:fill="98B0CF"/>
          </w:tcPr>
          <w:p>
            <w:pPr>
              <w:jc w:val="right"/>
              <w:ind w:right="808"/>
              <w:spacing w:after="0"/>
              <w:rPr>
                <w:sz w:val="20"/>
                <w:szCs w:val="20"/>
                <w:color w:val="auto"/>
              </w:rPr>
            </w:pPr>
            <w:r>
              <w:rPr>
                <w:rFonts w:ascii="Arial" w:cs="Arial" w:eastAsia="Arial" w:hAnsi="Arial"/>
                <w:sz w:val="14"/>
                <w:szCs w:val="14"/>
                <w:b w:val="1"/>
                <w:bCs w:val="1"/>
                <w:color w:val="auto"/>
              </w:rPr>
              <w:t>2026</w:t>
            </w:r>
          </w:p>
        </w:tc>
        <w:tc>
          <w:tcPr>
            <w:tcW w:w="2040" w:type="dxa"/>
            <w:vAlign w:val="bottom"/>
            <w:tcBorders>
              <w:bottom w:val="single" w:sz="8" w:color="auto"/>
            </w:tcBorders>
            <w:shd w:val="clear" w:color="auto" w:fill="98B0CF"/>
          </w:tcPr>
          <w:p>
            <w:pPr>
              <w:jc w:val="right"/>
              <w:ind w:right="788"/>
              <w:spacing w:after="0"/>
              <w:rPr>
                <w:sz w:val="20"/>
                <w:szCs w:val="20"/>
                <w:color w:val="auto"/>
              </w:rPr>
            </w:pPr>
            <w:r>
              <w:rPr>
                <w:rFonts w:ascii="Arial" w:cs="Arial" w:eastAsia="Arial" w:hAnsi="Arial"/>
                <w:sz w:val="14"/>
                <w:szCs w:val="14"/>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4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ASSETS</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Cash and cash equivalents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Accounts receivable, less allowance for expected credit losses of</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$78.5 and $74.1,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Prepaid expenses and other assets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auto"/>
        </w:rPr>
        <w:t>Other Assets: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0" w:right="2680"/>
        <w:spacing w:after="0" w:line="246" w:lineRule="auto"/>
        <w:rPr>
          <w:sz w:val="20"/>
          <w:szCs w:val="20"/>
          <w:color w:val="auto"/>
        </w:rPr>
      </w:pPr>
      <w:r>
        <w:rPr>
          <w:rFonts w:ascii="Arial" w:cs="Arial" w:eastAsia="Arial" w:hAnsi="Arial"/>
          <w:sz w:val="16"/>
          <w:szCs w:val="16"/>
          <w:color w:val="auto"/>
        </w:rPr>
        <w:t>Intangible assets, less accumulated amortization of $594.4 and $579.1, respectively 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Other assets</w:t>
      </w:r>
    </w:p>
    <w:p>
      <w:pPr>
        <w:spacing w:after="0" w:line="15" w:lineRule="exact"/>
        <w:rPr>
          <w:sz w:val="20"/>
          <w:szCs w:val="20"/>
          <w:color w:val="auto"/>
        </w:rPr>
      </w:pPr>
    </w:p>
    <w:p>
      <w:pPr>
        <w:jc w:val="center"/>
        <w:ind w:right="4580"/>
        <w:spacing w:after="0"/>
        <w:rPr>
          <w:sz w:val="20"/>
          <w:szCs w:val="20"/>
          <w:color w:val="auto"/>
        </w:rPr>
      </w:pPr>
      <w:r>
        <w:rPr>
          <w:rFonts w:ascii="Arial" w:cs="Arial" w:eastAsia="Arial" w:hAnsi="Arial"/>
          <w:sz w:val="16"/>
          <w:szCs w:val="16"/>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jc w:val="center"/>
        <w:ind w:right="4600"/>
        <w:spacing w:after="0"/>
        <w:rPr>
          <w:sz w:val="20"/>
          <w:szCs w:val="20"/>
          <w:color w:val="auto"/>
        </w:rPr>
      </w:pPr>
      <w:r>
        <w:rPr>
          <w:rFonts w:ascii="Arial" w:cs="Arial" w:eastAsia="Arial" w:hAnsi="Arial"/>
          <w:sz w:val="16"/>
          <w:szCs w:val="16"/>
          <w:color w:val="auto"/>
        </w:rPr>
        <w:t>Property and Equipment:</w:t>
      </w:r>
    </w:p>
    <w:p>
      <w:pPr>
        <w:spacing w:after="0" w:line="5" w:lineRule="exact"/>
        <w:rPr>
          <w:sz w:val="20"/>
          <w:szCs w:val="20"/>
          <w:color w:val="auto"/>
        </w:rPr>
      </w:pPr>
    </w:p>
    <w:p>
      <w:pPr>
        <w:ind w:left="200" w:right="2280"/>
        <w:spacing w:after="0" w:line="252" w:lineRule="auto"/>
        <w:rPr>
          <w:sz w:val="20"/>
          <w:szCs w:val="20"/>
          <w:color w:val="auto"/>
        </w:rPr>
      </w:pPr>
      <w:r>
        <w:rPr>
          <w:rFonts w:ascii="Arial" w:cs="Arial" w:eastAsia="Arial" w:hAnsi="Arial"/>
          <w:sz w:val="16"/>
          <w:szCs w:val="16"/>
          <w:color w:val="auto"/>
        </w:rPr>
        <w:t>Land, buildings, leasehold improvements and equipment 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Net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526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auto"/>
        </w:rPr>
        <w:t>Current Liabilities: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Employee compensation payable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Accrued payroll taxes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Accrued liabilities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Value added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Short-term operating lease liability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Short-term borrowings and 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26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Long-term debt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Long-term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Other long-term liabilities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auto"/>
        </w:rPr>
        <w:t>Shareholders’ Equity: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ManpowerGroup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Preferred stock, $.01 par value, authorized 25,000,000 shares, none issued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$.01 par value, authorized 125,000,000 shares, issued 119,444,600 and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119,161,780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Capital in excess of par value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Accumulated other comprehensive loss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Treasury stock at cost, 72,939,030 and 72,864,513 shares,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233.1</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871.0</w:t>
            </w:r>
          </w:p>
        </w:tc>
      </w:tr>
      <w:tr>
        <w:trPr>
          <w:trHeight w:val="352"/>
        </w:trPr>
        <w:tc>
          <w:tcPr>
            <w:tcW w:w="78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4,619.4</w:t>
            </w:r>
          </w:p>
        </w:tc>
        <w:tc>
          <w:tcPr>
            <w:tcW w:w="74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4,770.3</w:t>
            </w:r>
          </w:p>
        </w:tc>
      </w:tr>
      <w:tr>
        <w:trPr>
          <w:trHeight w:val="203"/>
        </w:trPr>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204.3</w:t>
            </w: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149.1</w:t>
            </w:r>
          </w:p>
        </w:tc>
      </w:tr>
      <w:tr>
        <w:trPr>
          <w:trHeight w:val="208"/>
        </w:trPr>
        <w:tc>
          <w:tcPr>
            <w:tcW w:w="78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5,056.8</w:t>
            </w:r>
          </w:p>
        </w:tc>
        <w:tc>
          <w:tcPr>
            <w:tcW w:w="7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5,790.4</w:t>
            </w:r>
          </w:p>
        </w:tc>
      </w:tr>
      <w:tr>
        <w:trPr>
          <w:trHeight w:val="364"/>
        </w:trPr>
        <w:tc>
          <w:tcPr>
            <w:tcW w:w="78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1,481.7</w:t>
            </w:r>
          </w:p>
        </w:tc>
        <w:tc>
          <w:tcPr>
            <w:tcW w:w="74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1,544.6</w:t>
            </w:r>
          </w:p>
        </w:tc>
      </w:tr>
      <w:tr>
        <w:trPr>
          <w:trHeight w:val="352"/>
        </w:trPr>
        <w:tc>
          <w:tcPr>
            <w:tcW w:w="78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408.3</w:t>
            </w:r>
          </w:p>
        </w:tc>
        <w:tc>
          <w:tcPr>
            <w:tcW w:w="74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430.1</w:t>
            </w:r>
          </w:p>
        </w:tc>
      </w:tr>
      <w:tr>
        <w:trPr>
          <w:trHeight w:val="189"/>
        </w:trPr>
        <w:tc>
          <w:tcPr>
            <w:tcW w:w="7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345.5</w:t>
            </w:r>
          </w:p>
        </w:tc>
        <w:tc>
          <w:tcPr>
            <w:tcW w:w="7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392.7</w:t>
            </w:r>
          </w:p>
        </w:tc>
      </w:tr>
      <w:tr>
        <w:trPr>
          <w:trHeight w:val="203"/>
        </w:trPr>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856.5</w:t>
            </w: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879.1</w:t>
            </w:r>
          </w:p>
        </w:tc>
      </w:tr>
      <w:tr>
        <w:trPr>
          <w:trHeight w:val="208"/>
        </w:trPr>
        <w:tc>
          <w:tcPr>
            <w:tcW w:w="78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3,092.0</w:t>
            </w:r>
          </w:p>
        </w:tc>
        <w:tc>
          <w:tcPr>
            <w:tcW w:w="7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3,246.5</w:t>
            </w:r>
          </w:p>
        </w:tc>
      </w:tr>
      <w:tr>
        <w:trPr>
          <w:trHeight w:val="338"/>
        </w:trPr>
        <w:tc>
          <w:tcPr>
            <w:tcW w:w="78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522.8</w:t>
            </w:r>
          </w:p>
        </w:tc>
        <w:tc>
          <w:tcPr>
            <w:tcW w:w="74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526.9</w:t>
            </w:r>
          </w:p>
        </w:tc>
      </w:tr>
      <w:tr>
        <w:trPr>
          <w:trHeight w:val="203"/>
        </w:trPr>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411.7</w:t>
            </w: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403.7</w:t>
            </w:r>
          </w:p>
        </w:tc>
      </w:tr>
      <w:tr>
        <w:trPr>
          <w:trHeight w:val="183"/>
        </w:trPr>
        <w:tc>
          <w:tcPr>
            <w:tcW w:w="7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111.1</w:t>
            </w: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123.2</w:t>
            </w:r>
          </w:p>
        </w:tc>
      </w:tr>
      <w:tr>
        <w:trPr>
          <w:trHeight w:val="183"/>
        </w:trPr>
        <w:tc>
          <w:tcPr>
            <w:tcW w:w="78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8,259.9</w:t>
            </w:r>
          </w:p>
        </w:tc>
        <w:tc>
          <w:tcPr>
            <w:tcW w:w="7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9,160.1</w:t>
            </w:r>
          </w:p>
        </w:tc>
      </w:tr>
      <w:tr>
        <w:trPr>
          <w:trHeight w:val="546"/>
        </w:trPr>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2,432.6</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2,721.1</w:t>
            </w:r>
          </w:p>
        </w:tc>
      </w:tr>
      <w:tr>
        <w:trPr>
          <w:trHeight w:val="189"/>
        </w:trPr>
        <w:tc>
          <w:tcPr>
            <w:tcW w:w="7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232.7</w:t>
            </w:r>
          </w:p>
        </w:tc>
        <w:tc>
          <w:tcPr>
            <w:tcW w:w="7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232.3</w:t>
            </w:r>
          </w:p>
        </w:tc>
      </w:tr>
      <w:tr>
        <w:trPr>
          <w:trHeight w:val="189"/>
        </w:trPr>
        <w:tc>
          <w:tcPr>
            <w:tcW w:w="7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633.0</w:t>
            </w:r>
          </w:p>
        </w:tc>
        <w:tc>
          <w:tcPr>
            <w:tcW w:w="7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672.1</w:t>
            </w:r>
          </w:p>
        </w:tc>
      </w:tr>
      <w:tr>
        <w:trPr>
          <w:trHeight w:val="189"/>
        </w:trPr>
        <w:tc>
          <w:tcPr>
            <w:tcW w:w="7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461.0</w:t>
            </w:r>
          </w:p>
        </w:tc>
        <w:tc>
          <w:tcPr>
            <w:tcW w:w="7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457.6</w:t>
            </w:r>
          </w:p>
        </w:tc>
      </w:tr>
      <w:tr>
        <w:trPr>
          <w:trHeight w:val="189"/>
        </w:trPr>
        <w:tc>
          <w:tcPr>
            <w:tcW w:w="7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406.5</w:t>
            </w:r>
          </w:p>
        </w:tc>
        <w:tc>
          <w:tcPr>
            <w:tcW w:w="7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418.1</w:t>
            </w:r>
          </w:p>
        </w:tc>
      </w:tr>
      <w:tr>
        <w:trPr>
          <w:trHeight w:val="189"/>
        </w:trPr>
        <w:tc>
          <w:tcPr>
            <w:tcW w:w="7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99.2</w:t>
            </w:r>
          </w:p>
        </w:tc>
        <w:tc>
          <w:tcPr>
            <w:tcW w:w="7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107.4</w:t>
            </w:r>
          </w:p>
        </w:tc>
      </w:tr>
      <w:tr>
        <w:trPr>
          <w:trHeight w:val="203"/>
        </w:trPr>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540.6</w:t>
            </w: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625.0</w:t>
            </w:r>
          </w:p>
        </w:tc>
      </w:tr>
      <w:tr>
        <w:trPr>
          <w:trHeight w:val="208"/>
        </w:trPr>
        <w:tc>
          <w:tcPr>
            <w:tcW w:w="78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4,805.6</w:t>
            </w:r>
          </w:p>
        </w:tc>
        <w:tc>
          <w:tcPr>
            <w:tcW w:w="7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5,233.6</w:t>
            </w:r>
          </w:p>
        </w:tc>
      </w:tr>
      <w:tr>
        <w:trPr>
          <w:trHeight w:val="338"/>
        </w:trPr>
        <w:tc>
          <w:tcPr>
            <w:tcW w:w="78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562.8</w:t>
            </w:r>
          </w:p>
        </w:tc>
        <w:tc>
          <w:tcPr>
            <w:tcW w:w="74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1,052.1</w:t>
            </w:r>
          </w:p>
        </w:tc>
      </w:tr>
      <w:tr>
        <w:trPr>
          <w:trHeight w:val="189"/>
        </w:trPr>
        <w:tc>
          <w:tcPr>
            <w:tcW w:w="7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259.8</w:t>
            </w:r>
          </w:p>
        </w:tc>
        <w:tc>
          <w:tcPr>
            <w:tcW w:w="7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304.3</w:t>
            </w:r>
          </w:p>
        </w:tc>
      </w:tr>
      <w:tr>
        <w:trPr>
          <w:trHeight w:val="203"/>
        </w:trPr>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491.1</w:t>
            </w: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509.8</w:t>
            </w:r>
          </w:p>
        </w:tc>
      </w:tr>
      <w:tr>
        <w:trPr>
          <w:trHeight w:val="208"/>
        </w:trPr>
        <w:tc>
          <w:tcPr>
            <w:tcW w:w="78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1,313.7</w:t>
            </w:r>
          </w:p>
        </w:tc>
        <w:tc>
          <w:tcPr>
            <w:tcW w:w="7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1,866.2</w:t>
            </w:r>
          </w:p>
        </w:tc>
      </w:tr>
      <w:tr>
        <w:trPr>
          <w:trHeight w:val="553"/>
        </w:trPr>
        <w:tc>
          <w:tcPr>
            <w:tcW w:w="78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52"/>
        </w:trPr>
        <w:tc>
          <w:tcPr>
            <w:tcW w:w="78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74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189"/>
        </w:trPr>
        <w:tc>
          <w:tcPr>
            <w:tcW w:w="7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3,592.8</w:t>
            </w:r>
          </w:p>
        </w:tc>
        <w:tc>
          <w:tcPr>
            <w:tcW w:w="7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3,572.5</w:t>
            </w:r>
          </w:p>
        </w:tc>
      </w:tr>
      <w:tr>
        <w:trPr>
          <w:trHeight w:val="189"/>
        </w:trPr>
        <w:tc>
          <w:tcPr>
            <w:tcW w:w="7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3,788.9</w:t>
            </w:r>
          </w:p>
        </w:tc>
        <w:tc>
          <w:tcPr>
            <w:tcW w:w="7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3,732.3</w:t>
            </w:r>
          </w:p>
        </w:tc>
      </w:tr>
      <w:tr>
        <w:trPr>
          <w:trHeight w:val="189"/>
        </w:trPr>
        <w:tc>
          <w:tcPr>
            <w:tcW w:w="7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(406.1)</w:t>
            </w:r>
          </w:p>
        </w:tc>
        <w:tc>
          <w:tcPr>
            <w:tcW w:w="7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(412.1)</w:t>
            </w:r>
          </w:p>
        </w:tc>
      </w:tr>
      <w:tr>
        <w:trPr>
          <w:trHeight w:val="203"/>
        </w:trPr>
        <w:tc>
          <w:tcPr>
            <w:tcW w:w="7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(4,836.4)</w:t>
            </w:r>
          </w:p>
        </w:tc>
        <w:tc>
          <w:tcPr>
            <w:tcW w:w="7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(4,834.3)</w:t>
            </w:r>
          </w:p>
        </w:tc>
      </w:tr>
    </w:tbl>
    <w:p>
      <w:pPr>
        <w:spacing w:after="0" w:line="1" w:lineRule="exact"/>
        <w:rPr>
          <w:sz w:val="20"/>
          <w:szCs w:val="20"/>
          <w:color w:val="auto"/>
        </w:rPr>
      </w:pPr>
    </w:p>
    <w:p>
      <w:pPr>
        <w:sectPr>
          <w:pgSz w:w="11900" w:h="16838" w:orient="portrait"/>
          <w:cols w:equalWidth="0" w:num="2">
            <w:col w:w="6540" w:space="600"/>
            <w:col w:w="4100"/>
          </w:cols>
          <w:pgMar w:left="320" w:top="782"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7140" w:type="dxa"/>
            <w:vAlign w:val="bottom"/>
            <w:tcBorders>
              <w:top w:val="single" w:sz="8" w:color="231F20"/>
              <w:bottom w:val="single" w:sz="8" w:color="231F20"/>
            </w:tcBorders>
            <w:shd w:val="clear" w:color="auto" w:fill="E2E8F1"/>
          </w:tcPr>
          <w:p>
            <w:pPr>
              <w:ind w:left="340"/>
              <w:spacing w:after="0" w:line="183" w:lineRule="exact"/>
              <w:rPr>
                <w:sz w:val="20"/>
                <w:szCs w:val="20"/>
                <w:color w:val="auto"/>
              </w:rPr>
            </w:pPr>
            <w:r>
              <w:rPr>
                <w:rFonts w:ascii="Arial" w:cs="Arial" w:eastAsia="Arial" w:hAnsi="Arial"/>
                <w:sz w:val="16"/>
                <w:szCs w:val="16"/>
                <w:color w:val="auto"/>
              </w:rPr>
              <w:t>Total ManpowerGroup shareholders’ equity</w:t>
            </w:r>
          </w:p>
        </w:tc>
        <w:tc>
          <w:tcPr>
            <w:tcW w:w="800" w:type="dxa"/>
            <w:vAlign w:val="bottom"/>
            <w:tcBorders>
              <w:top w:val="single" w:sz="8" w:color="auto"/>
              <w:bottom w:val="single" w:sz="8" w:color="auto"/>
            </w:tcBorders>
            <w:shd w:val="clear" w:color="auto" w:fill="E2E8F1"/>
          </w:tcPr>
          <w:p>
            <w:pPr>
              <w:spacing w:after="0"/>
              <w:rPr>
                <w:sz w:val="15"/>
                <w:szCs w:val="15"/>
                <w:color w:val="auto"/>
              </w:rPr>
            </w:pPr>
          </w:p>
        </w:tc>
        <w:tc>
          <w:tcPr>
            <w:tcW w:w="1260" w:type="dxa"/>
            <w:vAlign w:val="bottom"/>
            <w:tcBorders>
              <w:top w:val="single" w:sz="8" w:color="auto"/>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2,140.4</w:t>
            </w:r>
          </w:p>
        </w:tc>
        <w:tc>
          <w:tcPr>
            <w:tcW w:w="780" w:type="dxa"/>
            <w:vAlign w:val="bottom"/>
            <w:tcBorders>
              <w:top w:val="single" w:sz="8" w:color="auto"/>
              <w:bottom w:val="single" w:sz="8" w:color="auto"/>
            </w:tcBorders>
            <w:shd w:val="clear" w:color="auto" w:fill="E2E8F1"/>
          </w:tcPr>
          <w:p>
            <w:pPr>
              <w:spacing w:after="0"/>
              <w:rPr>
                <w:sz w:val="15"/>
                <w:szCs w:val="15"/>
                <w:color w:val="auto"/>
              </w:rPr>
            </w:pPr>
          </w:p>
        </w:tc>
        <w:tc>
          <w:tcPr>
            <w:tcW w:w="1260" w:type="dxa"/>
            <w:vAlign w:val="bottom"/>
            <w:tcBorders>
              <w:top w:val="single" w:sz="8" w:color="auto"/>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2,059.6</w:t>
            </w:r>
          </w:p>
        </w:tc>
      </w:tr>
      <w:tr>
        <w:trPr>
          <w:trHeight w:val="183"/>
        </w:trPr>
        <w:tc>
          <w:tcPr>
            <w:tcW w:w="7140" w:type="dxa"/>
            <w:vAlign w:val="bottom"/>
            <w:tcBorders>
              <w:bottom w:val="single" w:sz="8" w:color="231F20"/>
            </w:tcBorders>
          </w:tcPr>
          <w:p>
            <w:pPr>
              <w:ind w:left="340"/>
              <w:spacing w:after="0" w:line="183" w:lineRule="exact"/>
              <w:rPr>
                <w:sz w:val="20"/>
                <w:szCs w:val="20"/>
                <w:color w:val="auto"/>
              </w:rPr>
            </w:pPr>
            <w:r>
              <w:rPr>
                <w:rFonts w:ascii="Arial" w:cs="Arial" w:eastAsia="Arial" w:hAnsi="Arial"/>
                <w:sz w:val="16"/>
                <w:szCs w:val="16"/>
                <w:color w:val="auto"/>
              </w:rPr>
              <w:t>Noncontrolling interests</w:t>
            </w:r>
          </w:p>
        </w:tc>
        <w:tc>
          <w:tcPr>
            <w:tcW w:w="8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0.2</w:t>
            </w:r>
          </w:p>
        </w:tc>
        <w:tc>
          <w:tcPr>
            <w:tcW w:w="7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0.7</w:t>
            </w:r>
          </w:p>
        </w:tc>
      </w:tr>
      <w:tr>
        <w:trPr>
          <w:trHeight w:val="183"/>
        </w:trPr>
        <w:tc>
          <w:tcPr>
            <w:tcW w:w="7140" w:type="dxa"/>
            <w:vAlign w:val="bottom"/>
            <w:tcBorders>
              <w:bottom w:val="single" w:sz="8" w:color="231F20"/>
            </w:tcBorders>
            <w:shd w:val="clear" w:color="auto" w:fill="E2E8F1"/>
          </w:tcPr>
          <w:p>
            <w:pPr>
              <w:ind w:left="460"/>
              <w:spacing w:after="0" w:line="183" w:lineRule="exact"/>
              <w:rPr>
                <w:sz w:val="20"/>
                <w:szCs w:val="20"/>
                <w:color w:val="auto"/>
              </w:rPr>
            </w:pPr>
            <w:r>
              <w:rPr>
                <w:rFonts w:ascii="Arial" w:cs="Arial" w:eastAsia="Arial" w:hAnsi="Arial"/>
                <w:sz w:val="16"/>
                <w:szCs w:val="16"/>
                <w:color w:val="auto"/>
              </w:rPr>
              <w:t>Total shareholders’ equity</w:t>
            </w:r>
          </w:p>
        </w:tc>
        <w:tc>
          <w:tcPr>
            <w:tcW w:w="800" w:type="dxa"/>
            <w:vAlign w:val="bottom"/>
            <w:tcBorders>
              <w:bottom w:val="single" w:sz="8" w:color="auto"/>
            </w:tcBorders>
            <w:shd w:val="clear" w:color="auto" w:fill="E2E8F1"/>
          </w:tcPr>
          <w:p>
            <w:pPr>
              <w:spacing w:after="0"/>
              <w:rPr>
                <w:sz w:val="15"/>
                <w:szCs w:val="15"/>
                <w:color w:val="auto"/>
              </w:rPr>
            </w:pPr>
          </w:p>
        </w:tc>
        <w:tc>
          <w:tcPr>
            <w:tcW w:w="126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2,140.6</w:t>
            </w:r>
          </w:p>
        </w:tc>
        <w:tc>
          <w:tcPr>
            <w:tcW w:w="780" w:type="dxa"/>
            <w:vAlign w:val="bottom"/>
            <w:tcBorders>
              <w:bottom w:val="single" w:sz="8" w:color="auto"/>
            </w:tcBorders>
            <w:shd w:val="clear" w:color="auto" w:fill="E2E8F1"/>
          </w:tcPr>
          <w:p>
            <w:pPr>
              <w:spacing w:after="0"/>
              <w:rPr>
                <w:sz w:val="15"/>
                <w:szCs w:val="15"/>
                <w:color w:val="auto"/>
              </w:rPr>
            </w:pPr>
          </w:p>
        </w:tc>
        <w:tc>
          <w:tcPr>
            <w:tcW w:w="126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2,060.3</w:t>
            </w:r>
          </w:p>
        </w:tc>
      </w:tr>
      <w:tr>
        <w:trPr>
          <w:trHeight w:val="183"/>
        </w:trPr>
        <w:tc>
          <w:tcPr>
            <w:tcW w:w="7140" w:type="dxa"/>
            <w:vAlign w:val="bottom"/>
            <w:tcBorders>
              <w:bottom w:val="single" w:sz="8" w:color="231F20"/>
            </w:tcBorders>
          </w:tcPr>
          <w:p>
            <w:pPr>
              <w:ind w:left="60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80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8,259.9</w:t>
            </w:r>
          </w:p>
        </w:tc>
        <w:tc>
          <w:tcPr>
            <w:tcW w:w="78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9,160.1</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Operations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Borders>
              <w:top w:val="single" w:sz="8" w:color="auto"/>
            </w:tcBorders>
            <w:shd w:val="clear" w:color="auto" w:fill="98B0CF"/>
          </w:tcPr>
          <w:p>
            <w:pPr>
              <w:spacing w:after="0"/>
              <w:rPr>
                <w:sz w:val="18"/>
                <w:szCs w:val="18"/>
                <w:color w:val="auto"/>
              </w:rPr>
            </w:pPr>
          </w:p>
        </w:tc>
        <w:tc>
          <w:tcPr>
            <w:tcW w:w="120" w:type="dxa"/>
            <w:vAlign w:val="bottom"/>
            <w:tcBorders>
              <w:top w:val="single" w:sz="8" w:color="auto"/>
            </w:tcBorders>
            <w:shd w:val="clear" w:color="auto" w:fill="98B0CF"/>
          </w:tcPr>
          <w:p>
            <w:pPr>
              <w:spacing w:after="0"/>
              <w:rPr>
                <w:sz w:val="18"/>
                <w:szCs w:val="18"/>
                <w:color w:val="auto"/>
              </w:rPr>
            </w:pPr>
          </w:p>
        </w:tc>
        <w:tc>
          <w:tcPr>
            <w:tcW w:w="180" w:type="dxa"/>
            <w:vAlign w:val="bottom"/>
            <w:tcBorders>
              <w:top w:val="single" w:sz="8" w:color="auto"/>
            </w:tcBorders>
            <w:shd w:val="clear" w:color="auto" w:fill="98B0CF"/>
          </w:tcPr>
          <w:p>
            <w:pPr>
              <w:spacing w:after="0"/>
              <w:rPr>
                <w:sz w:val="18"/>
                <w:szCs w:val="18"/>
                <w:color w:val="auto"/>
              </w:rPr>
            </w:pPr>
          </w:p>
        </w:tc>
        <w:tc>
          <w:tcPr>
            <w:tcW w:w="1900" w:type="dxa"/>
            <w:vAlign w:val="bottom"/>
            <w:tcBorders>
              <w:top w:val="single" w:sz="8" w:color="auto"/>
            </w:tcBorders>
            <w:gridSpan w:val="3"/>
            <w:shd w:val="clear" w:color="auto" w:fill="98B0CF"/>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tcBorders>
            <w:shd w:val="clear" w:color="auto" w:fill="98B0CF"/>
          </w:tcPr>
          <w:p>
            <w:pPr>
              <w:spacing w:after="0"/>
              <w:rPr>
                <w:sz w:val="18"/>
                <w:szCs w:val="18"/>
                <w:color w:val="auto"/>
              </w:rPr>
            </w:pPr>
          </w:p>
        </w:tc>
        <w:tc>
          <w:tcPr>
            <w:tcW w:w="180" w:type="dxa"/>
            <w:vAlign w:val="bottom"/>
            <w:tcBorders>
              <w:top w:val="single" w:sz="8" w:color="auto"/>
            </w:tcBorders>
            <w:shd w:val="clear" w:color="auto" w:fill="98B0CF"/>
          </w:tcPr>
          <w:p>
            <w:pPr>
              <w:spacing w:after="0"/>
              <w:rPr>
                <w:sz w:val="18"/>
                <w:szCs w:val="18"/>
                <w:color w:val="auto"/>
              </w:rPr>
            </w:pPr>
          </w:p>
        </w:tc>
        <w:tc>
          <w:tcPr>
            <w:tcW w:w="2320" w:type="dxa"/>
            <w:vAlign w:val="bottom"/>
            <w:tcBorders>
              <w:top w:val="single" w:sz="8" w:color="auto"/>
            </w:tcBorders>
            <w:gridSpan w:val="3"/>
            <w:shd w:val="clear" w:color="auto" w:fill="98B0CF"/>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440" w:type="dxa"/>
            <w:vAlign w:val="bottom"/>
            <w:tcBorders>
              <w:bottom w:val="single" w:sz="8" w:color="98B0CF"/>
            </w:tcBorders>
            <w:shd w:val="clear" w:color="auto" w:fill="98B0CF"/>
          </w:tcPr>
          <w:p>
            <w:pPr>
              <w:spacing w:after="0"/>
              <w:rPr>
                <w:sz w:val="16"/>
                <w:szCs w:val="16"/>
                <w:color w:val="auto"/>
              </w:rPr>
            </w:pPr>
          </w:p>
        </w:tc>
        <w:tc>
          <w:tcPr>
            <w:tcW w:w="120" w:type="dxa"/>
            <w:vAlign w:val="bottom"/>
            <w:tcBorders>
              <w:bottom w:val="single" w:sz="8" w:color="98B0CF"/>
            </w:tcBorders>
            <w:shd w:val="clear" w:color="auto" w:fill="98B0CF"/>
          </w:tcPr>
          <w:p>
            <w:pPr>
              <w:spacing w:after="0"/>
              <w:rPr>
                <w:sz w:val="16"/>
                <w:szCs w:val="16"/>
                <w:color w:val="auto"/>
              </w:rPr>
            </w:pPr>
          </w:p>
        </w:tc>
        <w:tc>
          <w:tcPr>
            <w:tcW w:w="180" w:type="dxa"/>
            <w:vAlign w:val="bottom"/>
            <w:tcBorders>
              <w:bottom w:val="single" w:sz="8" w:color="auto"/>
            </w:tcBorders>
            <w:shd w:val="clear" w:color="auto" w:fill="98B0CF"/>
          </w:tcPr>
          <w:p>
            <w:pPr>
              <w:spacing w:after="0"/>
              <w:rPr>
                <w:sz w:val="16"/>
                <w:szCs w:val="16"/>
                <w:color w:val="auto"/>
              </w:rPr>
            </w:pPr>
          </w:p>
        </w:tc>
        <w:tc>
          <w:tcPr>
            <w:tcW w:w="1900" w:type="dxa"/>
            <w:vAlign w:val="bottom"/>
            <w:tcBorders>
              <w:bottom w:val="single" w:sz="8" w:color="auto"/>
            </w:tcBorders>
            <w:gridSpan w:val="3"/>
            <w:shd w:val="clear" w:color="auto" w:fill="98B0CF"/>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98B0CF"/>
            </w:tcBorders>
            <w:shd w:val="clear" w:color="auto" w:fill="98B0CF"/>
          </w:tcPr>
          <w:p>
            <w:pPr>
              <w:spacing w:after="0"/>
              <w:rPr>
                <w:sz w:val="16"/>
                <w:szCs w:val="16"/>
                <w:color w:val="auto"/>
              </w:rPr>
            </w:pPr>
          </w:p>
        </w:tc>
        <w:tc>
          <w:tcPr>
            <w:tcW w:w="180" w:type="dxa"/>
            <w:vAlign w:val="bottom"/>
            <w:tcBorders>
              <w:bottom w:val="single" w:sz="8" w:color="auto"/>
            </w:tcBorders>
            <w:shd w:val="clear" w:color="auto" w:fill="98B0CF"/>
          </w:tcPr>
          <w:p>
            <w:pPr>
              <w:spacing w:after="0"/>
              <w:rPr>
                <w:sz w:val="16"/>
                <w:szCs w:val="16"/>
                <w:color w:val="auto"/>
              </w:rPr>
            </w:pPr>
          </w:p>
        </w:tc>
        <w:tc>
          <w:tcPr>
            <w:tcW w:w="2320" w:type="dxa"/>
            <w:vAlign w:val="bottom"/>
            <w:tcBorders>
              <w:bottom w:val="single" w:sz="8" w:color="auto"/>
            </w:tcBorders>
            <w:gridSpan w:val="3"/>
            <w:shd w:val="clear" w:color="auto" w:fill="98B0CF"/>
          </w:tcPr>
          <w:p>
            <w:pPr>
              <w:jc w:val="right"/>
              <w:ind w:right="74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440" w:type="dxa"/>
            <w:vAlign w:val="bottom"/>
            <w:tcBorders>
              <w:bottom w:val="single" w:sz="8" w:color="auto"/>
            </w:tcBorders>
            <w:shd w:val="clear" w:color="auto" w:fill="98B0CF"/>
          </w:tcPr>
          <w:p>
            <w:pPr>
              <w:spacing w:after="0"/>
              <w:rPr>
                <w:sz w:val="17"/>
                <w:szCs w:val="17"/>
                <w:color w:val="auto"/>
              </w:rPr>
            </w:pPr>
          </w:p>
        </w:tc>
        <w:tc>
          <w:tcPr>
            <w:tcW w:w="120" w:type="dxa"/>
            <w:vAlign w:val="bottom"/>
            <w:tcBorders>
              <w:bottom w:val="single" w:sz="8" w:color="auto"/>
            </w:tcBorders>
            <w:shd w:val="clear" w:color="auto" w:fill="98B0CF"/>
          </w:tcPr>
          <w:p>
            <w:pPr>
              <w:spacing w:after="0"/>
              <w:rPr>
                <w:sz w:val="17"/>
                <w:szCs w:val="17"/>
                <w:color w:val="auto"/>
              </w:rPr>
            </w:pPr>
          </w:p>
        </w:tc>
        <w:tc>
          <w:tcPr>
            <w:tcW w:w="180" w:type="dxa"/>
            <w:vAlign w:val="bottom"/>
            <w:tcBorders>
              <w:bottom w:val="single" w:sz="8" w:color="auto"/>
            </w:tcBorders>
            <w:shd w:val="clear" w:color="auto" w:fill="98B0CF"/>
          </w:tcPr>
          <w:p>
            <w:pPr>
              <w:spacing w:after="0"/>
              <w:rPr>
                <w:sz w:val="17"/>
                <w:szCs w:val="17"/>
                <w:color w:val="auto"/>
              </w:rPr>
            </w:pPr>
          </w:p>
        </w:tc>
        <w:tc>
          <w:tcPr>
            <w:tcW w:w="800" w:type="dxa"/>
            <w:vAlign w:val="bottom"/>
            <w:tcBorders>
              <w:bottom w:val="single" w:sz="8" w:color="auto"/>
            </w:tcBorders>
            <w:shd w:val="clear" w:color="auto" w:fill="98B0CF"/>
          </w:tcPr>
          <w:p>
            <w:pPr>
              <w:jc w:val="right"/>
              <w:ind w:right="321"/>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shd w:val="clear" w:color="auto" w:fill="98B0CF"/>
          </w:tcPr>
          <w:p>
            <w:pPr>
              <w:spacing w:after="0"/>
              <w:rPr>
                <w:sz w:val="17"/>
                <w:szCs w:val="17"/>
                <w:color w:val="auto"/>
              </w:rPr>
            </w:pPr>
          </w:p>
        </w:tc>
        <w:tc>
          <w:tcPr>
            <w:tcW w:w="800" w:type="dxa"/>
            <w:vAlign w:val="bottom"/>
            <w:tcBorders>
              <w:bottom w:val="single" w:sz="8" w:color="auto"/>
            </w:tcBorders>
            <w:shd w:val="clear" w:color="auto" w:fill="98B0CF"/>
          </w:tcPr>
          <w:p>
            <w:pPr>
              <w:jc w:val="right"/>
              <w:ind w:right="3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98B0CF"/>
          </w:tcPr>
          <w:p>
            <w:pPr>
              <w:spacing w:after="0"/>
              <w:rPr>
                <w:sz w:val="17"/>
                <w:szCs w:val="17"/>
                <w:color w:val="auto"/>
              </w:rPr>
            </w:pPr>
          </w:p>
        </w:tc>
        <w:tc>
          <w:tcPr>
            <w:tcW w:w="180" w:type="dxa"/>
            <w:vAlign w:val="bottom"/>
            <w:tcBorders>
              <w:bottom w:val="single" w:sz="8" w:color="auto"/>
            </w:tcBorders>
            <w:shd w:val="clear" w:color="auto" w:fill="98B0CF"/>
          </w:tcPr>
          <w:p>
            <w:pPr>
              <w:spacing w:after="0"/>
              <w:rPr>
                <w:sz w:val="17"/>
                <w:szCs w:val="17"/>
                <w:color w:val="auto"/>
              </w:rPr>
            </w:pPr>
          </w:p>
        </w:tc>
        <w:tc>
          <w:tcPr>
            <w:tcW w:w="820" w:type="dxa"/>
            <w:vAlign w:val="bottom"/>
            <w:tcBorders>
              <w:bottom w:val="single" w:sz="8" w:color="auto"/>
            </w:tcBorders>
            <w:shd w:val="clear" w:color="auto" w:fill="98B0CF"/>
          </w:tcPr>
          <w:p>
            <w:pPr>
              <w:jc w:val="right"/>
              <w:ind w:right="321"/>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shd w:val="clear" w:color="auto" w:fill="98B0CF"/>
          </w:tcPr>
          <w:p>
            <w:pPr>
              <w:spacing w:after="0"/>
              <w:rPr>
                <w:sz w:val="17"/>
                <w:szCs w:val="17"/>
                <w:color w:val="auto"/>
              </w:rPr>
            </w:pPr>
          </w:p>
        </w:tc>
        <w:tc>
          <w:tcPr>
            <w:tcW w:w="1100" w:type="dxa"/>
            <w:vAlign w:val="bottom"/>
            <w:tcBorders>
              <w:bottom w:val="single" w:sz="8" w:color="auto"/>
            </w:tcBorders>
            <w:shd w:val="clear" w:color="auto" w:fill="98B0CF"/>
          </w:tcPr>
          <w:p>
            <w:pPr>
              <w:jc w:val="right"/>
              <w:ind w:right="520"/>
              <w:spacing w:after="0"/>
              <w:rPr>
                <w:sz w:val="20"/>
                <w:szCs w:val="20"/>
                <w:color w:val="auto"/>
              </w:rPr>
            </w:pPr>
            <w:r>
              <w:rPr>
                <w:rFonts w:ascii="Arial" w:cs="Arial" w:eastAsia="Arial" w:hAnsi="Arial"/>
                <w:sz w:val="14"/>
                <w:szCs w:val="14"/>
                <w:b w:val="1"/>
                <w:bCs w:val="1"/>
                <w:color w:val="auto"/>
              </w:rPr>
              <w:t>2025</w:t>
            </w:r>
          </w:p>
        </w:tc>
      </w:tr>
      <w:tr>
        <w:trPr>
          <w:trHeight w:val="183"/>
        </w:trPr>
        <w:tc>
          <w:tcPr>
            <w:tcW w:w="644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Revenues from services</w:t>
            </w:r>
          </w:p>
        </w:tc>
        <w:tc>
          <w:tcPr>
            <w:tcW w:w="120" w:type="dxa"/>
            <w:vAlign w:val="bottom"/>
            <w:shd w:val="clear" w:color="auto" w:fill="E2E8F1"/>
          </w:tcPr>
          <w:p>
            <w:pPr>
              <w:spacing w:after="0"/>
              <w:rPr>
                <w:sz w:val="15"/>
                <w:szCs w:val="15"/>
                <w:color w:val="auto"/>
              </w:rPr>
            </w:pPr>
          </w:p>
        </w:tc>
        <w:tc>
          <w:tcPr>
            <w:tcW w:w="180" w:type="dxa"/>
            <w:vAlign w:val="bottom"/>
            <w:shd w:val="clear" w:color="auto" w:fill="E2E8F1"/>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4,840.0</w:t>
            </w:r>
          </w:p>
        </w:tc>
        <w:tc>
          <w:tcPr>
            <w:tcW w:w="3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4,634.4</w:t>
            </w:r>
          </w:p>
        </w:tc>
        <w:tc>
          <w:tcPr>
            <w:tcW w:w="280" w:type="dxa"/>
            <w:vAlign w:val="bottom"/>
            <w:gridSpan w:val="2"/>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14,210.6</w:t>
            </w:r>
          </w:p>
        </w:tc>
        <w:tc>
          <w:tcPr>
            <w:tcW w:w="400" w:type="dxa"/>
            <w:vAlign w:val="bottom"/>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13,244.0</w:t>
            </w:r>
          </w:p>
        </w:tc>
      </w:tr>
      <w:tr>
        <w:trPr>
          <w:trHeight w:val="189"/>
        </w:trPr>
        <w:tc>
          <w:tcPr>
            <w:tcW w:w="6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Cost of services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4,072.7</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3,865.5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11,940.0</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11,013.1</w:t>
            </w:r>
          </w:p>
        </w:tc>
      </w:tr>
      <w:tr>
        <w:trPr>
          <w:trHeight w:val="183"/>
        </w:trPr>
        <w:tc>
          <w:tcPr>
            <w:tcW w:w="6440" w:type="dxa"/>
            <w:vAlign w:val="bottom"/>
            <w:tcBorders>
              <w:bottom w:val="single" w:sz="8" w:color="auto"/>
            </w:tcBorders>
            <w:shd w:val="clear" w:color="auto" w:fill="E2E8F1"/>
          </w:tcPr>
          <w:p>
            <w:pPr>
              <w:ind w:left="120"/>
              <w:spacing w:after="0" w:line="183" w:lineRule="exact"/>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shd w:val="clear" w:color="auto" w:fill="E2E8F1"/>
          </w:tcPr>
          <w:p>
            <w:pPr>
              <w:spacing w:after="0"/>
              <w:rPr>
                <w:sz w:val="15"/>
                <w:szCs w:val="15"/>
                <w:color w:val="auto"/>
              </w:rPr>
            </w:pPr>
          </w:p>
        </w:tc>
        <w:tc>
          <w:tcPr>
            <w:tcW w:w="80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767.3</w:t>
            </w:r>
          </w:p>
        </w:tc>
        <w:tc>
          <w:tcPr>
            <w:tcW w:w="300" w:type="dxa"/>
            <w:vAlign w:val="bottom"/>
            <w:tcBorders>
              <w:bottom w:val="single" w:sz="8" w:color="auto"/>
            </w:tcBorders>
            <w:shd w:val="clear" w:color="auto" w:fill="E2E8F1"/>
          </w:tcPr>
          <w:p>
            <w:pPr>
              <w:spacing w:after="0"/>
              <w:rPr>
                <w:sz w:val="15"/>
                <w:szCs w:val="15"/>
                <w:color w:val="auto"/>
              </w:rPr>
            </w:pPr>
          </w:p>
        </w:tc>
        <w:tc>
          <w:tcPr>
            <w:tcW w:w="8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768.9</w:t>
            </w:r>
          </w:p>
        </w:tc>
        <w:tc>
          <w:tcPr>
            <w:tcW w:w="10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shd w:val="clear" w:color="auto" w:fill="E2E8F1"/>
          </w:tcPr>
          <w:p>
            <w:pPr>
              <w:spacing w:after="0"/>
              <w:rPr>
                <w:sz w:val="15"/>
                <w:szCs w:val="15"/>
                <w:color w:val="auto"/>
              </w:rPr>
            </w:pPr>
          </w:p>
        </w:tc>
        <w:tc>
          <w:tcPr>
            <w:tcW w:w="82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2,270.6</w:t>
            </w:r>
          </w:p>
        </w:tc>
        <w:tc>
          <w:tcPr>
            <w:tcW w:w="400" w:type="dxa"/>
            <w:vAlign w:val="bottom"/>
            <w:tcBorders>
              <w:bottom w:val="single" w:sz="8" w:color="auto"/>
            </w:tcBorders>
            <w:shd w:val="clear" w:color="auto" w:fill="E2E8F1"/>
          </w:tcPr>
          <w:p>
            <w:pPr>
              <w:spacing w:after="0"/>
              <w:rPr>
                <w:sz w:val="15"/>
                <w:szCs w:val="15"/>
                <w:color w:val="auto"/>
              </w:rPr>
            </w:pPr>
          </w:p>
        </w:tc>
        <w:tc>
          <w:tcPr>
            <w:tcW w:w="11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2,230.9</w:t>
            </w:r>
          </w:p>
        </w:tc>
      </w:tr>
      <w:tr>
        <w:trPr>
          <w:trHeight w:val="183"/>
        </w:trPr>
        <w:tc>
          <w:tcPr>
            <w:tcW w:w="6440" w:type="dxa"/>
            <w:vAlign w:val="bottom"/>
          </w:tcPr>
          <w:p>
            <w:pPr>
              <w:spacing w:after="0" w:line="183" w:lineRule="exact"/>
              <w:rPr>
                <w:sz w:val="20"/>
                <w:szCs w:val="20"/>
                <w:color w:val="auto"/>
              </w:rPr>
            </w:pPr>
            <w:r>
              <w:rPr>
                <w:rFonts w:ascii="Arial" w:cs="Arial" w:eastAsia="Arial" w:hAnsi="Arial"/>
                <w:sz w:val="16"/>
                <w:szCs w:val="16"/>
                <w:color w:val="auto"/>
              </w:rPr>
              <w:t>Selling and administrative expenses, excluding impairment charges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1"/>
              <w:spacing w:after="0" w:line="183" w:lineRule="exact"/>
              <w:rPr>
                <w:sz w:val="20"/>
                <w:szCs w:val="20"/>
                <w:color w:val="auto"/>
              </w:rPr>
            </w:pPr>
            <w:r>
              <w:rPr>
                <w:rFonts w:ascii="Arial" w:cs="Arial" w:eastAsia="Arial" w:hAnsi="Arial"/>
                <w:sz w:val="16"/>
                <w:szCs w:val="16"/>
                <w:color w:val="auto"/>
              </w:rPr>
              <w:t>685.0</w:t>
            </w:r>
          </w:p>
        </w:tc>
        <w:tc>
          <w:tcPr>
            <w:tcW w:w="300" w:type="dxa"/>
            <w:vAlign w:val="bottom"/>
          </w:tcPr>
          <w:p>
            <w:pPr>
              <w:spacing w:after="0"/>
              <w:rPr>
                <w:sz w:val="15"/>
                <w:szCs w:val="15"/>
                <w:color w:val="auto"/>
              </w:rPr>
            </w:pPr>
          </w:p>
        </w:tc>
        <w:tc>
          <w:tcPr>
            <w:tcW w:w="8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2,048.0</w:t>
            </w:r>
          </w:p>
        </w:tc>
        <w:tc>
          <w:tcPr>
            <w:tcW w:w="400" w:type="dxa"/>
            <w:vAlign w:val="bottom"/>
          </w:tcPr>
          <w:p>
            <w:pPr>
              <w:spacing w:after="0"/>
              <w:rPr>
                <w:sz w:val="15"/>
                <w:szCs w:val="15"/>
                <w:color w:val="auto"/>
              </w:rPr>
            </w:pPr>
          </w:p>
        </w:tc>
        <w:tc>
          <w:tcPr>
            <w:tcW w:w="11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2,072.7</w:t>
            </w:r>
          </w:p>
        </w:tc>
      </w:tr>
      <w:tr>
        <w:trPr>
          <w:trHeight w:val="189"/>
        </w:trPr>
        <w:tc>
          <w:tcPr>
            <w:tcW w:w="6440" w:type="dxa"/>
            <w:vAlign w:val="bottom"/>
            <w:tcBorders>
              <w:bottom w:val="single" w:sz="8" w:color="auto"/>
            </w:tcBorders>
            <w:shd w:val="clear" w:color="auto" w:fill="E2E8F1"/>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0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E2E8F1"/>
          </w:tcPr>
          <w:p>
            <w:pPr>
              <w:spacing w:after="0"/>
              <w:rPr>
                <w:sz w:val="16"/>
                <w:szCs w:val="16"/>
                <w:color w:val="auto"/>
              </w:rPr>
            </w:pPr>
          </w:p>
        </w:tc>
        <w:tc>
          <w:tcPr>
            <w:tcW w:w="8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2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E2E8F1"/>
          </w:tcPr>
          <w:p>
            <w:pPr>
              <w:spacing w:after="0"/>
              <w:rPr>
                <w:sz w:val="16"/>
                <w:szCs w:val="16"/>
                <w:color w:val="auto"/>
              </w:rPr>
            </w:pPr>
          </w:p>
        </w:tc>
        <w:tc>
          <w:tcPr>
            <w:tcW w:w="11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88.7</w:t>
            </w:r>
          </w:p>
        </w:tc>
      </w:tr>
      <w:tr>
        <w:trPr>
          <w:trHeight w:val="183"/>
        </w:trPr>
        <w:tc>
          <w:tcPr>
            <w:tcW w:w="644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Selling and administrative expenses</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685.0</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702.3</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2,048.0</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2,161.4</w:t>
            </w:r>
          </w:p>
        </w:tc>
      </w:tr>
      <w:tr>
        <w:trPr>
          <w:trHeight w:val="183"/>
        </w:trPr>
        <w:tc>
          <w:tcPr>
            <w:tcW w:w="6440" w:type="dxa"/>
            <w:vAlign w:val="bottom"/>
            <w:shd w:val="clear" w:color="auto" w:fill="E2E8F1"/>
          </w:tcPr>
          <w:p>
            <w:pPr>
              <w:ind w:left="220"/>
              <w:spacing w:after="0" w:line="183" w:lineRule="exact"/>
              <w:rPr>
                <w:sz w:val="20"/>
                <w:szCs w:val="20"/>
                <w:color w:val="auto"/>
              </w:rPr>
            </w:pPr>
            <w:r>
              <w:rPr>
                <w:rFonts w:ascii="Arial" w:cs="Arial" w:eastAsia="Arial" w:hAnsi="Arial"/>
                <w:sz w:val="16"/>
                <w:szCs w:val="16"/>
                <w:color w:val="auto"/>
              </w:rPr>
              <w:t>Operating profit</w:t>
            </w:r>
          </w:p>
        </w:tc>
        <w:tc>
          <w:tcPr>
            <w:tcW w:w="12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0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82.3</w:t>
            </w:r>
          </w:p>
        </w:tc>
        <w:tc>
          <w:tcPr>
            <w:tcW w:w="300" w:type="dxa"/>
            <w:vAlign w:val="bottom"/>
            <w:shd w:val="clear" w:color="auto" w:fill="E2E8F1"/>
          </w:tcPr>
          <w:p>
            <w:pPr>
              <w:spacing w:after="0"/>
              <w:rPr>
                <w:sz w:val="15"/>
                <w:szCs w:val="15"/>
                <w:color w:val="auto"/>
              </w:rPr>
            </w:pPr>
          </w:p>
        </w:tc>
        <w:tc>
          <w:tcPr>
            <w:tcW w:w="8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66.6</w:t>
            </w:r>
          </w:p>
        </w:tc>
        <w:tc>
          <w:tcPr>
            <w:tcW w:w="1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2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222.6</w:t>
            </w:r>
          </w:p>
        </w:tc>
        <w:tc>
          <w:tcPr>
            <w:tcW w:w="400" w:type="dxa"/>
            <w:vAlign w:val="bottom"/>
            <w:shd w:val="clear" w:color="auto" w:fill="E2E8F1"/>
          </w:tcPr>
          <w:p>
            <w:pPr>
              <w:spacing w:after="0"/>
              <w:rPr>
                <w:sz w:val="15"/>
                <w:szCs w:val="15"/>
                <w:color w:val="auto"/>
              </w:rPr>
            </w:pPr>
          </w:p>
        </w:tc>
        <w:tc>
          <w:tcPr>
            <w:tcW w:w="11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69.5</w:t>
            </w:r>
          </w:p>
        </w:tc>
      </w:tr>
      <w:tr>
        <w:trPr>
          <w:trHeight w:val="189"/>
        </w:trPr>
        <w:tc>
          <w:tcPr>
            <w:tcW w:w="6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and other expenses, net</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14.3</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46.8</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41.7</w:t>
            </w:r>
          </w:p>
        </w:tc>
      </w:tr>
      <w:tr>
        <w:trPr>
          <w:trHeight w:val="183"/>
        </w:trPr>
        <w:tc>
          <w:tcPr>
            <w:tcW w:w="6440" w:type="dxa"/>
            <w:vAlign w:val="bottom"/>
            <w:shd w:val="clear" w:color="auto" w:fill="E2E8F1"/>
          </w:tcPr>
          <w:p>
            <w:pPr>
              <w:ind w:left="220"/>
              <w:spacing w:after="0" w:line="183" w:lineRule="exact"/>
              <w:rPr>
                <w:sz w:val="20"/>
                <w:szCs w:val="20"/>
                <w:color w:val="auto"/>
              </w:rPr>
            </w:pPr>
            <w:r>
              <w:rPr>
                <w:rFonts w:ascii="Arial" w:cs="Arial" w:eastAsia="Arial" w:hAnsi="Arial"/>
                <w:sz w:val="16"/>
                <w:szCs w:val="16"/>
                <w:color w:val="auto"/>
              </w:rPr>
              <w:t>Earnings before income taxes</w:t>
            </w:r>
          </w:p>
        </w:tc>
        <w:tc>
          <w:tcPr>
            <w:tcW w:w="12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0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68.0</w:t>
            </w:r>
          </w:p>
        </w:tc>
        <w:tc>
          <w:tcPr>
            <w:tcW w:w="300" w:type="dxa"/>
            <w:vAlign w:val="bottom"/>
            <w:shd w:val="clear" w:color="auto" w:fill="E2E8F1"/>
          </w:tcPr>
          <w:p>
            <w:pPr>
              <w:spacing w:after="0"/>
              <w:rPr>
                <w:sz w:val="15"/>
                <w:szCs w:val="15"/>
                <w:color w:val="auto"/>
              </w:rPr>
            </w:pPr>
          </w:p>
        </w:tc>
        <w:tc>
          <w:tcPr>
            <w:tcW w:w="8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52.9</w:t>
            </w:r>
          </w:p>
        </w:tc>
        <w:tc>
          <w:tcPr>
            <w:tcW w:w="1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2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175.8</w:t>
            </w:r>
          </w:p>
        </w:tc>
        <w:tc>
          <w:tcPr>
            <w:tcW w:w="400" w:type="dxa"/>
            <w:vAlign w:val="bottom"/>
            <w:shd w:val="clear" w:color="auto" w:fill="E2E8F1"/>
          </w:tcPr>
          <w:p>
            <w:pPr>
              <w:spacing w:after="0"/>
              <w:rPr>
                <w:sz w:val="15"/>
                <w:szCs w:val="15"/>
                <w:color w:val="auto"/>
              </w:rPr>
            </w:pPr>
          </w:p>
        </w:tc>
        <w:tc>
          <w:tcPr>
            <w:tcW w:w="11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27.8</w:t>
            </w:r>
          </w:p>
        </w:tc>
      </w:tr>
      <w:tr>
        <w:trPr>
          <w:trHeight w:val="189"/>
        </w:trPr>
        <w:tc>
          <w:tcPr>
            <w:tcW w:w="6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33.9</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85.7</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71.3</w:t>
            </w:r>
          </w:p>
        </w:tc>
      </w:tr>
      <w:tr>
        <w:trPr>
          <w:trHeight w:val="183"/>
        </w:trPr>
        <w:tc>
          <w:tcPr>
            <w:tcW w:w="6440" w:type="dxa"/>
            <w:vAlign w:val="bottom"/>
            <w:tcBorders>
              <w:bottom w:val="single" w:sz="8" w:color="auto"/>
            </w:tcBorders>
            <w:shd w:val="clear" w:color="auto" w:fill="E2E8F1"/>
          </w:tcPr>
          <w:p>
            <w:pPr>
              <w:ind w:left="220"/>
              <w:spacing w:after="0" w:line="183" w:lineRule="exact"/>
              <w:rPr>
                <w:sz w:val="20"/>
                <w:szCs w:val="20"/>
                <w:color w:val="auto"/>
              </w:rPr>
            </w:pPr>
            <w:r>
              <w:rPr>
                <w:rFonts w:ascii="Arial" w:cs="Arial" w:eastAsia="Arial" w:hAnsi="Arial"/>
                <w:sz w:val="16"/>
                <w:szCs w:val="16"/>
                <w:color w:val="auto"/>
              </w:rPr>
              <w:t>Net earnings (loss)</w:t>
            </w:r>
          </w:p>
        </w:tc>
        <w:tc>
          <w:tcPr>
            <w:tcW w:w="300" w:type="dxa"/>
            <w:vAlign w:val="bottom"/>
            <w:tcBorders>
              <w:bottom w:val="single" w:sz="8" w:color="auto"/>
            </w:tcBorders>
            <w:gridSpan w:val="2"/>
            <w:shd w:val="clear" w:color="auto" w:fill="E2E8F1"/>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34.1</w:t>
            </w:r>
          </w:p>
        </w:tc>
        <w:tc>
          <w:tcPr>
            <w:tcW w:w="3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18.0</w:t>
            </w:r>
          </w:p>
        </w:tc>
        <w:tc>
          <w:tcPr>
            <w:tcW w:w="280" w:type="dxa"/>
            <w:vAlign w:val="bottom"/>
            <w:tcBorders>
              <w:bottom w:val="single" w:sz="8" w:color="auto"/>
            </w:tcBorders>
            <w:gridSpan w:val="2"/>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90.1</w:t>
            </w:r>
          </w:p>
        </w:tc>
        <w:tc>
          <w:tcPr>
            <w:tcW w:w="400" w:type="dxa"/>
            <w:vAlign w:val="bottom"/>
            <w:tcBorders>
              <w:bottom w:val="single" w:sz="8" w:color="auto"/>
            </w:tcBorders>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(43.5)</w:t>
            </w:r>
          </w:p>
        </w:tc>
      </w:tr>
      <w:tr>
        <w:trPr>
          <w:trHeight w:val="183"/>
        </w:trPr>
        <w:tc>
          <w:tcPr>
            <w:tcW w:w="6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earnings (loss) per share - basic</w:t>
            </w:r>
          </w:p>
        </w:tc>
        <w:tc>
          <w:tcPr>
            <w:tcW w:w="300" w:type="dxa"/>
            <w:vAlign w:val="bottom"/>
            <w:tcBorders>
              <w:bottom w:val="single" w:sz="8" w:color="auto"/>
            </w:tcBorders>
            <w:gridSpan w:val="2"/>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0.73</w:t>
            </w:r>
          </w:p>
        </w:tc>
        <w:tc>
          <w:tcPr>
            <w:tcW w:w="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0.39</w:t>
            </w:r>
          </w:p>
        </w:tc>
        <w:tc>
          <w:tcPr>
            <w:tcW w:w="280" w:type="dxa"/>
            <w:vAlign w:val="bottom"/>
            <w:tcBorders>
              <w:bottom w:val="single" w:sz="8" w:color="auto"/>
            </w:tcBorders>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1.93</w:t>
            </w:r>
          </w:p>
        </w:tc>
        <w:tc>
          <w:tcPr>
            <w:tcW w:w="4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(0.93)</w:t>
            </w:r>
          </w:p>
        </w:tc>
      </w:tr>
      <w:tr>
        <w:trPr>
          <w:trHeight w:val="183"/>
        </w:trPr>
        <w:tc>
          <w:tcPr>
            <w:tcW w:w="6440" w:type="dxa"/>
            <w:vAlign w:val="bottom"/>
            <w:tcBorders>
              <w:bottom w:val="single" w:sz="8" w:color="auto"/>
            </w:tcBorders>
            <w:shd w:val="clear" w:color="auto" w:fill="E2E8F1"/>
          </w:tcPr>
          <w:p>
            <w:pPr>
              <w:spacing w:after="0" w:line="183" w:lineRule="exact"/>
              <w:rPr>
                <w:sz w:val="20"/>
                <w:szCs w:val="20"/>
                <w:color w:val="auto"/>
              </w:rPr>
            </w:pPr>
            <w:r>
              <w:rPr>
                <w:rFonts w:ascii="Arial" w:cs="Arial" w:eastAsia="Arial" w:hAnsi="Arial"/>
                <w:sz w:val="16"/>
                <w:szCs w:val="16"/>
                <w:color w:val="auto"/>
              </w:rPr>
              <w:t>Net earnings (loss) per share - diluted</w:t>
            </w:r>
          </w:p>
        </w:tc>
        <w:tc>
          <w:tcPr>
            <w:tcW w:w="300" w:type="dxa"/>
            <w:vAlign w:val="bottom"/>
            <w:tcBorders>
              <w:bottom w:val="single" w:sz="8" w:color="auto"/>
            </w:tcBorders>
            <w:gridSpan w:val="2"/>
            <w:shd w:val="clear" w:color="auto" w:fill="E2E8F1"/>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0.71</w:t>
            </w:r>
          </w:p>
        </w:tc>
        <w:tc>
          <w:tcPr>
            <w:tcW w:w="3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0.38</w:t>
            </w:r>
          </w:p>
        </w:tc>
        <w:tc>
          <w:tcPr>
            <w:tcW w:w="280" w:type="dxa"/>
            <w:vAlign w:val="bottom"/>
            <w:tcBorders>
              <w:bottom w:val="single" w:sz="8" w:color="auto"/>
            </w:tcBorders>
            <w:gridSpan w:val="2"/>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1.89</w:t>
            </w:r>
          </w:p>
        </w:tc>
        <w:tc>
          <w:tcPr>
            <w:tcW w:w="400" w:type="dxa"/>
            <w:vAlign w:val="bottom"/>
            <w:tcBorders>
              <w:bottom w:val="single" w:sz="8" w:color="auto"/>
            </w:tcBorders>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(0.93)</w:t>
            </w:r>
          </w:p>
        </w:tc>
      </w:tr>
      <w:tr>
        <w:trPr>
          <w:trHeight w:val="183"/>
        </w:trPr>
        <w:tc>
          <w:tcPr>
            <w:tcW w:w="6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Weighted average shares - basic</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46.9</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46.5</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46.8</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46.6</w:t>
            </w:r>
          </w:p>
        </w:tc>
      </w:tr>
      <w:tr>
        <w:trPr>
          <w:trHeight w:val="183"/>
        </w:trPr>
        <w:tc>
          <w:tcPr>
            <w:tcW w:w="6440" w:type="dxa"/>
            <w:vAlign w:val="bottom"/>
            <w:tcBorders>
              <w:bottom w:val="single" w:sz="8" w:color="auto"/>
            </w:tcBorders>
            <w:shd w:val="clear" w:color="auto" w:fill="E2E8F1"/>
          </w:tcPr>
          <w:p>
            <w:pPr>
              <w:spacing w:after="0" w:line="183" w:lineRule="exact"/>
              <w:rPr>
                <w:sz w:val="20"/>
                <w:szCs w:val="20"/>
                <w:color w:val="auto"/>
              </w:rPr>
            </w:pPr>
            <w:r>
              <w:rPr>
                <w:rFonts w:ascii="Arial" w:cs="Arial" w:eastAsia="Arial" w:hAnsi="Arial"/>
                <w:sz w:val="16"/>
                <w:szCs w:val="16"/>
                <w:color w:val="auto"/>
              </w:rPr>
              <w:t>Weighted average shares - diluted</w:t>
            </w:r>
          </w:p>
        </w:tc>
        <w:tc>
          <w:tcPr>
            <w:tcW w:w="12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shd w:val="clear" w:color="auto" w:fill="E2E8F1"/>
          </w:tcPr>
          <w:p>
            <w:pPr>
              <w:spacing w:after="0"/>
              <w:rPr>
                <w:sz w:val="15"/>
                <w:szCs w:val="15"/>
                <w:color w:val="auto"/>
              </w:rPr>
            </w:pPr>
          </w:p>
        </w:tc>
        <w:tc>
          <w:tcPr>
            <w:tcW w:w="80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48.1</w:t>
            </w:r>
          </w:p>
        </w:tc>
        <w:tc>
          <w:tcPr>
            <w:tcW w:w="300" w:type="dxa"/>
            <w:vAlign w:val="bottom"/>
            <w:tcBorders>
              <w:bottom w:val="single" w:sz="8" w:color="auto"/>
            </w:tcBorders>
            <w:shd w:val="clear" w:color="auto" w:fill="E2E8F1"/>
          </w:tcPr>
          <w:p>
            <w:pPr>
              <w:spacing w:after="0"/>
              <w:rPr>
                <w:sz w:val="15"/>
                <w:szCs w:val="15"/>
                <w:color w:val="auto"/>
              </w:rPr>
            </w:pPr>
          </w:p>
        </w:tc>
        <w:tc>
          <w:tcPr>
            <w:tcW w:w="8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46.9</w:t>
            </w:r>
          </w:p>
        </w:tc>
        <w:tc>
          <w:tcPr>
            <w:tcW w:w="10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shd w:val="clear" w:color="auto" w:fill="E2E8F1"/>
          </w:tcPr>
          <w:p>
            <w:pPr>
              <w:spacing w:after="0"/>
              <w:rPr>
                <w:sz w:val="15"/>
                <w:szCs w:val="15"/>
                <w:color w:val="auto"/>
              </w:rPr>
            </w:pPr>
          </w:p>
        </w:tc>
        <w:tc>
          <w:tcPr>
            <w:tcW w:w="82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47.6</w:t>
            </w:r>
          </w:p>
        </w:tc>
        <w:tc>
          <w:tcPr>
            <w:tcW w:w="400" w:type="dxa"/>
            <w:vAlign w:val="bottom"/>
            <w:tcBorders>
              <w:bottom w:val="single" w:sz="8" w:color="auto"/>
            </w:tcBorders>
            <w:shd w:val="clear" w:color="auto" w:fill="E2E8F1"/>
          </w:tcPr>
          <w:p>
            <w:pPr>
              <w:spacing w:after="0"/>
              <w:rPr>
                <w:sz w:val="15"/>
                <w:szCs w:val="15"/>
                <w:color w:val="auto"/>
              </w:rPr>
            </w:pPr>
          </w:p>
        </w:tc>
        <w:tc>
          <w:tcPr>
            <w:tcW w:w="11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-2039620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Comprehensive Income (Loss)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80" w:type="dxa"/>
            <w:vAlign w:val="bottom"/>
            <w:tcBorders>
              <w:top w:val="single" w:sz="8" w:color="auto"/>
            </w:tcBorders>
            <w:shd w:val="clear" w:color="auto" w:fill="95B3D1"/>
          </w:tcPr>
          <w:p>
            <w:pPr>
              <w:spacing w:after="0"/>
              <w:rPr>
                <w:sz w:val="15"/>
                <w:szCs w:val="15"/>
                <w:color w:val="auto"/>
              </w:rPr>
            </w:pPr>
          </w:p>
        </w:tc>
        <w:tc>
          <w:tcPr>
            <w:tcW w:w="160" w:type="dxa"/>
            <w:vAlign w:val="bottom"/>
            <w:tcBorders>
              <w:top w:val="single" w:sz="8" w:color="auto"/>
            </w:tcBorders>
            <w:shd w:val="clear" w:color="auto" w:fill="95B3D1"/>
          </w:tcPr>
          <w:p>
            <w:pPr>
              <w:spacing w:after="0"/>
              <w:rPr>
                <w:sz w:val="15"/>
                <w:szCs w:val="15"/>
                <w:color w:val="auto"/>
              </w:rPr>
            </w:pPr>
          </w:p>
        </w:tc>
        <w:tc>
          <w:tcPr>
            <w:tcW w:w="200" w:type="dxa"/>
            <w:vAlign w:val="bottom"/>
            <w:tcBorders>
              <w:top w:val="single" w:sz="8" w:color="auto"/>
            </w:tcBorders>
            <w:shd w:val="clear" w:color="auto" w:fill="95B3D1"/>
          </w:tcPr>
          <w:p>
            <w:pPr>
              <w:spacing w:after="0"/>
              <w:rPr>
                <w:sz w:val="15"/>
                <w:szCs w:val="15"/>
                <w:color w:val="auto"/>
              </w:rPr>
            </w:pPr>
          </w:p>
        </w:tc>
        <w:tc>
          <w:tcPr>
            <w:tcW w:w="2100" w:type="dxa"/>
            <w:vAlign w:val="bottom"/>
            <w:tcBorders>
              <w:top w:val="single" w:sz="8" w:color="auto"/>
            </w:tcBorders>
            <w:gridSpan w:val="3"/>
            <w:shd w:val="clear" w:color="auto" w:fill="95B3D1"/>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top w:val="single" w:sz="8" w:color="auto"/>
            </w:tcBorders>
            <w:shd w:val="clear" w:color="auto" w:fill="95B3D1"/>
          </w:tcPr>
          <w:p>
            <w:pPr>
              <w:spacing w:after="0"/>
              <w:rPr>
                <w:sz w:val="15"/>
                <w:szCs w:val="15"/>
                <w:color w:val="auto"/>
              </w:rPr>
            </w:pPr>
          </w:p>
        </w:tc>
        <w:tc>
          <w:tcPr>
            <w:tcW w:w="2100" w:type="dxa"/>
            <w:vAlign w:val="bottom"/>
            <w:tcBorders>
              <w:top w:val="single" w:sz="8" w:color="auto"/>
            </w:tcBorders>
            <w:gridSpan w:val="3"/>
            <w:shd w:val="clear" w:color="auto" w:fill="95B3D1"/>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6380" w:type="dxa"/>
            <w:vAlign w:val="bottom"/>
            <w:tcBorders>
              <w:bottom w:val="single" w:sz="8" w:color="95B3D1"/>
            </w:tcBorders>
            <w:shd w:val="clear" w:color="auto" w:fill="95B3D1"/>
          </w:tcPr>
          <w:p>
            <w:pPr>
              <w:spacing w:after="0"/>
              <w:rPr>
                <w:sz w:val="14"/>
                <w:szCs w:val="14"/>
                <w:color w:val="auto"/>
              </w:rPr>
            </w:pPr>
          </w:p>
        </w:tc>
        <w:tc>
          <w:tcPr>
            <w:tcW w:w="160" w:type="dxa"/>
            <w:vAlign w:val="bottom"/>
            <w:tcBorders>
              <w:bottom w:val="single" w:sz="8" w:color="95B3D1"/>
            </w:tcBorders>
            <w:shd w:val="clear" w:color="auto" w:fill="95B3D1"/>
          </w:tcPr>
          <w:p>
            <w:pPr>
              <w:spacing w:after="0"/>
              <w:rPr>
                <w:sz w:val="14"/>
                <w:szCs w:val="14"/>
                <w:color w:val="auto"/>
              </w:rPr>
            </w:pPr>
          </w:p>
        </w:tc>
        <w:tc>
          <w:tcPr>
            <w:tcW w:w="200" w:type="dxa"/>
            <w:vAlign w:val="bottom"/>
            <w:tcBorders>
              <w:bottom w:val="single" w:sz="8" w:color="auto"/>
            </w:tcBorders>
            <w:shd w:val="clear" w:color="auto" w:fill="95B3D1"/>
          </w:tcPr>
          <w:p>
            <w:pPr>
              <w:spacing w:after="0"/>
              <w:rPr>
                <w:sz w:val="14"/>
                <w:szCs w:val="14"/>
                <w:color w:val="auto"/>
              </w:rPr>
            </w:pPr>
          </w:p>
        </w:tc>
        <w:tc>
          <w:tcPr>
            <w:tcW w:w="2100" w:type="dxa"/>
            <w:vAlign w:val="bottom"/>
            <w:tcBorders>
              <w:bottom w:val="single" w:sz="8" w:color="auto"/>
            </w:tcBorders>
            <w:gridSpan w:val="3"/>
            <w:shd w:val="clear" w:color="auto" w:fill="95B3D1"/>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shd w:val="clear" w:color="auto" w:fill="95B3D1"/>
          </w:tcPr>
          <w:p>
            <w:pPr>
              <w:spacing w:after="0"/>
              <w:rPr>
                <w:sz w:val="14"/>
                <w:szCs w:val="14"/>
                <w:color w:val="auto"/>
              </w:rPr>
            </w:pPr>
          </w:p>
        </w:tc>
        <w:tc>
          <w:tcPr>
            <w:tcW w:w="2100" w:type="dxa"/>
            <w:vAlign w:val="bottom"/>
            <w:tcBorders>
              <w:bottom w:val="single" w:sz="8" w:color="auto"/>
            </w:tcBorders>
            <w:gridSpan w:val="3"/>
            <w:shd w:val="clear" w:color="auto" w:fill="95B3D1"/>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6380" w:type="dxa"/>
            <w:vAlign w:val="bottom"/>
            <w:tcBorders>
              <w:bottom w:val="single" w:sz="8" w:color="auto"/>
            </w:tcBorders>
            <w:shd w:val="clear" w:color="auto" w:fill="95B3D1"/>
          </w:tcPr>
          <w:p>
            <w:pPr>
              <w:spacing w:after="0"/>
              <w:rPr>
                <w:sz w:val="13"/>
                <w:szCs w:val="13"/>
                <w:color w:val="auto"/>
              </w:rPr>
            </w:pPr>
          </w:p>
        </w:tc>
        <w:tc>
          <w:tcPr>
            <w:tcW w:w="160" w:type="dxa"/>
            <w:vAlign w:val="bottom"/>
            <w:tcBorders>
              <w:bottom w:val="single" w:sz="8" w:color="auto"/>
            </w:tcBorders>
            <w:shd w:val="clear" w:color="auto" w:fill="95B3D1"/>
          </w:tcPr>
          <w:p>
            <w:pPr>
              <w:spacing w:after="0"/>
              <w:rPr>
                <w:sz w:val="13"/>
                <w:szCs w:val="13"/>
                <w:color w:val="auto"/>
              </w:rPr>
            </w:pPr>
          </w:p>
        </w:tc>
        <w:tc>
          <w:tcPr>
            <w:tcW w:w="200" w:type="dxa"/>
            <w:vAlign w:val="bottom"/>
            <w:tcBorders>
              <w:bottom w:val="single" w:sz="8" w:color="auto"/>
            </w:tcBorders>
            <w:shd w:val="clear" w:color="auto" w:fill="95B3D1"/>
          </w:tcPr>
          <w:p>
            <w:pPr>
              <w:spacing w:after="0"/>
              <w:rPr>
                <w:sz w:val="13"/>
                <w:szCs w:val="13"/>
                <w:color w:val="auto"/>
              </w:rPr>
            </w:pPr>
          </w:p>
        </w:tc>
        <w:tc>
          <w:tcPr>
            <w:tcW w:w="900" w:type="dxa"/>
            <w:vAlign w:val="bottom"/>
            <w:tcBorders>
              <w:bottom w:val="single" w:sz="8" w:color="auto"/>
            </w:tcBorders>
            <w:shd w:val="clear" w:color="auto" w:fill="95B3D1"/>
          </w:tcPr>
          <w:p>
            <w:pPr>
              <w:jc w:val="right"/>
              <w:ind w:right="401"/>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shd w:val="clear" w:color="auto" w:fill="95B3D1"/>
          </w:tcPr>
          <w:p>
            <w:pPr>
              <w:spacing w:after="0"/>
              <w:rPr>
                <w:sz w:val="13"/>
                <w:szCs w:val="13"/>
                <w:color w:val="auto"/>
              </w:rPr>
            </w:pPr>
          </w:p>
        </w:tc>
        <w:tc>
          <w:tcPr>
            <w:tcW w:w="900" w:type="dxa"/>
            <w:vAlign w:val="bottom"/>
            <w:tcBorders>
              <w:bottom w:val="single" w:sz="8" w:color="auto"/>
            </w:tcBorders>
            <w:shd w:val="clear" w:color="auto" w:fill="95B3D1"/>
          </w:tcPr>
          <w:p>
            <w:pPr>
              <w:jc w:val="right"/>
              <w:ind w:right="400"/>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shd w:val="clear" w:color="auto" w:fill="95B3D1"/>
          </w:tcPr>
          <w:p>
            <w:pPr>
              <w:spacing w:after="0"/>
              <w:rPr>
                <w:sz w:val="13"/>
                <w:szCs w:val="13"/>
                <w:color w:val="auto"/>
              </w:rPr>
            </w:pPr>
          </w:p>
        </w:tc>
        <w:tc>
          <w:tcPr>
            <w:tcW w:w="920" w:type="dxa"/>
            <w:vAlign w:val="bottom"/>
            <w:tcBorders>
              <w:bottom w:val="single" w:sz="8" w:color="auto"/>
            </w:tcBorders>
            <w:shd w:val="clear" w:color="auto" w:fill="95B3D1"/>
          </w:tcPr>
          <w:p>
            <w:pPr>
              <w:jc w:val="right"/>
              <w:ind w:right="401"/>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shd w:val="clear" w:color="auto" w:fill="95B3D1"/>
          </w:tcPr>
          <w:p>
            <w:pPr>
              <w:spacing w:after="0"/>
              <w:rPr>
                <w:sz w:val="13"/>
                <w:szCs w:val="13"/>
                <w:color w:val="auto"/>
              </w:rPr>
            </w:pPr>
          </w:p>
        </w:tc>
        <w:tc>
          <w:tcPr>
            <w:tcW w:w="880" w:type="dxa"/>
            <w:vAlign w:val="bottom"/>
            <w:tcBorders>
              <w:bottom w:val="single" w:sz="8" w:color="auto"/>
            </w:tcBorders>
            <w:shd w:val="clear" w:color="auto" w:fill="95B3D1"/>
          </w:tcPr>
          <w:p>
            <w:pPr>
              <w:jc w:val="right"/>
              <w:ind w:right="360"/>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638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Net earnings (loss)</w:t>
            </w:r>
          </w:p>
        </w:tc>
        <w:tc>
          <w:tcPr>
            <w:tcW w:w="160" w:type="dxa"/>
            <w:vAlign w:val="bottom"/>
            <w:shd w:val="clear" w:color="auto" w:fill="E2E8F1"/>
          </w:tcPr>
          <w:p>
            <w:pPr>
              <w:spacing w:after="0"/>
              <w:rPr>
                <w:sz w:val="15"/>
                <w:szCs w:val="15"/>
                <w:color w:val="auto"/>
              </w:rPr>
            </w:pPr>
          </w:p>
        </w:tc>
        <w:tc>
          <w:tcPr>
            <w:tcW w:w="2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E2E8F1"/>
          </w:tcPr>
          <w:p>
            <w:pPr>
              <w:jc w:val="right"/>
              <w:ind w:right="101"/>
              <w:spacing w:after="0" w:line="183" w:lineRule="exact"/>
              <w:rPr>
                <w:sz w:val="20"/>
                <w:szCs w:val="20"/>
                <w:color w:val="auto"/>
              </w:rPr>
            </w:pPr>
            <w:r>
              <w:rPr>
                <w:rFonts w:ascii="Arial" w:cs="Arial" w:eastAsia="Arial" w:hAnsi="Arial"/>
                <w:sz w:val="16"/>
                <w:szCs w:val="16"/>
                <w:color w:val="auto"/>
              </w:rPr>
              <w:t>34.1</w:t>
            </w:r>
          </w:p>
        </w:tc>
        <w:tc>
          <w:tcPr>
            <w:tcW w:w="3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18.0</w:t>
            </w:r>
          </w:p>
        </w:tc>
        <w:tc>
          <w:tcPr>
            <w:tcW w:w="3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101"/>
              <w:spacing w:after="0" w:line="183" w:lineRule="exact"/>
              <w:rPr>
                <w:sz w:val="20"/>
                <w:szCs w:val="20"/>
                <w:color w:val="auto"/>
              </w:rPr>
            </w:pPr>
            <w:r>
              <w:rPr>
                <w:rFonts w:ascii="Arial" w:cs="Arial" w:eastAsia="Arial" w:hAnsi="Arial"/>
                <w:sz w:val="16"/>
                <w:szCs w:val="16"/>
                <w:color w:val="auto"/>
              </w:rPr>
              <w:t>90.1</w:t>
            </w:r>
          </w:p>
        </w:tc>
        <w:tc>
          <w:tcPr>
            <w:tcW w:w="3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(43.5)</w:t>
            </w:r>
          </w:p>
        </w:tc>
      </w:tr>
      <w:tr>
        <w:trPr>
          <w:trHeight w:val="189"/>
        </w:trPr>
        <w:tc>
          <w:tcPr>
            <w:tcW w:w="6380" w:type="dxa"/>
            <w:vAlign w:val="bottom"/>
          </w:tcPr>
          <w:p>
            <w:pPr>
              <w:ind w:left="60"/>
              <w:spacing w:after="0"/>
              <w:rPr>
                <w:sz w:val="20"/>
                <w:szCs w:val="20"/>
                <w:color w:val="auto"/>
              </w:rPr>
            </w:pPr>
            <w:r>
              <w:rPr>
                <w:rFonts w:ascii="Arial" w:cs="Arial" w:eastAsia="Arial" w:hAnsi="Arial"/>
                <w:sz w:val="16"/>
                <w:szCs w:val="16"/>
                <w:color w:val="auto"/>
              </w:rPr>
              <w:t>Other comprehensive (loss) income: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6380" w:type="dxa"/>
            <w:vAlign w:val="bottom"/>
            <w:shd w:val="clear" w:color="auto" w:fill="E2E8F1"/>
          </w:tcPr>
          <w:p>
            <w:pPr>
              <w:ind w:left="12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(51.7)</w:t>
            </w:r>
          </w:p>
        </w:tc>
        <w:tc>
          <w:tcPr>
            <w:tcW w:w="3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(68.3)</w:t>
            </w:r>
          </w:p>
        </w:tc>
        <w:tc>
          <w:tcPr>
            <w:tcW w:w="30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(63.2)</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77.5</w:t>
            </w:r>
          </w:p>
        </w:tc>
      </w:tr>
      <w:tr>
        <w:trPr>
          <w:trHeight w:val="175"/>
        </w:trPr>
        <w:tc>
          <w:tcPr>
            <w:tcW w:w="6380" w:type="dxa"/>
            <w:vAlign w:val="bottom"/>
          </w:tcPr>
          <w:p>
            <w:pPr>
              <w:ind w:left="120"/>
              <w:spacing w:after="0" w:line="175" w:lineRule="exact"/>
              <w:rPr>
                <w:sz w:val="20"/>
                <w:szCs w:val="20"/>
                <w:color w:val="auto"/>
              </w:rPr>
            </w:pPr>
            <w:r>
              <w:rPr>
                <w:rFonts w:ascii="Arial" w:cs="Arial" w:eastAsia="Arial" w:hAnsi="Arial"/>
                <w:sz w:val="16"/>
                <w:szCs w:val="16"/>
                <w:color w:val="auto"/>
              </w:rPr>
              <w:t>Translation adjustments of long-term intercompany loans, net of income taxes of $0.0,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6380" w:type="dxa"/>
            <w:vAlign w:val="bottom"/>
          </w:tcPr>
          <w:p>
            <w:pPr>
              <w:ind w:left="120"/>
              <w:spacing w:after="0"/>
              <w:rPr>
                <w:sz w:val="20"/>
                <w:szCs w:val="20"/>
                <w:color w:val="auto"/>
              </w:rPr>
            </w:pPr>
            <w:r>
              <w:rPr>
                <w:rFonts w:ascii="Arial" w:cs="Arial" w:eastAsia="Arial" w:hAnsi="Arial"/>
                <w:sz w:val="16"/>
                <w:szCs w:val="16"/>
                <w:color w:val="auto"/>
              </w:rPr>
              <w:t>$0.0, $0.0 and $0.1, respectively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17"/>
                <w:szCs w:val="17"/>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17"/>
                <w:szCs w:val="17"/>
                <w:color w:val="auto"/>
              </w:rPr>
            </w:pPr>
          </w:p>
        </w:tc>
        <w:tc>
          <w:tcPr>
            <w:tcW w:w="9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175"/>
        </w:trPr>
        <w:tc>
          <w:tcPr>
            <w:tcW w:w="6380" w:type="dxa"/>
            <w:vAlign w:val="bottom"/>
            <w:shd w:val="clear" w:color="auto" w:fill="E2E8F1"/>
          </w:tcPr>
          <w:p>
            <w:pPr>
              <w:ind w:left="120"/>
              <w:spacing w:after="0" w:line="175" w:lineRule="exact"/>
              <w:rPr>
                <w:sz w:val="20"/>
                <w:szCs w:val="20"/>
                <w:color w:val="auto"/>
              </w:rPr>
            </w:pPr>
            <w:r>
              <w:rPr>
                <w:rFonts w:ascii="Arial" w:cs="Arial" w:eastAsia="Arial" w:hAnsi="Arial"/>
                <w:sz w:val="16"/>
                <w:szCs w:val="16"/>
                <w:color w:val="auto"/>
              </w:rPr>
              <w:t>Adjustments on derivative instruments, net of income taxes of $2.4, $23.6, $11.4 and</w:t>
            </w:r>
          </w:p>
        </w:tc>
        <w:tc>
          <w:tcPr>
            <w:tcW w:w="16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90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90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r>
      <w:tr>
        <w:trPr>
          <w:trHeight w:val="203"/>
        </w:trPr>
        <w:tc>
          <w:tcPr>
            <w:tcW w:w="6380" w:type="dxa"/>
            <w:vAlign w:val="bottom"/>
            <w:shd w:val="clear" w:color="auto" w:fill="E2E8F1"/>
          </w:tcPr>
          <w:p>
            <w:pPr>
              <w:ind w:left="120"/>
              <w:spacing w:after="0"/>
              <w:rPr>
                <w:sz w:val="20"/>
                <w:szCs w:val="20"/>
                <w:color w:val="auto"/>
              </w:rPr>
            </w:pPr>
            <w:r>
              <w:rPr>
                <w:rFonts w:ascii="Arial" w:cs="Arial" w:eastAsia="Arial" w:hAnsi="Arial"/>
                <w:sz w:val="16"/>
                <w:szCs w:val="16"/>
                <w:color w:val="auto"/>
              </w:rPr>
              <w:t>$(20.6), respectively</w:t>
            </w:r>
          </w:p>
        </w:tc>
        <w:tc>
          <w:tcPr>
            <w:tcW w:w="16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900" w:type="dxa"/>
            <w:vAlign w:val="bottom"/>
            <w:shd w:val="clear" w:color="auto" w:fill="E2E8F1"/>
          </w:tcPr>
          <w:p>
            <w:pPr>
              <w:jc w:val="right"/>
              <w:ind w:right="101"/>
              <w:spacing w:after="0"/>
              <w:rPr>
                <w:sz w:val="20"/>
                <w:szCs w:val="20"/>
                <w:color w:val="auto"/>
              </w:rPr>
            </w:pPr>
            <w:r>
              <w:rPr>
                <w:rFonts w:ascii="Arial" w:cs="Arial" w:eastAsia="Arial" w:hAnsi="Arial"/>
                <w:sz w:val="16"/>
                <w:szCs w:val="16"/>
                <w:color w:val="auto"/>
              </w:rPr>
              <w:t>45.3</w:t>
            </w:r>
          </w:p>
        </w:tc>
        <w:tc>
          <w:tcPr>
            <w:tcW w:w="300" w:type="dxa"/>
            <w:vAlign w:val="bottom"/>
            <w:shd w:val="clear" w:color="auto" w:fill="E2E8F1"/>
          </w:tcPr>
          <w:p>
            <w:pPr>
              <w:spacing w:after="0"/>
              <w:rPr>
                <w:sz w:val="17"/>
                <w:szCs w:val="17"/>
                <w:color w:val="auto"/>
              </w:rPr>
            </w:pPr>
          </w:p>
        </w:tc>
        <w:tc>
          <w:tcPr>
            <w:tcW w:w="900" w:type="dxa"/>
            <w:vAlign w:val="bottom"/>
            <w:shd w:val="clear" w:color="auto" w:fill="E2E8F1"/>
          </w:tcPr>
          <w:p>
            <w:pPr>
              <w:jc w:val="right"/>
              <w:ind w:right="100"/>
              <w:spacing w:after="0"/>
              <w:rPr>
                <w:sz w:val="20"/>
                <w:szCs w:val="20"/>
                <w:color w:val="auto"/>
              </w:rPr>
            </w:pPr>
            <w:r>
              <w:rPr>
                <w:rFonts w:ascii="Arial" w:cs="Arial" w:eastAsia="Arial" w:hAnsi="Arial"/>
                <w:sz w:val="16"/>
                <w:szCs w:val="16"/>
                <w:color w:val="auto"/>
              </w:rPr>
              <w:t>62.2</w:t>
            </w:r>
          </w:p>
        </w:tc>
        <w:tc>
          <w:tcPr>
            <w:tcW w:w="300" w:type="dxa"/>
            <w:vAlign w:val="bottom"/>
            <w:shd w:val="clear" w:color="auto" w:fill="E2E8F1"/>
          </w:tcPr>
          <w:p>
            <w:pPr>
              <w:spacing w:after="0"/>
              <w:rPr>
                <w:sz w:val="17"/>
                <w:szCs w:val="17"/>
                <w:color w:val="auto"/>
              </w:rPr>
            </w:pPr>
          </w:p>
        </w:tc>
        <w:tc>
          <w:tcPr>
            <w:tcW w:w="920" w:type="dxa"/>
            <w:vAlign w:val="bottom"/>
            <w:shd w:val="clear" w:color="auto" w:fill="E2E8F1"/>
          </w:tcPr>
          <w:p>
            <w:pPr>
              <w:jc w:val="right"/>
              <w:ind w:right="101"/>
              <w:spacing w:after="0"/>
              <w:rPr>
                <w:sz w:val="20"/>
                <w:szCs w:val="20"/>
                <w:color w:val="auto"/>
              </w:rPr>
            </w:pPr>
            <w:r>
              <w:rPr>
                <w:rFonts w:ascii="Arial" w:cs="Arial" w:eastAsia="Arial" w:hAnsi="Arial"/>
                <w:sz w:val="16"/>
                <w:szCs w:val="16"/>
                <w:color w:val="auto"/>
              </w:rPr>
              <w:t>70.4</w:t>
            </w:r>
          </w:p>
        </w:tc>
        <w:tc>
          <w:tcPr>
            <w:tcW w:w="300" w:type="dxa"/>
            <w:vAlign w:val="bottom"/>
            <w:shd w:val="clear" w:color="auto" w:fill="E2E8F1"/>
          </w:tcPr>
          <w:p>
            <w:pPr>
              <w:spacing w:after="0"/>
              <w:rPr>
                <w:sz w:val="17"/>
                <w:szCs w:val="17"/>
                <w:color w:val="auto"/>
              </w:rPr>
            </w:pPr>
          </w:p>
        </w:tc>
        <w:tc>
          <w:tcPr>
            <w:tcW w:w="8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(90.3)</w:t>
            </w: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Unrealized adjustment on interest rate swap</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175"/>
        </w:trPr>
        <w:tc>
          <w:tcPr>
            <w:tcW w:w="6380" w:type="dxa"/>
            <w:vAlign w:val="bottom"/>
            <w:shd w:val="clear" w:color="auto" w:fill="E2E8F1"/>
          </w:tcPr>
          <w:p>
            <w:pPr>
              <w:ind w:left="120"/>
              <w:spacing w:after="0" w:line="175" w:lineRule="exact"/>
              <w:rPr>
                <w:sz w:val="20"/>
                <w:szCs w:val="20"/>
                <w:color w:val="auto"/>
              </w:rPr>
            </w:pPr>
            <w:r>
              <w:rPr>
                <w:rFonts w:ascii="Arial" w:cs="Arial" w:eastAsia="Arial" w:hAnsi="Arial"/>
                <w:sz w:val="16"/>
                <w:szCs w:val="16"/>
                <w:color w:val="auto"/>
              </w:rPr>
              <w:t>Defined benefit pension plans and retiree health care plan, net of income taxes of $0.1,</w:t>
            </w:r>
          </w:p>
        </w:tc>
        <w:tc>
          <w:tcPr>
            <w:tcW w:w="16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90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90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r>
      <w:tr>
        <w:trPr>
          <w:trHeight w:val="203"/>
        </w:trPr>
        <w:tc>
          <w:tcPr>
            <w:tcW w:w="6380" w:type="dxa"/>
            <w:vAlign w:val="bottom"/>
            <w:tcBorders>
              <w:bottom w:val="single" w:sz="8" w:color="auto"/>
            </w:tcBorders>
            <w:shd w:val="clear" w:color="auto" w:fill="E2E8F1"/>
          </w:tcPr>
          <w:p>
            <w:pPr>
              <w:ind w:left="120"/>
              <w:spacing w:after="0"/>
              <w:rPr>
                <w:sz w:val="20"/>
                <w:szCs w:val="20"/>
                <w:color w:val="auto"/>
              </w:rPr>
            </w:pPr>
            <w:r>
              <w:rPr>
                <w:rFonts w:ascii="Arial" w:cs="Arial" w:eastAsia="Arial" w:hAnsi="Arial"/>
                <w:sz w:val="16"/>
                <w:szCs w:val="16"/>
                <w:color w:val="auto"/>
              </w:rPr>
              <w:t>$0.0, $0.3 and $(0.1), respectively</w:t>
            </w:r>
          </w:p>
        </w:tc>
        <w:tc>
          <w:tcPr>
            <w:tcW w:w="160" w:type="dxa"/>
            <w:vAlign w:val="bottom"/>
            <w:tcBorders>
              <w:bottom w:val="single" w:sz="8" w:color="auto"/>
            </w:tcBorders>
            <w:shd w:val="clear" w:color="auto" w:fill="E2E8F1"/>
          </w:tcPr>
          <w:p>
            <w:pPr>
              <w:spacing w:after="0"/>
              <w:rPr>
                <w:sz w:val="17"/>
                <w:szCs w:val="17"/>
                <w:color w:val="auto"/>
              </w:rPr>
            </w:pPr>
          </w:p>
        </w:tc>
        <w:tc>
          <w:tcPr>
            <w:tcW w:w="200" w:type="dxa"/>
            <w:vAlign w:val="bottom"/>
            <w:tcBorders>
              <w:bottom w:val="single" w:sz="8" w:color="auto"/>
            </w:tcBorders>
            <w:shd w:val="clear" w:color="auto" w:fill="E2E8F1"/>
          </w:tcPr>
          <w:p>
            <w:pPr>
              <w:spacing w:after="0"/>
              <w:rPr>
                <w:sz w:val="17"/>
                <w:szCs w:val="17"/>
                <w:color w:val="auto"/>
              </w:rPr>
            </w:pPr>
          </w:p>
        </w:tc>
        <w:tc>
          <w:tcPr>
            <w:tcW w:w="90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(0.3)</w:t>
            </w:r>
          </w:p>
        </w:tc>
        <w:tc>
          <w:tcPr>
            <w:tcW w:w="300" w:type="dxa"/>
            <w:vAlign w:val="bottom"/>
            <w:tcBorders>
              <w:bottom w:val="single" w:sz="8" w:color="auto"/>
            </w:tcBorders>
            <w:shd w:val="clear" w:color="auto" w:fill="E2E8F1"/>
          </w:tcPr>
          <w:p>
            <w:pPr>
              <w:spacing w:after="0"/>
              <w:rPr>
                <w:sz w:val="17"/>
                <w:szCs w:val="17"/>
                <w:color w:val="auto"/>
              </w:rPr>
            </w:pPr>
          </w:p>
        </w:tc>
        <w:tc>
          <w:tcPr>
            <w:tcW w:w="9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(0.2)</w:t>
            </w:r>
          </w:p>
        </w:tc>
        <w:tc>
          <w:tcPr>
            <w:tcW w:w="300" w:type="dxa"/>
            <w:vAlign w:val="bottom"/>
            <w:tcBorders>
              <w:bottom w:val="single" w:sz="8" w:color="auto"/>
            </w:tcBorders>
            <w:shd w:val="clear" w:color="auto" w:fill="E2E8F1"/>
          </w:tcPr>
          <w:p>
            <w:pPr>
              <w:spacing w:after="0"/>
              <w:rPr>
                <w:sz w:val="17"/>
                <w:szCs w:val="17"/>
                <w:color w:val="auto"/>
              </w:rPr>
            </w:pPr>
          </w:p>
        </w:tc>
        <w:tc>
          <w:tcPr>
            <w:tcW w:w="92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(0.9)</w:t>
            </w:r>
          </w:p>
        </w:tc>
        <w:tc>
          <w:tcPr>
            <w:tcW w:w="300" w:type="dxa"/>
            <w:vAlign w:val="bottom"/>
            <w:tcBorders>
              <w:bottom w:val="single" w:sz="8" w:color="auto"/>
            </w:tcBorders>
            <w:shd w:val="clear" w:color="auto" w:fill="E2E8F1"/>
          </w:tcPr>
          <w:p>
            <w:pPr>
              <w:spacing w:after="0"/>
              <w:rPr>
                <w:sz w:val="17"/>
                <w:szCs w:val="17"/>
                <w:color w:val="auto"/>
              </w:rPr>
            </w:pPr>
          </w:p>
        </w:tc>
        <w:tc>
          <w:tcPr>
            <w:tcW w:w="8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(0.5)</w:t>
            </w:r>
          </w:p>
        </w:tc>
      </w:tr>
      <w:tr>
        <w:trPr>
          <w:trHeight w:val="183"/>
        </w:trPr>
        <w:tc>
          <w:tcPr>
            <w:tcW w:w="638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Total other comprehensive (loss) income</w:t>
            </w:r>
          </w:p>
        </w:tc>
        <w:tc>
          <w:tcPr>
            <w:tcW w:w="36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(7.0)</w:t>
            </w:r>
          </w:p>
        </w:tc>
        <w:tc>
          <w:tcPr>
            <w:tcW w:w="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(6.2)</w:t>
            </w:r>
          </w:p>
        </w:tc>
        <w:tc>
          <w:tcPr>
            <w:tcW w:w="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6.0</w:t>
            </w:r>
          </w:p>
        </w:tc>
        <w:tc>
          <w:tcPr>
            <w:tcW w:w="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w:t>
            </w:r>
          </w:p>
        </w:tc>
      </w:tr>
      <w:tr>
        <w:trPr>
          <w:trHeight w:val="183"/>
        </w:trPr>
        <w:tc>
          <w:tcPr>
            <w:tcW w:w="6380" w:type="dxa"/>
            <w:vAlign w:val="bottom"/>
            <w:tcBorders>
              <w:bottom w:val="single" w:sz="8" w:color="auto"/>
            </w:tcBorders>
            <w:shd w:val="clear" w:color="auto" w:fill="E2E8F1"/>
          </w:tcPr>
          <w:p>
            <w:pPr>
              <w:ind w:left="60"/>
              <w:spacing w:after="0" w:line="183" w:lineRule="exact"/>
              <w:rPr>
                <w:sz w:val="20"/>
                <w:szCs w:val="20"/>
                <w:color w:val="auto"/>
              </w:rPr>
            </w:pPr>
            <w:r>
              <w:rPr>
                <w:rFonts w:ascii="Arial" w:cs="Arial" w:eastAsia="Arial" w:hAnsi="Arial"/>
                <w:sz w:val="16"/>
                <w:szCs w:val="16"/>
                <w:color w:val="auto"/>
              </w:rPr>
              <w:t>Comprehensive income (loss)</w:t>
            </w:r>
          </w:p>
        </w:tc>
        <w:tc>
          <w:tcPr>
            <w:tcW w:w="360" w:type="dxa"/>
            <w:vAlign w:val="bottom"/>
            <w:tcBorders>
              <w:bottom w:val="single" w:sz="8" w:color="auto"/>
            </w:tcBorders>
            <w:gridSpan w:val="2"/>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2E8F1"/>
          </w:tcPr>
          <w:p>
            <w:pPr>
              <w:jc w:val="right"/>
              <w:ind w:right="101"/>
              <w:spacing w:after="0" w:line="183" w:lineRule="exact"/>
              <w:rPr>
                <w:sz w:val="20"/>
                <w:szCs w:val="20"/>
                <w:color w:val="auto"/>
              </w:rPr>
            </w:pPr>
            <w:r>
              <w:rPr>
                <w:rFonts w:ascii="Arial" w:cs="Arial" w:eastAsia="Arial" w:hAnsi="Arial"/>
                <w:sz w:val="16"/>
                <w:szCs w:val="16"/>
                <w:color w:val="auto"/>
              </w:rPr>
              <w:t>27.1</w:t>
            </w:r>
          </w:p>
        </w:tc>
        <w:tc>
          <w:tcPr>
            <w:tcW w:w="3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11.8</w:t>
            </w:r>
          </w:p>
        </w:tc>
        <w:tc>
          <w:tcPr>
            <w:tcW w:w="3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2E8F1"/>
          </w:tcPr>
          <w:p>
            <w:pPr>
              <w:jc w:val="right"/>
              <w:ind w:right="101"/>
              <w:spacing w:after="0" w:line="183" w:lineRule="exact"/>
              <w:rPr>
                <w:sz w:val="20"/>
                <w:szCs w:val="20"/>
                <w:color w:val="auto"/>
              </w:rPr>
            </w:pPr>
            <w:r>
              <w:rPr>
                <w:rFonts w:ascii="Arial" w:cs="Arial" w:eastAsia="Arial" w:hAnsi="Arial"/>
                <w:sz w:val="16"/>
                <w:szCs w:val="16"/>
                <w:color w:val="auto"/>
              </w:rPr>
              <w:t>96.1</w:t>
            </w:r>
          </w:p>
        </w:tc>
        <w:tc>
          <w:tcPr>
            <w:tcW w:w="3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(57.6)</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Cash Flows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00" w:type="dxa"/>
            <w:vAlign w:val="bottom"/>
            <w:tcBorders>
              <w:top w:val="single" w:sz="8" w:color="auto"/>
            </w:tcBorders>
            <w:shd w:val="clear" w:color="auto" w:fill="95B3D1"/>
          </w:tcPr>
          <w:p>
            <w:pPr>
              <w:spacing w:after="0"/>
              <w:rPr>
                <w:sz w:val="15"/>
                <w:szCs w:val="15"/>
                <w:color w:val="auto"/>
              </w:rPr>
            </w:pPr>
          </w:p>
        </w:tc>
        <w:tc>
          <w:tcPr>
            <w:tcW w:w="100" w:type="dxa"/>
            <w:vAlign w:val="bottom"/>
            <w:tcBorders>
              <w:top w:val="single" w:sz="8" w:color="auto"/>
            </w:tcBorders>
            <w:shd w:val="clear" w:color="auto" w:fill="95B3D1"/>
          </w:tcPr>
          <w:p>
            <w:pPr>
              <w:spacing w:after="0"/>
              <w:rPr>
                <w:sz w:val="15"/>
                <w:szCs w:val="15"/>
                <w:color w:val="auto"/>
              </w:rPr>
            </w:pPr>
          </w:p>
        </w:tc>
        <w:tc>
          <w:tcPr>
            <w:tcW w:w="240" w:type="dxa"/>
            <w:vAlign w:val="bottom"/>
            <w:tcBorders>
              <w:top w:val="single" w:sz="8" w:color="auto"/>
            </w:tcBorders>
            <w:shd w:val="clear" w:color="auto" w:fill="95B3D1"/>
          </w:tcPr>
          <w:p>
            <w:pPr>
              <w:spacing w:after="0"/>
              <w:rPr>
                <w:sz w:val="15"/>
                <w:szCs w:val="15"/>
                <w:color w:val="auto"/>
              </w:rPr>
            </w:pPr>
          </w:p>
        </w:tc>
        <w:tc>
          <w:tcPr>
            <w:tcW w:w="2300" w:type="dxa"/>
            <w:vAlign w:val="bottom"/>
            <w:tcBorders>
              <w:top w:val="single" w:sz="8" w:color="auto"/>
            </w:tcBorders>
            <w:gridSpan w:val="3"/>
            <w:shd w:val="clear" w:color="auto" w:fill="95B3D1"/>
          </w:tcPr>
          <w:p>
            <w:pPr>
              <w:jc w:val="right"/>
              <w:ind w:right="579"/>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8600" w:type="dxa"/>
            <w:vAlign w:val="bottom"/>
            <w:tcBorders>
              <w:bottom w:val="single" w:sz="8" w:color="95B3D1"/>
            </w:tcBorders>
            <w:shd w:val="clear" w:color="auto" w:fill="95B3D1"/>
          </w:tcPr>
          <w:p>
            <w:pPr>
              <w:spacing w:after="0"/>
              <w:rPr>
                <w:sz w:val="14"/>
                <w:szCs w:val="14"/>
                <w:color w:val="auto"/>
              </w:rPr>
            </w:pPr>
          </w:p>
        </w:tc>
        <w:tc>
          <w:tcPr>
            <w:tcW w:w="100" w:type="dxa"/>
            <w:vAlign w:val="bottom"/>
            <w:tcBorders>
              <w:bottom w:val="single" w:sz="8" w:color="95B3D1"/>
            </w:tcBorders>
            <w:shd w:val="clear" w:color="auto" w:fill="95B3D1"/>
          </w:tcPr>
          <w:p>
            <w:pPr>
              <w:spacing w:after="0"/>
              <w:rPr>
                <w:sz w:val="14"/>
                <w:szCs w:val="14"/>
                <w:color w:val="auto"/>
              </w:rPr>
            </w:pPr>
          </w:p>
        </w:tc>
        <w:tc>
          <w:tcPr>
            <w:tcW w:w="240" w:type="dxa"/>
            <w:vAlign w:val="bottom"/>
            <w:tcBorders>
              <w:bottom w:val="single" w:sz="8" w:color="auto"/>
            </w:tcBorders>
            <w:shd w:val="clear" w:color="auto" w:fill="95B3D1"/>
          </w:tcPr>
          <w:p>
            <w:pPr>
              <w:spacing w:after="0"/>
              <w:rPr>
                <w:sz w:val="14"/>
                <w:szCs w:val="14"/>
                <w:color w:val="auto"/>
              </w:rPr>
            </w:pPr>
          </w:p>
        </w:tc>
        <w:tc>
          <w:tcPr>
            <w:tcW w:w="1460" w:type="dxa"/>
            <w:vAlign w:val="bottom"/>
            <w:tcBorders>
              <w:bottom w:val="single" w:sz="8" w:color="auto"/>
            </w:tcBorders>
            <w:gridSpan w:val="2"/>
            <w:shd w:val="clear" w:color="auto" w:fill="95B3D1"/>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shd w:val="clear" w:color="auto" w:fill="95B3D1"/>
          </w:tcPr>
          <w:p>
            <w:pPr>
              <w:spacing w:after="0"/>
              <w:rPr>
                <w:sz w:val="14"/>
                <w:szCs w:val="14"/>
                <w:color w:val="auto"/>
              </w:rPr>
            </w:pPr>
          </w:p>
        </w:tc>
      </w:tr>
      <w:tr>
        <w:trPr>
          <w:trHeight w:val="156"/>
        </w:trPr>
        <w:tc>
          <w:tcPr>
            <w:tcW w:w="8600" w:type="dxa"/>
            <w:vAlign w:val="bottom"/>
            <w:tcBorders>
              <w:bottom w:val="single" w:sz="8" w:color="auto"/>
            </w:tcBorders>
            <w:shd w:val="clear" w:color="auto" w:fill="95B3D1"/>
          </w:tcPr>
          <w:p>
            <w:pPr>
              <w:spacing w:after="0"/>
              <w:rPr>
                <w:sz w:val="13"/>
                <w:szCs w:val="13"/>
                <w:color w:val="auto"/>
              </w:rPr>
            </w:pPr>
          </w:p>
        </w:tc>
        <w:tc>
          <w:tcPr>
            <w:tcW w:w="100" w:type="dxa"/>
            <w:vAlign w:val="bottom"/>
            <w:tcBorders>
              <w:bottom w:val="single" w:sz="8" w:color="auto"/>
            </w:tcBorders>
            <w:shd w:val="clear" w:color="auto" w:fill="95B3D1"/>
          </w:tcPr>
          <w:p>
            <w:pPr>
              <w:spacing w:after="0"/>
              <w:rPr>
                <w:sz w:val="13"/>
                <w:szCs w:val="13"/>
                <w:color w:val="auto"/>
              </w:rPr>
            </w:pPr>
          </w:p>
        </w:tc>
        <w:tc>
          <w:tcPr>
            <w:tcW w:w="240" w:type="dxa"/>
            <w:vAlign w:val="bottom"/>
            <w:tcBorders>
              <w:bottom w:val="single" w:sz="8" w:color="auto"/>
            </w:tcBorders>
            <w:shd w:val="clear" w:color="auto" w:fill="95B3D1"/>
          </w:tcPr>
          <w:p>
            <w:pPr>
              <w:spacing w:after="0"/>
              <w:rPr>
                <w:sz w:val="13"/>
                <w:szCs w:val="13"/>
                <w:color w:val="auto"/>
              </w:rPr>
            </w:pPr>
          </w:p>
        </w:tc>
        <w:tc>
          <w:tcPr>
            <w:tcW w:w="1000" w:type="dxa"/>
            <w:vAlign w:val="bottom"/>
            <w:tcBorders>
              <w:bottom w:val="single" w:sz="8" w:color="auto"/>
            </w:tcBorders>
            <w:shd w:val="clear" w:color="auto" w:fill="95B3D1"/>
          </w:tcPr>
          <w:p>
            <w:pPr>
              <w:jc w:val="right"/>
              <w:ind w:right="460"/>
              <w:spacing w:after="0" w:line="155" w:lineRule="exact"/>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shd w:val="clear" w:color="auto" w:fill="95B3D1"/>
          </w:tcPr>
          <w:p>
            <w:pPr>
              <w:spacing w:after="0"/>
              <w:rPr>
                <w:sz w:val="13"/>
                <w:szCs w:val="13"/>
                <w:color w:val="auto"/>
              </w:rPr>
            </w:pPr>
          </w:p>
        </w:tc>
        <w:tc>
          <w:tcPr>
            <w:tcW w:w="840" w:type="dxa"/>
            <w:vAlign w:val="bottom"/>
            <w:tcBorders>
              <w:bottom w:val="single" w:sz="8" w:color="auto"/>
            </w:tcBorders>
            <w:shd w:val="clear" w:color="auto" w:fill="95B3D1"/>
          </w:tcPr>
          <w:p>
            <w:pPr>
              <w:jc w:val="right"/>
              <w:ind w:right="439"/>
              <w:spacing w:after="0" w:line="155" w:lineRule="exact"/>
              <w:rPr>
                <w:sz w:val="20"/>
                <w:szCs w:val="20"/>
                <w:color w:val="auto"/>
              </w:rPr>
            </w:pPr>
            <w:r>
              <w:rPr>
                <w:rFonts w:ascii="Arial" w:cs="Arial" w:eastAsia="Arial" w:hAnsi="Arial"/>
                <w:sz w:val="14"/>
                <w:szCs w:val="14"/>
                <w:b w:val="1"/>
                <w:bCs w:val="1"/>
                <w:color w:val="auto"/>
                <w:w w:val="96"/>
              </w:rPr>
              <w:t>2025</w:t>
            </w:r>
          </w:p>
        </w:tc>
      </w:tr>
      <w:tr>
        <w:trPr>
          <w:trHeight w:val="183"/>
        </w:trPr>
        <w:tc>
          <w:tcPr>
            <w:tcW w:w="86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c>
          <w:tcPr>
            <w:tcW w:w="460" w:type="dxa"/>
            <w:vAlign w:val="bottom"/>
            <w:shd w:val="clear" w:color="auto" w:fill="E2E8F1"/>
          </w:tcPr>
          <w:p>
            <w:pPr>
              <w:spacing w:after="0"/>
              <w:rPr>
                <w:sz w:val="15"/>
                <w:szCs w:val="15"/>
                <w:color w:val="auto"/>
              </w:rPr>
            </w:pPr>
          </w:p>
        </w:tc>
        <w:tc>
          <w:tcPr>
            <w:tcW w:w="840" w:type="dxa"/>
            <w:vAlign w:val="bottom"/>
            <w:shd w:val="clear" w:color="auto" w:fill="E2E8F1"/>
          </w:tcPr>
          <w:p>
            <w:pPr>
              <w:spacing w:after="0"/>
              <w:rPr>
                <w:sz w:val="15"/>
                <w:szCs w:val="15"/>
                <w:color w:val="auto"/>
              </w:rPr>
            </w:pPr>
          </w:p>
        </w:tc>
      </w:tr>
      <w:tr>
        <w:trPr>
          <w:trHeight w:val="189"/>
        </w:trPr>
        <w:tc>
          <w:tcPr>
            <w:tcW w:w="8600" w:type="dxa"/>
            <w:vAlign w:val="bottom"/>
          </w:tcPr>
          <w:p>
            <w:pPr>
              <w:ind w:left="80"/>
              <w:spacing w:after="0"/>
              <w:rPr>
                <w:sz w:val="20"/>
                <w:szCs w:val="20"/>
                <w:color w:val="auto"/>
              </w:rPr>
            </w:pPr>
            <w:r>
              <w:rPr>
                <w:rFonts w:ascii="Arial" w:cs="Arial" w:eastAsia="Arial" w:hAnsi="Arial"/>
                <w:sz w:val="16"/>
                <w:szCs w:val="16"/>
                <w:color w:val="auto"/>
              </w:rPr>
              <w:t>Net earnings (loss)</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90.1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color w:val="auto"/>
              </w:rPr>
              <w:t>Adjustments to reconcile net earnings (loss) to net cash used in operating activities:</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spacing w:after="0"/>
              <w:rPr>
                <w:sz w:val="16"/>
                <w:szCs w:val="16"/>
                <w:color w:val="auto"/>
              </w:rPr>
            </w:pP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62.1</w:t>
            </w:r>
          </w:p>
        </w:tc>
        <w:tc>
          <w:tcPr>
            <w:tcW w:w="46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65.5</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(Gain) loss on sales of subsidiaries, net</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20"/>
              <w:spacing w:after="0"/>
              <w:rPr>
                <w:sz w:val="20"/>
                <w:szCs w:val="20"/>
                <w:color w:val="auto"/>
              </w:rPr>
            </w:pPr>
            <w:r>
              <w:rPr>
                <w:rFonts w:ascii="Arial" w:cs="Arial" w:eastAsia="Arial" w:hAnsi="Arial"/>
                <w:sz w:val="16"/>
                <w:szCs w:val="16"/>
                <w:color w:val="auto"/>
              </w:rPr>
              <w:t>(22.8)</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6.2</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Non-cash impairment of goodwill and other intangible assets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88.7</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7.1</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(16.1)</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Provision for credit losses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46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4.3</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20.9</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20.2</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8600" w:type="dxa"/>
            <w:vAlign w:val="bottom"/>
            <w:shd w:val="clear" w:color="auto" w:fill="E2E8F1"/>
          </w:tcPr>
          <w:p>
            <w:pPr>
              <w:ind w:left="40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36.4</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(8.8)</w:t>
            </w:r>
          </w:p>
        </w:tc>
      </w:tr>
      <w:tr>
        <w:trPr>
          <w:trHeight w:val="189"/>
        </w:trPr>
        <w:tc>
          <w:tcPr>
            <w:tcW w:w="8600" w:type="dxa"/>
            <w:vAlign w:val="bottom"/>
          </w:tcPr>
          <w:p>
            <w:pPr>
              <w:ind w:left="400"/>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(74.7)</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189"/>
        </w:trPr>
        <w:tc>
          <w:tcPr>
            <w:tcW w:w="8600" w:type="dxa"/>
            <w:vAlign w:val="bottom"/>
            <w:shd w:val="clear" w:color="auto" w:fill="E2E8F1"/>
          </w:tcPr>
          <w:p>
            <w:pPr>
              <w:ind w:left="40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20"/>
              <w:spacing w:after="0"/>
              <w:rPr>
                <w:sz w:val="20"/>
                <w:szCs w:val="20"/>
                <w:color w:val="auto"/>
              </w:rPr>
            </w:pPr>
            <w:r>
              <w:rPr>
                <w:rFonts w:ascii="Arial" w:cs="Arial" w:eastAsia="Arial" w:hAnsi="Arial"/>
                <w:sz w:val="16"/>
                <w:szCs w:val="16"/>
                <w:color w:val="auto"/>
              </w:rPr>
              <w:t>(255.8)</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(182.9)</w:t>
            </w:r>
          </w:p>
        </w:tc>
      </w:tr>
      <w:tr>
        <w:trPr>
          <w:trHeight w:val="189"/>
        </w:trPr>
        <w:tc>
          <w:tcPr>
            <w:tcW w:w="86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r>
      <w:tr>
        <w:trPr>
          <w:trHeight w:val="183"/>
        </w:trPr>
        <w:tc>
          <w:tcPr>
            <w:tcW w:w="8600" w:type="dxa"/>
            <w:vAlign w:val="bottom"/>
            <w:tcBorders>
              <w:bottom w:val="single" w:sz="8" w:color="auto"/>
            </w:tcBorders>
            <w:shd w:val="clear" w:color="auto" w:fill="E2E8F1"/>
          </w:tcPr>
          <w:p>
            <w:pPr>
              <w:ind w:left="560"/>
              <w:spacing w:after="0" w:line="183" w:lineRule="exact"/>
              <w:rPr>
                <w:sz w:val="20"/>
                <w:szCs w:val="20"/>
                <w:color w:val="auto"/>
              </w:rPr>
            </w:pPr>
            <w:r>
              <w:rPr>
                <w:rFonts w:ascii="Arial" w:cs="Arial" w:eastAsia="Arial" w:hAnsi="Arial"/>
                <w:sz w:val="16"/>
                <w:szCs w:val="16"/>
                <w:color w:val="auto"/>
              </w:rPr>
              <w:t>Cash used in operating activities</w:t>
            </w:r>
          </w:p>
        </w:tc>
        <w:tc>
          <w:tcPr>
            <w:tcW w:w="100" w:type="dxa"/>
            <w:vAlign w:val="bottom"/>
            <w:tcBorders>
              <w:bottom w:val="single" w:sz="8" w:color="auto"/>
            </w:tcBorders>
            <w:shd w:val="clear" w:color="auto" w:fill="E2E8F1"/>
          </w:tcPr>
          <w:p>
            <w:pPr>
              <w:spacing w:after="0"/>
              <w:rPr>
                <w:sz w:val="15"/>
                <w:szCs w:val="15"/>
                <w:color w:val="auto"/>
              </w:rPr>
            </w:pPr>
          </w:p>
        </w:tc>
        <w:tc>
          <w:tcPr>
            <w:tcW w:w="2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(137.0)</w:t>
            </w:r>
          </w:p>
        </w:tc>
        <w:tc>
          <w:tcPr>
            <w:tcW w:w="460" w:type="dxa"/>
            <w:vAlign w:val="bottom"/>
            <w:tcBorders>
              <w:bottom w:val="single" w:sz="8" w:color="auto"/>
            </w:tcBorders>
            <w:shd w:val="clear" w:color="auto" w:fill="E2E8F1"/>
          </w:tcPr>
          <w:p>
            <w:pPr>
              <w:spacing w:after="0"/>
              <w:rPr>
                <w:sz w:val="15"/>
                <w:szCs w:val="15"/>
                <w:color w:val="auto"/>
              </w:rPr>
            </w:pPr>
          </w:p>
        </w:tc>
        <w:tc>
          <w:tcPr>
            <w:tcW w:w="8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(283.0)</w:t>
            </w:r>
          </w:p>
        </w:tc>
      </w:tr>
      <w:tr>
        <w:trPr>
          <w:trHeight w:val="183"/>
        </w:trPr>
        <w:tc>
          <w:tcPr>
            <w:tcW w:w="8600" w:type="dxa"/>
            <w:vAlign w:val="bottom"/>
          </w:tcPr>
          <w:p>
            <w:pPr>
              <w:ind w:left="8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Capital expenditures</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20"/>
              <w:spacing w:after="0"/>
              <w:rPr>
                <w:sz w:val="20"/>
                <w:szCs w:val="20"/>
                <w:color w:val="auto"/>
              </w:rPr>
            </w:pPr>
            <w:r>
              <w:rPr>
                <w:rFonts w:ascii="Arial" w:cs="Arial" w:eastAsia="Arial" w:hAnsi="Arial"/>
                <w:sz w:val="16"/>
                <w:szCs w:val="16"/>
                <w:color w:val="auto"/>
              </w:rPr>
              <w:t>(23.6)</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(46.4)</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Impact to cash resulting from sales of subsidiaries</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87.5</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8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Proceeds from the sale of property and equipment</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0.8</w:t>
            </w:r>
          </w:p>
        </w:tc>
      </w:tr>
      <w:tr>
        <w:trPr>
          <w:trHeight w:val="183"/>
        </w:trPr>
        <w:tc>
          <w:tcPr>
            <w:tcW w:w="8600" w:type="dxa"/>
            <w:vAlign w:val="bottom"/>
            <w:tcBorders>
              <w:bottom w:val="single" w:sz="8" w:color="auto"/>
            </w:tcBorders>
            <w:shd w:val="clear" w:color="auto" w:fill="E2E8F1"/>
          </w:tcPr>
          <w:p>
            <w:pPr>
              <w:ind w:left="560"/>
              <w:spacing w:after="0" w:line="183" w:lineRule="exact"/>
              <w:rPr>
                <w:sz w:val="20"/>
                <w:szCs w:val="20"/>
                <w:color w:val="auto"/>
              </w:rPr>
            </w:pPr>
            <w:r>
              <w:rPr>
                <w:rFonts w:ascii="Arial" w:cs="Arial" w:eastAsia="Arial" w:hAnsi="Arial"/>
                <w:sz w:val="16"/>
                <w:szCs w:val="16"/>
                <w:color w:val="auto"/>
              </w:rPr>
              <w:t>Cash provided by (used in) investing activities</w:t>
            </w:r>
          </w:p>
        </w:tc>
        <w:tc>
          <w:tcPr>
            <w:tcW w:w="100" w:type="dxa"/>
            <w:vAlign w:val="bottom"/>
            <w:tcBorders>
              <w:bottom w:val="single" w:sz="8" w:color="auto"/>
            </w:tcBorders>
            <w:shd w:val="clear" w:color="auto" w:fill="E2E8F1"/>
          </w:tcPr>
          <w:p>
            <w:pPr>
              <w:spacing w:after="0"/>
              <w:rPr>
                <w:sz w:val="15"/>
                <w:szCs w:val="15"/>
                <w:color w:val="auto"/>
              </w:rPr>
            </w:pPr>
          </w:p>
        </w:tc>
        <w:tc>
          <w:tcPr>
            <w:tcW w:w="2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65.3</w:t>
            </w:r>
          </w:p>
        </w:tc>
        <w:tc>
          <w:tcPr>
            <w:tcW w:w="460" w:type="dxa"/>
            <w:vAlign w:val="bottom"/>
            <w:tcBorders>
              <w:bottom w:val="single" w:sz="8" w:color="auto"/>
            </w:tcBorders>
            <w:shd w:val="clear" w:color="auto" w:fill="E2E8F1"/>
          </w:tcPr>
          <w:p>
            <w:pPr>
              <w:spacing w:after="0"/>
              <w:rPr>
                <w:sz w:val="15"/>
                <w:szCs w:val="15"/>
                <w:color w:val="auto"/>
              </w:rPr>
            </w:pPr>
          </w:p>
        </w:tc>
        <w:tc>
          <w:tcPr>
            <w:tcW w:w="8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(48.7)</w:t>
            </w:r>
          </w:p>
        </w:tc>
      </w:tr>
      <w:tr>
        <w:trPr>
          <w:trHeight w:val="183"/>
        </w:trPr>
        <w:tc>
          <w:tcPr>
            <w:tcW w:w="8600" w:type="dxa"/>
            <w:vAlign w:val="bottom"/>
          </w:tcPr>
          <w:p>
            <w:pPr>
              <w:ind w:left="8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Net change in short-term borrowings</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1.5</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65.7</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Net proceeds from revolving debt facility</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50.0</w:t>
            </w:r>
          </w:p>
        </w:tc>
        <w:tc>
          <w:tcPr>
            <w:tcW w:w="46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73.0</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Proceeds from long-term debt</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3.2</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0.2</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Repayments of long-term debt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(585.9)</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Payments of contingent consideration for acquisition</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20"/>
              <w:spacing w:after="0"/>
              <w:rPr>
                <w:sz w:val="20"/>
                <w:szCs w:val="20"/>
                <w:color w:val="auto"/>
              </w:rPr>
            </w:pPr>
            <w:r>
              <w:rPr>
                <w:rFonts w:ascii="Arial" w:cs="Arial" w:eastAsia="Arial" w:hAnsi="Arial"/>
                <w:sz w:val="16"/>
                <w:szCs w:val="16"/>
                <w:color w:val="auto"/>
              </w:rPr>
              <w:t>(0.8)</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Repurchases of common stock and excise tax</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20"/>
              <w:spacing w:after="0"/>
              <w:rPr>
                <w:sz w:val="20"/>
                <w:szCs w:val="20"/>
                <w:color w:val="auto"/>
              </w:rPr>
            </w:pPr>
            <w:r>
              <w:rPr>
                <w:rFonts w:ascii="Arial" w:cs="Arial" w:eastAsia="Arial" w:hAnsi="Arial"/>
                <w:sz w:val="16"/>
                <w:szCs w:val="16"/>
                <w:color w:val="auto"/>
              </w:rPr>
              <w:t>(0.3)</w:t>
            </w: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(38.2)</w:t>
            </w:r>
          </w:p>
        </w:tc>
      </w:tr>
      <w:tr>
        <w:trPr>
          <w:trHeight w:val="189"/>
        </w:trPr>
        <w:tc>
          <w:tcPr>
            <w:tcW w:w="8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Dividends paid</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(33.5)</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r>
      <w:tr>
        <w:trPr>
          <w:trHeight w:val="183"/>
        </w:trPr>
        <w:tc>
          <w:tcPr>
            <w:tcW w:w="8600" w:type="dxa"/>
            <w:vAlign w:val="bottom"/>
            <w:tcBorders>
              <w:bottom w:val="single" w:sz="8" w:color="auto"/>
            </w:tcBorders>
            <w:shd w:val="clear" w:color="auto" w:fill="E2E8F1"/>
          </w:tcPr>
          <w:p>
            <w:pPr>
              <w:ind w:left="560"/>
              <w:spacing w:after="0" w:line="183" w:lineRule="exact"/>
              <w:rPr>
                <w:sz w:val="20"/>
                <w:szCs w:val="20"/>
                <w:color w:val="auto"/>
              </w:rPr>
            </w:pPr>
            <w:r>
              <w:rPr>
                <w:rFonts w:ascii="Arial" w:cs="Arial" w:eastAsia="Arial" w:hAnsi="Arial"/>
                <w:sz w:val="16"/>
                <w:szCs w:val="16"/>
                <w:color w:val="auto"/>
              </w:rPr>
              <w:t>Cash (used in) provided by financing activities</w:t>
            </w:r>
          </w:p>
        </w:tc>
        <w:tc>
          <w:tcPr>
            <w:tcW w:w="100" w:type="dxa"/>
            <w:vAlign w:val="bottom"/>
            <w:tcBorders>
              <w:bottom w:val="single" w:sz="8" w:color="auto"/>
            </w:tcBorders>
            <w:shd w:val="clear" w:color="auto" w:fill="E2E8F1"/>
          </w:tcPr>
          <w:p>
            <w:pPr>
              <w:spacing w:after="0"/>
              <w:rPr>
                <w:sz w:val="15"/>
                <w:szCs w:val="15"/>
                <w:color w:val="auto"/>
              </w:rPr>
            </w:pPr>
          </w:p>
        </w:tc>
        <w:tc>
          <w:tcPr>
            <w:tcW w:w="2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(568.6)</w:t>
            </w:r>
          </w:p>
        </w:tc>
        <w:tc>
          <w:tcPr>
            <w:tcW w:w="460" w:type="dxa"/>
            <w:vAlign w:val="bottom"/>
            <w:tcBorders>
              <w:bottom w:val="single" w:sz="8" w:color="auto"/>
            </w:tcBorders>
            <w:shd w:val="clear" w:color="auto" w:fill="E2E8F1"/>
          </w:tcPr>
          <w:p>
            <w:pPr>
              <w:spacing w:after="0"/>
              <w:rPr>
                <w:sz w:val="15"/>
                <w:szCs w:val="15"/>
                <w:color w:val="auto"/>
              </w:rPr>
            </w:pPr>
          </w:p>
        </w:tc>
        <w:tc>
          <w:tcPr>
            <w:tcW w:w="84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59.5</w:t>
            </w:r>
          </w:p>
        </w:tc>
      </w:tr>
      <w:tr>
        <w:trPr>
          <w:trHeight w:val="183"/>
        </w:trPr>
        <w:tc>
          <w:tcPr>
            <w:tcW w:w="860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Effect of exchange rate changes on cash</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2.4</w:t>
            </w: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37.4</w:t>
            </w:r>
          </w:p>
        </w:tc>
      </w:tr>
      <w:tr>
        <w:trPr>
          <w:trHeight w:val="183"/>
        </w:trPr>
        <w:tc>
          <w:tcPr>
            <w:tcW w:w="86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Change in cash and cash equivalents</w:t>
            </w:r>
          </w:p>
        </w:tc>
        <w:tc>
          <w:tcPr>
            <w:tcW w:w="10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00" w:type="dxa"/>
            <w:vAlign w:val="bottom"/>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(637.9)</w:t>
            </w:r>
          </w:p>
        </w:tc>
        <w:tc>
          <w:tcPr>
            <w:tcW w:w="460" w:type="dxa"/>
            <w:vAlign w:val="bottom"/>
            <w:shd w:val="clear" w:color="auto" w:fill="E2E8F1"/>
          </w:tcPr>
          <w:p>
            <w:pPr>
              <w:spacing w:after="0"/>
              <w:rPr>
                <w:sz w:val="15"/>
                <w:szCs w:val="15"/>
                <w:color w:val="auto"/>
              </w:rPr>
            </w:pPr>
          </w:p>
        </w:tc>
        <w:tc>
          <w:tcPr>
            <w:tcW w:w="8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(234.8)</w:t>
            </w:r>
          </w:p>
        </w:tc>
      </w:tr>
      <w:tr>
        <w:trPr>
          <w:trHeight w:val="189"/>
        </w:trPr>
        <w:tc>
          <w:tcPr>
            <w:tcW w:w="86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Cash and cash equivalents, beginning of period</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871.0</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509.4</w:t>
            </w:r>
          </w:p>
        </w:tc>
      </w:tr>
      <w:tr>
        <w:trPr>
          <w:trHeight w:val="183"/>
        </w:trPr>
        <w:tc>
          <w:tcPr>
            <w:tcW w:w="860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233.1</w:t>
            </w:r>
          </w:p>
        </w:tc>
        <w:tc>
          <w:tcPr>
            <w:tcW w:w="460" w:type="dxa"/>
            <w:vAlign w:val="bottom"/>
            <w:tcBorders>
              <w:bottom w:val="single" w:sz="8" w:color="auto"/>
            </w:tcBorders>
            <w:shd w:val="clear" w:color="auto" w:fill="E2E8F1"/>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274.6</w:t>
            </w:r>
          </w:p>
        </w:tc>
      </w:tr>
      <w:tr>
        <w:trPr>
          <w:trHeight w:val="183"/>
        </w:trPr>
        <w:tc>
          <w:tcPr>
            <w:tcW w:w="8600" w:type="dxa"/>
            <w:vAlign w:val="bottom"/>
          </w:tcPr>
          <w:p>
            <w:pPr>
              <w:ind w:left="80"/>
              <w:spacing w:after="0" w:line="183" w:lineRule="exact"/>
              <w:rPr>
                <w:sz w:val="20"/>
                <w:szCs w:val="20"/>
                <w:color w:val="auto"/>
              </w:rPr>
            </w:pPr>
            <w:r>
              <w:rPr>
                <w:rFonts w:ascii="Arial" w:cs="Arial" w:eastAsia="Arial" w:hAnsi="Arial"/>
                <w:sz w:val="16"/>
                <w:szCs w:val="16"/>
                <w:b w:val="1"/>
                <w:bCs w:val="1"/>
                <w:color w:val="auto"/>
              </w:rPr>
              <w:t>Supplemental Cash Flow Information: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color w:val="auto"/>
              </w:rPr>
              <w:t>Cash paid during the period for:</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460" w:type="dxa"/>
            <w:vAlign w:val="bottom"/>
            <w:shd w:val="clear" w:color="auto" w:fill="E2E8F1"/>
          </w:tcPr>
          <w:p>
            <w:pPr>
              <w:spacing w:after="0"/>
              <w:rPr>
                <w:sz w:val="16"/>
                <w:szCs w:val="16"/>
                <w:color w:val="auto"/>
              </w:rPr>
            </w:pPr>
          </w:p>
        </w:tc>
        <w:tc>
          <w:tcPr>
            <w:tcW w:w="840" w:type="dxa"/>
            <w:vAlign w:val="bottom"/>
            <w:shd w:val="clear" w:color="auto" w:fill="E2E8F1"/>
          </w:tcPr>
          <w:p>
            <w:pPr>
              <w:spacing w:after="0"/>
              <w:rPr>
                <w:sz w:val="16"/>
                <w:szCs w:val="16"/>
                <w:color w:val="auto"/>
              </w:rPr>
            </w:pP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Interest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72.0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81.1</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Income taxes, net</w:t>
            </w:r>
          </w:p>
        </w:tc>
        <w:tc>
          <w:tcPr>
            <w:tcW w:w="340" w:type="dxa"/>
            <w:vAlign w:val="bottom"/>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75.6</w:t>
            </w:r>
          </w:p>
        </w:tc>
        <w:tc>
          <w:tcPr>
            <w:tcW w:w="460" w:type="dxa"/>
            <w:vAlign w:val="bottom"/>
            <w:shd w:val="clear" w:color="auto" w:fill="E2E8F1"/>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124.0</w:t>
            </w:r>
          </w:p>
        </w:tc>
      </w:tr>
      <w:tr>
        <w:trPr>
          <w:trHeight w:val="189"/>
        </w:trPr>
        <w:tc>
          <w:tcPr>
            <w:tcW w:w="8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98.5</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99.4</w:t>
            </w:r>
          </w:p>
        </w:tc>
      </w:tr>
      <w:tr>
        <w:trPr>
          <w:trHeight w:val="183"/>
        </w:trPr>
        <w:tc>
          <w:tcPr>
            <w:tcW w:w="86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Non-cash operating activity:</w:t>
            </w:r>
          </w:p>
        </w:tc>
        <w:tc>
          <w:tcPr>
            <w:tcW w:w="10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c>
          <w:tcPr>
            <w:tcW w:w="460" w:type="dxa"/>
            <w:vAlign w:val="bottom"/>
            <w:shd w:val="clear" w:color="auto" w:fill="E2E8F1"/>
          </w:tcPr>
          <w:p>
            <w:pPr>
              <w:spacing w:after="0"/>
              <w:rPr>
                <w:sz w:val="15"/>
                <w:szCs w:val="15"/>
                <w:color w:val="auto"/>
              </w:rPr>
            </w:pPr>
          </w:p>
        </w:tc>
        <w:tc>
          <w:tcPr>
            <w:tcW w:w="840" w:type="dxa"/>
            <w:vAlign w:val="bottom"/>
            <w:shd w:val="clear" w:color="auto" w:fill="E2E8F1"/>
          </w:tcPr>
          <w:p>
            <w:pPr>
              <w:spacing w:after="0"/>
              <w:rPr>
                <w:sz w:val="15"/>
                <w:szCs w:val="15"/>
                <w:color w:val="auto"/>
              </w:rPr>
            </w:pPr>
          </w:p>
        </w:tc>
      </w:tr>
      <w:tr>
        <w:trPr>
          <w:trHeight w:val="189"/>
        </w:trPr>
        <w:tc>
          <w:tcPr>
            <w:tcW w:w="8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40.7</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81.2</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Shareholders' Equity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tcBorders>
              <w:top w:val="single" w:sz="8" w:color="auto"/>
              <w:bottom w:val="single" w:sz="8" w:color="98B0CF"/>
            </w:tcBorders>
            <w:shd w:val="clear" w:color="auto" w:fill="98B0CF"/>
          </w:tcPr>
          <w:p>
            <w:pPr>
              <w:spacing w:after="0"/>
              <w:rPr>
                <w:sz w:val="15"/>
                <w:szCs w:val="15"/>
                <w:color w:val="auto"/>
              </w:rPr>
            </w:pPr>
          </w:p>
        </w:tc>
        <w:tc>
          <w:tcPr>
            <w:tcW w:w="80" w:type="dxa"/>
            <w:vAlign w:val="bottom"/>
            <w:tcBorders>
              <w:top w:val="single" w:sz="8" w:color="auto"/>
              <w:bottom w:val="single" w:sz="8" w:color="98B0CF"/>
            </w:tcBorders>
            <w:shd w:val="clear" w:color="auto" w:fill="98B0CF"/>
          </w:tcPr>
          <w:p>
            <w:pPr>
              <w:spacing w:after="0"/>
              <w:rPr>
                <w:sz w:val="15"/>
                <w:szCs w:val="15"/>
                <w:color w:val="auto"/>
              </w:rPr>
            </w:pPr>
          </w:p>
        </w:tc>
        <w:tc>
          <w:tcPr>
            <w:tcW w:w="960" w:type="dxa"/>
            <w:vAlign w:val="bottom"/>
            <w:tcBorders>
              <w:top w:val="single" w:sz="8" w:color="auto"/>
              <w:bottom w:val="single" w:sz="8" w:color="auto"/>
            </w:tcBorders>
            <w:shd w:val="clear" w:color="auto" w:fill="98B0CF"/>
          </w:tcPr>
          <w:p>
            <w:pPr>
              <w:spacing w:after="0"/>
              <w:rPr>
                <w:sz w:val="15"/>
                <w:szCs w:val="15"/>
                <w:color w:val="auto"/>
              </w:rPr>
            </w:pPr>
          </w:p>
        </w:tc>
        <w:tc>
          <w:tcPr>
            <w:tcW w:w="220" w:type="dxa"/>
            <w:vAlign w:val="bottom"/>
            <w:tcBorders>
              <w:top w:val="single" w:sz="8" w:color="auto"/>
              <w:bottom w:val="single" w:sz="8" w:color="auto"/>
            </w:tcBorders>
            <w:shd w:val="clear" w:color="auto" w:fill="98B0CF"/>
          </w:tcPr>
          <w:p>
            <w:pPr>
              <w:spacing w:after="0"/>
              <w:rPr>
                <w:sz w:val="15"/>
                <w:szCs w:val="15"/>
                <w:color w:val="auto"/>
              </w:rPr>
            </w:pPr>
          </w:p>
        </w:tc>
        <w:tc>
          <w:tcPr>
            <w:tcW w:w="520" w:type="dxa"/>
            <w:vAlign w:val="bottom"/>
            <w:tcBorders>
              <w:top w:val="single" w:sz="8" w:color="auto"/>
              <w:bottom w:val="single" w:sz="8" w:color="auto"/>
            </w:tcBorders>
            <w:shd w:val="clear" w:color="auto" w:fill="98B0CF"/>
          </w:tcPr>
          <w:p>
            <w:pPr>
              <w:spacing w:after="0"/>
              <w:rPr>
                <w:sz w:val="15"/>
                <w:szCs w:val="15"/>
                <w:color w:val="auto"/>
              </w:rPr>
            </w:pPr>
          </w:p>
        </w:tc>
        <w:tc>
          <w:tcPr>
            <w:tcW w:w="180" w:type="dxa"/>
            <w:vAlign w:val="bottom"/>
            <w:tcBorders>
              <w:top w:val="single" w:sz="8" w:color="auto"/>
              <w:bottom w:val="single" w:sz="8" w:color="auto"/>
            </w:tcBorders>
            <w:shd w:val="clear" w:color="auto" w:fill="98B0CF"/>
          </w:tcPr>
          <w:p>
            <w:pPr>
              <w:spacing w:after="0"/>
              <w:rPr>
                <w:sz w:val="15"/>
                <w:szCs w:val="15"/>
                <w:color w:val="auto"/>
              </w:rPr>
            </w:pPr>
          </w:p>
        </w:tc>
        <w:tc>
          <w:tcPr>
            <w:tcW w:w="3400" w:type="dxa"/>
            <w:vAlign w:val="bottom"/>
            <w:tcBorders>
              <w:top w:val="single" w:sz="8" w:color="auto"/>
              <w:bottom w:val="single" w:sz="8" w:color="auto"/>
            </w:tcBorders>
            <w:gridSpan w:val="5"/>
            <w:shd w:val="clear" w:color="auto" w:fill="98B0CF"/>
          </w:tcPr>
          <w:p>
            <w:pPr>
              <w:jc w:val="right"/>
              <w:ind w:right="1143"/>
              <w:spacing w:after="0"/>
              <w:rPr>
                <w:sz w:val="20"/>
                <w:szCs w:val="20"/>
                <w:color w:val="auto"/>
              </w:rPr>
            </w:pPr>
            <w:r>
              <w:rPr>
                <w:rFonts w:ascii="Arial" w:cs="Arial" w:eastAsia="Arial" w:hAnsi="Arial"/>
                <w:sz w:val="14"/>
                <w:szCs w:val="14"/>
                <w:b w:val="1"/>
                <w:bCs w:val="1"/>
                <w:color w:val="auto"/>
              </w:rPr>
              <w:t>ManpowerGroup Shareholders</w:t>
            </w:r>
          </w:p>
        </w:tc>
        <w:tc>
          <w:tcPr>
            <w:tcW w:w="180" w:type="dxa"/>
            <w:vAlign w:val="bottom"/>
            <w:tcBorders>
              <w:top w:val="single" w:sz="8" w:color="auto"/>
              <w:bottom w:val="single" w:sz="8" w:color="auto"/>
            </w:tcBorders>
            <w:shd w:val="clear" w:color="auto" w:fill="98B0CF"/>
          </w:tcPr>
          <w:p>
            <w:pPr>
              <w:spacing w:after="0"/>
              <w:rPr>
                <w:sz w:val="15"/>
                <w:szCs w:val="15"/>
                <w:color w:val="auto"/>
              </w:rPr>
            </w:pPr>
          </w:p>
        </w:tc>
        <w:tc>
          <w:tcPr>
            <w:tcW w:w="680" w:type="dxa"/>
            <w:vAlign w:val="bottom"/>
            <w:tcBorders>
              <w:top w:val="single" w:sz="8" w:color="auto"/>
              <w:bottom w:val="single" w:sz="8" w:color="auto"/>
            </w:tcBorders>
            <w:shd w:val="clear" w:color="auto" w:fill="98B0CF"/>
          </w:tcPr>
          <w:p>
            <w:pPr>
              <w:spacing w:after="0"/>
              <w:rPr>
                <w:sz w:val="15"/>
                <w:szCs w:val="15"/>
                <w:color w:val="auto"/>
              </w:rPr>
            </w:pPr>
          </w:p>
        </w:tc>
        <w:tc>
          <w:tcPr>
            <w:tcW w:w="200" w:type="dxa"/>
            <w:vAlign w:val="bottom"/>
            <w:tcBorders>
              <w:top w:val="single" w:sz="8" w:color="auto"/>
              <w:bottom w:val="single" w:sz="8" w:color="98B0CF"/>
            </w:tcBorders>
            <w:shd w:val="clear" w:color="auto" w:fill="98B0CF"/>
          </w:tcPr>
          <w:p>
            <w:pPr>
              <w:spacing w:after="0"/>
              <w:rPr>
                <w:sz w:val="15"/>
                <w:szCs w:val="15"/>
                <w:color w:val="auto"/>
              </w:rPr>
            </w:pPr>
          </w:p>
        </w:tc>
        <w:tc>
          <w:tcPr>
            <w:tcW w:w="680" w:type="dxa"/>
            <w:vAlign w:val="bottom"/>
            <w:tcBorders>
              <w:top w:val="single" w:sz="8" w:color="auto"/>
              <w:bottom w:val="single" w:sz="8" w:color="98B0CF"/>
            </w:tcBorders>
            <w:shd w:val="clear" w:color="auto" w:fill="98B0CF"/>
          </w:tcPr>
          <w:p>
            <w:pPr>
              <w:spacing w:after="0"/>
              <w:rPr>
                <w:sz w:val="15"/>
                <w:szCs w:val="15"/>
                <w:color w:val="auto"/>
              </w:rPr>
            </w:pPr>
          </w:p>
        </w:tc>
        <w:tc>
          <w:tcPr>
            <w:tcW w:w="900" w:type="dxa"/>
            <w:vAlign w:val="bottom"/>
            <w:tcBorders>
              <w:top w:val="single" w:sz="8" w:color="auto"/>
              <w:bottom w:val="single" w:sz="8" w:color="98B0CF"/>
            </w:tcBorders>
            <w:shd w:val="clear" w:color="auto" w:fill="98B0C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40" w:type="dxa"/>
            <w:vAlign w:val="bottom"/>
            <w:tcBorders>
              <w:bottom w:val="single" w:sz="8" w:color="98B0CF"/>
            </w:tcBorders>
            <w:shd w:val="clear" w:color="auto" w:fill="98B0CF"/>
          </w:tcPr>
          <w:p>
            <w:pPr>
              <w:spacing w:after="0"/>
              <w:rPr>
                <w:sz w:val="13"/>
                <w:szCs w:val="13"/>
                <w:color w:val="auto"/>
              </w:rPr>
            </w:pPr>
          </w:p>
        </w:tc>
        <w:tc>
          <w:tcPr>
            <w:tcW w:w="80" w:type="dxa"/>
            <w:vAlign w:val="bottom"/>
            <w:tcBorders>
              <w:bottom w:val="single" w:sz="8" w:color="98B0CF"/>
            </w:tcBorders>
            <w:shd w:val="clear" w:color="auto" w:fill="98B0CF"/>
          </w:tcPr>
          <w:p>
            <w:pPr>
              <w:spacing w:after="0"/>
              <w:rPr>
                <w:sz w:val="13"/>
                <w:szCs w:val="13"/>
                <w:color w:val="auto"/>
              </w:rPr>
            </w:pPr>
          </w:p>
        </w:tc>
        <w:tc>
          <w:tcPr>
            <w:tcW w:w="1700" w:type="dxa"/>
            <w:vAlign w:val="bottom"/>
            <w:tcBorders>
              <w:bottom w:val="single" w:sz="8" w:color="auto"/>
            </w:tcBorders>
            <w:gridSpan w:val="3"/>
            <w:shd w:val="clear" w:color="auto" w:fill="98B0CF"/>
          </w:tcPr>
          <w:p>
            <w:pPr>
              <w:jc w:val="right"/>
              <w:ind w:right="301"/>
              <w:spacing w:after="0" w:line="155" w:lineRule="exact"/>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98B0CF"/>
            </w:tcBorders>
            <w:shd w:val="clear" w:color="auto" w:fill="98B0CF"/>
          </w:tcPr>
          <w:p>
            <w:pPr>
              <w:spacing w:after="0"/>
              <w:rPr>
                <w:sz w:val="13"/>
                <w:szCs w:val="13"/>
                <w:color w:val="auto"/>
              </w:rPr>
            </w:pPr>
          </w:p>
        </w:tc>
        <w:tc>
          <w:tcPr>
            <w:tcW w:w="880" w:type="dxa"/>
            <w:vAlign w:val="bottom"/>
            <w:tcBorders>
              <w:bottom w:val="single" w:sz="8" w:color="98B0CF"/>
            </w:tcBorders>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880" w:type="dxa"/>
            <w:vAlign w:val="bottom"/>
            <w:tcBorders>
              <w:bottom w:val="single" w:sz="8" w:color="98B0CF"/>
            </w:tcBorders>
            <w:shd w:val="clear" w:color="auto" w:fill="98B0CF"/>
          </w:tcPr>
          <w:p>
            <w:pPr>
              <w:spacing w:after="0"/>
              <w:rPr>
                <w:sz w:val="13"/>
                <w:szCs w:val="13"/>
                <w:color w:val="auto"/>
              </w:rPr>
            </w:pPr>
          </w:p>
        </w:tc>
        <w:tc>
          <w:tcPr>
            <w:tcW w:w="160" w:type="dxa"/>
            <w:vAlign w:val="bottom"/>
            <w:tcBorders>
              <w:bottom w:val="single" w:sz="8" w:color="98B0CF"/>
            </w:tcBorders>
            <w:shd w:val="clear" w:color="auto" w:fill="98B0CF"/>
          </w:tcPr>
          <w:p>
            <w:pPr>
              <w:spacing w:after="0"/>
              <w:rPr>
                <w:sz w:val="13"/>
                <w:szCs w:val="13"/>
                <w:color w:val="auto"/>
              </w:rPr>
            </w:pPr>
          </w:p>
        </w:tc>
        <w:tc>
          <w:tcPr>
            <w:tcW w:w="1300" w:type="dxa"/>
            <w:vAlign w:val="bottom"/>
            <w:tcBorders>
              <w:bottom w:val="single" w:sz="8" w:color="98B0CF"/>
            </w:tcBorders>
            <w:vMerge w:val="restart"/>
            <w:shd w:val="clear" w:color="auto" w:fill="98B0CF"/>
          </w:tcPr>
          <w:p>
            <w:pPr>
              <w:jc w:val="center"/>
              <w:ind w:right="143"/>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Borders>
              <w:bottom w:val="single" w:sz="8" w:color="98B0CF"/>
            </w:tcBorders>
            <w:shd w:val="clear" w:color="auto" w:fill="98B0CF"/>
          </w:tcPr>
          <w:p>
            <w:pPr>
              <w:spacing w:after="0"/>
              <w:rPr>
                <w:sz w:val="13"/>
                <w:szCs w:val="13"/>
                <w:color w:val="auto"/>
              </w:rPr>
            </w:pPr>
          </w:p>
        </w:tc>
        <w:tc>
          <w:tcPr>
            <w:tcW w:w="680" w:type="dxa"/>
            <w:vAlign w:val="bottom"/>
            <w:tcBorders>
              <w:bottom w:val="single" w:sz="8" w:color="98B0CF"/>
            </w:tcBorders>
            <w:shd w:val="clear" w:color="auto" w:fill="98B0CF"/>
          </w:tcPr>
          <w:p>
            <w:pPr>
              <w:spacing w:after="0"/>
              <w:rPr>
                <w:sz w:val="13"/>
                <w:szCs w:val="13"/>
                <w:color w:val="auto"/>
              </w:rPr>
            </w:pPr>
          </w:p>
        </w:tc>
        <w:tc>
          <w:tcPr>
            <w:tcW w:w="200" w:type="dxa"/>
            <w:vAlign w:val="bottom"/>
            <w:tcBorders>
              <w:bottom w:val="single" w:sz="8" w:color="98B0CF"/>
            </w:tcBorders>
            <w:shd w:val="clear" w:color="auto" w:fill="98B0CF"/>
          </w:tcPr>
          <w:p>
            <w:pPr>
              <w:spacing w:after="0"/>
              <w:rPr>
                <w:sz w:val="13"/>
                <w:szCs w:val="13"/>
                <w:color w:val="auto"/>
              </w:rPr>
            </w:pPr>
          </w:p>
        </w:tc>
        <w:tc>
          <w:tcPr>
            <w:tcW w:w="680" w:type="dxa"/>
            <w:vAlign w:val="bottom"/>
            <w:tcBorders>
              <w:bottom w:val="single" w:sz="8" w:color="98B0CF"/>
            </w:tcBorders>
            <w:vMerge w:val="restart"/>
            <w:shd w:val="clear" w:color="auto" w:fill="98B0CF"/>
          </w:tcPr>
          <w:p>
            <w:pPr>
              <w:jc w:val="center"/>
              <w:ind w:right="181"/>
              <w:spacing w:after="0"/>
              <w:rPr>
                <w:sz w:val="20"/>
                <w:szCs w:val="20"/>
                <w:color w:val="auto"/>
              </w:rPr>
            </w:pPr>
            <w:r>
              <w:rPr>
                <w:rFonts w:ascii="Arial" w:cs="Arial" w:eastAsia="Arial" w:hAnsi="Arial"/>
                <w:sz w:val="14"/>
                <w:szCs w:val="14"/>
                <w:b w:val="1"/>
                <w:bCs w:val="1"/>
                <w:color w:val="auto"/>
              </w:rPr>
              <w:t>Non-</w:t>
            </w:r>
          </w:p>
        </w:tc>
        <w:tc>
          <w:tcPr>
            <w:tcW w:w="9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52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88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880" w:type="dxa"/>
            <w:vAlign w:val="bottom"/>
            <w:shd w:val="clear" w:color="auto" w:fill="98B0CF"/>
          </w:tcPr>
          <w:p>
            <w:pPr>
              <w:spacing w:after="0"/>
              <w:rPr>
                <w:sz w:val="12"/>
                <w:szCs w:val="12"/>
                <w:color w:val="auto"/>
              </w:rPr>
            </w:pPr>
          </w:p>
        </w:tc>
        <w:tc>
          <w:tcPr>
            <w:tcW w:w="160" w:type="dxa"/>
            <w:vAlign w:val="bottom"/>
            <w:shd w:val="clear" w:color="auto" w:fill="98B0CF"/>
          </w:tcPr>
          <w:p>
            <w:pPr>
              <w:spacing w:after="0"/>
              <w:rPr>
                <w:sz w:val="12"/>
                <w:szCs w:val="12"/>
                <w:color w:val="auto"/>
              </w:rPr>
            </w:pPr>
          </w:p>
        </w:tc>
        <w:tc>
          <w:tcPr>
            <w:tcW w:w="1300" w:type="dxa"/>
            <w:vAlign w:val="bottom"/>
            <w:vMerge w:val="continue"/>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68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680" w:type="dxa"/>
            <w:vAlign w:val="bottom"/>
            <w:vMerge w:val="continue"/>
            <w:shd w:val="clear" w:color="auto" w:fill="98B0CF"/>
          </w:tcPr>
          <w:p>
            <w:pPr>
              <w:spacing w:after="0"/>
              <w:rPr>
                <w:sz w:val="12"/>
                <w:szCs w:val="12"/>
                <w:color w:val="auto"/>
              </w:rPr>
            </w:pPr>
          </w:p>
        </w:tc>
        <w:tc>
          <w:tcPr>
            <w:tcW w:w="900" w:type="dxa"/>
            <w:vAlign w:val="bottom"/>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98B0CF"/>
          </w:tcPr>
          <w:p>
            <w:pPr>
              <w:spacing w:after="0"/>
              <w:rPr>
                <w:sz w:val="14"/>
                <w:szCs w:val="14"/>
                <w:color w:val="auto"/>
              </w:rPr>
            </w:pPr>
          </w:p>
        </w:tc>
        <w:tc>
          <w:tcPr>
            <w:tcW w:w="8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5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20"/>
                <w:szCs w:val="20"/>
                <w:color w:val="auto"/>
              </w:rPr>
            </w:pPr>
            <w:r>
              <w:rPr>
                <w:rFonts w:ascii="Arial" w:cs="Arial" w:eastAsia="Arial" w:hAnsi="Arial"/>
                <w:sz w:val="14"/>
                <w:szCs w:val="14"/>
                <w:b w:val="1"/>
                <w:bCs w:val="1"/>
                <w:color w:val="auto"/>
              </w:rPr>
              <w:t>Capital in</w:t>
            </w: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1300" w:type="dxa"/>
            <w:vAlign w:val="bottom"/>
            <w:shd w:val="clear" w:color="auto" w:fill="98B0CF"/>
          </w:tcPr>
          <w:p>
            <w:pPr>
              <w:jc w:val="center"/>
              <w:ind w:right="143"/>
              <w:spacing w:after="0"/>
              <w:rPr>
                <w:sz w:val="20"/>
                <w:szCs w:val="20"/>
                <w:color w:val="auto"/>
              </w:rPr>
            </w:pPr>
            <w:r>
              <w:rPr>
                <w:rFonts w:ascii="Arial" w:cs="Arial" w:eastAsia="Arial" w:hAnsi="Arial"/>
                <w:sz w:val="14"/>
                <w:szCs w:val="14"/>
                <w:b w:val="1"/>
                <w:bCs w:val="1"/>
                <w:color w:val="auto"/>
              </w:rPr>
              <w:t>Other</w:t>
            </w:r>
          </w:p>
        </w:tc>
        <w:tc>
          <w:tcPr>
            <w:tcW w:w="180" w:type="dxa"/>
            <w:vAlign w:val="bottom"/>
            <w:shd w:val="clear" w:color="auto" w:fill="98B0CF"/>
          </w:tcPr>
          <w:p>
            <w:pPr>
              <w:spacing w:after="0"/>
              <w:rPr>
                <w:sz w:val="14"/>
                <w:szCs w:val="14"/>
                <w:color w:val="auto"/>
              </w:rPr>
            </w:pPr>
          </w:p>
        </w:tc>
        <w:tc>
          <w:tcPr>
            <w:tcW w:w="680" w:type="dxa"/>
            <w:vAlign w:val="bottom"/>
            <w:shd w:val="clear" w:color="auto" w:fill="98B0CF"/>
          </w:tcPr>
          <w:p>
            <w:pPr>
              <w:spacing w:after="0"/>
              <w:rPr>
                <w:sz w:val="14"/>
                <w:szCs w:val="14"/>
                <w:color w:val="auto"/>
              </w:rPr>
            </w:pPr>
          </w:p>
        </w:tc>
        <w:tc>
          <w:tcPr>
            <w:tcW w:w="880" w:type="dxa"/>
            <w:vAlign w:val="bottom"/>
            <w:gridSpan w:val="2"/>
            <w:shd w:val="clear" w:color="auto" w:fill="98B0CF"/>
          </w:tcPr>
          <w:p>
            <w:pPr>
              <w:ind w:left="80"/>
              <w:spacing w:after="0"/>
              <w:rPr>
                <w:sz w:val="20"/>
                <w:szCs w:val="20"/>
                <w:color w:val="auto"/>
              </w:rPr>
            </w:pPr>
            <w:r>
              <w:rPr>
                <w:rFonts w:ascii="Arial" w:cs="Arial" w:eastAsia="Arial" w:hAnsi="Arial"/>
                <w:sz w:val="14"/>
                <w:szCs w:val="14"/>
                <w:b w:val="1"/>
                <w:bCs w:val="1"/>
                <w:color w:val="auto"/>
              </w:rPr>
              <w:t>Controllin</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98B0CF"/>
          </w:tcPr>
          <w:p>
            <w:pPr>
              <w:spacing w:after="0"/>
              <w:rPr>
                <w:sz w:val="14"/>
                <w:szCs w:val="14"/>
                <w:color w:val="auto"/>
              </w:rPr>
            </w:pPr>
          </w:p>
        </w:tc>
        <w:tc>
          <w:tcPr>
            <w:tcW w:w="80" w:type="dxa"/>
            <w:vAlign w:val="bottom"/>
            <w:shd w:val="clear" w:color="auto" w:fill="98B0CF"/>
          </w:tcPr>
          <w:p>
            <w:pPr>
              <w:spacing w:after="0"/>
              <w:rPr>
                <w:sz w:val="14"/>
                <w:szCs w:val="14"/>
                <w:color w:val="auto"/>
              </w:rPr>
            </w:pPr>
          </w:p>
        </w:tc>
        <w:tc>
          <w:tcPr>
            <w:tcW w:w="960" w:type="dxa"/>
            <w:vAlign w:val="bottom"/>
            <w:shd w:val="clear" w:color="auto" w:fill="98B0CF"/>
          </w:tcPr>
          <w:p>
            <w:pPr>
              <w:jc w:val="right"/>
              <w:ind w:right="226"/>
              <w:spacing w:after="0"/>
              <w:rPr>
                <w:sz w:val="20"/>
                <w:szCs w:val="20"/>
                <w:color w:val="auto"/>
              </w:rPr>
            </w:pPr>
            <w:r>
              <w:rPr>
                <w:rFonts w:ascii="Arial" w:cs="Arial" w:eastAsia="Arial" w:hAnsi="Arial"/>
                <w:sz w:val="14"/>
                <w:szCs w:val="14"/>
                <w:b w:val="1"/>
                <w:bCs w:val="1"/>
                <w:color w:val="auto"/>
              </w:rPr>
              <w:t>Shares</w:t>
            </w:r>
          </w:p>
        </w:tc>
        <w:tc>
          <w:tcPr>
            <w:tcW w:w="220" w:type="dxa"/>
            <w:vAlign w:val="bottom"/>
            <w:shd w:val="clear" w:color="auto" w:fill="98B0CF"/>
          </w:tcPr>
          <w:p>
            <w:pPr>
              <w:spacing w:after="0"/>
              <w:rPr>
                <w:sz w:val="14"/>
                <w:szCs w:val="14"/>
                <w:color w:val="auto"/>
              </w:rPr>
            </w:pPr>
          </w:p>
        </w:tc>
        <w:tc>
          <w:tcPr>
            <w:tcW w:w="520" w:type="dxa"/>
            <w:vAlign w:val="bottom"/>
            <w:shd w:val="clear" w:color="auto" w:fill="98B0CF"/>
          </w:tcPr>
          <w:p>
            <w:pPr>
              <w:jc w:val="right"/>
              <w:ind w:right="181"/>
              <w:spacing w:after="0"/>
              <w:rPr>
                <w:sz w:val="20"/>
                <w:szCs w:val="20"/>
                <w:color w:val="auto"/>
              </w:rPr>
            </w:pPr>
            <w:r>
              <w:rPr>
                <w:rFonts w:ascii="Arial" w:cs="Arial" w:eastAsia="Arial" w:hAnsi="Arial"/>
                <w:sz w:val="14"/>
                <w:szCs w:val="14"/>
                <w:b w:val="1"/>
                <w:bCs w:val="1"/>
                <w:color w:val="auto"/>
              </w:rPr>
              <w:t>Par</w:t>
            </w: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20"/>
                <w:szCs w:val="20"/>
                <w:color w:val="auto"/>
              </w:rPr>
            </w:pPr>
            <w:r>
              <w:rPr>
                <w:rFonts w:ascii="Arial" w:cs="Arial" w:eastAsia="Arial" w:hAnsi="Arial"/>
                <w:sz w:val="14"/>
                <w:szCs w:val="14"/>
                <w:b w:val="1"/>
                <w:bCs w:val="1"/>
                <w:color w:val="auto"/>
              </w:rPr>
              <w:t>Excess of</w:t>
            </w: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jc w:val="right"/>
              <w:ind w:right="181"/>
              <w:spacing w:after="0"/>
              <w:rPr>
                <w:sz w:val="20"/>
                <w:szCs w:val="20"/>
                <w:color w:val="auto"/>
              </w:rPr>
            </w:pPr>
            <w:r>
              <w:rPr>
                <w:rFonts w:ascii="Arial" w:cs="Arial" w:eastAsia="Arial" w:hAnsi="Arial"/>
                <w:sz w:val="14"/>
                <w:szCs w:val="14"/>
                <w:b w:val="1"/>
                <w:bCs w:val="1"/>
                <w:color w:val="auto"/>
              </w:rPr>
              <w:t>Retained</w:t>
            </w:r>
          </w:p>
        </w:tc>
        <w:tc>
          <w:tcPr>
            <w:tcW w:w="160" w:type="dxa"/>
            <w:vAlign w:val="bottom"/>
            <w:shd w:val="clear" w:color="auto" w:fill="98B0CF"/>
          </w:tcPr>
          <w:p>
            <w:pPr>
              <w:spacing w:after="0"/>
              <w:rPr>
                <w:sz w:val="14"/>
                <w:szCs w:val="14"/>
                <w:color w:val="auto"/>
              </w:rPr>
            </w:pPr>
          </w:p>
        </w:tc>
        <w:tc>
          <w:tcPr>
            <w:tcW w:w="1300" w:type="dxa"/>
            <w:vAlign w:val="bottom"/>
            <w:shd w:val="clear" w:color="auto" w:fill="98B0CF"/>
          </w:tcPr>
          <w:p>
            <w:pPr>
              <w:jc w:val="center"/>
              <w:ind w:right="143"/>
              <w:spacing w:after="0"/>
              <w:rPr>
                <w:sz w:val="20"/>
                <w:szCs w:val="20"/>
                <w:color w:val="auto"/>
              </w:rPr>
            </w:pPr>
            <w:r>
              <w:rPr>
                <w:rFonts w:ascii="Arial" w:cs="Arial" w:eastAsia="Arial" w:hAnsi="Arial"/>
                <w:sz w:val="14"/>
                <w:szCs w:val="14"/>
                <w:b w:val="1"/>
                <w:bCs w:val="1"/>
                <w:color w:val="auto"/>
              </w:rPr>
              <w:t>Comprehensive</w:t>
            </w:r>
          </w:p>
        </w:tc>
        <w:tc>
          <w:tcPr>
            <w:tcW w:w="860" w:type="dxa"/>
            <w:vAlign w:val="bottom"/>
            <w:gridSpan w:val="2"/>
            <w:shd w:val="clear" w:color="auto" w:fill="98B0CF"/>
          </w:tcPr>
          <w:p>
            <w:pPr>
              <w:jc w:val="right"/>
              <w:ind w:right="80"/>
              <w:spacing w:after="0"/>
              <w:rPr>
                <w:sz w:val="20"/>
                <w:szCs w:val="20"/>
                <w:color w:val="auto"/>
              </w:rPr>
            </w:pPr>
            <w:r>
              <w:rPr>
                <w:rFonts w:ascii="Arial" w:cs="Arial" w:eastAsia="Arial" w:hAnsi="Arial"/>
                <w:sz w:val="14"/>
                <w:szCs w:val="14"/>
                <w:b w:val="1"/>
                <w:bCs w:val="1"/>
                <w:color w:val="auto"/>
              </w:rPr>
              <w:t>Treasury</w:t>
            </w:r>
          </w:p>
        </w:tc>
        <w:tc>
          <w:tcPr>
            <w:tcW w:w="200" w:type="dxa"/>
            <w:vAlign w:val="bottom"/>
            <w:shd w:val="clear" w:color="auto" w:fill="98B0CF"/>
          </w:tcPr>
          <w:p>
            <w:pPr>
              <w:spacing w:after="0"/>
              <w:rPr>
                <w:sz w:val="14"/>
                <w:szCs w:val="14"/>
                <w:color w:val="auto"/>
              </w:rPr>
            </w:pPr>
          </w:p>
        </w:tc>
        <w:tc>
          <w:tcPr>
            <w:tcW w:w="680" w:type="dxa"/>
            <w:vAlign w:val="bottom"/>
            <w:shd w:val="clear" w:color="auto" w:fill="98B0CF"/>
          </w:tcPr>
          <w:p>
            <w:pPr>
              <w:jc w:val="center"/>
              <w:ind w:right="181"/>
              <w:spacing w:after="0"/>
              <w:rPr>
                <w:sz w:val="20"/>
                <w:szCs w:val="20"/>
                <w:color w:val="auto"/>
              </w:rPr>
            </w:pPr>
            <w:r>
              <w:rPr>
                <w:rFonts w:ascii="Arial" w:cs="Arial" w:eastAsia="Arial" w:hAnsi="Arial"/>
                <w:sz w:val="14"/>
                <w:szCs w:val="14"/>
                <w:b w:val="1"/>
                <w:bCs w:val="1"/>
                <w:color w:val="auto"/>
              </w:rPr>
              <w:t>g</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auto"/>
            </w:tcBorders>
            <w:shd w:val="clear" w:color="auto" w:fill="98B0CF"/>
          </w:tcPr>
          <w:p>
            <w:pPr>
              <w:spacing w:after="0"/>
              <w:rPr>
                <w:sz w:val="14"/>
                <w:szCs w:val="14"/>
                <w:color w:val="auto"/>
              </w:rPr>
            </w:pPr>
          </w:p>
        </w:tc>
        <w:tc>
          <w:tcPr>
            <w:tcW w:w="80" w:type="dxa"/>
            <w:vAlign w:val="bottom"/>
            <w:tcBorders>
              <w:bottom w:val="single" w:sz="8" w:color="auto"/>
            </w:tcBorders>
            <w:shd w:val="clear" w:color="auto" w:fill="98B0CF"/>
          </w:tcPr>
          <w:p>
            <w:pPr>
              <w:spacing w:after="0"/>
              <w:rPr>
                <w:sz w:val="14"/>
                <w:szCs w:val="14"/>
                <w:color w:val="auto"/>
              </w:rPr>
            </w:pPr>
          </w:p>
        </w:tc>
        <w:tc>
          <w:tcPr>
            <w:tcW w:w="960" w:type="dxa"/>
            <w:vAlign w:val="bottom"/>
            <w:tcBorders>
              <w:bottom w:val="single" w:sz="8" w:color="auto"/>
            </w:tcBorders>
            <w:shd w:val="clear" w:color="auto" w:fill="98B0CF"/>
          </w:tcPr>
          <w:p>
            <w:pPr>
              <w:jc w:val="right"/>
              <w:ind w:right="226"/>
              <w:spacing w:after="0"/>
              <w:rPr>
                <w:sz w:val="20"/>
                <w:szCs w:val="20"/>
                <w:color w:val="auto"/>
              </w:rPr>
            </w:pPr>
            <w:r>
              <w:rPr>
                <w:rFonts w:ascii="Arial" w:cs="Arial" w:eastAsia="Arial" w:hAnsi="Arial"/>
                <w:sz w:val="14"/>
                <w:szCs w:val="14"/>
                <w:b w:val="1"/>
                <w:bCs w:val="1"/>
                <w:color w:val="auto"/>
              </w:rPr>
              <w:t>Issued</w:t>
            </w:r>
          </w:p>
        </w:tc>
        <w:tc>
          <w:tcPr>
            <w:tcW w:w="740" w:type="dxa"/>
            <w:vAlign w:val="bottom"/>
            <w:tcBorders>
              <w:bottom w:val="single" w:sz="8" w:color="auto"/>
            </w:tcBorders>
            <w:gridSpan w:val="2"/>
            <w:shd w:val="clear" w:color="auto" w:fill="98B0CF"/>
          </w:tcPr>
          <w:p>
            <w:pPr>
              <w:jc w:val="right"/>
              <w:ind w:right="101"/>
              <w:spacing w:after="0"/>
              <w:rPr>
                <w:sz w:val="20"/>
                <w:szCs w:val="20"/>
                <w:color w:val="auto"/>
              </w:rPr>
            </w:pPr>
            <w:r>
              <w:rPr>
                <w:rFonts w:ascii="Arial" w:cs="Arial" w:eastAsia="Arial" w:hAnsi="Arial"/>
                <w:sz w:val="14"/>
                <w:szCs w:val="14"/>
                <w:b w:val="1"/>
                <w:bCs w:val="1"/>
                <w:color w:val="auto"/>
              </w:rPr>
              <w:t>Value</w:t>
            </w:r>
          </w:p>
        </w:tc>
        <w:tc>
          <w:tcPr>
            <w:tcW w:w="180" w:type="dxa"/>
            <w:vAlign w:val="bottom"/>
            <w:tcBorders>
              <w:bottom w:val="single" w:sz="8" w:color="auto"/>
            </w:tcBorders>
            <w:shd w:val="clear" w:color="auto" w:fill="98B0CF"/>
          </w:tcPr>
          <w:p>
            <w:pPr>
              <w:spacing w:after="0"/>
              <w:rPr>
                <w:sz w:val="14"/>
                <w:szCs w:val="14"/>
                <w:color w:val="auto"/>
              </w:rPr>
            </w:pPr>
          </w:p>
        </w:tc>
        <w:tc>
          <w:tcPr>
            <w:tcW w:w="880" w:type="dxa"/>
            <w:vAlign w:val="bottom"/>
            <w:tcBorders>
              <w:bottom w:val="single" w:sz="8" w:color="auto"/>
            </w:tcBorders>
            <w:shd w:val="clear" w:color="auto" w:fill="98B0CF"/>
          </w:tcPr>
          <w:p>
            <w:pPr>
              <w:spacing w:after="0"/>
              <w:rPr>
                <w:sz w:val="20"/>
                <w:szCs w:val="20"/>
                <w:color w:val="auto"/>
              </w:rPr>
            </w:pPr>
            <w:r>
              <w:rPr>
                <w:rFonts w:ascii="Arial" w:cs="Arial" w:eastAsia="Arial" w:hAnsi="Arial"/>
                <w:sz w:val="14"/>
                <w:szCs w:val="14"/>
                <w:b w:val="1"/>
                <w:bCs w:val="1"/>
                <w:color w:val="auto"/>
              </w:rPr>
              <w:t>Par Value</w:t>
            </w:r>
          </w:p>
        </w:tc>
        <w:tc>
          <w:tcPr>
            <w:tcW w:w="180" w:type="dxa"/>
            <w:vAlign w:val="bottom"/>
            <w:tcBorders>
              <w:bottom w:val="single" w:sz="8" w:color="auto"/>
            </w:tcBorders>
            <w:shd w:val="clear" w:color="auto" w:fill="98B0CF"/>
          </w:tcPr>
          <w:p>
            <w:pPr>
              <w:spacing w:after="0"/>
              <w:rPr>
                <w:sz w:val="14"/>
                <w:szCs w:val="14"/>
                <w:color w:val="auto"/>
              </w:rPr>
            </w:pPr>
          </w:p>
        </w:tc>
        <w:tc>
          <w:tcPr>
            <w:tcW w:w="880" w:type="dxa"/>
            <w:vAlign w:val="bottom"/>
            <w:tcBorders>
              <w:bottom w:val="single" w:sz="8" w:color="auto"/>
            </w:tcBorders>
            <w:shd w:val="clear" w:color="auto" w:fill="98B0CF"/>
          </w:tcPr>
          <w:p>
            <w:pPr>
              <w:jc w:val="right"/>
              <w:ind w:right="161"/>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shd w:val="clear" w:color="auto" w:fill="98B0CF"/>
          </w:tcPr>
          <w:p>
            <w:pPr>
              <w:spacing w:after="0"/>
              <w:rPr>
                <w:sz w:val="14"/>
                <w:szCs w:val="14"/>
                <w:color w:val="auto"/>
              </w:rPr>
            </w:pPr>
          </w:p>
        </w:tc>
        <w:tc>
          <w:tcPr>
            <w:tcW w:w="1300" w:type="dxa"/>
            <w:vAlign w:val="bottom"/>
            <w:tcBorders>
              <w:bottom w:val="single" w:sz="8" w:color="auto"/>
            </w:tcBorders>
            <w:shd w:val="clear" w:color="auto" w:fill="98B0CF"/>
          </w:tcPr>
          <w:p>
            <w:pPr>
              <w:jc w:val="center"/>
              <w:ind w:right="143"/>
              <w:spacing w:after="0"/>
              <w:rPr>
                <w:sz w:val="20"/>
                <w:szCs w:val="20"/>
                <w:color w:val="auto"/>
              </w:rPr>
            </w:pPr>
            <w:r>
              <w:rPr>
                <w:rFonts w:ascii="Arial" w:cs="Arial" w:eastAsia="Arial" w:hAnsi="Arial"/>
                <w:sz w:val="14"/>
                <w:szCs w:val="14"/>
                <w:b w:val="1"/>
                <w:bCs w:val="1"/>
                <w:color w:val="auto"/>
                <w:w w:val="97"/>
              </w:rPr>
              <w:t>Loss</w:t>
            </w:r>
          </w:p>
        </w:tc>
        <w:tc>
          <w:tcPr>
            <w:tcW w:w="180" w:type="dxa"/>
            <w:vAlign w:val="bottom"/>
            <w:tcBorders>
              <w:bottom w:val="single" w:sz="8" w:color="auto"/>
            </w:tcBorders>
            <w:shd w:val="clear" w:color="auto" w:fill="98B0CF"/>
          </w:tcPr>
          <w:p>
            <w:pPr>
              <w:spacing w:after="0"/>
              <w:rPr>
                <w:sz w:val="14"/>
                <w:szCs w:val="14"/>
                <w:color w:val="auto"/>
              </w:rPr>
            </w:pPr>
          </w:p>
        </w:tc>
        <w:tc>
          <w:tcPr>
            <w:tcW w:w="680" w:type="dxa"/>
            <w:vAlign w:val="bottom"/>
            <w:tcBorders>
              <w:bottom w:val="single" w:sz="8" w:color="auto"/>
            </w:tcBorders>
            <w:shd w:val="clear" w:color="auto" w:fill="98B0CF"/>
          </w:tcPr>
          <w:p>
            <w:pPr>
              <w:jc w:val="right"/>
              <w:ind w:right="180"/>
              <w:spacing w:after="0"/>
              <w:rPr>
                <w:sz w:val="20"/>
                <w:szCs w:val="20"/>
                <w:color w:val="auto"/>
              </w:rPr>
            </w:pPr>
            <w:r>
              <w:rPr>
                <w:rFonts w:ascii="Arial" w:cs="Arial" w:eastAsia="Arial" w:hAnsi="Arial"/>
                <w:sz w:val="14"/>
                <w:szCs w:val="14"/>
                <w:b w:val="1"/>
                <w:bCs w:val="1"/>
                <w:color w:val="auto"/>
              </w:rPr>
              <w:t>Stock</w:t>
            </w:r>
          </w:p>
        </w:tc>
        <w:tc>
          <w:tcPr>
            <w:tcW w:w="88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w w:val="99"/>
              </w:rPr>
              <w:t>Interests</w:t>
            </w:r>
          </w:p>
        </w:tc>
        <w:tc>
          <w:tcPr>
            <w:tcW w:w="900" w:type="dxa"/>
            <w:vAlign w:val="bottom"/>
            <w:tcBorders>
              <w:bottom w:val="single" w:sz="8" w:color="auto"/>
            </w:tcBorders>
            <w:shd w:val="clear" w:color="auto" w:fill="98B0CF"/>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240" w:type="dxa"/>
            <w:vAlign w:val="bottom"/>
            <w:shd w:val="clear" w:color="auto" w:fill="E2E8F1"/>
          </w:tcPr>
          <w:p>
            <w:pPr>
              <w:ind w:left="40"/>
              <w:spacing w:after="0" w:line="168" w:lineRule="exact"/>
              <w:rPr>
                <w:sz w:val="20"/>
                <w:szCs w:val="20"/>
                <w:color w:val="auto"/>
              </w:rPr>
            </w:pPr>
            <w:r>
              <w:rPr>
                <w:rFonts w:ascii="Arial" w:cs="Arial" w:eastAsia="Arial" w:hAnsi="Arial"/>
                <w:sz w:val="16"/>
                <w:szCs w:val="16"/>
                <w:color w:val="auto"/>
              </w:rPr>
              <w:t>Balance, December 31, 2025</w:t>
            </w:r>
          </w:p>
        </w:tc>
        <w:tc>
          <w:tcPr>
            <w:tcW w:w="80" w:type="dxa"/>
            <w:vAlign w:val="bottom"/>
            <w:shd w:val="clear" w:color="auto" w:fill="E2E8F1"/>
          </w:tcPr>
          <w:p>
            <w:pPr>
              <w:spacing w:after="0"/>
              <w:rPr>
                <w:sz w:val="14"/>
                <w:szCs w:val="14"/>
                <w:color w:val="auto"/>
              </w:rPr>
            </w:pPr>
          </w:p>
        </w:tc>
        <w:tc>
          <w:tcPr>
            <w:tcW w:w="960" w:type="dxa"/>
            <w:vAlign w:val="bottom"/>
            <w:shd w:val="clear" w:color="auto" w:fill="E2E8F1"/>
          </w:tcPr>
          <w:p>
            <w:pPr>
              <w:jc w:val="right"/>
              <w:ind w:right="26"/>
              <w:spacing w:after="0" w:line="168" w:lineRule="exact"/>
              <w:rPr>
                <w:sz w:val="20"/>
                <w:szCs w:val="20"/>
                <w:color w:val="auto"/>
              </w:rPr>
            </w:pPr>
            <w:r>
              <w:rPr>
                <w:rFonts w:ascii="Arial" w:cs="Arial" w:eastAsia="Arial" w:hAnsi="Arial"/>
                <w:sz w:val="16"/>
                <w:szCs w:val="16"/>
                <w:color w:val="auto"/>
              </w:rPr>
              <w:t>119,161,7</w:t>
            </w:r>
          </w:p>
        </w:tc>
        <w:tc>
          <w:tcPr>
            <w:tcW w:w="22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3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680" w:type="dxa"/>
            <w:vAlign w:val="bottom"/>
            <w:shd w:val="clear" w:color="auto" w:fill="E2E8F1"/>
          </w:tcPr>
          <w:p>
            <w:pPr>
              <w:jc w:val="right"/>
              <w:ind w:right="40"/>
              <w:spacing w:after="0" w:line="168" w:lineRule="exact"/>
              <w:rPr>
                <w:sz w:val="20"/>
                <w:szCs w:val="20"/>
                <w:color w:val="auto"/>
              </w:rPr>
            </w:pPr>
            <w:r>
              <w:rPr>
                <w:rFonts w:ascii="Arial" w:cs="Arial" w:eastAsia="Arial" w:hAnsi="Arial"/>
                <w:sz w:val="16"/>
                <w:szCs w:val="16"/>
                <w:color w:val="auto"/>
              </w:rPr>
              <w:t>(4,834.</w:t>
            </w: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E2E8F1"/>
          </w:tcPr>
          <w:p>
            <w:pPr>
              <w:spacing w:after="0"/>
              <w:rPr>
                <w:sz w:val="17"/>
                <w:szCs w:val="17"/>
                <w:color w:val="auto"/>
              </w:rPr>
            </w:pPr>
          </w:p>
        </w:tc>
        <w:tc>
          <w:tcPr>
            <w:tcW w:w="1040" w:type="dxa"/>
            <w:vAlign w:val="bottom"/>
            <w:gridSpan w:val="2"/>
            <w:shd w:val="clear" w:color="auto" w:fill="E2E8F1"/>
          </w:tcPr>
          <w:p>
            <w:pPr>
              <w:jc w:val="right"/>
              <w:ind w:right="26"/>
              <w:spacing w:after="0"/>
              <w:rPr>
                <w:sz w:val="20"/>
                <w:szCs w:val="20"/>
                <w:color w:val="auto"/>
              </w:rPr>
            </w:pPr>
            <w:r>
              <w:rPr>
                <w:rFonts w:ascii="Arial" w:cs="Arial" w:eastAsia="Arial" w:hAnsi="Arial"/>
                <w:sz w:val="16"/>
                <w:szCs w:val="16"/>
                <w:color w:val="auto"/>
              </w:rPr>
              <w:t>80</w:t>
            </w:r>
          </w:p>
        </w:tc>
        <w:tc>
          <w:tcPr>
            <w:tcW w:w="2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1.2</w:t>
            </w:r>
          </w:p>
        </w:tc>
        <w:tc>
          <w:tcPr>
            <w:tcW w:w="1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3,572.5</w:t>
            </w:r>
          </w:p>
        </w:tc>
        <w:tc>
          <w:tcPr>
            <w:tcW w:w="1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3,732.3</w:t>
            </w:r>
          </w:p>
        </w:tc>
        <w:tc>
          <w:tcPr>
            <w:tcW w:w="1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(412.1)</w:t>
            </w:r>
          </w:p>
        </w:tc>
        <w:tc>
          <w:tcPr>
            <w:tcW w:w="1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E2E8F1"/>
          </w:tcPr>
          <w:p>
            <w:pPr>
              <w:ind w:lef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0.7</w:t>
            </w:r>
          </w:p>
        </w:tc>
        <w:tc>
          <w:tcPr>
            <w:tcW w:w="90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$ 2,060.3</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3240" w:type="dxa"/>
            <w:vAlign w:val="bottom"/>
            <w:shd w:val="clear" w:color="auto" w:fill="E2E8F1"/>
          </w:tcPr>
          <w:p>
            <w:pPr>
              <w:ind w:left="60"/>
              <w:spacing w:after="0"/>
              <w:rPr>
                <w:sz w:val="20"/>
                <w:szCs w:val="20"/>
                <w:color w:val="auto"/>
              </w:rPr>
            </w:pPr>
            <w:r>
              <w:rPr>
                <w:rFonts w:ascii="Arial" w:cs="Arial" w:eastAsia="Arial" w:hAnsi="Arial"/>
                <w:sz w:val="16"/>
                <w:szCs w:val="16"/>
                <w:color w:val="auto"/>
              </w:rPr>
              <w:t>Issuances under equity plans</w:t>
            </w:r>
          </w:p>
        </w:tc>
        <w:tc>
          <w:tcPr>
            <w:tcW w:w="1040" w:type="dxa"/>
            <w:vAlign w:val="bottom"/>
            <w:gridSpan w:val="2"/>
            <w:shd w:val="clear" w:color="auto" w:fill="E2E8F1"/>
          </w:tcPr>
          <w:p>
            <w:pPr>
              <w:jc w:val="right"/>
              <w:ind w:right="26"/>
              <w:spacing w:after="0"/>
              <w:rPr>
                <w:sz w:val="20"/>
                <w:szCs w:val="20"/>
                <w:color w:val="auto"/>
              </w:rPr>
            </w:pPr>
            <w:r>
              <w:rPr>
                <w:rFonts w:ascii="Arial" w:cs="Arial" w:eastAsia="Arial" w:hAnsi="Arial"/>
                <w:sz w:val="16"/>
                <w:szCs w:val="16"/>
                <w:color w:val="auto"/>
              </w:rPr>
              <w:t>273,799</w:t>
            </w:r>
          </w:p>
        </w:tc>
        <w:tc>
          <w:tcPr>
            <w:tcW w:w="22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Share-based compensation expense</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80" w:type="dxa"/>
            <w:vAlign w:val="bottom"/>
            <w:tcBorders>
              <w:bottom w:val="single" w:sz="8" w:color="auto"/>
            </w:tcBorders>
            <w:shd w:val="clear" w:color="auto" w:fill="E2E8F1"/>
          </w:tcPr>
          <w:p>
            <w:pPr>
              <w:spacing w:after="0"/>
              <w:rPr>
                <w:sz w:val="16"/>
                <w:szCs w:val="16"/>
                <w:color w:val="auto"/>
              </w:rPr>
            </w:pPr>
          </w:p>
        </w:tc>
        <w:tc>
          <w:tcPr>
            <w:tcW w:w="96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52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60" w:type="dxa"/>
            <w:vAlign w:val="bottom"/>
            <w:tcBorders>
              <w:bottom w:val="single" w:sz="8" w:color="auto"/>
            </w:tcBorders>
            <w:shd w:val="clear" w:color="auto" w:fill="E2E8F1"/>
          </w:tcPr>
          <w:p>
            <w:pPr>
              <w:spacing w:after="0"/>
              <w:rPr>
                <w:sz w:val="16"/>
                <w:szCs w:val="16"/>
                <w:color w:val="auto"/>
              </w:rPr>
            </w:pPr>
          </w:p>
        </w:tc>
        <w:tc>
          <w:tcPr>
            <w:tcW w:w="130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68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68"/>
        </w:trPr>
        <w:tc>
          <w:tcPr>
            <w:tcW w:w="3240" w:type="dxa"/>
            <w:vAlign w:val="bottom"/>
          </w:tcPr>
          <w:p>
            <w:pPr>
              <w:ind w:left="40"/>
              <w:spacing w:after="0" w:line="168" w:lineRule="exact"/>
              <w:rPr>
                <w:sz w:val="20"/>
                <w:szCs w:val="20"/>
                <w:color w:val="auto"/>
              </w:rPr>
            </w:pPr>
            <w:r>
              <w:rPr>
                <w:rFonts w:ascii="Arial" w:cs="Arial" w:eastAsia="Arial" w:hAnsi="Arial"/>
                <w:sz w:val="16"/>
                <w:szCs w:val="16"/>
                <w:color w:val="auto"/>
              </w:rPr>
              <w:t>Balance, March 31, 2026</w:t>
            </w:r>
          </w:p>
        </w:tc>
        <w:tc>
          <w:tcPr>
            <w:tcW w:w="1040" w:type="dxa"/>
            <w:vAlign w:val="bottom"/>
            <w:gridSpan w:val="2"/>
          </w:tcPr>
          <w:p>
            <w:pPr>
              <w:jc w:val="right"/>
              <w:ind w:right="26"/>
              <w:spacing w:after="0" w:line="168" w:lineRule="exact"/>
              <w:rPr>
                <w:sz w:val="20"/>
                <w:szCs w:val="20"/>
                <w:color w:val="auto"/>
              </w:rPr>
            </w:pPr>
            <w:r>
              <w:rPr>
                <w:rFonts w:ascii="Arial" w:cs="Arial" w:eastAsia="Arial" w:hAnsi="Arial"/>
                <w:sz w:val="16"/>
                <w:szCs w:val="16"/>
                <w:color w:val="auto"/>
              </w:rPr>
              <w:t>119,435,5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(4,836.</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3,577.4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3,734.8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0.5</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2,065.5</w:t>
            </w:r>
          </w:p>
        </w:tc>
        <w:tc>
          <w:tcPr>
            <w:tcW w:w="0" w:type="dxa"/>
            <w:vAlign w:val="bottom"/>
          </w:tcPr>
          <w:p>
            <w:pPr>
              <w:spacing w:after="0"/>
              <w:rPr>
                <w:sz w:val="1"/>
                <w:szCs w:val="1"/>
                <w:color w:val="auto"/>
              </w:rPr>
            </w:pPr>
          </w:p>
        </w:tc>
      </w:tr>
      <w:tr>
        <w:trPr>
          <w:trHeight w:val="183"/>
        </w:trPr>
        <w:tc>
          <w:tcPr>
            <w:tcW w:w="324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Net earnings</w:t>
            </w:r>
          </w:p>
        </w:tc>
        <w:tc>
          <w:tcPr>
            <w:tcW w:w="80" w:type="dxa"/>
            <w:vAlign w:val="bottom"/>
            <w:shd w:val="clear" w:color="auto" w:fill="E2E8F1"/>
          </w:tcPr>
          <w:p>
            <w:pPr>
              <w:spacing w:after="0"/>
              <w:rPr>
                <w:sz w:val="15"/>
                <w:szCs w:val="15"/>
                <w:color w:val="auto"/>
              </w:rPr>
            </w:pPr>
          </w:p>
        </w:tc>
        <w:tc>
          <w:tcPr>
            <w:tcW w:w="96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52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53.5</w:t>
            </w:r>
          </w:p>
        </w:tc>
        <w:tc>
          <w:tcPr>
            <w:tcW w:w="160" w:type="dxa"/>
            <w:vAlign w:val="bottom"/>
            <w:shd w:val="clear" w:color="auto" w:fill="E2E8F1"/>
          </w:tcPr>
          <w:p>
            <w:pPr>
              <w:spacing w:after="0"/>
              <w:rPr>
                <w:sz w:val="15"/>
                <w:szCs w:val="15"/>
                <w:color w:val="auto"/>
              </w:rPr>
            </w:pPr>
          </w:p>
        </w:tc>
        <w:tc>
          <w:tcPr>
            <w:tcW w:w="13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90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Other comprehensive income</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13.0</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9"/>
        </w:trPr>
        <w:tc>
          <w:tcPr>
            <w:tcW w:w="3240" w:type="dxa"/>
            <w:vAlign w:val="bottom"/>
            <w:shd w:val="clear" w:color="auto" w:fill="E2E8F1"/>
          </w:tcPr>
          <w:p>
            <w:pPr>
              <w:ind w:left="60"/>
              <w:spacing w:after="0"/>
              <w:rPr>
                <w:sz w:val="20"/>
                <w:szCs w:val="20"/>
                <w:color w:val="auto"/>
              </w:rPr>
            </w:pPr>
            <w:r>
              <w:rPr>
                <w:rFonts w:ascii="Arial" w:cs="Arial" w:eastAsia="Arial" w:hAnsi="Arial"/>
                <w:sz w:val="16"/>
                <w:szCs w:val="16"/>
                <w:color w:val="auto"/>
              </w:rPr>
              <w:t>Issuances under equity plans</w:t>
            </w:r>
          </w:p>
        </w:tc>
        <w:tc>
          <w:tcPr>
            <w:tcW w:w="1040" w:type="dxa"/>
            <w:vAlign w:val="bottom"/>
            <w:gridSpan w:val="2"/>
            <w:shd w:val="clear" w:color="auto" w:fill="E2E8F1"/>
          </w:tcPr>
          <w:p>
            <w:pPr>
              <w:jc w:val="right"/>
              <w:ind w:right="26"/>
              <w:spacing w:after="0"/>
              <w:rPr>
                <w:sz w:val="20"/>
                <w:szCs w:val="20"/>
                <w:color w:val="auto"/>
              </w:rPr>
            </w:pPr>
            <w:r>
              <w:rPr>
                <w:rFonts w:ascii="Arial" w:cs="Arial" w:eastAsia="Arial" w:hAnsi="Arial"/>
                <w:sz w:val="16"/>
                <w:szCs w:val="16"/>
                <w:color w:val="auto"/>
              </w:rPr>
              <w:t>9,021</w:t>
            </w:r>
          </w:p>
        </w:tc>
        <w:tc>
          <w:tcPr>
            <w:tcW w:w="22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(0.3)</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Share-based compensation expense</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3240" w:type="dxa"/>
            <w:vAlign w:val="bottom"/>
            <w:shd w:val="clear" w:color="auto" w:fill="E2E8F1"/>
          </w:tcPr>
          <w:p>
            <w:pPr>
              <w:ind w:left="60"/>
              <w:spacing w:after="0"/>
              <w:rPr>
                <w:sz w:val="20"/>
                <w:szCs w:val="20"/>
                <w:color w:val="auto"/>
              </w:rPr>
            </w:pPr>
            <w:r>
              <w:rPr>
                <w:rFonts w:ascii="Arial" w:cs="Arial" w:eastAsia="Arial" w:hAnsi="Arial"/>
                <w:sz w:val="16"/>
                <w:szCs w:val="16"/>
                <w:color w:val="auto"/>
              </w:rPr>
              <w:t>Dividends</w:t>
            </w:r>
          </w:p>
        </w:tc>
        <w:tc>
          <w:tcPr>
            <w:tcW w:w="80" w:type="dxa"/>
            <w:vAlign w:val="bottom"/>
            <w:shd w:val="clear" w:color="auto" w:fill="E2E8F1"/>
          </w:tcPr>
          <w:p>
            <w:pPr>
              <w:spacing w:after="0"/>
              <w:rPr>
                <w:sz w:val="16"/>
                <w:szCs w:val="16"/>
                <w:color w:val="auto"/>
              </w:rPr>
            </w:pPr>
          </w:p>
        </w:tc>
        <w:tc>
          <w:tcPr>
            <w:tcW w:w="96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(33.5)</w:t>
            </w:r>
          </w:p>
        </w:tc>
        <w:tc>
          <w:tcPr>
            <w:tcW w:w="16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Noncontrolling interest transactions</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68"/>
        </w:trPr>
        <w:tc>
          <w:tcPr>
            <w:tcW w:w="3240" w:type="dxa"/>
            <w:vAlign w:val="bottom"/>
            <w:shd w:val="clear" w:color="auto" w:fill="E2E8F1"/>
          </w:tcPr>
          <w:p>
            <w:pPr>
              <w:ind w:left="40"/>
              <w:spacing w:after="0" w:line="168" w:lineRule="exact"/>
              <w:rPr>
                <w:sz w:val="20"/>
                <w:szCs w:val="20"/>
                <w:color w:val="auto"/>
              </w:rPr>
            </w:pPr>
            <w:r>
              <w:rPr>
                <w:rFonts w:ascii="Arial" w:cs="Arial" w:eastAsia="Arial" w:hAnsi="Arial"/>
                <w:sz w:val="16"/>
                <w:szCs w:val="16"/>
                <w:color w:val="auto"/>
              </w:rPr>
              <w:t>Balance, June 30, 2026</w:t>
            </w:r>
          </w:p>
        </w:tc>
        <w:tc>
          <w:tcPr>
            <w:tcW w:w="1040" w:type="dxa"/>
            <w:vAlign w:val="bottom"/>
            <w:gridSpan w:val="2"/>
            <w:shd w:val="clear" w:color="auto" w:fill="E2E8F1"/>
          </w:tcPr>
          <w:p>
            <w:pPr>
              <w:jc w:val="right"/>
              <w:ind w:right="26"/>
              <w:spacing w:after="0" w:line="168" w:lineRule="exact"/>
              <w:rPr>
                <w:sz w:val="20"/>
                <w:szCs w:val="20"/>
                <w:color w:val="auto"/>
              </w:rPr>
            </w:pPr>
            <w:r>
              <w:rPr>
                <w:rFonts w:ascii="Arial" w:cs="Arial" w:eastAsia="Arial" w:hAnsi="Arial"/>
                <w:sz w:val="16"/>
                <w:szCs w:val="16"/>
                <w:color w:val="auto"/>
              </w:rPr>
              <w:t>119,444,6</w:t>
            </w:r>
          </w:p>
        </w:tc>
        <w:tc>
          <w:tcPr>
            <w:tcW w:w="22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3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680" w:type="dxa"/>
            <w:vAlign w:val="bottom"/>
            <w:shd w:val="clear" w:color="auto" w:fill="E2E8F1"/>
          </w:tcPr>
          <w:p>
            <w:pPr>
              <w:jc w:val="right"/>
              <w:ind w:right="40"/>
              <w:spacing w:after="0" w:line="168" w:lineRule="exact"/>
              <w:rPr>
                <w:sz w:val="20"/>
                <w:szCs w:val="20"/>
                <w:color w:val="auto"/>
              </w:rPr>
            </w:pPr>
            <w:r>
              <w:rPr>
                <w:rFonts w:ascii="Arial" w:cs="Arial" w:eastAsia="Arial" w:hAnsi="Arial"/>
                <w:sz w:val="16"/>
                <w:szCs w:val="16"/>
                <w:color w:val="auto"/>
              </w:rPr>
              <w:t>(4,836.</w:t>
            </w: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shd w:val="clear" w:color="auto" w:fill="E2E8F1"/>
          </w:tcPr>
          <w:p>
            <w:pPr>
              <w:spacing w:after="0"/>
              <w:rPr>
                <w:sz w:val="17"/>
                <w:szCs w:val="17"/>
                <w:color w:val="auto"/>
              </w:rPr>
            </w:pPr>
          </w:p>
        </w:tc>
        <w:tc>
          <w:tcPr>
            <w:tcW w:w="1040" w:type="dxa"/>
            <w:vAlign w:val="bottom"/>
            <w:tcBorders>
              <w:bottom w:val="single" w:sz="8" w:color="auto"/>
            </w:tcBorders>
            <w:gridSpan w:val="2"/>
            <w:shd w:val="clear" w:color="auto" w:fill="E2E8F1"/>
          </w:tcPr>
          <w:p>
            <w:pPr>
              <w:jc w:val="right"/>
              <w:ind w:right="26"/>
              <w:spacing w:after="0"/>
              <w:rPr>
                <w:sz w:val="20"/>
                <w:szCs w:val="20"/>
                <w:color w:val="auto"/>
              </w:rPr>
            </w:pPr>
            <w:r>
              <w:rPr>
                <w:rFonts w:ascii="Arial" w:cs="Arial" w:eastAsia="Arial" w:hAnsi="Arial"/>
                <w:sz w:val="16"/>
                <w:szCs w:val="16"/>
                <w:color w:val="auto"/>
              </w:rPr>
              <w:t>00</w:t>
            </w:r>
          </w:p>
        </w:tc>
        <w:tc>
          <w:tcPr>
            <w:tcW w:w="2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3,585.8</w:t>
            </w:r>
          </w:p>
        </w:tc>
        <w:tc>
          <w:tcPr>
            <w:tcW w:w="1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3,754.8</w:t>
            </w:r>
          </w:p>
        </w:tc>
        <w:tc>
          <w:tcPr>
            <w:tcW w:w="1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(399.1)</w:t>
            </w:r>
          </w:p>
        </w:tc>
        <w:tc>
          <w:tcPr>
            <w:tcW w:w="1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0.1</w:t>
            </w:r>
          </w:p>
        </w:tc>
        <w:tc>
          <w:tcPr>
            <w:tcW w:w="90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$ 2,106.4</w:t>
            </w:r>
          </w:p>
        </w:tc>
        <w:tc>
          <w:tcPr>
            <w:tcW w:w="0" w:type="dxa"/>
            <w:vAlign w:val="bottom"/>
          </w:tcPr>
          <w:p>
            <w:pPr>
              <w:spacing w:after="0"/>
              <w:rPr>
                <w:sz w:val="1"/>
                <w:szCs w:val="1"/>
                <w:color w:val="auto"/>
              </w:rPr>
            </w:pPr>
          </w:p>
        </w:tc>
      </w:tr>
      <w:tr>
        <w:trPr>
          <w:trHeight w:val="183"/>
        </w:trPr>
        <w:tc>
          <w:tcPr>
            <w:tcW w:w="3240" w:type="dxa"/>
            <w:vAlign w:val="bottom"/>
          </w:tcPr>
          <w:p>
            <w:pPr>
              <w:ind w:left="60"/>
              <w:spacing w:after="0" w:line="183" w:lineRule="exact"/>
              <w:rPr>
                <w:sz w:val="20"/>
                <w:szCs w:val="20"/>
                <w:color w:val="auto"/>
              </w:rPr>
            </w:pPr>
            <w:r>
              <w:rPr>
                <w:rFonts w:ascii="Arial" w:cs="Arial" w:eastAsia="Arial" w:hAnsi="Arial"/>
                <w:sz w:val="16"/>
                <w:szCs w:val="16"/>
                <w:color w:val="auto"/>
              </w:rPr>
              <w:t>Net earnings</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41"/>
              <w:spacing w:after="0" w:line="183" w:lineRule="exact"/>
              <w:rPr>
                <w:sz w:val="20"/>
                <w:szCs w:val="20"/>
                <w:color w:val="auto"/>
              </w:rPr>
            </w:pPr>
            <w:r>
              <w:rPr>
                <w:rFonts w:ascii="Arial" w:cs="Arial" w:eastAsia="Arial" w:hAnsi="Arial"/>
                <w:sz w:val="16"/>
                <w:szCs w:val="16"/>
                <w:color w:val="auto"/>
              </w:rPr>
              <w:t>34.1</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189"/>
        </w:trPr>
        <w:tc>
          <w:tcPr>
            <w:tcW w:w="3240" w:type="dxa"/>
            <w:vAlign w:val="bottom"/>
            <w:shd w:val="clear" w:color="auto" w:fill="E2E8F1"/>
          </w:tcPr>
          <w:p>
            <w:pPr>
              <w:ind w:left="60"/>
              <w:spacing w:after="0"/>
              <w:rPr>
                <w:sz w:val="20"/>
                <w:szCs w:val="20"/>
                <w:color w:val="auto"/>
              </w:rPr>
            </w:pPr>
            <w:r>
              <w:rPr>
                <w:rFonts w:ascii="Arial" w:cs="Arial" w:eastAsia="Arial" w:hAnsi="Arial"/>
                <w:sz w:val="16"/>
                <w:szCs w:val="16"/>
                <w:color w:val="auto"/>
              </w:rPr>
              <w:t>Other comprehensive loss</w:t>
            </w:r>
          </w:p>
        </w:tc>
        <w:tc>
          <w:tcPr>
            <w:tcW w:w="80" w:type="dxa"/>
            <w:vAlign w:val="bottom"/>
            <w:shd w:val="clear" w:color="auto" w:fill="E2E8F1"/>
          </w:tcPr>
          <w:p>
            <w:pPr>
              <w:spacing w:after="0"/>
              <w:rPr>
                <w:sz w:val="16"/>
                <w:szCs w:val="16"/>
                <w:color w:val="auto"/>
              </w:rPr>
            </w:pPr>
          </w:p>
        </w:tc>
        <w:tc>
          <w:tcPr>
            <w:tcW w:w="96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3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(7.0)</w:t>
            </w: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Issuances under equity plans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9"/>
        </w:trPr>
        <w:tc>
          <w:tcPr>
            <w:tcW w:w="3240" w:type="dxa"/>
            <w:vAlign w:val="bottom"/>
            <w:shd w:val="clear" w:color="auto" w:fill="E2E8F1"/>
          </w:tcPr>
          <w:p>
            <w:pPr>
              <w:ind w:left="60"/>
              <w:spacing w:after="0"/>
              <w:rPr>
                <w:sz w:val="20"/>
                <w:szCs w:val="20"/>
                <w:color w:val="auto"/>
              </w:rPr>
            </w:pPr>
            <w:r>
              <w:rPr>
                <w:rFonts w:ascii="Arial" w:cs="Arial" w:eastAsia="Arial" w:hAnsi="Arial"/>
                <w:sz w:val="16"/>
                <w:szCs w:val="16"/>
                <w:color w:val="auto"/>
              </w:rPr>
              <w:t>Share-based compensation expense</w:t>
            </w:r>
          </w:p>
        </w:tc>
        <w:tc>
          <w:tcPr>
            <w:tcW w:w="80" w:type="dxa"/>
            <w:vAlign w:val="bottom"/>
            <w:shd w:val="clear" w:color="auto" w:fill="E2E8F1"/>
          </w:tcPr>
          <w:p>
            <w:pPr>
              <w:spacing w:after="0"/>
              <w:rPr>
                <w:sz w:val="16"/>
                <w:szCs w:val="16"/>
                <w:color w:val="auto"/>
              </w:rPr>
            </w:pPr>
          </w:p>
        </w:tc>
        <w:tc>
          <w:tcPr>
            <w:tcW w:w="96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7.3</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Noncontrolling interest transactions</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68"/>
        </w:trPr>
        <w:tc>
          <w:tcPr>
            <w:tcW w:w="3240" w:type="dxa"/>
            <w:vAlign w:val="bottom"/>
            <w:shd w:val="clear" w:color="auto" w:fill="E2E8F1"/>
          </w:tcPr>
          <w:p>
            <w:pPr>
              <w:ind w:left="40"/>
              <w:spacing w:after="0" w:line="168" w:lineRule="exact"/>
              <w:rPr>
                <w:sz w:val="20"/>
                <w:szCs w:val="20"/>
                <w:color w:val="auto"/>
              </w:rPr>
            </w:pPr>
            <w:r>
              <w:rPr>
                <w:rFonts w:ascii="Arial" w:cs="Arial" w:eastAsia="Arial" w:hAnsi="Arial"/>
                <w:sz w:val="16"/>
                <w:szCs w:val="16"/>
                <w:color w:val="auto"/>
              </w:rPr>
              <w:t>Balance, September 30, 2026</w:t>
            </w:r>
          </w:p>
        </w:tc>
        <w:tc>
          <w:tcPr>
            <w:tcW w:w="1040" w:type="dxa"/>
            <w:vAlign w:val="bottom"/>
            <w:gridSpan w:val="2"/>
            <w:shd w:val="clear" w:color="auto" w:fill="E2E8F1"/>
          </w:tcPr>
          <w:p>
            <w:pPr>
              <w:jc w:val="right"/>
              <w:ind w:right="26"/>
              <w:spacing w:after="0" w:line="168" w:lineRule="exact"/>
              <w:rPr>
                <w:sz w:val="20"/>
                <w:szCs w:val="20"/>
                <w:color w:val="auto"/>
              </w:rPr>
            </w:pPr>
            <w:r>
              <w:rPr>
                <w:rFonts w:ascii="Arial" w:cs="Arial" w:eastAsia="Arial" w:hAnsi="Arial"/>
                <w:sz w:val="16"/>
                <w:szCs w:val="16"/>
                <w:color w:val="auto"/>
              </w:rPr>
              <w:t>119,444,6</w:t>
            </w:r>
          </w:p>
        </w:tc>
        <w:tc>
          <w:tcPr>
            <w:tcW w:w="22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3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680" w:type="dxa"/>
            <w:vAlign w:val="bottom"/>
            <w:shd w:val="clear" w:color="auto" w:fill="E2E8F1"/>
          </w:tcPr>
          <w:p>
            <w:pPr>
              <w:jc w:val="right"/>
              <w:ind w:right="40"/>
              <w:spacing w:after="0" w:line="168" w:lineRule="exact"/>
              <w:rPr>
                <w:sz w:val="20"/>
                <w:szCs w:val="20"/>
                <w:color w:val="auto"/>
              </w:rPr>
            </w:pPr>
            <w:r>
              <w:rPr>
                <w:rFonts w:ascii="Arial" w:cs="Arial" w:eastAsia="Arial" w:hAnsi="Arial"/>
                <w:sz w:val="16"/>
                <w:szCs w:val="16"/>
                <w:color w:val="auto"/>
              </w:rPr>
              <w:t>(4,836.</w:t>
            </w: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shd w:val="clear" w:color="auto" w:fill="E2E8F1"/>
          </w:tcPr>
          <w:p>
            <w:pPr>
              <w:spacing w:after="0"/>
              <w:rPr>
                <w:sz w:val="17"/>
                <w:szCs w:val="17"/>
                <w:color w:val="auto"/>
              </w:rPr>
            </w:pPr>
          </w:p>
        </w:tc>
        <w:tc>
          <w:tcPr>
            <w:tcW w:w="1040" w:type="dxa"/>
            <w:vAlign w:val="bottom"/>
            <w:tcBorders>
              <w:bottom w:val="single" w:sz="8" w:color="auto"/>
            </w:tcBorders>
            <w:gridSpan w:val="2"/>
            <w:shd w:val="clear" w:color="auto" w:fill="E2E8F1"/>
          </w:tcPr>
          <w:p>
            <w:pPr>
              <w:jc w:val="right"/>
              <w:ind w:right="26"/>
              <w:spacing w:after="0"/>
              <w:rPr>
                <w:sz w:val="20"/>
                <w:szCs w:val="20"/>
                <w:color w:val="auto"/>
              </w:rPr>
            </w:pPr>
            <w:r>
              <w:rPr>
                <w:rFonts w:ascii="Arial" w:cs="Arial" w:eastAsia="Arial" w:hAnsi="Arial"/>
                <w:sz w:val="16"/>
                <w:szCs w:val="16"/>
                <w:color w:val="auto"/>
              </w:rPr>
              <w:t>00</w:t>
            </w:r>
          </w:p>
        </w:tc>
        <w:tc>
          <w:tcPr>
            <w:tcW w:w="2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3,592.8</w:t>
            </w:r>
          </w:p>
        </w:tc>
        <w:tc>
          <w:tcPr>
            <w:tcW w:w="1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3,788.9</w:t>
            </w:r>
          </w:p>
        </w:tc>
        <w:tc>
          <w:tcPr>
            <w:tcW w:w="1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(406.1)</w:t>
            </w:r>
          </w:p>
        </w:tc>
        <w:tc>
          <w:tcPr>
            <w:tcW w:w="1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0.2</w:t>
            </w:r>
          </w:p>
        </w:tc>
        <w:tc>
          <w:tcPr>
            <w:tcW w:w="90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$ 2,140.6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-3350895</wp:posOffset>
            </wp:positionV>
            <wp:extent cx="43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-3239770</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0"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ManpowerGroup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651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80" w:type="dxa"/>
            <w:vAlign w:val="bottom"/>
            <w:tcBorders>
              <w:bottom w:val="single" w:sz="8" w:color="98B0CF"/>
            </w:tcBorders>
            <w:shd w:val="clear" w:color="auto" w:fill="98B0CF"/>
          </w:tcPr>
          <w:p>
            <w:pPr>
              <w:spacing w:after="0"/>
              <w:rPr>
                <w:sz w:val="13"/>
                <w:szCs w:val="13"/>
                <w:color w:val="auto"/>
              </w:rPr>
            </w:pPr>
          </w:p>
        </w:tc>
        <w:tc>
          <w:tcPr>
            <w:tcW w:w="1700" w:type="dxa"/>
            <w:vAlign w:val="bottom"/>
            <w:tcBorders>
              <w:top w:val="single" w:sz="8" w:color="auto"/>
              <w:bottom w:val="single" w:sz="8" w:color="auto"/>
            </w:tcBorders>
            <w:gridSpan w:val="3"/>
            <w:shd w:val="clear" w:color="auto" w:fill="98B0CF"/>
          </w:tcPr>
          <w:p>
            <w:pPr>
              <w:jc w:val="right"/>
              <w:ind w:right="301"/>
              <w:spacing w:after="0" w:line="155" w:lineRule="exact"/>
              <w:rPr>
                <w:sz w:val="20"/>
                <w:szCs w:val="20"/>
                <w:color w:val="auto"/>
              </w:rPr>
            </w:pPr>
            <w:r>
              <w:rPr>
                <w:rFonts w:ascii="Arial" w:cs="Arial" w:eastAsia="Arial" w:hAnsi="Arial"/>
                <w:sz w:val="14"/>
                <w:szCs w:val="14"/>
                <w:b w:val="1"/>
                <w:bCs w:val="1"/>
                <w:color w:val="auto"/>
              </w:rPr>
              <w:t>Common Stock</w:t>
            </w:r>
          </w:p>
        </w:tc>
        <w:tc>
          <w:tcPr>
            <w:tcW w:w="180" w:type="dxa"/>
            <w:vAlign w:val="bottom"/>
            <w:tcBorders>
              <w:top w:val="single" w:sz="8" w:color="auto"/>
              <w:bottom w:val="single" w:sz="8" w:color="98B0CF"/>
            </w:tcBorders>
            <w:shd w:val="clear" w:color="auto" w:fill="98B0CF"/>
          </w:tcPr>
          <w:p>
            <w:pPr>
              <w:spacing w:after="0"/>
              <w:rPr>
                <w:sz w:val="13"/>
                <w:szCs w:val="13"/>
                <w:color w:val="auto"/>
              </w:rPr>
            </w:pPr>
          </w:p>
        </w:tc>
        <w:tc>
          <w:tcPr>
            <w:tcW w:w="880" w:type="dxa"/>
            <w:vAlign w:val="bottom"/>
            <w:tcBorders>
              <w:top w:val="single" w:sz="8" w:color="auto"/>
              <w:bottom w:val="single" w:sz="8" w:color="98B0CF"/>
            </w:tcBorders>
            <w:shd w:val="clear" w:color="auto" w:fill="98B0CF"/>
          </w:tcPr>
          <w:p>
            <w:pPr>
              <w:spacing w:after="0"/>
              <w:rPr>
                <w:sz w:val="13"/>
                <w:szCs w:val="13"/>
                <w:color w:val="auto"/>
              </w:rPr>
            </w:pPr>
          </w:p>
        </w:tc>
        <w:tc>
          <w:tcPr>
            <w:tcW w:w="180" w:type="dxa"/>
            <w:vAlign w:val="bottom"/>
            <w:tcBorders>
              <w:top w:val="single" w:sz="8" w:color="auto"/>
              <w:bottom w:val="single" w:sz="8" w:color="98B0CF"/>
            </w:tcBorders>
            <w:shd w:val="clear" w:color="auto" w:fill="98B0CF"/>
          </w:tcPr>
          <w:p>
            <w:pPr>
              <w:spacing w:after="0"/>
              <w:rPr>
                <w:sz w:val="13"/>
                <w:szCs w:val="13"/>
                <w:color w:val="auto"/>
              </w:rPr>
            </w:pPr>
          </w:p>
        </w:tc>
        <w:tc>
          <w:tcPr>
            <w:tcW w:w="880" w:type="dxa"/>
            <w:vAlign w:val="bottom"/>
            <w:tcBorders>
              <w:top w:val="single" w:sz="8" w:color="auto"/>
              <w:bottom w:val="single" w:sz="8" w:color="98B0CF"/>
            </w:tcBorders>
            <w:shd w:val="clear" w:color="auto" w:fill="98B0CF"/>
          </w:tcPr>
          <w:p>
            <w:pPr>
              <w:spacing w:after="0"/>
              <w:rPr>
                <w:sz w:val="13"/>
                <w:szCs w:val="13"/>
                <w:color w:val="auto"/>
              </w:rPr>
            </w:pPr>
          </w:p>
        </w:tc>
        <w:tc>
          <w:tcPr>
            <w:tcW w:w="160" w:type="dxa"/>
            <w:vAlign w:val="bottom"/>
            <w:tcBorders>
              <w:top w:val="single" w:sz="8" w:color="auto"/>
              <w:bottom w:val="single" w:sz="8" w:color="98B0CF"/>
            </w:tcBorders>
            <w:shd w:val="clear" w:color="auto" w:fill="98B0CF"/>
          </w:tcPr>
          <w:p>
            <w:pPr>
              <w:spacing w:after="0"/>
              <w:rPr>
                <w:sz w:val="13"/>
                <w:szCs w:val="13"/>
                <w:color w:val="auto"/>
              </w:rPr>
            </w:pPr>
          </w:p>
        </w:tc>
        <w:tc>
          <w:tcPr>
            <w:tcW w:w="1300" w:type="dxa"/>
            <w:vAlign w:val="bottom"/>
            <w:tcBorders>
              <w:top w:val="single" w:sz="8" w:color="auto"/>
              <w:bottom w:val="single" w:sz="8" w:color="auto"/>
            </w:tcBorders>
            <w:vMerge w:val="restart"/>
            <w:shd w:val="clear" w:color="auto" w:fill="98B0CF"/>
          </w:tcPr>
          <w:p>
            <w:pPr>
              <w:jc w:val="center"/>
              <w:ind w:right="142"/>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Borders>
              <w:top w:val="single" w:sz="8" w:color="auto"/>
              <w:bottom w:val="single" w:sz="8" w:color="98B0CF"/>
            </w:tcBorders>
            <w:shd w:val="clear" w:color="auto" w:fill="98B0CF"/>
          </w:tcPr>
          <w:p>
            <w:pPr>
              <w:spacing w:after="0"/>
              <w:rPr>
                <w:sz w:val="13"/>
                <w:szCs w:val="13"/>
                <w:color w:val="auto"/>
              </w:rPr>
            </w:pPr>
          </w:p>
        </w:tc>
        <w:tc>
          <w:tcPr>
            <w:tcW w:w="680" w:type="dxa"/>
            <w:vAlign w:val="bottom"/>
            <w:tcBorders>
              <w:top w:val="single" w:sz="8" w:color="auto"/>
              <w:bottom w:val="single" w:sz="8" w:color="98B0CF"/>
            </w:tcBorders>
            <w:shd w:val="clear" w:color="auto" w:fill="98B0CF"/>
          </w:tcPr>
          <w:p>
            <w:pPr>
              <w:spacing w:after="0"/>
              <w:rPr>
                <w:sz w:val="13"/>
                <w:szCs w:val="13"/>
                <w:color w:val="auto"/>
              </w:rPr>
            </w:pPr>
          </w:p>
        </w:tc>
        <w:tc>
          <w:tcPr>
            <w:tcW w:w="200" w:type="dxa"/>
            <w:vAlign w:val="bottom"/>
            <w:tcBorders>
              <w:bottom w:val="single" w:sz="8" w:color="98B0CF"/>
            </w:tcBorders>
            <w:shd w:val="clear" w:color="auto" w:fill="98B0CF"/>
          </w:tcPr>
          <w:p>
            <w:pPr>
              <w:spacing w:after="0"/>
              <w:rPr>
                <w:sz w:val="13"/>
                <w:szCs w:val="13"/>
                <w:color w:val="auto"/>
              </w:rPr>
            </w:pPr>
          </w:p>
        </w:tc>
        <w:tc>
          <w:tcPr>
            <w:tcW w:w="680" w:type="dxa"/>
            <w:vAlign w:val="bottom"/>
            <w:tcBorders>
              <w:bottom w:val="single" w:sz="8" w:color="98B0CF"/>
            </w:tcBorders>
            <w:vMerge w:val="restart"/>
            <w:shd w:val="clear" w:color="auto" w:fill="98B0CF"/>
          </w:tcPr>
          <w:p>
            <w:pPr>
              <w:jc w:val="center"/>
              <w:ind w:right="181"/>
              <w:spacing w:after="0"/>
              <w:rPr>
                <w:sz w:val="20"/>
                <w:szCs w:val="20"/>
                <w:color w:val="auto"/>
              </w:rPr>
            </w:pPr>
            <w:r>
              <w:rPr>
                <w:rFonts w:ascii="Arial" w:cs="Arial" w:eastAsia="Arial" w:hAnsi="Arial"/>
                <w:sz w:val="14"/>
                <w:szCs w:val="14"/>
                <w:b w:val="1"/>
                <w:bCs w:val="1"/>
                <w:color w:val="auto"/>
              </w:rPr>
              <w:t>Non-</w:t>
            </w:r>
          </w:p>
        </w:tc>
        <w:tc>
          <w:tcPr>
            <w:tcW w:w="9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52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88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880" w:type="dxa"/>
            <w:vAlign w:val="bottom"/>
            <w:shd w:val="clear" w:color="auto" w:fill="98B0CF"/>
          </w:tcPr>
          <w:p>
            <w:pPr>
              <w:spacing w:after="0"/>
              <w:rPr>
                <w:sz w:val="12"/>
                <w:szCs w:val="12"/>
                <w:color w:val="auto"/>
              </w:rPr>
            </w:pPr>
          </w:p>
        </w:tc>
        <w:tc>
          <w:tcPr>
            <w:tcW w:w="160" w:type="dxa"/>
            <w:vAlign w:val="bottom"/>
            <w:shd w:val="clear" w:color="auto" w:fill="98B0CF"/>
          </w:tcPr>
          <w:p>
            <w:pPr>
              <w:spacing w:after="0"/>
              <w:rPr>
                <w:sz w:val="12"/>
                <w:szCs w:val="12"/>
                <w:color w:val="auto"/>
              </w:rPr>
            </w:pPr>
          </w:p>
        </w:tc>
        <w:tc>
          <w:tcPr>
            <w:tcW w:w="1300" w:type="dxa"/>
            <w:vAlign w:val="bottom"/>
            <w:vMerge w:val="continue"/>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68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680" w:type="dxa"/>
            <w:vAlign w:val="bottom"/>
            <w:vMerge w:val="continue"/>
            <w:shd w:val="clear" w:color="auto" w:fill="98B0CF"/>
          </w:tcPr>
          <w:p>
            <w:pPr>
              <w:spacing w:after="0"/>
              <w:rPr>
                <w:sz w:val="12"/>
                <w:szCs w:val="12"/>
                <w:color w:val="auto"/>
              </w:rPr>
            </w:pPr>
          </w:p>
        </w:tc>
        <w:tc>
          <w:tcPr>
            <w:tcW w:w="900" w:type="dxa"/>
            <w:vAlign w:val="bottom"/>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8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5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20"/>
                <w:szCs w:val="20"/>
                <w:color w:val="auto"/>
              </w:rPr>
            </w:pPr>
            <w:r>
              <w:rPr>
                <w:rFonts w:ascii="Arial" w:cs="Arial" w:eastAsia="Arial" w:hAnsi="Arial"/>
                <w:sz w:val="14"/>
                <w:szCs w:val="14"/>
                <w:b w:val="1"/>
                <w:bCs w:val="1"/>
                <w:color w:val="auto"/>
              </w:rPr>
              <w:t>Capital in</w:t>
            </w: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1300" w:type="dxa"/>
            <w:vAlign w:val="bottom"/>
            <w:shd w:val="clear" w:color="auto" w:fill="98B0CF"/>
          </w:tcPr>
          <w:p>
            <w:pPr>
              <w:jc w:val="center"/>
              <w:ind w:right="142"/>
              <w:spacing w:after="0"/>
              <w:rPr>
                <w:sz w:val="20"/>
                <w:szCs w:val="20"/>
                <w:color w:val="auto"/>
              </w:rPr>
            </w:pPr>
            <w:r>
              <w:rPr>
                <w:rFonts w:ascii="Arial" w:cs="Arial" w:eastAsia="Arial" w:hAnsi="Arial"/>
                <w:sz w:val="14"/>
                <w:szCs w:val="14"/>
                <w:b w:val="1"/>
                <w:bCs w:val="1"/>
                <w:color w:val="auto"/>
              </w:rPr>
              <w:t>Other</w:t>
            </w:r>
          </w:p>
        </w:tc>
        <w:tc>
          <w:tcPr>
            <w:tcW w:w="180" w:type="dxa"/>
            <w:vAlign w:val="bottom"/>
            <w:shd w:val="clear" w:color="auto" w:fill="98B0CF"/>
          </w:tcPr>
          <w:p>
            <w:pPr>
              <w:spacing w:after="0"/>
              <w:rPr>
                <w:sz w:val="14"/>
                <w:szCs w:val="14"/>
                <w:color w:val="auto"/>
              </w:rPr>
            </w:pPr>
          </w:p>
        </w:tc>
        <w:tc>
          <w:tcPr>
            <w:tcW w:w="680" w:type="dxa"/>
            <w:vAlign w:val="bottom"/>
            <w:shd w:val="clear" w:color="auto" w:fill="98B0CF"/>
          </w:tcPr>
          <w:p>
            <w:pPr>
              <w:spacing w:after="0"/>
              <w:rPr>
                <w:sz w:val="14"/>
                <w:szCs w:val="14"/>
                <w:color w:val="auto"/>
              </w:rPr>
            </w:pPr>
          </w:p>
        </w:tc>
        <w:tc>
          <w:tcPr>
            <w:tcW w:w="880" w:type="dxa"/>
            <w:vAlign w:val="bottom"/>
            <w:gridSpan w:val="2"/>
            <w:shd w:val="clear" w:color="auto" w:fill="98B0CF"/>
          </w:tcPr>
          <w:p>
            <w:pPr>
              <w:ind w:left="80"/>
              <w:spacing w:after="0"/>
              <w:rPr>
                <w:sz w:val="20"/>
                <w:szCs w:val="20"/>
                <w:color w:val="auto"/>
              </w:rPr>
            </w:pPr>
            <w:r>
              <w:rPr>
                <w:rFonts w:ascii="Arial" w:cs="Arial" w:eastAsia="Arial" w:hAnsi="Arial"/>
                <w:sz w:val="14"/>
                <w:szCs w:val="14"/>
                <w:b w:val="1"/>
                <w:bCs w:val="1"/>
                <w:color w:val="auto"/>
              </w:rPr>
              <w:t>Controllin</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80" w:type="dxa"/>
            <w:vAlign w:val="bottom"/>
            <w:shd w:val="clear" w:color="auto" w:fill="98B0CF"/>
          </w:tcPr>
          <w:p>
            <w:pPr>
              <w:spacing w:after="0"/>
              <w:rPr>
                <w:sz w:val="14"/>
                <w:szCs w:val="14"/>
                <w:color w:val="auto"/>
              </w:rPr>
            </w:pPr>
          </w:p>
        </w:tc>
        <w:tc>
          <w:tcPr>
            <w:tcW w:w="960" w:type="dxa"/>
            <w:vAlign w:val="bottom"/>
            <w:shd w:val="clear" w:color="auto" w:fill="98B0CF"/>
          </w:tcPr>
          <w:p>
            <w:pPr>
              <w:jc w:val="right"/>
              <w:ind w:right="226"/>
              <w:spacing w:after="0"/>
              <w:rPr>
                <w:sz w:val="20"/>
                <w:szCs w:val="20"/>
                <w:color w:val="auto"/>
              </w:rPr>
            </w:pPr>
            <w:r>
              <w:rPr>
                <w:rFonts w:ascii="Arial" w:cs="Arial" w:eastAsia="Arial" w:hAnsi="Arial"/>
                <w:sz w:val="14"/>
                <w:szCs w:val="14"/>
                <w:b w:val="1"/>
                <w:bCs w:val="1"/>
                <w:color w:val="auto"/>
              </w:rPr>
              <w:t>Shares</w:t>
            </w:r>
          </w:p>
        </w:tc>
        <w:tc>
          <w:tcPr>
            <w:tcW w:w="220" w:type="dxa"/>
            <w:vAlign w:val="bottom"/>
            <w:shd w:val="clear" w:color="auto" w:fill="98B0CF"/>
          </w:tcPr>
          <w:p>
            <w:pPr>
              <w:spacing w:after="0"/>
              <w:rPr>
                <w:sz w:val="14"/>
                <w:szCs w:val="14"/>
                <w:color w:val="auto"/>
              </w:rPr>
            </w:pPr>
          </w:p>
        </w:tc>
        <w:tc>
          <w:tcPr>
            <w:tcW w:w="520" w:type="dxa"/>
            <w:vAlign w:val="bottom"/>
            <w:shd w:val="clear" w:color="auto" w:fill="98B0CF"/>
          </w:tcPr>
          <w:p>
            <w:pPr>
              <w:jc w:val="right"/>
              <w:ind w:right="181"/>
              <w:spacing w:after="0"/>
              <w:rPr>
                <w:sz w:val="20"/>
                <w:szCs w:val="20"/>
                <w:color w:val="auto"/>
              </w:rPr>
            </w:pPr>
            <w:r>
              <w:rPr>
                <w:rFonts w:ascii="Arial" w:cs="Arial" w:eastAsia="Arial" w:hAnsi="Arial"/>
                <w:sz w:val="14"/>
                <w:szCs w:val="14"/>
                <w:b w:val="1"/>
                <w:bCs w:val="1"/>
                <w:color w:val="auto"/>
              </w:rPr>
              <w:t>Par</w:t>
            </w: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20"/>
                <w:szCs w:val="20"/>
                <w:color w:val="auto"/>
              </w:rPr>
            </w:pPr>
            <w:r>
              <w:rPr>
                <w:rFonts w:ascii="Arial" w:cs="Arial" w:eastAsia="Arial" w:hAnsi="Arial"/>
                <w:sz w:val="14"/>
                <w:szCs w:val="14"/>
                <w:b w:val="1"/>
                <w:bCs w:val="1"/>
                <w:color w:val="auto"/>
              </w:rPr>
              <w:t>Excess of</w:t>
            </w: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jc w:val="right"/>
              <w:ind w:right="181"/>
              <w:spacing w:after="0"/>
              <w:rPr>
                <w:sz w:val="20"/>
                <w:szCs w:val="20"/>
                <w:color w:val="auto"/>
              </w:rPr>
            </w:pPr>
            <w:r>
              <w:rPr>
                <w:rFonts w:ascii="Arial" w:cs="Arial" w:eastAsia="Arial" w:hAnsi="Arial"/>
                <w:sz w:val="14"/>
                <w:szCs w:val="14"/>
                <w:b w:val="1"/>
                <w:bCs w:val="1"/>
                <w:color w:val="auto"/>
              </w:rPr>
              <w:t>Retained</w:t>
            </w:r>
          </w:p>
        </w:tc>
        <w:tc>
          <w:tcPr>
            <w:tcW w:w="160" w:type="dxa"/>
            <w:vAlign w:val="bottom"/>
            <w:shd w:val="clear" w:color="auto" w:fill="98B0CF"/>
          </w:tcPr>
          <w:p>
            <w:pPr>
              <w:spacing w:after="0"/>
              <w:rPr>
                <w:sz w:val="14"/>
                <w:szCs w:val="14"/>
                <w:color w:val="auto"/>
              </w:rPr>
            </w:pPr>
          </w:p>
        </w:tc>
        <w:tc>
          <w:tcPr>
            <w:tcW w:w="1300" w:type="dxa"/>
            <w:vAlign w:val="bottom"/>
            <w:shd w:val="clear" w:color="auto" w:fill="98B0CF"/>
          </w:tcPr>
          <w:p>
            <w:pPr>
              <w:jc w:val="center"/>
              <w:ind w:right="142"/>
              <w:spacing w:after="0"/>
              <w:rPr>
                <w:sz w:val="20"/>
                <w:szCs w:val="20"/>
                <w:color w:val="auto"/>
              </w:rPr>
            </w:pPr>
            <w:r>
              <w:rPr>
                <w:rFonts w:ascii="Arial" w:cs="Arial" w:eastAsia="Arial" w:hAnsi="Arial"/>
                <w:sz w:val="14"/>
                <w:szCs w:val="14"/>
                <w:b w:val="1"/>
                <w:bCs w:val="1"/>
                <w:color w:val="auto"/>
              </w:rPr>
              <w:t>Comprehensive</w:t>
            </w:r>
          </w:p>
        </w:tc>
        <w:tc>
          <w:tcPr>
            <w:tcW w:w="860" w:type="dxa"/>
            <w:vAlign w:val="bottom"/>
            <w:gridSpan w:val="2"/>
            <w:shd w:val="clear" w:color="auto" w:fill="98B0CF"/>
          </w:tcPr>
          <w:p>
            <w:pPr>
              <w:jc w:val="right"/>
              <w:ind w:right="80"/>
              <w:spacing w:after="0"/>
              <w:rPr>
                <w:sz w:val="20"/>
                <w:szCs w:val="20"/>
                <w:color w:val="auto"/>
              </w:rPr>
            </w:pPr>
            <w:r>
              <w:rPr>
                <w:rFonts w:ascii="Arial" w:cs="Arial" w:eastAsia="Arial" w:hAnsi="Arial"/>
                <w:sz w:val="14"/>
                <w:szCs w:val="14"/>
                <w:b w:val="1"/>
                <w:bCs w:val="1"/>
                <w:color w:val="auto"/>
              </w:rPr>
              <w:t>Treasury</w:t>
            </w:r>
          </w:p>
        </w:tc>
        <w:tc>
          <w:tcPr>
            <w:tcW w:w="200" w:type="dxa"/>
            <w:vAlign w:val="bottom"/>
            <w:shd w:val="clear" w:color="auto" w:fill="98B0CF"/>
          </w:tcPr>
          <w:p>
            <w:pPr>
              <w:spacing w:after="0"/>
              <w:rPr>
                <w:sz w:val="14"/>
                <w:szCs w:val="14"/>
                <w:color w:val="auto"/>
              </w:rPr>
            </w:pPr>
          </w:p>
        </w:tc>
        <w:tc>
          <w:tcPr>
            <w:tcW w:w="680" w:type="dxa"/>
            <w:vAlign w:val="bottom"/>
            <w:shd w:val="clear" w:color="auto" w:fill="98B0CF"/>
          </w:tcPr>
          <w:p>
            <w:pPr>
              <w:jc w:val="center"/>
              <w:ind w:right="181"/>
              <w:spacing w:after="0"/>
              <w:rPr>
                <w:sz w:val="20"/>
                <w:szCs w:val="20"/>
                <w:color w:val="auto"/>
              </w:rPr>
            </w:pPr>
            <w:r>
              <w:rPr>
                <w:rFonts w:ascii="Arial" w:cs="Arial" w:eastAsia="Arial" w:hAnsi="Arial"/>
                <w:sz w:val="14"/>
                <w:szCs w:val="14"/>
                <w:b w:val="1"/>
                <w:bCs w:val="1"/>
                <w:color w:val="auto"/>
              </w:rPr>
              <w:t>g</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shd w:val="clear" w:color="auto" w:fill="98B0CF"/>
          </w:tcPr>
          <w:p>
            <w:pPr>
              <w:spacing w:after="0"/>
              <w:rPr>
                <w:sz w:val="14"/>
                <w:szCs w:val="14"/>
                <w:color w:val="auto"/>
              </w:rPr>
            </w:pPr>
          </w:p>
        </w:tc>
        <w:tc>
          <w:tcPr>
            <w:tcW w:w="960" w:type="dxa"/>
            <w:vAlign w:val="bottom"/>
            <w:tcBorders>
              <w:bottom w:val="single" w:sz="8" w:color="auto"/>
            </w:tcBorders>
            <w:shd w:val="clear" w:color="auto" w:fill="98B0CF"/>
          </w:tcPr>
          <w:p>
            <w:pPr>
              <w:jc w:val="right"/>
              <w:ind w:right="226"/>
              <w:spacing w:after="0"/>
              <w:rPr>
                <w:sz w:val="20"/>
                <w:szCs w:val="20"/>
                <w:color w:val="auto"/>
              </w:rPr>
            </w:pPr>
            <w:r>
              <w:rPr>
                <w:rFonts w:ascii="Arial" w:cs="Arial" w:eastAsia="Arial" w:hAnsi="Arial"/>
                <w:sz w:val="14"/>
                <w:szCs w:val="14"/>
                <w:b w:val="1"/>
                <w:bCs w:val="1"/>
                <w:color w:val="auto"/>
              </w:rPr>
              <w:t>Issued</w:t>
            </w:r>
          </w:p>
        </w:tc>
        <w:tc>
          <w:tcPr>
            <w:tcW w:w="740" w:type="dxa"/>
            <w:vAlign w:val="bottom"/>
            <w:tcBorders>
              <w:bottom w:val="single" w:sz="8" w:color="auto"/>
            </w:tcBorders>
            <w:gridSpan w:val="2"/>
            <w:shd w:val="clear" w:color="auto" w:fill="98B0CF"/>
          </w:tcPr>
          <w:p>
            <w:pPr>
              <w:jc w:val="right"/>
              <w:ind w:right="101"/>
              <w:spacing w:after="0"/>
              <w:rPr>
                <w:sz w:val="20"/>
                <w:szCs w:val="20"/>
                <w:color w:val="auto"/>
              </w:rPr>
            </w:pPr>
            <w:r>
              <w:rPr>
                <w:rFonts w:ascii="Arial" w:cs="Arial" w:eastAsia="Arial" w:hAnsi="Arial"/>
                <w:sz w:val="14"/>
                <w:szCs w:val="14"/>
                <w:b w:val="1"/>
                <w:bCs w:val="1"/>
                <w:color w:val="auto"/>
              </w:rPr>
              <w:t>Value</w:t>
            </w:r>
          </w:p>
        </w:tc>
        <w:tc>
          <w:tcPr>
            <w:tcW w:w="180" w:type="dxa"/>
            <w:vAlign w:val="bottom"/>
            <w:tcBorders>
              <w:bottom w:val="single" w:sz="8" w:color="auto"/>
            </w:tcBorders>
            <w:shd w:val="clear" w:color="auto" w:fill="98B0CF"/>
          </w:tcPr>
          <w:p>
            <w:pPr>
              <w:spacing w:after="0"/>
              <w:rPr>
                <w:sz w:val="14"/>
                <w:szCs w:val="14"/>
                <w:color w:val="auto"/>
              </w:rPr>
            </w:pPr>
          </w:p>
        </w:tc>
        <w:tc>
          <w:tcPr>
            <w:tcW w:w="880" w:type="dxa"/>
            <w:vAlign w:val="bottom"/>
            <w:tcBorders>
              <w:bottom w:val="single" w:sz="8" w:color="auto"/>
            </w:tcBorders>
            <w:shd w:val="clear" w:color="auto" w:fill="98B0CF"/>
          </w:tcPr>
          <w:p>
            <w:pPr>
              <w:spacing w:after="0"/>
              <w:rPr>
                <w:sz w:val="20"/>
                <w:szCs w:val="20"/>
                <w:color w:val="auto"/>
              </w:rPr>
            </w:pPr>
            <w:r>
              <w:rPr>
                <w:rFonts w:ascii="Arial" w:cs="Arial" w:eastAsia="Arial" w:hAnsi="Arial"/>
                <w:sz w:val="14"/>
                <w:szCs w:val="14"/>
                <w:b w:val="1"/>
                <w:bCs w:val="1"/>
                <w:color w:val="auto"/>
              </w:rPr>
              <w:t>Par Value</w:t>
            </w:r>
          </w:p>
        </w:tc>
        <w:tc>
          <w:tcPr>
            <w:tcW w:w="180" w:type="dxa"/>
            <w:vAlign w:val="bottom"/>
            <w:tcBorders>
              <w:bottom w:val="single" w:sz="8" w:color="auto"/>
            </w:tcBorders>
            <w:shd w:val="clear" w:color="auto" w:fill="98B0CF"/>
          </w:tcPr>
          <w:p>
            <w:pPr>
              <w:spacing w:after="0"/>
              <w:rPr>
                <w:sz w:val="14"/>
                <w:szCs w:val="14"/>
                <w:color w:val="auto"/>
              </w:rPr>
            </w:pPr>
          </w:p>
        </w:tc>
        <w:tc>
          <w:tcPr>
            <w:tcW w:w="880" w:type="dxa"/>
            <w:vAlign w:val="bottom"/>
            <w:tcBorders>
              <w:bottom w:val="single" w:sz="8" w:color="auto"/>
            </w:tcBorders>
            <w:shd w:val="clear" w:color="auto" w:fill="98B0CF"/>
          </w:tcPr>
          <w:p>
            <w:pPr>
              <w:jc w:val="right"/>
              <w:ind w:right="161"/>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shd w:val="clear" w:color="auto" w:fill="98B0CF"/>
          </w:tcPr>
          <w:p>
            <w:pPr>
              <w:spacing w:after="0"/>
              <w:rPr>
                <w:sz w:val="14"/>
                <w:szCs w:val="14"/>
                <w:color w:val="auto"/>
              </w:rPr>
            </w:pPr>
          </w:p>
        </w:tc>
        <w:tc>
          <w:tcPr>
            <w:tcW w:w="1300" w:type="dxa"/>
            <w:vAlign w:val="bottom"/>
            <w:tcBorders>
              <w:bottom w:val="single" w:sz="8" w:color="auto"/>
            </w:tcBorders>
            <w:shd w:val="clear" w:color="auto" w:fill="98B0CF"/>
          </w:tcPr>
          <w:p>
            <w:pPr>
              <w:jc w:val="center"/>
              <w:ind w:right="142"/>
              <w:spacing w:after="0"/>
              <w:rPr>
                <w:sz w:val="20"/>
                <w:szCs w:val="20"/>
                <w:color w:val="auto"/>
              </w:rPr>
            </w:pPr>
            <w:r>
              <w:rPr>
                <w:rFonts w:ascii="Arial" w:cs="Arial" w:eastAsia="Arial" w:hAnsi="Arial"/>
                <w:sz w:val="14"/>
                <w:szCs w:val="14"/>
                <w:b w:val="1"/>
                <w:bCs w:val="1"/>
                <w:color w:val="auto"/>
                <w:w w:val="97"/>
              </w:rPr>
              <w:t>Loss</w:t>
            </w:r>
          </w:p>
        </w:tc>
        <w:tc>
          <w:tcPr>
            <w:tcW w:w="180" w:type="dxa"/>
            <w:vAlign w:val="bottom"/>
            <w:tcBorders>
              <w:bottom w:val="single" w:sz="8" w:color="auto"/>
            </w:tcBorders>
            <w:shd w:val="clear" w:color="auto" w:fill="98B0CF"/>
          </w:tcPr>
          <w:p>
            <w:pPr>
              <w:spacing w:after="0"/>
              <w:rPr>
                <w:sz w:val="14"/>
                <w:szCs w:val="14"/>
                <w:color w:val="auto"/>
              </w:rPr>
            </w:pPr>
          </w:p>
        </w:tc>
        <w:tc>
          <w:tcPr>
            <w:tcW w:w="680" w:type="dxa"/>
            <w:vAlign w:val="bottom"/>
            <w:tcBorders>
              <w:bottom w:val="single" w:sz="8" w:color="auto"/>
            </w:tcBorders>
            <w:shd w:val="clear" w:color="auto" w:fill="98B0CF"/>
          </w:tcPr>
          <w:p>
            <w:pPr>
              <w:jc w:val="right"/>
              <w:ind w:right="180"/>
              <w:spacing w:after="0"/>
              <w:rPr>
                <w:sz w:val="20"/>
                <w:szCs w:val="20"/>
                <w:color w:val="auto"/>
              </w:rPr>
            </w:pPr>
            <w:r>
              <w:rPr>
                <w:rFonts w:ascii="Arial" w:cs="Arial" w:eastAsia="Arial" w:hAnsi="Arial"/>
                <w:sz w:val="14"/>
                <w:szCs w:val="14"/>
                <w:b w:val="1"/>
                <w:bCs w:val="1"/>
                <w:color w:val="auto"/>
              </w:rPr>
              <w:t>Stock</w:t>
            </w:r>
          </w:p>
        </w:tc>
        <w:tc>
          <w:tcPr>
            <w:tcW w:w="88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w w:val="99"/>
              </w:rPr>
              <w:t>Interests</w:t>
            </w:r>
          </w:p>
        </w:tc>
        <w:tc>
          <w:tcPr>
            <w:tcW w:w="900" w:type="dxa"/>
            <w:vAlign w:val="bottom"/>
            <w:tcBorders>
              <w:bottom w:val="single" w:sz="8" w:color="auto"/>
            </w:tcBorders>
            <w:shd w:val="clear" w:color="auto" w:fill="98B0CF"/>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240" w:type="dxa"/>
            <w:vAlign w:val="bottom"/>
            <w:shd w:val="clear" w:color="auto" w:fill="E2E8F1"/>
          </w:tcPr>
          <w:p>
            <w:pPr>
              <w:ind w:left="40"/>
              <w:spacing w:after="0" w:line="168" w:lineRule="exact"/>
              <w:rPr>
                <w:sz w:val="20"/>
                <w:szCs w:val="20"/>
                <w:color w:val="auto"/>
              </w:rPr>
            </w:pPr>
            <w:r>
              <w:rPr>
                <w:rFonts w:ascii="Arial" w:cs="Arial" w:eastAsia="Arial" w:hAnsi="Arial"/>
                <w:sz w:val="16"/>
                <w:szCs w:val="16"/>
                <w:color w:val="auto"/>
              </w:rPr>
              <w:t>Balance, December 31, 2024</w:t>
            </w:r>
          </w:p>
        </w:tc>
        <w:tc>
          <w:tcPr>
            <w:tcW w:w="80" w:type="dxa"/>
            <w:vAlign w:val="bottom"/>
            <w:shd w:val="clear" w:color="auto" w:fill="E2E8F1"/>
          </w:tcPr>
          <w:p>
            <w:pPr>
              <w:spacing w:after="0"/>
              <w:rPr>
                <w:sz w:val="14"/>
                <w:szCs w:val="14"/>
                <w:color w:val="auto"/>
              </w:rPr>
            </w:pPr>
          </w:p>
        </w:tc>
        <w:tc>
          <w:tcPr>
            <w:tcW w:w="960" w:type="dxa"/>
            <w:vAlign w:val="bottom"/>
            <w:shd w:val="clear" w:color="auto" w:fill="E2E8F1"/>
          </w:tcPr>
          <w:p>
            <w:pPr>
              <w:jc w:val="right"/>
              <w:ind w:right="26"/>
              <w:spacing w:after="0" w:line="168" w:lineRule="exact"/>
              <w:rPr>
                <w:sz w:val="20"/>
                <w:szCs w:val="20"/>
                <w:color w:val="auto"/>
              </w:rPr>
            </w:pPr>
            <w:r>
              <w:rPr>
                <w:rFonts w:ascii="Arial" w:cs="Arial" w:eastAsia="Arial" w:hAnsi="Arial"/>
                <w:sz w:val="16"/>
                <w:szCs w:val="16"/>
                <w:color w:val="auto"/>
              </w:rPr>
              <w:t>118,853,6</w:t>
            </w:r>
          </w:p>
        </w:tc>
        <w:tc>
          <w:tcPr>
            <w:tcW w:w="220" w:type="dxa"/>
            <w:vAlign w:val="bottom"/>
            <w:shd w:val="clear" w:color="auto" w:fill="E2E8F1"/>
          </w:tcPr>
          <w:p>
            <w:pPr>
              <w:spacing w:after="0"/>
              <w:rPr>
                <w:sz w:val="14"/>
                <w:szCs w:val="14"/>
                <w:color w:val="auto"/>
              </w:rPr>
            </w:pPr>
          </w:p>
        </w:tc>
        <w:tc>
          <w:tcPr>
            <w:tcW w:w="52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3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680" w:type="dxa"/>
            <w:vAlign w:val="bottom"/>
            <w:shd w:val="clear" w:color="auto" w:fill="E2E8F1"/>
          </w:tcPr>
          <w:p>
            <w:pPr>
              <w:jc w:val="right"/>
              <w:ind w:right="40"/>
              <w:spacing w:after="0" w:line="168" w:lineRule="exact"/>
              <w:rPr>
                <w:sz w:val="20"/>
                <w:szCs w:val="20"/>
                <w:color w:val="auto"/>
              </w:rPr>
            </w:pPr>
            <w:r>
              <w:rPr>
                <w:rFonts w:ascii="Arial" w:cs="Arial" w:eastAsia="Arial" w:hAnsi="Arial"/>
                <w:sz w:val="16"/>
                <w:szCs w:val="16"/>
                <w:color w:val="auto"/>
              </w:rPr>
              <w:t>(4,791.</w:t>
            </w: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E2E8F1"/>
          </w:tcPr>
          <w:p>
            <w:pPr>
              <w:spacing w:after="0"/>
              <w:rPr>
                <w:sz w:val="17"/>
                <w:szCs w:val="17"/>
                <w:color w:val="auto"/>
              </w:rPr>
            </w:pPr>
          </w:p>
        </w:tc>
        <w:tc>
          <w:tcPr>
            <w:tcW w:w="1040" w:type="dxa"/>
            <w:vAlign w:val="bottom"/>
            <w:gridSpan w:val="2"/>
            <w:shd w:val="clear" w:color="auto" w:fill="E2E8F1"/>
          </w:tcPr>
          <w:p>
            <w:pPr>
              <w:jc w:val="right"/>
              <w:ind w:right="26"/>
              <w:spacing w:after="0"/>
              <w:rPr>
                <w:sz w:val="20"/>
                <w:szCs w:val="20"/>
                <w:color w:val="auto"/>
              </w:rPr>
            </w:pPr>
            <w:r>
              <w:rPr>
                <w:rFonts w:ascii="Arial" w:cs="Arial" w:eastAsia="Arial" w:hAnsi="Arial"/>
                <w:sz w:val="16"/>
                <w:szCs w:val="16"/>
                <w:color w:val="auto"/>
              </w:rPr>
              <w:t>20</w:t>
            </w:r>
          </w:p>
        </w:tc>
        <w:tc>
          <w:tcPr>
            <w:tcW w:w="2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1.2</w:t>
            </w:r>
          </w:p>
        </w:tc>
        <w:tc>
          <w:tcPr>
            <w:tcW w:w="1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3,546.1</w:t>
            </w:r>
          </w:p>
        </w:tc>
        <w:tc>
          <w:tcPr>
            <w:tcW w:w="1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3,812.3</w:t>
            </w:r>
          </w:p>
        </w:tc>
        <w:tc>
          <w:tcPr>
            <w:tcW w:w="1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(443.0)</w:t>
            </w:r>
          </w:p>
        </w:tc>
        <w:tc>
          <w:tcPr>
            <w:tcW w:w="1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E2E8F1"/>
          </w:tcPr>
          <w:p>
            <w:pPr>
              <w:ind w:lef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1.7</w:t>
            </w:r>
          </w:p>
        </w:tc>
        <w:tc>
          <w:tcPr>
            <w:tcW w:w="90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$ 2,126.9</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3240" w:type="dxa"/>
            <w:vAlign w:val="bottom"/>
            <w:shd w:val="clear" w:color="auto" w:fill="E2E8F1"/>
          </w:tcPr>
          <w:p>
            <w:pPr>
              <w:ind w:left="60"/>
              <w:spacing w:after="0"/>
              <w:rPr>
                <w:sz w:val="20"/>
                <w:szCs w:val="20"/>
                <w:color w:val="auto"/>
              </w:rPr>
            </w:pPr>
            <w:r>
              <w:rPr>
                <w:rFonts w:ascii="Arial" w:cs="Arial" w:eastAsia="Arial" w:hAnsi="Arial"/>
                <w:sz w:val="16"/>
                <w:szCs w:val="16"/>
                <w:color w:val="auto"/>
              </w:rPr>
              <w:t>Other comprehensive loss</w:t>
            </w:r>
          </w:p>
        </w:tc>
        <w:tc>
          <w:tcPr>
            <w:tcW w:w="80" w:type="dxa"/>
            <w:vAlign w:val="bottom"/>
            <w:shd w:val="clear" w:color="auto" w:fill="E2E8F1"/>
          </w:tcPr>
          <w:p>
            <w:pPr>
              <w:spacing w:after="0"/>
              <w:rPr>
                <w:sz w:val="16"/>
                <w:szCs w:val="16"/>
                <w:color w:val="auto"/>
              </w:rPr>
            </w:pPr>
          </w:p>
        </w:tc>
        <w:tc>
          <w:tcPr>
            <w:tcW w:w="96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3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(4.1)</w:t>
            </w: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Issuances under equity plans</w:t>
            </w:r>
          </w:p>
        </w:tc>
        <w:tc>
          <w:tcPr>
            <w:tcW w:w="1040" w:type="dxa"/>
            <w:vAlign w:val="bottom"/>
            <w:gridSpan w:val="2"/>
          </w:tcPr>
          <w:p>
            <w:pPr>
              <w:jc w:val="right"/>
              <w:ind w:right="26"/>
              <w:spacing w:after="0"/>
              <w:rPr>
                <w:sz w:val="20"/>
                <w:szCs w:val="20"/>
                <w:color w:val="auto"/>
              </w:rPr>
            </w:pPr>
            <w:r>
              <w:rPr>
                <w:rFonts w:ascii="Arial" w:cs="Arial" w:eastAsia="Arial" w:hAnsi="Arial"/>
                <w:sz w:val="16"/>
                <w:szCs w:val="16"/>
                <w:color w:val="auto"/>
              </w:rPr>
              <w:t>288,938</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3240" w:type="dxa"/>
            <w:vAlign w:val="bottom"/>
            <w:shd w:val="clear" w:color="auto" w:fill="E2E8F1"/>
          </w:tcPr>
          <w:p>
            <w:pPr>
              <w:ind w:left="60"/>
              <w:spacing w:after="0"/>
              <w:rPr>
                <w:sz w:val="20"/>
                <w:szCs w:val="20"/>
                <w:color w:val="auto"/>
              </w:rPr>
            </w:pPr>
            <w:r>
              <w:rPr>
                <w:rFonts w:ascii="Arial" w:cs="Arial" w:eastAsia="Arial" w:hAnsi="Arial"/>
                <w:sz w:val="16"/>
                <w:szCs w:val="16"/>
                <w:color w:val="auto"/>
              </w:rPr>
              <w:t>Share-based compensation expense</w:t>
            </w:r>
          </w:p>
        </w:tc>
        <w:tc>
          <w:tcPr>
            <w:tcW w:w="80" w:type="dxa"/>
            <w:vAlign w:val="bottom"/>
            <w:shd w:val="clear" w:color="auto" w:fill="E2E8F1"/>
          </w:tcPr>
          <w:p>
            <w:pPr>
              <w:spacing w:after="0"/>
              <w:rPr>
                <w:sz w:val="16"/>
                <w:szCs w:val="16"/>
                <w:color w:val="auto"/>
              </w:rPr>
            </w:pPr>
          </w:p>
        </w:tc>
        <w:tc>
          <w:tcPr>
            <w:tcW w:w="96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7.6</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5"/>
        </w:trPr>
        <w:tc>
          <w:tcPr>
            <w:tcW w:w="3240" w:type="dxa"/>
            <w:vAlign w:val="bottom"/>
          </w:tcPr>
          <w:p>
            <w:pPr>
              <w:ind w:left="60"/>
              <w:spacing w:after="0" w:line="175" w:lineRule="exact"/>
              <w:rPr>
                <w:sz w:val="20"/>
                <w:szCs w:val="20"/>
                <w:color w:val="auto"/>
              </w:rPr>
            </w:pPr>
            <w:r>
              <w:rPr>
                <w:rFonts w:ascii="Arial" w:cs="Arial" w:eastAsia="Arial" w:hAnsi="Arial"/>
                <w:sz w:val="16"/>
                <w:szCs w:val="16"/>
                <w:color w:val="auto"/>
              </w:rPr>
              <w:t>Repurchases of common stock, including</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Arial" w:cs="Arial" w:eastAsia="Arial" w:hAnsi="Arial"/>
                <w:sz w:val="16"/>
                <w:szCs w:val="16"/>
                <w:color w:val="auto"/>
              </w:rPr>
              <w:t>excise tax</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80" w:type="dxa"/>
            <w:vAlign w:val="bottom"/>
            <w:tcBorders>
              <w:bottom w:val="single" w:sz="8" w:color="auto"/>
            </w:tcBorders>
            <w:shd w:val="clear" w:color="auto" w:fill="E2E8F1"/>
          </w:tcPr>
          <w:p>
            <w:pPr>
              <w:spacing w:after="0"/>
              <w:rPr>
                <w:sz w:val="16"/>
                <w:szCs w:val="16"/>
                <w:color w:val="auto"/>
              </w:rPr>
            </w:pPr>
          </w:p>
        </w:tc>
        <w:tc>
          <w:tcPr>
            <w:tcW w:w="96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52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60" w:type="dxa"/>
            <w:vAlign w:val="bottom"/>
            <w:tcBorders>
              <w:bottom w:val="single" w:sz="8" w:color="auto"/>
            </w:tcBorders>
            <w:shd w:val="clear" w:color="auto" w:fill="E2E8F1"/>
          </w:tcPr>
          <w:p>
            <w:pPr>
              <w:spacing w:after="0"/>
              <w:rPr>
                <w:sz w:val="16"/>
                <w:szCs w:val="16"/>
                <w:color w:val="auto"/>
              </w:rPr>
            </w:pPr>
          </w:p>
        </w:tc>
        <w:tc>
          <w:tcPr>
            <w:tcW w:w="130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68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68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0.4</w:t>
            </w:r>
          </w:p>
        </w:tc>
        <w:tc>
          <w:tcPr>
            <w:tcW w:w="90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68"/>
        </w:trPr>
        <w:tc>
          <w:tcPr>
            <w:tcW w:w="3240" w:type="dxa"/>
            <w:vAlign w:val="bottom"/>
          </w:tcPr>
          <w:p>
            <w:pPr>
              <w:ind w:left="40"/>
              <w:spacing w:after="0" w:line="168" w:lineRule="exact"/>
              <w:rPr>
                <w:sz w:val="20"/>
                <w:szCs w:val="20"/>
                <w:color w:val="auto"/>
              </w:rPr>
            </w:pPr>
            <w:r>
              <w:rPr>
                <w:rFonts w:ascii="Arial" w:cs="Arial" w:eastAsia="Arial" w:hAnsi="Arial"/>
                <w:sz w:val="16"/>
                <w:szCs w:val="16"/>
                <w:color w:val="auto"/>
              </w:rPr>
              <w:t>Balance, March 31, 2025</w:t>
            </w:r>
          </w:p>
        </w:tc>
        <w:tc>
          <w:tcPr>
            <w:tcW w:w="1040" w:type="dxa"/>
            <w:vAlign w:val="bottom"/>
            <w:gridSpan w:val="2"/>
          </w:tcPr>
          <w:p>
            <w:pPr>
              <w:jc w:val="right"/>
              <w:ind w:right="26"/>
              <w:spacing w:after="0" w:line="168" w:lineRule="exact"/>
              <w:rPr>
                <w:sz w:val="20"/>
                <w:szCs w:val="20"/>
                <w:color w:val="auto"/>
              </w:rPr>
            </w:pPr>
            <w:r>
              <w:rPr>
                <w:rFonts w:ascii="Arial" w:cs="Arial" w:eastAsia="Arial" w:hAnsi="Arial"/>
                <w:sz w:val="16"/>
                <w:szCs w:val="16"/>
                <w:color w:val="auto"/>
              </w:rPr>
              <w:t>119,142,5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(4,822.</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3,552.8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3,817.9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$ 2,104.9</w:t>
            </w:r>
          </w:p>
        </w:tc>
        <w:tc>
          <w:tcPr>
            <w:tcW w:w="0" w:type="dxa"/>
            <w:vAlign w:val="bottom"/>
          </w:tcPr>
          <w:p>
            <w:pPr>
              <w:spacing w:after="0"/>
              <w:rPr>
                <w:sz w:val="1"/>
                <w:szCs w:val="1"/>
                <w:color w:val="auto"/>
              </w:rPr>
            </w:pPr>
          </w:p>
        </w:tc>
      </w:tr>
      <w:tr>
        <w:trPr>
          <w:trHeight w:val="183"/>
        </w:trPr>
        <w:tc>
          <w:tcPr>
            <w:tcW w:w="324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Net loss</w:t>
            </w:r>
          </w:p>
        </w:tc>
        <w:tc>
          <w:tcPr>
            <w:tcW w:w="80" w:type="dxa"/>
            <w:vAlign w:val="bottom"/>
            <w:shd w:val="clear" w:color="auto" w:fill="E2E8F1"/>
          </w:tcPr>
          <w:p>
            <w:pPr>
              <w:spacing w:after="0"/>
              <w:rPr>
                <w:sz w:val="15"/>
                <w:szCs w:val="15"/>
                <w:color w:val="auto"/>
              </w:rPr>
            </w:pPr>
          </w:p>
        </w:tc>
        <w:tc>
          <w:tcPr>
            <w:tcW w:w="96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52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(67.1)</w:t>
            </w:r>
          </w:p>
        </w:tc>
        <w:tc>
          <w:tcPr>
            <w:tcW w:w="160" w:type="dxa"/>
            <w:vAlign w:val="bottom"/>
            <w:shd w:val="clear" w:color="auto" w:fill="E2E8F1"/>
          </w:tcPr>
          <w:p>
            <w:pPr>
              <w:spacing w:after="0"/>
              <w:rPr>
                <w:sz w:val="15"/>
                <w:szCs w:val="15"/>
                <w:color w:val="auto"/>
              </w:rPr>
            </w:pPr>
          </w:p>
        </w:tc>
        <w:tc>
          <w:tcPr>
            <w:tcW w:w="13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9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Other comprehensive loss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3240" w:type="dxa"/>
            <w:vAlign w:val="bottom"/>
            <w:shd w:val="clear" w:color="auto" w:fill="E2E8F1"/>
          </w:tcPr>
          <w:p>
            <w:pPr>
              <w:ind w:left="60"/>
              <w:spacing w:after="0"/>
              <w:rPr>
                <w:sz w:val="20"/>
                <w:szCs w:val="20"/>
                <w:color w:val="auto"/>
              </w:rPr>
            </w:pPr>
            <w:r>
              <w:rPr>
                <w:rFonts w:ascii="Arial" w:cs="Arial" w:eastAsia="Arial" w:hAnsi="Arial"/>
                <w:sz w:val="16"/>
                <w:szCs w:val="16"/>
                <w:color w:val="auto"/>
              </w:rPr>
              <w:t>Issuances under equity plans</w:t>
            </w:r>
          </w:p>
        </w:tc>
        <w:tc>
          <w:tcPr>
            <w:tcW w:w="1040" w:type="dxa"/>
            <w:vAlign w:val="bottom"/>
            <w:gridSpan w:val="2"/>
            <w:shd w:val="clear" w:color="auto" w:fill="E2E8F1"/>
          </w:tcPr>
          <w:p>
            <w:pPr>
              <w:jc w:val="right"/>
              <w:ind w:right="26"/>
              <w:spacing w:after="0"/>
              <w:rPr>
                <w:sz w:val="20"/>
                <w:szCs w:val="20"/>
                <w:color w:val="auto"/>
              </w:rPr>
            </w:pPr>
            <w:r>
              <w:rPr>
                <w:rFonts w:ascii="Arial" w:cs="Arial" w:eastAsia="Arial" w:hAnsi="Arial"/>
                <w:sz w:val="16"/>
                <w:szCs w:val="16"/>
                <w:color w:val="auto"/>
              </w:rPr>
              <w:t>8,080</w:t>
            </w:r>
          </w:p>
        </w:tc>
        <w:tc>
          <w:tcPr>
            <w:tcW w:w="22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0.4</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Share-based compensation expense</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3240" w:type="dxa"/>
            <w:vAlign w:val="bottom"/>
            <w:shd w:val="clear" w:color="auto" w:fill="E2E8F1"/>
          </w:tcPr>
          <w:p>
            <w:pPr>
              <w:ind w:left="60"/>
              <w:spacing w:after="0"/>
              <w:rPr>
                <w:sz w:val="20"/>
                <w:szCs w:val="20"/>
                <w:color w:val="auto"/>
              </w:rPr>
            </w:pPr>
            <w:r>
              <w:rPr>
                <w:rFonts w:ascii="Arial" w:cs="Arial" w:eastAsia="Arial" w:hAnsi="Arial"/>
                <w:sz w:val="16"/>
                <w:szCs w:val="16"/>
                <w:color w:val="auto"/>
              </w:rPr>
              <w:t>Dividends</w:t>
            </w:r>
          </w:p>
        </w:tc>
        <w:tc>
          <w:tcPr>
            <w:tcW w:w="80" w:type="dxa"/>
            <w:vAlign w:val="bottom"/>
            <w:shd w:val="clear" w:color="auto" w:fill="E2E8F1"/>
          </w:tcPr>
          <w:p>
            <w:pPr>
              <w:spacing w:after="0"/>
              <w:rPr>
                <w:sz w:val="16"/>
                <w:szCs w:val="16"/>
                <w:color w:val="auto"/>
              </w:rPr>
            </w:pPr>
          </w:p>
        </w:tc>
        <w:tc>
          <w:tcPr>
            <w:tcW w:w="96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(33.3)</w:t>
            </w:r>
          </w:p>
        </w:tc>
        <w:tc>
          <w:tcPr>
            <w:tcW w:w="16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175"/>
        </w:trPr>
        <w:tc>
          <w:tcPr>
            <w:tcW w:w="3240" w:type="dxa"/>
            <w:vAlign w:val="bottom"/>
          </w:tcPr>
          <w:p>
            <w:pPr>
              <w:ind w:left="60"/>
              <w:spacing w:after="0" w:line="175" w:lineRule="exact"/>
              <w:rPr>
                <w:sz w:val="20"/>
                <w:szCs w:val="20"/>
                <w:color w:val="auto"/>
              </w:rPr>
            </w:pPr>
            <w:r>
              <w:rPr>
                <w:rFonts w:ascii="Arial" w:cs="Arial" w:eastAsia="Arial" w:hAnsi="Arial"/>
                <w:sz w:val="16"/>
                <w:szCs w:val="16"/>
                <w:color w:val="auto"/>
              </w:rPr>
              <w:t>Repurchases of common stock, including</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Arial" w:cs="Arial" w:eastAsia="Arial" w:hAnsi="Arial"/>
                <w:sz w:val="16"/>
                <w:szCs w:val="16"/>
                <w:color w:val="auto"/>
              </w:rPr>
              <w:t>excise tax</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80" w:type="dxa"/>
            <w:vAlign w:val="bottom"/>
            <w:tcBorders>
              <w:bottom w:val="single" w:sz="8" w:color="auto"/>
            </w:tcBorders>
            <w:shd w:val="clear" w:color="auto" w:fill="E2E8F1"/>
          </w:tcPr>
          <w:p>
            <w:pPr>
              <w:spacing w:after="0"/>
              <w:rPr>
                <w:sz w:val="16"/>
                <w:szCs w:val="16"/>
                <w:color w:val="auto"/>
              </w:rPr>
            </w:pPr>
          </w:p>
        </w:tc>
        <w:tc>
          <w:tcPr>
            <w:tcW w:w="96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52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60" w:type="dxa"/>
            <w:vAlign w:val="bottom"/>
            <w:tcBorders>
              <w:bottom w:val="single" w:sz="8" w:color="auto"/>
            </w:tcBorders>
            <w:shd w:val="clear" w:color="auto" w:fill="E2E8F1"/>
          </w:tcPr>
          <w:p>
            <w:pPr>
              <w:spacing w:after="0"/>
              <w:rPr>
                <w:sz w:val="16"/>
                <w:szCs w:val="16"/>
                <w:color w:val="auto"/>
              </w:rPr>
            </w:pPr>
          </w:p>
        </w:tc>
        <w:tc>
          <w:tcPr>
            <w:tcW w:w="130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68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(1.3)</w:t>
            </w: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8"/>
        </w:trPr>
        <w:tc>
          <w:tcPr>
            <w:tcW w:w="3240" w:type="dxa"/>
            <w:vAlign w:val="bottom"/>
          </w:tcPr>
          <w:p>
            <w:pPr>
              <w:ind w:left="40"/>
              <w:spacing w:after="0" w:line="168" w:lineRule="exact"/>
              <w:rPr>
                <w:sz w:val="20"/>
                <w:szCs w:val="20"/>
                <w:color w:val="auto"/>
              </w:rPr>
            </w:pPr>
            <w:r>
              <w:rPr>
                <w:rFonts w:ascii="Arial" w:cs="Arial" w:eastAsia="Arial" w:hAnsi="Arial"/>
                <w:sz w:val="16"/>
                <w:szCs w:val="16"/>
                <w:color w:val="auto"/>
              </w:rPr>
              <w:t>Balance, June 30, 2025</w:t>
            </w:r>
          </w:p>
        </w:tc>
        <w:tc>
          <w:tcPr>
            <w:tcW w:w="1040" w:type="dxa"/>
            <w:vAlign w:val="bottom"/>
            <w:gridSpan w:val="2"/>
          </w:tcPr>
          <w:p>
            <w:pPr>
              <w:jc w:val="right"/>
              <w:ind w:right="26"/>
              <w:spacing w:after="0" w:line="168" w:lineRule="exact"/>
              <w:rPr>
                <w:sz w:val="20"/>
                <w:szCs w:val="20"/>
                <w:color w:val="auto"/>
              </w:rPr>
            </w:pPr>
            <w:r>
              <w:rPr>
                <w:rFonts w:ascii="Arial" w:cs="Arial" w:eastAsia="Arial" w:hAnsi="Arial"/>
                <w:sz w:val="16"/>
                <w:szCs w:val="16"/>
                <w:color w:val="auto"/>
              </w:rPr>
              <w:t>119,150,6</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(4,834.</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3,560.9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3,717.5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0.8</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$ 1,995.2</w:t>
            </w:r>
          </w:p>
        </w:tc>
        <w:tc>
          <w:tcPr>
            <w:tcW w:w="0" w:type="dxa"/>
            <w:vAlign w:val="bottom"/>
          </w:tcPr>
          <w:p>
            <w:pPr>
              <w:spacing w:after="0"/>
              <w:rPr>
                <w:sz w:val="1"/>
                <w:szCs w:val="1"/>
                <w:color w:val="auto"/>
              </w:rPr>
            </w:pPr>
          </w:p>
        </w:tc>
      </w:tr>
      <w:tr>
        <w:trPr>
          <w:trHeight w:val="183"/>
        </w:trPr>
        <w:tc>
          <w:tcPr>
            <w:tcW w:w="324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Net earnings</w:t>
            </w:r>
          </w:p>
        </w:tc>
        <w:tc>
          <w:tcPr>
            <w:tcW w:w="80" w:type="dxa"/>
            <w:vAlign w:val="bottom"/>
            <w:shd w:val="clear" w:color="auto" w:fill="E2E8F1"/>
          </w:tcPr>
          <w:p>
            <w:pPr>
              <w:spacing w:after="0"/>
              <w:rPr>
                <w:sz w:val="15"/>
                <w:szCs w:val="15"/>
                <w:color w:val="auto"/>
              </w:rPr>
            </w:pPr>
          </w:p>
        </w:tc>
        <w:tc>
          <w:tcPr>
            <w:tcW w:w="96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52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18.0</w:t>
            </w:r>
          </w:p>
        </w:tc>
        <w:tc>
          <w:tcPr>
            <w:tcW w:w="160" w:type="dxa"/>
            <w:vAlign w:val="bottom"/>
            <w:shd w:val="clear" w:color="auto" w:fill="E2E8F1"/>
          </w:tcPr>
          <w:p>
            <w:pPr>
              <w:spacing w:after="0"/>
              <w:rPr>
                <w:sz w:val="15"/>
                <w:szCs w:val="15"/>
                <w:color w:val="auto"/>
              </w:rPr>
            </w:pPr>
          </w:p>
        </w:tc>
        <w:tc>
          <w:tcPr>
            <w:tcW w:w="13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90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Other comprehensive loss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9"/>
        </w:trPr>
        <w:tc>
          <w:tcPr>
            <w:tcW w:w="3240" w:type="dxa"/>
            <w:vAlign w:val="bottom"/>
            <w:shd w:val="clear" w:color="auto" w:fill="E2E8F1"/>
          </w:tcPr>
          <w:p>
            <w:pPr>
              <w:ind w:left="60"/>
              <w:spacing w:after="0"/>
              <w:rPr>
                <w:sz w:val="20"/>
                <w:szCs w:val="20"/>
                <w:color w:val="auto"/>
              </w:rPr>
            </w:pPr>
            <w:r>
              <w:rPr>
                <w:rFonts w:ascii="Arial" w:cs="Arial" w:eastAsia="Arial" w:hAnsi="Arial"/>
                <w:sz w:val="16"/>
                <w:szCs w:val="16"/>
                <w:color w:val="auto"/>
              </w:rPr>
              <w:t>Issuances under equity plans</w:t>
            </w:r>
          </w:p>
        </w:tc>
        <w:tc>
          <w:tcPr>
            <w:tcW w:w="1040" w:type="dxa"/>
            <w:vAlign w:val="bottom"/>
            <w:gridSpan w:val="2"/>
            <w:shd w:val="clear" w:color="auto" w:fill="E2E8F1"/>
          </w:tcPr>
          <w:p>
            <w:pPr>
              <w:jc w:val="right"/>
              <w:ind w:right="26"/>
              <w:spacing w:after="0"/>
              <w:rPr>
                <w:sz w:val="20"/>
                <w:szCs w:val="20"/>
                <w:color w:val="auto"/>
              </w:rPr>
            </w:pPr>
            <w:r>
              <w:rPr>
                <w:rFonts w:ascii="Arial" w:cs="Arial" w:eastAsia="Arial" w:hAnsi="Arial"/>
                <w:sz w:val="16"/>
                <w:szCs w:val="16"/>
                <w:color w:val="auto"/>
              </w:rPr>
              <w:t>11,017</w:t>
            </w:r>
          </w:p>
        </w:tc>
        <w:tc>
          <w:tcPr>
            <w:tcW w:w="22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(0.3)</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Arial" w:cs="Arial" w:eastAsia="Arial" w:hAnsi="Arial"/>
                <w:sz w:val="16"/>
                <w:szCs w:val="16"/>
                <w:color w:val="auto"/>
              </w:rPr>
              <w:t>Share-based compensation expense</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80" w:type="dxa"/>
            <w:vAlign w:val="bottom"/>
            <w:tcBorders>
              <w:bottom w:val="single" w:sz="8" w:color="auto"/>
            </w:tcBorders>
            <w:shd w:val="clear" w:color="auto" w:fill="E2E8F1"/>
          </w:tcPr>
          <w:p>
            <w:pPr>
              <w:spacing w:after="0"/>
              <w:rPr>
                <w:sz w:val="16"/>
                <w:szCs w:val="16"/>
                <w:color w:val="auto"/>
              </w:rPr>
            </w:pPr>
          </w:p>
        </w:tc>
        <w:tc>
          <w:tcPr>
            <w:tcW w:w="96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52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60" w:type="dxa"/>
            <w:vAlign w:val="bottom"/>
            <w:tcBorders>
              <w:bottom w:val="single" w:sz="8" w:color="auto"/>
            </w:tcBorders>
            <w:shd w:val="clear" w:color="auto" w:fill="E2E8F1"/>
          </w:tcPr>
          <w:p>
            <w:pPr>
              <w:spacing w:after="0"/>
              <w:rPr>
                <w:sz w:val="16"/>
                <w:szCs w:val="16"/>
                <w:color w:val="auto"/>
              </w:rPr>
            </w:pPr>
          </w:p>
        </w:tc>
        <w:tc>
          <w:tcPr>
            <w:tcW w:w="130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68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68"/>
        </w:trPr>
        <w:tc>
          <w:tcPr>
            <w:tcW w:w="3240" w:type="dxa"/>
            <w:vAlign w:val="bottom"/>
          </w:tcPr>
          <w:p>
            <w:pPr>
              <w:ind w:left="40"/>
              <w:spacing w:after="0" w:line="168" w:lineRule="exact"/>
              <w:rPr>
                <w:sz w:val="20"/>
                <w:szCs w:val="20"/>
                <w:color w:val="auto"/>
              </w:rPr>
            </w:pPr>
            <w:r>
              <w:rPr>
                <w:rFonts w:ascii="Arial" w:cs="Arial" w:eastAsia="Arial" w:hAnsi="Arial"/>
                <w:sz w:val="16"/>
                <w:szCs w:val="16"/>
                <w:color w:val="auto"/>
              </w:rPr>
              <w:t>Balance, September 30, 2025</w:t>
            </w:r>
          </w:p>
        </w:tc>
        <w:tc>
          <w:tcPr>
            <w:tcW w:w="1040" w:type="dxa"/>
            <w:vAlign w:val="bottom"/>
            <w:gridSpan w:val="2"/>
          </w:tcPr>
          <w:p>
            <w:pPr>
              <w:jc w:val="right"/>
              <w:ind w:right="26"/>
              <w:spacing w:after="0" w:line="168" w:lineRule="exact"/>
              <w:rPr>
                <w:sz w:val="20"/>
                <w:szCs w:val="20"/>
                <w:color w:val="auto"/>
              </w:rPr>
            </w:pPr>
            <w:r>
              <w:rPr>
                <w:rFonts w:ascii="Arial" w:cs="Arial" w:eastAsia="Arial" w:hAnsi="Arial"/>
                <w:sz w:val="16"/>
                <w:szCs w:val="16"/>
                <w:color w:val="auto"/>
              </w:rPr>
              <w:t>119,161,6</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(4,834.</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3,565.5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3,735.5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0.6</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$ 2,011.4</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ind w:right="2200"/>
        <w:spacing w:after="0" w:line="253" w:lineRule="auto"/>
        <w:rPr>
          <w:sz w:val="20"/>
          <w:szCs w:val="20"/>
          <w:color w:val="auto"/>
        </w:rPr>
      </w:pPr>
      <w:r>
        <w:rPr>
          <w:rFonts w:ascii="Arial" w:cs="Arial" w:eastAsia="Arial" w:hAnsi="Arial"/>
          <w:sz w:val="43"/>
          <w:szCs w:val="43"/>
          <w:b w:val="1"/>
          <w:bCs w:val="1"/>
          <w:color w:val="5B89B4"/>
        </w:rPr>
        <w:t>Notes to Consolidated Financial Statements (Unaudited)</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For the three and nine months ended September 30, 2026 and 2025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12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Basis of Presentation and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Basis of Presentation</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2025 Annual Report on Form 10-K.</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Accounts Receivable and Allowance for Expected Credit Losses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an allowance for expected credit losses recorded as an estimate of the accounts receivable that may not be collected. This allowance is calculated on an entity-by-entity basis with consideration of historical write-off experience, age of receivables, market conditions, and a specific review for expected credit losses. Items that affect this balance mainly include provision for credit losses and the write-off of accounts receivable balances.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our allowance for expected credit losses is shown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00" w:type="dxa"/>
            <w:vAlign w:val="bottom"/>
            <w:tcBorders>
              <w:top w:val="single" w:sz="8" w:color="auto"/>
            </w:tcBorders>
            <w:shd w:val="clear" w:color="auto" w:fill="98B0CF"/>
          </w:tcPr>
          <w:p>
            <w:pPr>
              <w:spacing w:after="0"/>
              <w:rPr>
                <w:sz w:val="14"/>
                <w:szCs w:val="14"/>
                <w:color w:val="auto"/>
              </w:rPr>
            </w:pPr>
          </w:p>
        </w:tc>
        <w:tc>
          <w:tcPr>
            <w:tcW w:w="3280" w:type="dxa"/>
            <w:vAlign w:val="bottom"/>
            <w:tcBorders>
              <w:top w:val="single" w:sz="8" w:color="auto"/>
            </w:tcBorders>
            <w:shd w:val="clear" w:color="auto" w:fill="98B0CF"/>
          </w:tcPr>
          <w:p>
            <w:pPr>
              <w:spacing w:after="0"/>
              <w:rPr>
                <w:sz w:val="14"/>
                <w:szCs w:val="14"/>
                <w:color w:val="auto"/>
              </w:rPr>
            </w:pPr>
          </w:p>
        </w:tc>
        <w:tc>
          <w:tcPr>
            <w:tcW w:w="3060" w:type="dxa"/>
            <w:vAlign w:val="bottom"/>
            <w:tcBorders>
              <w:top w:val="single" w:sz="8" w:color="auto"/>
            </w:tcBorders>
            <w:shd w:val="clear" w:color="auto" w:fill="98B0CF"/>
          </w:tcPr>
          <w:p>
            <w:pPr>
              <w:jc w:val="right"/>
              <w:ind w:right="114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900" w:type="dxa"/>
            <w:vAlign w:val="bottom"/>
            <w:tcBorders>
              <w:bottom w:val="single" w:sz="8" w:color="auto"/>
            </w:tcBorders>
            <w:shd w:val="clear" w:color="auto" w:fill="98B0CF"/>
          </w:tcPr>
          <w:p>
            <w:pPr>
              <w:spacing w:after="0"/>
              <w:rPr>
                <w:sz w:val="14"/>
                <w:szCs w:val="14"/>
                <w:color w:val="auto"/>
              </w:rPr>
            </w:pPr>
          </w:p>
        </w:tc>
        <w:tc>
          <w:tcPr>
            <w:tcW w:w="3280" w:type="dxa"/>
            <w:vAlign w:val="bottom"/>
            <w:tcBorders>
              <w:bottom w:val="single" w:sz="8" w:color="auto"/>
            </w:tcBorders>
            <w:shd w:val="clear" w:color="auto" w:fill="98B0CF"/>
          </w:tcPr>
          <w:p>
            <w:pPr>
              <w:spacing w:after="0"/>
              <w:rPr>
                <w:sz w:val="14"/>
                <w:szCs w:val="14"/>
                <w:color w:val="auto"/>
              </w:rPr>
            </w:pPr>
          </w:p>
        </w:tc>
        <w:tc>
          <w:tcPr>
            <w:tcW w:w="3060" w:type="dxa"/>
            <w:vAlign w:val="bottom"/>
            <w:tcBorders>
              <w:bottom w:val="single" w:sz="8" w:color="auto"/>
            </w:tcBorders>
            <w:shd w:val="clear" w:color="auto" w:fill="98B0CF"/>
          </w:tcPr>
          <w:p>
            <w:pPr>
              <w:jc w:val="right"/>
              <w:ind w:right="1122"/>
              <w:spacing w:after="0"/>
              <w:rPr>
                <w:sz w:val="20"/>
                <w:szCs w:val="20"/>
                <w:color w:val="auto"/>
              </w:rPr>
            </w:pPr>
            <w:r>
              <w:rPr>
                <w:rFonts w:ascii="Arial" w:cs="Arial" w:eastAsia="Arial" w:hAnsi="Arial"/>
                <w:sz w:val="14"/>
                <w:szCs w:val="14"/>
                <w:b w:val="1"/>
                <w:bCs w:val="1"/>
                <w:color w:val="auto"/>
              </w:rPr>
              <w:t>September 30, 2026</w:t>
            </w:r>
          </w:p>
        </w:tc>
      </w:tr>
      <w:tr>
        <w:trPr>
          <w:trHeight w:val="183"/>
        </w:trPr>
        <w:tc>
          <w:tcPr>
            <w:tcW w:w="49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Balance, December 31, 2025</w:t>
            </w:r>
          </w:p>
        </w:tc>
        <w:tc>
          <w:tcPr>
            <w:tcW w:w="3280" w:type="dxa"/>
            <w:vAlign w:val="bottom"/>
            <w:shd w:val="clear" w:color="auto" w:fill="E2E8F1"/>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3060" w:type="dxa"/>
            <w:vAlign w:val="bottom"/>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74.1</w:t>
            </w:r>
          </w:p>
        </w:tc>
      </w:tr>
      <w:tr>
        <w:trPr>
          <w:trHeight w:val="189"/>
        </w:trPr>
        <w:tc>
          <w:tcPr>
            <w:tcW w:w="4900" w:type="dxa"/>
            <w:vAlign w:val="bottom"/>
          </w:tcPr>
          <w:p>
            <w:pPr>
              <w:ind w:left="80"/>
              <w:spacing w:after="0"/>
              <w:rPr>
                <w:sz w:val="20"/>
                <w:szCs w:val="20"/>
                <w:color w:val="auto"/>
              </w:rPr>
            </w:pPr>
            <w:r>
              <w:rPr>
                <w:rFonts w:ascii="Arial" w:cs="Arial" w:eastAsia="Arial" w:hAnsi="Arial"/>
                <w:sz w:val="16"/>
                <w:szCs w:val="16"/>
                <w:color w:val="auto"/>
              </w:rPr>
              <w:t>Provision for credit losses</w:t>
            </w:r>
          </w:p>
        </w:tc>
        <w:tc>
          <w:tcPr>
            <w:tcW w:w="3280" w:type="dxa"/>
            <w:vAlign w:val="bottom"/>
          </w:tcPr>
          <w:p>
            <w:pPr>
              <w:spacing w:after="0"/>
              <w:rPr>
                <w:sz w:val="16"/>
                <w:szCs w:val="16"/>
                <w:color w:val="auto"/>
              </w:rPr>
            </w:pPr>
          </w:p>
        </w:tc>
        <w:tc>
          <w:tcPr>
            <w:tcW w:w="3060" w:type="dxa"/>
            <w:vAlign w:val="bottom"/>
          </w:tcPr>
          <w:p>
            <w:pPr>
              <w:jc w:val="right"/>
              <w:ind w:right="22"/>
              <w:spacing w:after="0"/>
              <w:rPr>
                <w:sz w:val="20"/>
                <w:szCs w:val="20"/>
                <w:color w:val="auto"/>
              </w:rPr>
            </w:pPr>
            <w:r>
              <w:rPr>
                <w:rFonts w:ascii="Arial" w:cs="Arial" w:eastAsia="Arial" w:hAnsi="Arial"/>
                <w:sz w:val="16"/>
                <w:szCs w:val="16"/>
                <w:color w:val="auto"/>
              </w:rPr>
              <w:t>9.1</w:t>
            </w:r>
          </w:p>
        </w:tc>
      </w:tr>
      <w:tr>
        <w:trPr>
          <w:trHeight w:val="189"/>
        </w:trPr>
        <w:tc>
          <w:tcPr>
            <w:tcW w:w="4900" w:type="dxa"/>
            <w:vAlign w:val="bottom"/>
            <w:shd w:val="clear" w:color="auto" w:fill="E2E8F1"/>
          </w:tcPr>
          <w:p>
            <w:pPr>
              <w:ind w:left="80"/>
              <w:spacing w:after="0"/>
              <w:rPr>
                <w:sz w:val="20"/>
                <w:szCs w:val="20"/>
                <w:color w:val="auto"/>
              </w:rPr>
            </w:pPr>
            <w:r>
              <w:rPr>
                <w:rFonts w:ascii="Arial" w:cs="Arial" w:eastAsia="Arial" w:hAnsi="Arial"/>
                <w:sz w:val="16"/>
                <w:szCs w:val="16"/>
                <w:color w:val="auto"/>
              </w:rPr>
              <w:t>Write-offs</w:t>
            </w:r>
          </w:p>
        </w:tc>
        <w:tc>
          <w:tcPr>
            <w:tcW w:w="3280" w:type="dxa"/>
            <w:vAlign w:val="bottom"/>
            <w:shd w:val="clear" w:color="auto" w:fill="E2E8F1"/>
          </w:tcPr>
          <w:p>
            <w:pPr>
              <w:spacing w:after="0"/>
              <w:rPr>
                <w:sz w:val="16"/>
                <w:szCs w:val="16"/>
                <w:color w:val="auto"/>
              </w:rPr>
            </w:pPr>
          </w:p>
        </w:tc>
        <w:tc>
          <w:tcPr>
            <w:tcW w:w="30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(4.8)</w:t>
            </w:r>
          </w:p>
        </w:tc>
      </w:tr>
      <w:tr>
        <w:trPr>
          <w:trHeight w:val="189"/>
        </w:trPr>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Currency impact and other</w:t>
            </w:r>
          </w:p>
        </w:tc>
        <w:tc>
          <w:tcPr>
            <w:tcW w:w="32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0.1</w:t>
            </w:r>
          </w:p>
        </w:tc>
      </w:tr>
      <w:tr>
        <w:trPr>
          <w:trHeight w:val="183"/>
        </w:trPr>
        <w:tc>
          <w:tcPr>
            <w:tcW w:w="490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Balance, September 30, 2026</w:t>
            </w:r>
          </w:p>
        </w:tc>
        <w:tc>
          <w:tcPr>
            <w:tcW w:w="3280" w:type="dxa"/>
            <w:vAlign w:val="bottom"/>
            <w:tcBorders>
              <w:bottom w:val="single" w:sz="8" w:color="auto"/>
            </w:tcBorders>
            <w:shd w:val="clear" w:color="auto" w:fill="E2E8F1"/>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3060" w:type="dxa"/>
            <w:vAlign w:val="bottom"/>
            <w:tcBorders>
              <w:bottom w:val="single" w:sz="8" w:color="auto"/>
            </w:tcBorders>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78.5</w:t>
            </w:r>
          </w:p>
        </w:tc>
      </w:tr>
    </w:tbl>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From time to time, we may transfer trade accounts receivables to third-party financial institutions to support our working capital needs under arrangements which may be accounted for as a sale if we conclude we have surrendered control over the transferred assets and maintain no significant continuing involvement, among other considerations. Available capacity under these arrangements is dependent on the level of our trade accounts receivable eligible to be sold, the financial institutions’ willingness to purchase such receivables and the limits provided by the financial institutions. These arrangements can be reduced or eliminated at any time due to market conditions and changes in the creditworthiness of clients. The aggregate service fees and charges related to these arrangements on our Consolidated Statements of Operations are not material for any period presented.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Leases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We determine whether a contract is or contains a lease at contract inception. We recognize right-of-use (“ROU”) assets and lease liabilities on the balance sheet for leases with contract terms longer than 12 months. We classify the lease as a finance or operating lease which affects the recognition, measurement, and presentation of lease expenses and cash flows. Our Consolidated Balance Sheets present operating lease ROU assets, short-term operating lease liability and long-term operating lease liability as separate line items.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ROU assets represent our right to use an underlying asset for the lease term.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Impairment of Goodwill and Other Indefinite-Lived Intangible Assets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record an impairment charge equal to the excess of the carrying amount over the fair value. Similarly, if the fair value of an indefinite-lived intangible asset is less than its carrying value, we record an impairment charge for the difference.</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We evaluate the following assumptions which are used in our goodwill impairment tests: expected future revenue growth rates, operating unit profit (OUP) margins, working capital levels, discount rates, and terminal value revenue growth rate. We consider expected future revenue growth rates, OUP margins and discount rates to be the more significant assumptions. </w:t>
      </w:r>
      <w:r>
        <w:rPr>
          <w:rFonts w:ascii="Arial" w:cs="Arial" w:eastAsia="Arial" w:hAnsi="Arial"/>
          <w:sz w:val="18"/>
          <w:szCs w:val="18"/>
          <w:color w:val="231F20"/>
        </w:rPr>
        <w:t>The expected future revenue growth rates and OUP margins are determined after taking into</w:t>
      </w:r>
      <w:r>
        <w:rPr>
          <w:rFonts w:ascii="Arial" w:cs="Arial" w:eastAsia="Arial" w:hAnsi="Arial"/>
          <w:sz w:val="18"/>
          <w:szCs w:val="18"/>
          <w:color w:val="auto"/>
        </w:rPr>
        <w:t xml:space="preserve"> </w:t>
      </w:r>
      <w:r>
        <w:rPr>
          <w:rFonts w:ascii="Arial" w:cs="Arial" w:eastAsia="Arial" w:hAnsi="Arial"/>
          <w:sz w:val="18"/>
          <w:szCs w:val="18"/>
          <w:color w:val="231F20"/>
        </w:rPr>
        <w:t>consideration historical performance, our assessment of future market potential, and expected future business performance conditions. We believe that the discounted cash flow model provides the most reasonable and meaningful estimate of fair value, consistent with how market participants would value our reporting units in an orderly transaction.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For indefinite-lived intangible assets, we use either an income approach or a relief-from-royalty method, depending on the nature of the asset. Significant assumptions include expected future revenue growth rates, profit margins, discount rates, and market participant assumptions.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Management closely monitors the financial and operating results relative to the assumptions used in our fair value estimates, as well as macroeconomic conditions and strategic initiatives that may impact the reporting units and indefinite-lived intangible assets. </w:t>
      </w:r>
      <w:r>
        <w:rPr>
          <w:rFonts w:ascii="Arial" w:cs="Arial" w:eastAsia="Arial" w:hAnsi="Arial"/>
          <w:sz w:val="18"/>
          <w:szCs w:val="18"/>
          <w:color w:val="231F20"/>
        </w:rPr>
        <w:t>During the third</w:t>
      </w:r>
      <w:r>
        <w:rPr>
          <w:rFonts w:ascii="Arial" w:cs="Arial" w:eastAsia="Arial" w:hAnsi="Arial"/>
          <w:sz w:val="18"/>
          <w:szCs w:val="18"/>
          <w:color w:val="auto"/>
        </w:rPr>
        <w:t xml:space="preserve"> </w:t>
      </w:r>
      <w:r>
        <w:rPr>
          <w:rFonts w:ascii="Arial" w:cs="Arial" w:eastAsia="Arial" w:hAnsi="Arial"/>
          <w:sz w:val="18"/>
          <w:szCs w:val="18"/>
          <w:color w:val="231F20"/>
        </w:rPr>
        <w:t xml:space="preserve">quarter of 2026, we completed the annual impairment test of our goodwill and indefinite-lived intangible assets. The fair value exceeded the carrying amount by more than 10% for all reporting units with the exception of Switzerland. </w:t>
      </w:r>
      <w:r>
        <w:rPr>
          <w:rFonts w:ascii="Arial" w:cs="Arial" w:eastAsia="Arial" w:hAnsi="Arial"/>
          <w:sz w:val="18"/>
          <w:szCs w:val="18"/>
          <w:color w:val="000000"/>
        </w:rPr>
        <w:t>The carrying value of the Switzerland reporting</w:t>
      </w:r>
      <w:r>
        <w:rPr>
          <w:rFonts w:ascii="Arial" w:cs="Arial" w:eastAsia="Arial" w:hAnsi="Arial"/>
          <w:sz w:val="18"/>
          <w:szCs w:val="18"/>
          <w:color w:val="231F20"/>
        </w:rPr>
        <w:t xml:space="preserve"> </w:t>
      </w:r>
      <w:r>
        <w:rPr>
          <w:rFonts w:ascii="Arial" w:cs="Arial" w:eastAsia="Arial" w:hAnsi="Arial"/>
          <w:sz w:val="18"/>
          <w:szCs w:val="18"/>
          <w:color w:val="000000"/>
        </w:rPr>
        <w:t xml:space="preserve">unit had previously been adjusted to fair value as a result of an impairment charge recognized during the second quarter of 2025. </w:t>
      </w:r>
      <w:r>
        <w:rPr>
          <w:rFonts w:ascii="Arial" w:cs="Arial" w:eastAsia="Arial" w:hAnsi="Arial"/>
          <w:sz w:val="18"/>
          <w:szCs w:val="18"/>
          <w:color w:val="231F20"/>
        </w:rPr>
        <w:t>As of</w:t>
      </w:r>
      <w:r>
        <w:rPr>
          <w:rFonts w:ascii="Arial" w:cs="Arial" w:eastAsia="Arial" w:hAnsi="Arial"/>
          <w:sz w:val="18"/>
          <w:szCs w:val="18"/>
          <w:color w:val="000000"/>
        </w:rPr>
        <w:t xml:space="preserve"> </w:t>
      </w:r>
      <w:r>
        <w:rPr>
          <w:rFonts w:ascii="Arial" w:cs="Arial" w:eastAsia="Arial" w:hAnsi="Arial"/>
          <w:sz w:val="18"/>
          <w:szCs w:val="18"/>
          <w:color w:val="231F20"/>
        </w:rPr>
        <w:t>September 30, 2026, the goodwill balance related to our Switzerland reporting unit was $32.4.</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Key assumptions for our United States reporting unit in our Americas segment, which represents the reporting unit with the most significant goodwill balance, included a discount rate of 9.2%, revenue growth rates for the next 10 years ranging from 3.0% to 8.0% and average OUP margins of 4.8%. Management closely monitors the performance and assumptions used in our fair value estimates, along with macroeconomic and operational developments that may impact future impairment assessments.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231F20"/>
        </w:rPr>
        <w:t>We have recently had stable activity levels in certain markets, and in prior periods, we have experienced decreases in our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31F20"/>
        </w:rPr>
        <w:t>There could be further decreases in our operating results, which may result in the recognition of goodwill impairments.</w:t>
      </w:r>
    </w:p>
    <w:p>
      <w:pPr>
        <w:spacing w:after="0" w:line="200" w:lineRule="exact"/>
        <w:rPr>
          <w:sz w:val="20"/>
          <w:szCs w:val="20"/>
          <w:color w:val="auto"/>
        </w:rPr>
      </w:pPr>
    </w:p>
    <w:p>
      <w:pPr>
        <w:spacing w:after="0" w:line="221"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Recent Accounting Standards</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 xml:space="preserve">In November 2024, the FASB issued new guidance on disaggregation of income statement expenses. The guidance requires disclosures about specific types of expenses included in the expense captions presented on the face of the income statement, as well as disclosures about selling expenses. The guidance is effective for our 2027 annual financial statements and can be adopted prospectively or retrospectively. </w:t>
      </w:r>
      <w:r>
        <w:rPr>
          <w:rFonts w:ascii="Arial" w:cs="Arial" w:eastAsia="Arial" w:hAnsi="Arial"/>
          <w:sz w:val="18"/>
          <w:szCs w:val="18"/>
          <w:color w:val="000000"/>
        </w:rPr>
        <w:t>Adoption of this guidance is not expected to have a material impact on our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In September 20</w:t>
      </w:r>
      <w:r>
        <w:rPr>
          <w:rFonts w:ascii="Arial" w:cs="Arial" w:eastAsia="Arial" w:hAnsi="Arial"/>
          <w:sz w:val="18"/>
          <w:szCs w:val="18"/>
          <w:color w:val="000000"/>
        </w:rPr>
        <w:t>25, the FASB issued new guidance on internal-use software. The guidance removes the requirement to evaluate costs by</w:t>
      </w:r>
      <w:r>
        <w:rPr>
          <w:rFonts w:ascii="Arial" w:cs="Arial" w:eastAsia="Arial" w:hAnsi="Arial"/>
          <w:sz w:val="18"/>
          <w:szCs w:val="18"/>
          <w:color w:val="231F20"/>
        </w:rPr>
        <w:t xml:space="preserve"> </w:t>
      </w:r>
      <w:r>
        <w:rPr>
          <w:rFonts w:ascii="Arial" w:cs="Arial" w:eastAsia="Arial" w:hAnsi="Arial"/>
          <w:sz w:val="18"/>
          <w:szCs w:val="18"/>
          <w:color w:val="000000"/>
        </w:rPr>
        <w:t>development stage and allows capitalization to begin once management commits funding and completion is probable. The new standard is effective as of January 1, 2028, with early adoption permitted. It may be adopted prospectively or retrospectively. Adoption of this guidance is not expected to have a material impact on our Consolidated Financial Statements.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231F20"/>
        </w:rPr>
        <w:t>November 2025, the FASB issued new guidance on hedge accounting. The guidance provides additional requirements in f</w:t>
      </w:r>
      <w:r>
        <w:rPr>
          <w:rFonts w:ascii="Arial" w:cs="Arial" w:eastAsia="Arial" w:hAnsi="Arial"/>
          <w:sz w:val="18"/>
          <w:szCs w:val="18"/>
          <w:color w:val="auto"/>
        </w:rPr>
        <w:t>ive areas: similar risk assessment, treatment of Choose-Your-Rate debt, nonfinancial forecasted transactions, net written options, and dual-hedging foreign-currency-denominated debt. The guidance is effective for us as of January 1, 2027. Adoption of this guidance is not expected to have a material impact on our Consolidated Financial Statements.</w:t>
      </w:r>
    </w:p>
    <w:p>
      <w:pPr>
        <w:spacing w:after="0" w:line="14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December 2025, the FASB issued new guidance on government grants. The guidance requires entities to recognize government grants when they meet the conditions for receipt and to present them either as a reduction of related expenses or as other income, based on the nature of the grant. It also requires specific disclosures about the nature, terms, and amounts of government grants received. The guidance is effective for us as of January 1, 2029. Adoption of this guidance is not expected to have a material impact on our Consolidated Financial Statements.</w:t>
      </w:r>
    </w:p>
    <w:p>
      <w:pPr>
        <w:spacing w:after="0" w:line="310"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Revenue Recognition</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client contracts where we recognize revenues over time, we recognize the amount that we have the right to invoice, which corresponds directly to the value provided to the client of our performance to date.</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September 30, 2026 related to remaining performance obligations, which are not material.</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$36.1 as of September 30, 2026 and $45.6 as of December 31, 2025.</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following tables, revenue is disaggregated by service types for each of our reportable segments. See Note 2 to the Consolidated Financial Statements in our 2025 Annual Report on Form 10-K for descriptions of revenue service types.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Borders>
              <w:top w:val="single" w:sz="8" w:color="auto"/>
              <w:bottom w:val="single" w:sz="8" w:color="98B0CF"/>
            </w:tcBorders>
            <w:shd w:val="clear" w:color="auto" w:fill="98B0CF"/>
          </w:tcPr>
          <w:p>
            <w:pPr>
              <w:spacing w:after="0"/>
              <w:rPr>
                <w:sz w:val="12"/>
                <w:szCs w:val="12"/>
                <w:color w:val="auto"/>
              </w:rPr>
            </w:pPr>
          </w:p>
        </w:tc>
        <w:tc>
          <w:tcPr>
            <w:tcW w:w="100" w:type="dxa"/>
            <w:vAlign w:val="bottom"/>
            <w:tcBorders>
              <w:top w:val="single" w:sz="8" w:color="auto"/>
              <w:bottom w:val="single" w:sz="8" w:color="98B0CF"/>
            </w:tcBorders>
            <w:shd w:val="clear" w:color="auto" w:fill="98B0CF"/>
          </w:tcPr>
          <w:p>
            <w:pPr>
              <w:spacing w:after="0"/>
              <w:rPr>
                <w:sz w:val="12"/>
                <w:szCs w:val="12"/>
                <w:color w:val="auto"/>
              </w:rPr>
            </w:pPr>
          </w:p>
        </w:tc>
        <w:tc>
          <w:tcPr>
            <w:tcW w:w="120" w:type="dxa"/>
            <w:vAlign w:val="bottom"/>
            <w:tcBorders>
              <w:top w:val="single" w:sz="8" w:color="auto"/>
              <w:bottom w:val="single" w:sz="8" w:color="auto"/>
            </w:tcBorders>
            <w:shd w:val="clear" w:color="auto" w:fill="98B0CF"/>
          </w:tcPr>
          <w:p>
            <w:pPr>
              <w:spacing w:after="0"/>
              <w:rPr>
                <w:sz w:val="12"/>
                <w:szCs w:val="12"/>
                <w:color w:val="auto"/>
              </w:rPr>
            </w:pPr>
          </w:p>
        </w:tc>
        <w:tc>
          <w:tcPr>
            <w:tcW w:w="760" w:type="dxa"/>
            <w:vAlign w:val="bottom"/>
            <w:tcBorders>
              <w:top w:val="single" w:sz="8" w:color="auto"/>
              <w:bottom w:val="single" w:sz="8" w:color="auto"/>
            </w:tcBorders>
            <w:shd w:val="clear" w:color="auto" w:fill="98B0CF"/>
          </w:tcPr>
          <w:p>
            <w:pPr>
              <w:spacing w:after="0"/>
              <w:rPr>
                <w:sz w:val="12"/>
                <w:szCs w:val="12"/>
                <w:color w:val="auto"/>
              </w:rPr>
            </w:pPr>
          </w:p>
        </w:tc>
        <w:tc>
          <w:tcPr>
            <w:tcW w:w="180" w:type="dxa"/>
            <w:vAlign w:val="bottom"/>
            <w:tcBorders>
              <w:top w:val="single" w:sz="8" w:color="auto"/>
              <w:bottom w:val="single" w:sz="8" w:color="auto"/>
            </w:tcBorders>
            <w:shd w:val="clear" w:color="auto" w:fill="98B0CF"/>
          </w:tcPr>
          <w:p>
            <w:pPr>
              <w:spacing w:after="0"/>
              <w:rPr>
                <w:sz w:val="12"/>
                <w:szCs w:val="12"/>
                <w:color w:val="auto"/>
              </w:rPr>
            </w:pPr>
          </w:p>
        </w:tc>
        <w:tc>
          <w:tcPr>
            <w:tcW w:w="820" w:type="dxa"/>
            <w:vAlign w:val="bottom"/>
            <w:tcBorders>
              <w:top w:val="single" w:sz="8" w:color="auto"/>
              <w:bottom w:val="single" w:sz="8" w:color="auto"/>
            </w:tcBorders>
            <w:shd w:val="clear" w:color="auto" w:fill="98B0CF"/>
          </w:tcPr>
          <w:p>
            <w:pPr>
              <w:spacing w:after="0"/>
              <w:rPr>
                <w:sz w:val="12"/>
                <w:szCs w:val="12"/>
                <w:color w:val="auto"/>
              </w:rPr>
            </w:pPr>
          </w:p>
        </w:tc>
        <w:tc>
          <w:tcPr>
            <w:tcW w:w="180" w:type="dxa"/>
            <w:vAlign w:val="bottom"/>
            <w:tcBorders>
              <w:top w:val="single" w:sz="8" w:color="auto"/>
              <w:bottom w:val="single" w:sz="8" w:color="auto"/>
            </w:tcBorders>
            <w:shd w:val="clear" w:color="auto" w:fill="98B0CF"/>
          </w:tcPr>
          <w:p>
            <w:pPr>
              <w:spacing w:after="0"/>
              <w:rPr>
                <w:sz w:val="12"/>
                <w:szCs w:val="12"/>
                <w:color w:val="auto"/>
              </w:rPr>
            </w:pPr>
          </w:p>
        </w:tc>
        <w:tc>
          <w:tcPr>
            <w:tcW w:w="940" w:type="dxa"/>
            <w:vAlign w:val="bottom"/>
            <w:tcBorders>
              <w:top w:val="single" w:sz="8" w:color="auto"/>
              <w:bottom w:val="single" w:sz="8" w:color="auto"/>
            </w:tcBorders>
            <w:shd w:val="clear" w:color="auto" w:fill="98B0CF"/>
          </w:tcPr>
          <w:p>
            <w:pPr>
              <w:spacing w:after="0"/>
              <w:rPr>
                <w:sz w:val="12"/>
                <w:szCs w:val="12"/>
                <w:color w:val="auto"/>
              </w:rPr>
            </w:pPr>
          </w:p>
        </w:tc>
        <w:tc>
          <w:tcPr>
            <w:tcW w:w="200" w:type="dxa"/>
            <w:vAlign w:val="bottom"/>
            <w:tcBorders>
              <w:top w:val="single" w:sz="8" w:color="auto"/>
              <w:bottom w:val="single" w:sz="8" w:color="auto"/>
            </w:tcBorders>
            <w:shd w:val="clear" w:color="auto" w:fill="98B0CF"/>
          </w:tcPr>
          <w:p>
            <w:pPr>
              <w:spacing w:after="0"/>
              <w:rPr>
                <w:sz w:val="12"/>
                <w:szCs w:val="12"/>
                <w:color w:val="auto"/>
              </w:rPr>
            </w:pPr>
          </w:p>
        </w:tc>
        <w:tc>
          <w:tcPr>
            <w:tcW w:w="480" w:type="dxa"/>
            <w:vAlign w:val="bottom"/>
            <w:tcBorders>
              <w:top w:val="single" w:sz="8" w:color="auto"/>
              <w:bottom w:val="single" w:sz="8" w:color="auto"/>
            </w:tcBorders>
            <w:shd w:val="clear" w:color="auto" w:fill="98B0CF"/>
          </w:tcPr>
          <w:p>
            <w:pPr>
              <w:spacing w:after="0"/>
              <w:rPr>
                <w:sz w:val="12"/>
                <w:szCs w:val="12"/>
                <w:color w:val="auto"/>
              </w:rPr>
            </w:pPr>
          </w:p>
        </w:tc>
        <w:tc>
          <w:tcPr>
            <w:tcW w:w="2180" w:type="dxa"/>
            <w:vAlign w:val="bottom"/>
            <w:tcBorders>
              <w:top w:val="single" w:sz="8" w:color="auto"/>
              <w:bottom w:val="single" w:sz="8" w:color="auto"/>
            </w:tcBorders>
            <w:gridSpan w:val="6"/>
            <w:shd w:val="clear" w:color="auto" w:fill="98B0CF"/>
          </w:tcPr>
          <w:p>
            <w:pPr>
              <w:jc w:val="right"/>
              <w:spacing w:after="0"/>
              <w:rPr>
                <w:sz w:val="20"/>
                <w:szCs w:val="20"/>
                <w:color w:val="auto"/>
              </w:rPr>
            </w:pPr>
            <w:r>
              <w:rPr>
                <w:rFonts w:ascii="Arial" w:cs="Arial" w:eastAsia="Arial" w:hAnsi="Arial"/>
                <w:sz w:val="13"/>
                <w:szCs w:val="13"/>
                <w:b w:val="1"/>
                <w:bCs w:val="1"/>
                <w:color w:val="auto"/>
                <w:w w:val="96"/>
              </w:rPr>
              <w:t>Three Months Ended September 30,</w:t>
            </w:r>
          </w:p>
        </w:tc>
        <w:tc>
          <w:tcPr>
            <w:tcW w:w="800" w:type="dxa"/>
            <w:vAlign w:val="bottom"/>
            <w:tcBorders>
              <w:top w:val="single" w:sz="8" w:color="auto"/>
              <w:bottom w:val="single" w:sz="8" w:color="auto"/>
            </w:tcBorders>
            <w:shd w:val="clear" w:color="auto" w:fill="98B0CF"/>
          </w:tcPr>
          <w:p>
            <w:pPr>
              <w:spacing w:after="0"/>
              <w:rPr>
                <w:sz w:val="12"/>
                <w:szCs w:val="12"/>
                <w:color w:val="auto"/>
              </w:rPr>
            </w:pPr>
          </w:p>
        </w:tc>
        <w:tc>
          <w:tcPr>
            <w:tcW w:w="220" w:type="dxa"/>
            <w:vAlign w:val="bottom"/>
            <w:tcBorders>
              <w:top w:val="single" w:sz="8" w:color="auto"/>
              <w:bottom w:val="single" w:sz="8" w:color="auto"/>
            </w:tcBorders>
            <w:shd w:val="clear" w:color="auto" w:fill="98B0CF"/>
          </w:tcPr>
          <w:p>
            <w:pPr>
              <w:spacing w:after="0"/>
              <w:rPr>
                <w:sz w:val="12"/>
                <w:szCs w:val="12"/>
                <w:color w:val="auto"/>
              </w:rPr>
            </w:pPr>
          </w:p>
        </w:tc>
        <w:tc>
          <w:tcPr>
            <w:tcW w:w="1000" w:type="dxa"/>
            <w:vAlign w:val="bottom"/>
            <w:tcBorders>
              <w:top w:val="single" w:sz="8" w:color="auto"/>
              <w:bottom w:val="single" w:sz="8" w:color="auto"/>
            </w:tcBorders>
            <w:shd w:val="clear" w:color="auto" w:fill="98B0CF"/>
          </w:tcPr>
          <w:p>
            <w:pPr>
              <w:spacing w:after="0"/>
              <w:rPr>
                <w:sz w:val="12"/>
                <w:szCs w:val="12"/>
                <w:color w:val="auto"/>
              </w:rPr>
            </w:pPr>
          </w:p>
        </w:tc>
        <w:tc>
          <w:tcPr>
            <w:tcW w:w="220" w:type="dxa"/>
            <w:vAlign w:val="bottom"/>
            <w:tcBorders>
              <w:top w:val="single" w:sz="8" w:color="auto"/>
              <w:bottom w:val="single" w:sz="8" w:color="auto"/>
            </w:tcBorders>
            <w:shd w:val="clear" w:color="auto" w:fill="98B0CF"/>
          </w:tcPr>
          <w:p>
            <w:pPr>
              <w:spacing w:after="0"/>
              <w:rPr>
                <w:sz w:val="12"/>
                <w:szCs w:val="12"/>
                <w:color w:val="auto"/>
              </w:rPr>
            </w:pPr>
          </w:p>
        </w:tc>
        <w:tc>
          <w:tcPr>
            <w:tcW w:w="600" w:type="dxa"/>
            <w:vAlign w:val="bottom"/>
            <w:tcBorders>
              <w:top w:val="single" w:sz="8" w:color="auto"/>
              <w:bottom w:val="single" w:sz="8" w:color="auto"/>
            </w:tcBorders>
            <w:shd w:val="clear" w:color="auto" w:fill="98B0CF"/>
          </w:tcPr>
          <w:p>
            <w:pPr>
              <w:spacing w:after="0"/>
              <w:rPr>
                <w:sz w:val="12"/>
                <w:szCs w:val="12"/>
                <w:color w:val="auto"/>
              </w:rPr>
            </w:pPr>
          </w:p>
        </w:tc>
        <w:tc>
          <w:tcPr>
            <w:tcW w:w="260" w:type="dxa"/>
            <w:vAlign w:val="bottom"/>
            <w:tcBorders>
              <w:top w:val="single" w:sz="8" w:color="auto"/>
              <w:bottom w:val="single" w:sz="8" w:color="auto"/>
            </w:tcBorders>
            <w:shd w:val="clear" w:color="auto" w:fill="98B0CF"/>
          </w:tcPr>
          <w:p>
            <w:pPr>
              <w:spacing w:after="0"/>
              <w:rPr>
                <w:sz w:val="12"/>
                <w:szCs w:val="12"/>
                <w:color w:val="auto"/>
              </w:rPr>
            </w:pPr>
          </w:p>
        </w:tc>
        <w:tc>
          <w:tcPr>
            <w:tcW w:w="680" w:type="dxa"/>
            <w:vAlign w:val="bottom"/>
            <w:tcBorders>
              <w:top w:val="single" w:sz="8" w:color="auto"/>
              <w:bottom w:val="single" w:sz="8" w:color="auto"/>
            </w:tcBorders>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00" w:type="dxa"/>
            <w:vAlign w:val="bottom"/>
            <w:tcBorders>
              <w:bottom w:val="single" w:sz="8" w:color="98B0CF"/>
            </w:tcBorders>
            <w:shd w:val="clear" w:color="auto" w:fill="98B0CF"/>
          </w:tcPr>
          <w:p>
            <w:pPr>
              <w:spacing w:after="0"/>
              <w:rPr>
                <w:sz w:val="11"/>
                <w:szCs w:val="11"/>
                <w:color w:val="auto"/>
              </w:rPr>
            </w:pPr>
          </w:p>
        </w:tc>
        <w:tc>
          <w:tcPr>
            <w:tcW w:w="100" w:type="dxa"/>
            <w:vAlign w:val="bottom"/>
            <w:tcBorders>
              <w:bottom w:val="single" w:sz="8" w:color="98B0CF"/>
            </w:tcBorders>
            <w:shd w:val="clear" w:color="auto" w:fill="98B0CF"/>
          </w:tcPr>
          <w:p>
            <w:pPr>
              <w:spacing w:after="0"/>
              <w:rPr>
                <w:sz w:val="11"/>
                <w:szCs w:val="11"/>
                <w:color w:val="auto"/>
              </w:rPr>
            </w:pPr>
          </w:p>
        </w:tc>
        <w:tc>
          <w:tcPr>
            <w:tcW w:w="120" w:type="dxa"/>
            <w:vAlign w:val="bottom"/>
            <w:tcBorders>
              <w:bottom w:val="single" w:sz="8" w:color="auto"/>
            </w:tcBorders>
            <w:shd w:val="clear" w:color="auto" w:fill="98B0CF"/>
          </w:tcPr>
          <w:p>
            <w:pPr>
              <w:spacing w:after="0"/>
              <w:rPr>
                <w:sz w:val="11"/>
                <w:szCs w:val="11"/>
                <w:color w:val="auto"/>
              </w:rPr>
            </w:pPr>
          </w:p>
        </w:tc>
        <w:tc>
          <w:tcPr>
            <w:tcW w:w="760" w:type="dxa"/>
            <w:vAlign w:val="bottom"/>
            <w:tcBorders>
              <w:bottom w:val="single" w:sz="8" w:color="auto"/>
            </w:tcBorders>
            <w:shd w:val="clear" w:color="auto" w:fill="98B0CF"/>
          </w:tcPr>
          <w:p>
            <w:pPr>
              <w:spacing w:after="0"/>
              <w:rPr>
                <w:sz w:val="11"/>
                <w:szCs w:val="11"/>
                <w:color w:val="auto"/>
              </w:rPr>
            </w:pPr>
          </w:p>
        </w:tc>
        <w:tc>
          <w:tcPr>
            <w:tcW w:w="180" w:type="dxa"/>
            <w:vAlign w:val="bottom"/>
            <w:tcBorders>
              <w:bottom w:val="single" w:sz="8" w:color="auto"/>
            </w:tcBorders>
            <w:shd w:val="clear" w:color="auto" w:fill="98B0CF"/>
          </w:tcPr>
          <w:p>
            <w:pPr>
              <w:spacing w:after="0"/>
              <w:rPr>
                <w:sz w:val="11"/>
                <w:szCs w:val="11"/>
                <w:color w:val="auto"/>
              </w:rPr>
            </w:pPr>
          </w:p>
        </w:tc>
        <w:tc>
          <w:tcPr>
            <w:tcW w:w="820" w:type="dxa"/>
            <w:vAlign w:val="bottom"/>
            <w:tcBorders>
              <w:bottom w:val="single" w:sz="8" w:color="auto"/>
            </w:tcBorders>
            <w:shd w:val="clear" w:color="auto" w:fill="98B0CF"/>
          </w:tcPr>
          <w:p>
            <w:pPr>
              <w:spacing w:after="0"/>
              <w:rPr>
                <w:sz w:val="11"/>
                <w:szCs w:val="11"/>
                <w:color w:val="auto"/>
              </w:rPr>
            </w:pPr>
          </w:p>
        </w:tc>
        <w:tc>
          <w:tcPr>
            <w:tcW w:w="180" w:type="dxa"/>
            <w:vAlign w:val="bottom"/>
            <w:tcBorders>
              <w:bottom w:val="single" w:sz="8" w:color="auto"/>
            </w:tcBorders>
            <w:shd w:val="clear" w:color="auto" w:fill="98B0CF"/>
          </w:tcPr>
          <w:p>
            <w:pPr>
              <w:spacing w:after="0"/>
              <w:rPr>
                <w:sz w:val="11"/>
                <w:szCs w:val="11"/>
                <w:color w:val="auto"/>
              </w:rPr>
            </w:pPr>
          </w:p>
        </w:tc>
        <w:tc>
          <w:tcPr>
            <w:tcW w:w="940" w:type="dxa"/>
            <w:vAlign w:val="bottom"/>
            <w:tcBorders>
              <w:bottom w:val="single" w:sz="8" w:color="auto"/>
            </w:tcBorders>
            <w:shd w:val="clear" w:color="auto" w:fill="98B0CF"/>
          </w:tcPr>
          <w:p>
            <w:pPr>
              <w:jc w:val="right"/>
              <w:ind w:right="454"/>
              <w:spacing w:after="0" w:line="129" w:lineRule="exact"/>
              <w:rPr>
                <w:sz w:val="20"/>
                <w:szCs w:val="20"/>
                <w:color w:val="auto"/>
              </w:rPr>
            </w:pPr>
            <w:r>
              <w:rPr>
                <w:rFonts w:ascii="Arial" w:cs="Arial" w:eastAsia="Arial" w:hAnsi="Arial"/>
                <w:sz w:val="13"/>
                <w:szCs w:val="13"/>
                <w:b w:val="1"/>
                <w:bCs w:val="1"/>
                <w:color w:val="auto"/>
              </w:rPr>
              <w:t>2026</w:t>
            </w:r>
          </w:p>
        </w:tc>
        <w:tc>
          <w:tcPr>
            <w:tcW w:w="200" w:type="dxa"/>
            <w:vAlign w:val="bottom"/>
            <w:tcBorders>
              <w:bottom w:val="single" w:sz="8" w:color="auto"/>
            </w:tcBorders>
            <w:shd w:val="clear" w:color="auto" w:fill="98B0CF"/>
          </w:tcPr>
          <w:p>
            <w:pPr>
              <w:spacing w:after="0"/>
              <w:rPr>
                <w:sz w:val="11"/>
                <w:szCs w:val="11"/>
                <w:color w:val="auto"/>
              </w:rPr>
            </w:pPr>
          </w:p>
        </w:tc>
        <w:tc>
          <w:tcPr>
            <w:tcW w:w="480" w:type="dxa"/>
            <w:vAlign w:val="bottom"/>
            <w:tcBorders>
              <w:bottom w:val="single" w:sz="8" w:color="auto"/>
            </w:tcBorders>
            <w:shd w:val="clear" w:color="auto" w:fill="98B0CF"/>
          </w:tcPr>
          <w:p>
            <w:pPr>
              <w:spacing w:after="0"/>
              <w:rPr>
                <w:sz w:val="11"/>
                <w:szCs w:val="11"/>
                <w:color w:val="auto"/>
              </w:rPr>
            </w:pPr>
          </w:p>
        </w:tc>
        <w:tc>
          <w:tcPr>
            <w:tcW w:w="360" w:type="dxa"/>
            <w:vAlign w:val="bottom"/>
            <w:tcBorders>
              <w:bottom w:val="single" w:sz="8" w:color="auto"/>
            </w:tcBorders>
            <w:shd w:val="clear" w:color="auto" w:fill="98B0CF"/>
          </w:tcPr>
          <w:p>
            <w:pPr>
              <w:spacing w:after="0"/>
              <w:rPr>
                <w:sz w:val="11"/>
                <w:szCs w:val="11"/>
                <w:color w:val="auto"/>
              </w:rPr>
            </w:pPr>
          </w:p>
        </w:tc>
        <w:tc>
          <w:tcPr>
            <w:tcW w:w="74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98B0CF"/>
            </w:tcBorders>
            <w:shd w:val="clear" w:color="auto" w:fill="98B0CF"/>
          </w:tcPr>
          <w:p>
            <w:pPr>
              <w:spacing w:after="0"/>
              <w:rPr>
                <w:sz w:val="11"/>
                <w:szCs w:val="11"/>
                <w:color w:val="auto"/>
              </w:rPr>
            </w:pPr>
          </w:p>
        </w:tc>
        <w:tc>
          <w:tcPr>
            <w:tcW w:w="100" w:type="dxa"/>
            <w:vAlign w:val="bottom"/>
            <w:tcBorders>
              <w:bottom w:val="single" w:sz="8" w:color="auto"/>
            </w:tcBorders>
            <w:shd w:val="clear" w:color="auto" w:fill="98B0CF"/>
          </w:tcPr>
          <w:p>
            <w:pPr>
              <w:spacing w:after="0"/>
              <w:rPr>
                <w:sz w:val="11"/>
                <w:szCs w:val="11"/>
                <w:color w:val="auto"/>
              </w:rPr>
            </w:pPr>
          </w:p>
        </w:tc>
        <w:tc>
          <w:tcPr>
            <w:tcW w:w="680" w:type="dxa"/>
            <w:vAlign w:val="bottom"/>
            <w:tcBorders>
              <w:bottom w:val="single" w:sz="8" w:color="auto"/>
            </w:tcBorders>
            <w:shd w:val="clear" w:color="auto" w:fill="98B0CF"/>
          </w:tcPr>
          <w:p>
            <w:pPr>
              <w:spacing w:after="0"/>
              <w:rPr>
                <w:sz w:val="11"/>
                <w:szCs w:val="11"/>
                <w:color w:val="auto"/>
              </w:rPr>
            </w:pPr>
          </w:p>
        </w:tc>
        <w:tc>
          <w:tcPr>
            <w:tcW w:w="200" w:type="dxa"/>
            <w:vAlign w:val="bottom"/>
            <w:tcBorders>
              <w:bottom w:val="single" w:sz="8" w:color="auto"/>
            </w:tcBorders>
            <w:shd w:val="clear" w:color="auto" w:fill="98B0CF"/>
          </w:tcPr>
          <w:p>
            <w:pPr>
              <w:spacing w:after="0"/>
              <w:rPr>
                <w:sz w:val="11"/>
                <w:szCs w:val="11"/>
                <w:color w:val="auto"/>
              </w:rPr>
            </w:pPr>
          </w:p>
        </w:tc>
        <w:tc>
          <w:tcPr>
            <w:tcW w:w="800" w:type="dxa"/>
            <w:vAlign w:val="bottom"/>
            <w:tcBorders>
              <w:bottom w:val="single" w:sz="8" w:color="auto"/>
            </w:tcBorders>
            <w:shd w:val="clear" w:color="auto" w:fill="98B0CF"/>
          </w:tcPr>
          <w:p>
            <w:pPr>
              <w:spacing w:after="0"/>
              <w:rPr>
                <w:sz w:val="11"/>
                <w:szCs w:val="11"/>
                <w:color w:val="auto"/>
              </w:rPr>
            </w:pPr>
          </w:p>
        </w:tc>
        <w:tc>
          <w:tcPr>
            <w:tcW w:w="220" w:type="dxa"/>
            <w:vAlign w:val="bottom"/>
            <w:tcBorders>
              <w:bottom w:val="single" w:sz="8" w:color="auto"/>
            </w:tcBorders>
            <w:shd w:val="clear" w:color="auto" w:fill="98B0CF"/>
          </w:tcPr>
          <w:p>
            <w:pPr>
              <w:spacing w:after="0"/>
              <w:rPr>
                <w:sz w:val="11"/>
                <w:szCs w:val="11"/>
                <w:color w:val="auto"/>
              </w:rPr>
            </w:pPr>
          </w:p>
        </w:tc>
        <w:tc>
          <w:tcPr>
            <w:tcW w:w="1000" w:type="dxa"/>
            <w:vAlign w:val="bottom"/>
            <w:tcBorders>
              <w:bottom w:val="single" w:sz="8" w:color="auto"/>
            </w:tcBorders>
            <w:shd w:val="clear" w:color="auto" w:fill="98B0CF"/>
          </w:tcPr>
          <w:p>
            <w:pPr>
              <w:jc w:val="right"/>
              <w:ind w:right="474"/>
              <w:spacing w:after="0" w:line="129" w:lineRule="exact"/>
              <w:rPr>
                <w:sz w:val="20"/>
                <w:szCs w:val="20"/>
                <w:color w:val="auto"/>
              </w:rPr>
            </w:pPr>
            <w:r>
              <w:rPr>
                <w:rFonts w:ascii="Arial" w:cs="Arial" w:eastAsia="Arial" w:hAnsi="Arial"/>
                <w:sz w:val="13"/>
                <w:szCs w:val="13"/>
                <w:b w:val="1"/>
                <w:bCs w:val="1"/>
                <w:color w:val="auto"/>
              </w:rPr>
              <w:t>2025</w:t>
            </w:r>
          </w:p>
        </w:tc>
        <w:tc>
          <w:tcPr>
            <w:tcW w:w="220" w:type="dxa"/>
            <w:vAlign w:val="bottom"/>
            <w:tcBorders>
              <w:bottom w:val="single" w:sz="8" w:color="auto"/>
            </w:tcBorders>
            <w:shd w:val="clear" w:color="auto" w:fill="98B0CF"/>
          </w:tcPr>
          <w:p>
            <w:pPr>
              <w:spacing w:after="0"/>
              <w:rPr>
                <w:sz w:val="11"/>
                <w:szCs w:val="11"/>
                <w:color w:val="auto"/>
              </w:rPr>
            </w:pPr>
          </w:p>
        </w:tc>
        <w:tc>
          <w:tcPr>
            <w:tcW w:w="600" w:type="dxa"/>
            <w:vAlign w:val="bottom"/>
            <w:tcBorders>
              <w:bottom w:val="single" w:sz="8" w:color="auto"/>
            </w:tcBorders>
            <w:shd w:val="clear" w:color="auto" w:fill="98B0CF"/>
          </w:tcPr>
          <w:p>
            <w:pPr>
              <w:spacing w:after="0"/>
              <w:rPr>
                <w:sz w:val="11"/>
                <w:szCs w:val="11"/>
                <w:color w:val="auto"/>
              </w:rPr>
            </w:pPr>
          </w:p>
        </w:tc>
        <w:tc>
          <w:tcPr>
            <w:tcW w:w="260" w:type="dxa"/>
            <w:vAlign w:val="bottom"/>
            <w:tcBorders>
              <w:bottom w:val="single" w:sz="8" w:color="auto"/>
            </w:tcBorders>
            <w:shd w:val="clear" w:color="auto" w:fill="98B0CF"/>
          </w:tcPr>
          <w:p>
            <w:pPr>
              <w:spacing w:after="0"/>
              <w:rPr>
                <w:sz w:val="11"/>
                <w:szCs w:val="11"/>
                <w:color w:val="auto"/>
              </w:rPr>
            </w:pPr>
          </w:p>
        </w:tc>
        <w:tc>
          <w:tcPr>
            <w:tcW w:w="680" w:type="dxa"/>
            <w:vAlign w:val="bottom"/>
            <w:tcBorders>
              <w:bottom w:val="single" w:sz="8" w:color="auto"/>
            </w:tcBorders>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50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120" w:type="dxa"/>
            <w:vAlign w:val="bottom"/>
            <w:shd w:val="clear" w:color="auto" w:fill="98B0CF"/>
          </w:tcPr>
          <w:p>
            <w:pPr>
              <w:spacing w:after="0"/>
              <w:rPr>
                <w:sz w:val="9"/>
                <w:szCs w:val="9"/>
                <w:color w:val="auto"/>
              </w:rPr>
            </w:pPr>
          </w:p>
        </w:tc>
        <w:tc>
          <w:tcPr>
            <w:tcW w:w="760" w:type="dxa"/>
            <w:vAlign w:val="bottom"/>
            <w:shd w:val="clear" w:color="auto" w:fill="98B0CF"/>
          </w:tcPr>
          <w:p>
            <w:pPr>
              <w:spacing w:after="0"/>
              <w:rPr>
                <w:sz w:val="9"/>
                <w:szCs w:val="9"/>
                <w:color w:val="auto"/>
              </w:rPr>
            </w:pPr>
          </w:p>
        </w:tc>
        <w:tc>
          <w:tcPr>
            <w:tcW w:w="180" w:type="dxa"/>
            <w:vAlign w:val="bottom"/>
            <w:shd w:val="clear" w:color="auto" w:fill="98B0CF"/>
          </w:tcPr>
          <w:p>
            <w:pPr>
              <w:spacing w:after="0"/>
              <w:rPr>
                <w:sz w:val="9"/>
                <w:szCs w:val="9"/>
                <w:color w:val="auto"/>
              </w:rPr>
            </w:pPr>
          </w:p>
        </w:tc>
        <w:tc>
          <w:tcPr>
            <w:tcW w:w="820" w:type="dxa"/>
            <w:vAlign w:val="bottom"/>
            <w:shd w:val="clear" w:color="auto" w:fill="98B0CF"/>
          </w:tcPr>
          <w:p>
            <w:pPr>
              <w:jc w:val="center"/>
              <w:ind w:right="134"/>
              <w:spacing w:after="0" w:line="111" w:lineRule="exact"/>
              <w:rPr>
                <w:sz w:val="20"/>
                <w:szCs w:val="20"/>
                <w:color w:val="auto"/>
              </w:rPr>
            </w:pPr>
            <w:r>
              <w:rPr>
                <w:rFonts w:ascii="Arial" w:cs="Arial" w:eastAsia="Arial" w:hAnsi="Arial"/>
                <w:sz w:val="12"/>
                <w:szCs w:val="12"/>
                <w:b w:val="1"/>
                <w:bCs w:val="1"/>
                <w:color w:val="auto"/>
              </w:rPr>
              <w:t>Outcome-</w:t>
            </w:r>
          </w:p>
        </w:tc>
        <w:tc>
          <w:tcPr>
            <w:tcW w:w="180" w:type="dxa"/>
            <w:vAlign w:val="bottom"/>
            <w:shd w:val="clear" w:color="auto" w:fill="98B0CF"/>
          </w:tcPr>
          <w:p>
            <w:pPr>
              <w:spacing w:after="0"/>
              <w:rPr>
                <w:sz w:val="9"/>
                <w:szCs w:val="9"/>
                <w:color w:val="auto"/>
              </w:rPr>
            </w:pPr>
          </w:p>
        </w:tc>
        <w:tc>
          <w:tcPr>
            <w:tcW w:w="940" w:type="dxa"/>
            <w:vAlign w:val="bottom"/>
            <w:shd w:val="clear" w:color="auto" w:fill="98B0CF"/>
          </w:tcPr>
          <w:p>
            <w:pPr>
              <w:spacing w:after="0"/>
              <w:rPr>
                <w:sz w:val="9"/>
                <w:szCs w:val="9"/>
                <w:color w:val="auto"/>
              </w:rPr>
            </w:pPr>
          </w:p>
        </w:tc>
        <w:tc>
          <w:tcPr>
            <w:tcW w:w="200" w:type="dxa"/>
            <w:vAlign w:val="bottom"/>
            <w:shd w:val="clear" w:color="auto" w:fill="98B0CF"/>
          </w:tcPr>
          <w:p>
            <w:pPr>
              <w:spacing w:after="0"/>
              <w:rPr>
                <w:sz w:val="9"/>
                <w:szCs w:val="9"/>
                <w:color w:val="auto"/>
              </w:rPr>
            </w:pPr>
          </w:p>
        </w:tc>
        <w:tc>
          <w:tcPr>
            <w:tcW w:w="480" w:type="dxa"/>
            <w:vAlign w:val="bottom"/>
            <w:shd w:val="clear" w:color="auto" w:fill="98B0CF"/>
          </w:tcPr>
          <w:p>
            <w:pPr>
              <w:spacing w:after="0"/>
              <w:rPr>
                <w:sz w:val="9"/>
                <w:szCs w:val="9"/>
                <w:color w:val="auto"/>
              </w:rPr>
            </w:pPr>
          </w:p>
        </w:tc>
        <w:tc>
          <w:tcPr>
            <w:tcW w:w="360" w:type="dxa"/>
            <w:vAlign w:val="bottom"/>
            <w:shd w:val="clear" w:color="auto" w:fill="98B0CF"/>
          </w:tcPr>
          <w:p>
            <w:pPr>
              <w:spacing w:after="0"/>
              <w:rPr>
                <w:sz w:val="9"/>
                <w:szCs w:val="9"/>
                <w:color w:val="auto"/>
              </w:rPr>
            </w:pPr>
          </w:p>
        </w:tc>
        <w:tc>
          <w:tcPr>
            <w:tcW w:w="74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680" w:type="dxa"/>
            <w:vAlign w:val="bottom"/>
            <w:shd w:val="clear" w:color="auto" w:fill="98B0CF"/>
          </w:tcPr>
          <w:p>
            <w:pPr>
              <w:spacing w:after="0"/>
              <w:rPr>
                <w:sz w:val="9"/>
                <w:szCs w:val="9"/>
                <w:color w:val="auto"/>
              </w:rPr>
            </w:pPr>
          </w:p>
        </w:tc>
        <w:tc>
          <w:tcPr>
            <w:tcW w:w="200" w:type="dxa"/>
            <w:vAlign w:val="bottom"/>
            <w:shd w:val="clear" w:color="auto" w:fill="98B0CF"/>
          </w:tcPr>
          <w:p>
            <w:pPr>
              <w:spacing w:after="0"/>
              <w:rPr>
                <w:sz w:val="9"/>
                <w:szCs w:val="9"/>
                <w:color w:val="auto"/>
              </w:rPr>
            </w:pPr>
          </w:p>
        </w:tc>
        <w:tc>
          <w:tcPr>
            <w:tcW w:w="800" w:type="dxa"/>
            <w:vAlign w:val="bottom"/>
            <w:shd w:val="clear" w:color="auto" w:fill="98B0CF"/>
          </w:tcPr>
          <w:p>
            <w:pPr>
              <w:jc w:val="center"/>
              <w:ind w:right="114"/>
              <w:spacing w:after="0" w:line="111" w:lineRule="exact"/>
              <w:rPr>
                <w:sz w:val="20"/>
                <w:szCs w:val="20"/>
                <w:color w:val="auto"/>
              </w:rPr>
            </w:pPr>
            <w:r>
              <w:rPr>
                <w:rFonts w:ascii="Arial" w:cs="Arial" w:eastAsia="Arial" w:hAnsi="Arial"/>
                <w:sz w:val="12"/>
                <w:szCs w:val="12"/>
                <w:b w:val="1"/>
                <w:bCs w:val="1"/>
                <w:color w:val="auto"/>
              </w:rPr>
              <w:t>Outcome-</w:t>
            </w:r>
          </w:p>
        </w:tc>
        <w:tc>
          <w:tcPr>
            <w:tcW w:w="220" w:type="dxa"/>
            <w:vAlign w:val="bottom"/>
            <w:shd w:val="clear" w:color="auto" w:fill="98B0CF"/>
          </w:tcPr>
          <w:p>
            <w:pPr>
              <w:spacing w:after="0"/>
              <w:rPr>
                <w:sz w:val="9"/>
                <w:szCs w:val="9"/>
                <w:color w:val="auto"/>
              </w:rPr>
            </w:pPr>
          </w:p>
        </w:tc>
        <w:tc>
          <w:tcPr>
            <w:tcW w:w="1000" w:type="dxa"/>
            <w:vAlign w:val="bottom"/>
            <w:shd w:val="clear" w:color="auto" w:fill="98B0CF"/>
          </w:tcPr>
          <w:p>
            <w:pPr>
              <w:spacing w:after="0"/>
              <w:rPr>
                <w:sz w:val="9"/>
                <w:szCs w:val="9"/>
                <w:color w:val="auto"/>
              </w:rPr>
            </w:pPr>
          </w:p>
        </w:tc>
        <w:tc>
          <w:tcPr>
            <w:tcW w:w="220" w:type="dxa"/>
            <w:vAlign w:val="bottom"/>
            <w:shd w:val="clear" w:color="auto" w:fill="98B0CF"/>
          </w:tcPr>
          <w:p>
            <w:pPr>
              <w:spacing w:after="0"/>
              <w:rPr>
                <w:sz w:val="9"/>
                <w:szCs w:val="9"/>
                <w:color w:val="auto"/>
              </w:rPr>
            </w:pPr>
          </w:p>
        </w:tc>
        <w:tc>
          <w:tcPr>
            <w:tcW w:w="600" w:type="dxa"/>
            <w:vAlign w:val="bottom"/>
            <w:shd w:val="clear" w:color="auto" w:fill="98B0CF"/>
          </w:tcPr>
          <w:p>
            <w:pPr>
              <w:spacing w:after="0"/>
              <w:rPr>
                <w:sz w:val="9"/>
                <w:szCs w:val="9"/>
                <w:color w:val="auto"/>
              </w:rPr>
            </w:pPr>
          </w:p>
        </w:tc>
        <w:tc>
          <w:tcPr>
            <w:tcW w:w="260" w:type="dxa"/>
            <w:vAlign w:val="bottom"/>
            <w:shd w:val="clear" w:color="auto" w:fill="98B0CF"/>
          </w:tcPr>
          <w:p>
            <w:pPr>
              <w:spacing w:after="0"/>
              <w:rPr>
                <w:sz w:val="9"/>
                <w:szCs w:val="9"/>
                <w:color w:val="auto"/>
              </w:rPr>
            </w:pPr>
          </w:p>
        </w:tc>
        <w:tc>
          <w:tcPr>
            <w:tcW w:w="680" w:type="dxa"/>
            <w:vAlign w:val="bottom"/>
            <w:shd w:val="clear" w:color="auto" w:fill="98B0C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760" w:type="dxa"/>
            <w:vAlign w:val="bottom"/>
            <w:vMerge w:val="restart"/>
            <w:shd w:val="clear" w:color="auto" w:fill="98B0CF"/>
          </w:tcPr>
          <w:p>
            <w:pPr>
              <w:jc w:val="center"/>
              <w:ind w:right="174"/>
              <w:spacing w:after="0"/>
              <w:rPr>
                <w:sz w:val="20"/>
                <w:szCs w:val="20"/>
                <w:color w:val="auto"/>
              </w:rPr>
            </w:pPr>
            <w:r>
              <w:rPr>
                <w:rFonts w:ascii="Arial" w:cs="Arial" w:eastAsia="Arial" w:hAnsi="Arial"/>
                <w:sz w:val="13"/>
                <w:szCs w:val="13"/>
                <w:b w:val="1"/>
                <w:bCs w:val="1"/>
                <w:color w:val="auto"/>
                <w:w w:val="99"/>
              </w:rPr>
              <w:t>Staffing</w:t>
            </w:r>
          </w:p>
        </w:tc>
        <w:tc>
          <w:tcPr>
            <w:tcW w:w="180" w:type="dxa"/>
            <w:vAlign w:val="bottom"/>
            <w:shd w:val="clear" w:color="auto" w:fill="98B0CF"/>
          </w:tcPr>
          <w:p>
            <w:pPr>
              <w:spacing w:after="0"/>
              <w:rPr>
                <w:sz w:val="11"/>
                <w:szCs w:val="11"/>
                <w:color w:val="auto"/>
              </w:rPr>
            </w:pPr>
          </w:p>
        </w:tc>
        <w:tc>
          <w:tcPr>
            <w:tcW w:w="82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Based</w:t>
            </w:r>
          </w:p>
        </w:tc>
        <w:tc>
          <w:tcPr>
            <w:tcW w:w="180" w:type="dxa"/>
            <w:vAlign w:val="bottom"/>
            <w:shd w:val="clear" w:color="auto" w:fill="98B0CF"/>
          </w:tcPr>
          <w:p>
            <w:pPr>
              <w:spacing w:after="0"/>
              <w:rPr>
                <w:sz w:val="11"/>
                <w:szCs w:val="11"/>
                <w:color w:val="auto"/>
              </w:rPr>
            </w:pPr>
          </w:p>
        </w:tc>
        <w:tc>
          <w:tcPr>
            <w:tcW w:w="940" w:type="dxa"/>
            <w:vAlign w:val="bottom"/>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480" w:type="dxa"/>
            <w:vAlign w:val="bottom"/>
            <w:shd w:val="clear" w:color="auto" w:fill="98B0CF"/>
          </w:tcPr>
          <w:p>
            <w:pPr>
              <w:spacing w:after="0"/>
              <w:rPr>
                <w:sz w:val="11"/>
                <w:szCs w:val="11"/>
                <w:color w:val="auto"/>
              </w:rPr>
            </w:pPr>
          </w:p>
        </w:tc>
        <w:tc>
          <w:tcPr>
            <w:tcW w:w="360" w:type="dxa"/>
            <w:vAlign w:val="bottom"/>
            <w:shd w:val="clear" w:color="auto" w:fill="98B0CF"/>
          </w:tcPr>
          <w:p>
            <w:pPr>
              <w:spacing w:after="0"/>
              <w:rPr>
                <w:sz w:val="11"/>
                <w:szCs w:val="11"/>
                <w:color w:val="auto"/>
              </w:rPr>
            </w:pPr>
          </w:p>
        </w:tc>
        <w:tc>
          <w:tcPr>
            <w:tcW w:w="74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680" w:type="dxa"/>
            <w:vAlign w:val="bottom"/>
            <w:vMerge w:val="restart"/>
            <w:shd w:val="clear" w:color="auto" w:fill="98B0CF"/>
          </w:tcPr>
          <w:p>
            <w:pPr>
              <w:jc w:val="center"/>
              <w:ind w:right="134"/>
              <w:spacing w:after="0"/>
              <w:rPr>
                <w:sz w:val="20"/>
                <w:szCs w:val="20"/>
                <w:color w:val="auto"/>
              </w:rPr>
            </w:pPr>
            <w:r>
              <w:rPr>
                <w:rFonts w:ascii="Arial" w:cs="Arial" w:eastAsia="Arial" w:hAnsi="Arial"/>
                <w:sz w:val="13"/>
                <w:szCs w:val="13"/>
                <w:b w:val="1"/>
                <w:bCs w:val="1"/>
                <w:color w:val="auto"/>
                <w:w w:val="99"/>
              </w:rPr>
              <w:t>Staffing</w:t>
            </w:r>
          </w:p>
        </w:tc>
        <w:tc>
          <w:tcPr>
            <w:tcW w:w="20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14"/>
              <w:spacing w:after="0" w:line="135" w:lineRule="exact"/>
              <w:rPr>
                <w:sz w:val="20"/>
                <w:szCs w:val="20"/>
                <w:color w:val="auto"/>
              </w:rPr>
            </w:pPr>
            <w:r>
              <w:rPr>
                <w:rFonts w:ascii="Arial" w:cs="Arial" w:eastAsia="Arial" w:hAnsi="Arial"/>
                <w:sz w:val="13"/>
                <w:szCs w:val="13"/>
                <w:b w:val="1"/>
                <w:bCs w:val="1"/>
                <w:color w:val="auto"/>
                <w:w w:val="97"/>
              </w:rPr>
              <w:t>Based</w:t>
            </w:r>
          </w:p>
        </w:tc>
        <w:tc>
          <w:tcPr>
            <w:tcW w:w="220" w:type="dxa"/>
            <w:vAlign w:val="bottom"/>
            <w:shd w:val="clear" w:color="auto" w:fill="98B0CF"/>
          </w:tcPr>
          <w:p>
            <w:pPr>
              <w:spacing w:after="0"/>
              <w:rPr>
                <w:sz w:val="11"/>
                <w:szCs w:val="11"/>
                <w:color w:val="auto"/>
              </w:rPr>
            </w:pPr>
          </w:p>
        </w:tc>
        <w:tc>
          <w:tcPr>
            <w:tcW w:w="10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6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68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760" w:type="dxa"/>
            <w:vAlign w:val="bottom"/>
            <w:vMerge w:val="continue"/>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82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Solutions</w:t>
            </w:r>
          </w:p>
        </w:tc>
        <w:tc>
          <w:tcPr>
            <w:tcW w:w="180" w:type="dxa"/>
            <w:vAlign w:val="bottom"/>
            <w:shd w:val="clear" w:color="auto" w:fill="98B0CF"/>
          </w:tcPr>
          <w:p>
            <w:pPr>
              <w:spacing w:after="0"/>
              <w:rPr>
                <w:sz w:val="11"/>
                <w:szCs w:val="11"/>
                <w:color w:val="auto"/>
              </w:rPr>
            </w:pPr>
          </w:p>
        </w:tc>
        <w:tc>
          <w:tcPr>
            <w:tcW w:w="940" w:type="dxa"/>
            <w:vAlign w:val="bottom"/>
            <w:vMerge w:val="restart"/>
            <w:shd w:val="clear" w:color="auto" w:fill="98B0CF"/>
          </w:tcPr>
          <w:p>
            <w:pPr>
              <w:jc w:val="right"/>
              <w:ind w:right="174"/>
              <w:spacing w:after="0"/>
              <w:rPr>
                <w:sz w:val="20"/>
                <w:szCs w:val="20"/>
                <w:color w:val="auto"/>
              </w:rPr>
            </w:pPr>
            <w:r>
              <w:rPr>
                <w:rFonts w:ascii="Arial" w:cs="Arial" w:eastAsia="Arial" w:hAnsi="Arial"/>
                <w:sz w:val="13"/>
                <w:szCs w:val="13"/>
                <w:b w:val="1"/>
                <w:bCs w:val="1"/>
                <w:color w:val="auto"/>
              </w:rPr>
              <w:t>Permanent</w:t>
            </w:r>
          </w:p>
        </w:tc>
        <w:tc>
          <w:tcPr>
            <w:tcW w:w="200" w:type="dxa"/>
            <w:vAlign w:val="bottom"/>
            <w:shd w:val="clear" w:color="auto" w:fill="98B0CF"/>
          </w:tcPr>
          <w:p>
            <w:pPr>
              <w:spacing w:after="0"/>
              <w:rPr>
                <w:sz w:val="11"/>
                <w:szCs w:val="11"/>
                <w:color w:val="auto"/>
              </w:rPr>
            </w:pPr>
          </w:p>
        </w:tc>
        <w:tc>
          <w:tcPr>
            <w:tcW w:w="480" w:type="dxa"/>
            <w:vAlign w:val="bottom"/>
            <w:shd w:val="clear" w:color="auto" w:fill="98B0CF"/>
          </w:tcPr>
          <w:p>
            <w:pPr>
              <w:spacing w:after="0"/>
              <w:rPr>
                <w:sz w:val="11"/>
                <w:szCs w:val="11"/>
                <w:color w:val="auto"/>
              </w:rPr>
            </w:pPr>
          </w:p>
        </w:tc>
        <w:tc>
          <w:tcPr>
            <w:tcW w:w="360" w:type="dxa"/>
            <w:vAlign w:val="bottom"/>
            <w:shd w:val="clear" w:color="auto" w:fill="98B0CF"/>
          </w:tcPr>
          <w:p>
            <w:pPr>
              <w:spacing w:after="0"/>
              <w:rPr>
                <w:sz w:val="11"/>
                <w:szCs w:val="11"/>
                <w:color w:val="auto"/>
              </w:rPr>
            </w:pPr>
          </w:p>
        </w:tc>
        <w:tc>
          <w:tcPr>
            <w:tcW w:w="74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680" w:type="dxa"/>
            <w:vAlign w:val="bottom"/>
            <w:vMerge w:val="continue"/>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14"/>
              <w:spacing w:after="0" w:line="135" w:lineRule="exact"/>
              <w:rPr>
                <w:sz w:val="20"/>
                <w:szCs w:val="20"/>
                <w:color w:val="auto"/>
              </w:rPr>
            </w:pPr>
            <w:r>
              <w:rPr>
                <w:rFonts w:ascii="Arial" w:cs="Arial" w:eastAsia="Arial" w:hAnsi="Arial"/>
                <w:sz w:val="13"/>
                <w:szCs w:val="13"/>
                <w:b w:val="1"/>
                <w:bCs w:val="1"/>
                <w:color w:val="auto"/>
                <w:w w:val="97"/>
              </w:rPr>
              <w:t>Solutions</w:t>
            </w:r>
          </w:p>
        </w:tc>
        <w:tc>
          <w:tcPr>
            <w:tcW w:w="220" w:type="dxa"/>
            <w:vAlign w:val="bottom"/>
            <w:shd w:val="clear" w:color="auto" w:fill="98B0CF"/>
          </w:tcPr>
          <w:p>
            <w:pPr>
              <w:spacing w:after="0"/>
              <w:rPr>
                <w:sz w:val="11"/>
                <w:szCs w:val="11"/>
                <w:color w:val="auto"/>
              </w:rPr>
            </w:pPr>
          </w:p>
        </w:tc>
        <w:tc>
          <w:tcPr>
            <w:tcW w:w="1000" w:type="dxa"/>
            <w:vAlign w:val="bottom"/>
            <w:vMerge w:val="restart"/>
            <w:shd w:val="clear" w:color="auto" w:fill="98B0CF"/>
          </w:tcPr>
          <w:p>
            <w:pPr>
              <w:jc w:val="right"/>
              <w:ind w:right="214"/>
              <w:spacing w:after="0"/>
              <w:rPr>
                <w:sz w:val="20"/>
                <w:szCs w:val="20"/>
                <w:color w:val="auto"/>
              </w:rPr>
            </w:pPr>
            <w:r>
              <w:rPr>
                <w:rFonts w:ascii="Arial" w:cs="Arial" w:eastAsia="Arial" w:hAnsi="Arial"/>
                <w:sz w:val="13"/>
                <w:szCs w:val="13"/>
                <w:b w:val="1"/>
                <w:bCs w:val="1"/>
                <w:color w:val="auto"/>
              </w:rPr>
              <w:t>Permanent</w:t>
            </w:r>
          </w:p>
        </w:tc>
        <w:tc>
          <w:tcPr>
            <w:tcW w:w="220" w:type="dxa"/>
            <w:vAlign w:val="bottom"/>
            <w:shd w:val="clear" w:color="auto" w:fill="98B0CF"/>
          </w:tcPr>
          <w:p>
            <w:pPr>
              <w:spacing w:after="0"/>
              <w:rPr>
                <w:sz w:val="11"/>
                <w:szCs w:val="11"/>
                <w:color w:val="auto"/>
              </w:rPr>
            </w:pPr>
          </w:p>
        </w:tc>
        <w:tc>
          <w:tcPr>
            <w:tcW w:w="6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68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760" w:type="dxa"/>
            <w:vAlign w:val="bottom"/>
            <w:shd w:val="clear" w:color="auto" w:fill="98B0CF"/>
          </w:tcPr>
          <w:p>
            <w:pPr>
              <w:jc w:val="center"/>
              <w:ind w:right="174"/>
              <w:spacing w:after="0" w:line="135" w:lineRule="exact"/>
              <w:rPr>
                <w:sz w:val="20"/>
                <w:szCs w:val="20"/>
                <w:color w:val="auto"/>
              </w:rPr>
            </w:pPr>
            <w:r>
              <w:rPr>
                <w:rFonts w:ascii="Arial" w:cs="Arial" w:eastAsia="Arial" w:hAnsi="Arial"/>
                <w:sz w:val="13"/>
                <w:szCs w:val="13"/>
                <w:b w:val="1"/>
                <w:bCs w:val="1"/>
                <w:color w:val="auto"/>
              </w:rPr>
              <w:t>and</w:t>
            </w:r>
          </w:p>
        </w:tc>
        <w:tc>
          <w:tcPr>
            <w:tcW w:w="180" w:type="dxa"/>
            <w:vAlign w:val="bottom"/>
            <w:shd w:val="clear" w:color="auto" w:fill="98B0CF"/>
          </w:tcPr>
          <w:p>
            <w:pPr>
              <w:spacing w:after="0"/>
              <w:rPr>
                <w:sz w:val="11"/>
                <w:szCs w:val="11"/>
                <w:color w:val="auto"/>
              </w:rPr>
            </w:pPr>
          </w:p>
        </w:tc>
        <w:tc>
          <w:tcPr>
            <w:tcW w:w="82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4"/>
              </w:rPr>
              <w:t>and</w:t>
            </w:r>
          </w:p>
        </w:tc>
        <w:tc>
          <w:tcPr>
            <w:tcW w:w="180" w:type="dxa"/>
            <w:vAlign w:val="bottom"/>
            <w:shd w:val="clear" w:color="auto" w:fill="98B0CF"/>
          </w:tcPr>
          <w:p>
            <w:pPr>
              <w:spacing w:after="0"/>
              <w:rPr>
                <w:sz w:val="11"/>
                <w:szCs w:val="11"/>
                <w:color w:val="auto"/>
              </w:rPr>
            </w:pPr>
          </w:p>
        </w:tc>
        <w:tc>
          <w:tcPr>
            <w:tcW w:w="940" w:type="dxa"/>
            <w:vAlign w:val="bottom"/>
            <w:vMerge w:val="continue"/>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480" w:type="dxa"/>
            <w:vAlign w:val="bottom"/>
            <w:vMerge w:val="restart"/>
            <w:shd w:val="clear" w:color="auto" w:fill="98B0CF"/>
          </w:tcPr>
          <w:p>
            <w:pPr>
              <w:jc w:val="right"/>
              <w:ind w:right="53"/>
              <w:spacing w:after="0"/>
              <w:rPr>
                <w:sz w:val="20"/>
                <w:szCs w:val="20"/>
                <w:color w:val="auto"/>
              </w:rPr>
            </w:pPr>
            <w:r>
              <w:rPr>
                <w:rFonts w:ascii="Arial" w:cs="Arial" w:eastAsia="Arial" w:hAnsi="Arial"/>
                <w:sz w:val="13"/>
                <w:szCs w:val="13"/>
                <w:b w:val="1"/>
                <w:bCs w:val="1"/>
                <w:color w:val="auto"/>
                <w:w w:val="97"/>
              </w:rPr>
              <w:t>Other</w:t>
            </w:r>
          </w:p>
        </w:tc>
        <w:tc>
          <w:tcPr>
            <w:tcW w:w="360" w:type="dxa"/>
            <w:vAlign w:val="bottom"/>
            <w:shd w:val="clear" w:color="auto" w:fill="98B0CF"/>
          </w:tcPr>
          <w:p>
            <w:pPr>
              <w:spacing w:after="0"/>
              <w:rPr>
                <w:sz w:val="11"/>
                <w:szCs w:val="11"/>
                <w:color w:val="auto"/>
              </w:rPr>
            </w:pPr>
          </w:p>
        </w:tc>
        <w:tc>
          <w:tcPr>
            <w:tcW w:w="740" w:type="dxa"/>
            <w:vAlign w:val="bottom"/>
            <w:vMerge w:val="restart"/>
            <w:shd w:val="clear" w:color="auto" w:fill="98B0CF"/>
          </w:tcPr>
          <w:p>
            <w:pPr>
              <w:jc w:val="right"/>
              <w:ind w:right="293"/>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68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rPr>
              <w:t>and</w:t>
            </w:r>
          </w:p>
        </w:tc>
        <w:tc>
          <w:tcPr>
            <w:tcW w:w="20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14"/>
              <w:spacing w:after="0" w:line="135" w:lineRule="exact"/>
              <w:rPr>
                <w:sz w:val="20"/>
                <w:szCs w:val="20"/>
                <w:color w:val="auto"/>
              </w:rPr>
            </w:pPr>
            <w:r>
              <w:rPr>
                <w:rFonts w:ascii="Arial" w:cs="Arial" w:eastAsia="Arial" w:hAnsi="Arial"/>
                <w:sz w:val="13"/>
                <w:szCs w:val="13"/>
                <w:b w:val="1"/>
                <w:bCs w:val="1"/>
                <w:color w:val="auto"/>
                <w:w w:val="94"/>
              </w:rPr>
              <w:t>and</w:t>
            </w:r>
          </w:p>
        </w:tc>
        <w:tc>
          <w:tcPr>
            <w:tcW w:w="220" w:type="dxa"/>
            <w:vAlign w:val="bottom"/>
            <w:shd w:val="clear" w:color="auto" w:fill="98B0CF"/>
          </w:tcPr>
          <w:p>
            <w:pPr>
              <w:spacing w:after="0"/>
              <w:rPr>
                <w:sz w:val="11"/>
                <w:szCs w:val="11"/>
                <w:color w:val="auto"/>
              </w:rPr>
            </w:pPr>
          </w:p>
        </w:tc>
        <w:tc>
          <w:tcPr>
            <w:tcW w:w="1000" w:type="dxa"/>
            <w:vAlign w:val="bottom"/>
            <w:vMerge w:val="continue"/>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600" w:type="dxa"/>
            <w:vAlign w:val="bottom"/>
            <w:vMerge w:val="restart"/>
            <w:shd w:val="clear" w:color="auto" w:fill="98B0CF"/>
          </w:tcPr>
          <w:p>
            <w:pPr>
              <w:jc w:val="right"/>
              <w:ind w:right="173"/>
              <w:spacing w:after="0"/>
              <w:rPr>
                <w:sz w:val="20"/>
                <w:szCs w:val="20"/>
                <w:color w:val="auto"/>
              </w:rPr>
            </w:pPr>
            <w:r>
              <w:rPr>
                <w:rFonts w:ascii="Arial" w:cs="Arial" w:eastAsia="Arial" w:hAnsi="Arial"/>
                <w:sz w:val="13"/>
                <w:szCs w:val="13"/>
                <w:b w:val="1"/>
                <w:bCs w:val="1"/>
                <w:color w:val="auto"/>
                <w:w w:val="97"/>
              </w:rPr>
              <w:t>Other</w:t>
            </w:r>
          </w:p>
        </w:tc>
        <w:tc>
          <w:tcPr>
            <w:tcW w:w="260" w:type="dxa"/>
            <w:vAlign w:val="bottom"/>
            <w:shd w:val="clear" w:color="auto" w:fill="98B0CF"/>
          </w:tcPr>
          <w:p>
            <w:pPr>
              <w:spacing w:after="0"/>
              <w:rPr>
                <w:sz w:val="11"/>
                <w:szCs w:val="11"/>
                <w:color w:val="auto"/>
              </w:rPr>
            </w:pPr>
          </w:p>
        </w:tc>
        <w:tc>
          <w:tcPr>
            <w:tcW w:w="680" w:type="dxa"/>
            <w:vAlign w:val="bottom"/>
            <w:vMerge w:val="restart"/>
            <w:shd w:val="clear" w:color="auto" w:fill="98B0CF"/>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5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shd w:val="clear" w:color="auto" w:fill="98B0CF"/>
          </w:tcPr>
          <w:p>
            <w:pPr>
              <w:jc w:val="center"/>
              <w:ind w:right="194"/>
              <w:spacing w:after="0"/>
              <w:rPr>
                <w:sz w:val="20"/>
                <w:szCs w:val="20"/>
                <w:color w:val="auto"/>
              </w:rPr>
            </w:pPr>
            <w:r>
              <w:rPr>
                <w:rFonts w:ascii="Arial" w:cs="Arial" w:eastAsia="Arial" w:hAnsi="Arial"/>
                <w:sz w:val="13"/>
                <w:szCs w:val="13"/>
                <w:b w:val="1"/>
                <w:bCs w:val="1"/>
                <w:color w:val="auto"/>
                <w:w w:val="96"/>
              </w:rPr>
              <w:t>Interim</w:t>
            </w:r>
          </w:p>
        </w:tc>
        <w:tc>
          <w:tcPr>
            <w:tcW w:w="100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7"/>
              </w:rPr>
              <w:t>Consulting</w:t>
            </w:r>
          </w:p>
        </w:tc>
        <w:tc>
          <w:tcPr>
            <w:tcW w:w="180" w:type="dxa"/>
            <w:vAlign w:val="bottom"/>
            <w:tcBorders>
              <w:bottom w:val="single" w:sz="8" w:color="auto"/>
            </w:tcBorders>
            <w:shd w:val="clear" w:color="auto" w:fill="98B0CF"/>
          </w:tcPr>
          <w:p>
            <w:pPr>
              <w:spacing w:after="0"/>
              <w:rPr>
                <w:sz w:val="13"/>
                <w:szCs w:val="13"/>
                <w:color w:val="auto"/>
              </w:rPr>
            </w:pPr>
          </w:p>
        </w:tc>
        <w:tc>
          <w:tcPr>
            <w:tcW w:w="940" w:type="dxa"/>
            <w:vAlign w:val="bottom"/>
            <w:tcBorders>
              <w:bottom w:val="single" w:sz="8" w:color="auto"/>
            </w:tcBorders>
            <w:shd w:val="clear" w:color="auto" w:fill="98B0CF"/>
          </w:tcPr>
          <w:p>
            <w:pPr>
              <w:jc w:val="right"/>
              <w:ind w:right="134"/>
              <w:spacing w:after="0"/>
              <w:rPr>
                <w:sz w:val="20"/>
                <w:szCs w:val="20"/>
                <w:color w:val="auto"/>
              </w:rPr>
            </w:pPr>
            <w:r>
              <w:rPr>
                <w:rFonts w:ascii="Arial" w:cs="Arial" w:eastAsia="Arial" w:hAnsi="Arial"/>
                <w:sz w:val="13"/>
                <w:szCs w:val="13"/>
                <w:b w:val="1"/>
                <w:bCs w:val="1"/>
                <w:color w:val="auto"/>
                <w:w w:val="94"/>
              </w:rPr>
              <w:t>Recruitment</w:t>
            </w:r>
          </w:p>
        </w:tc>
        <w:tc>
          <w:tcPr>
            <w:tcW w:w="200" w:type="dxa"/>
            <w:vAlign w:val="bottom"/>
            <w:tcBorders>
              <w:bottom w:val="single" w:sz="8" w:color="auto"/>
            </w:tcBorders>
            <w:shd w:val="clear" w:color="auto" w:fill="98B0CF"/>
          </w:tcPr>
          <w:p>
            <w:pPr>
              <w:spacing w:after="0"/>
              <w:rPr>
                <w:sz w:val="13"/>
                <w:szCs w:val="13"/>
                <w:color w:val="auto"/>
              </w:rPr>
            </w:pPr>
          </w:p>
        </w:tc>
        <w:tc>
          <w:tcPr>
            <w:tcW w:w="480" w:type="dxa"/>
            <w:vAlign w:val="bottom"/>
            <w:tcBorders>
              <w:bottom w:val="single" w:sz="8" w:color="auto"/>
            </w:tcBorders>
            <w:vMerge w:val="continue"/>
            <w:shd w:val="clear" w:color="auto" w:fill="98B0CF"/>
          </w:tcPr>
          <w:p>
            <w:pPr>
              <w:spacing w:after="0"/>
              <w:rPr>
                <w:sz w:val="13"/>
                <w:szCs w:val="13"/>
                <w:color w:val="auto"/>
              </w:rPr>
            </w:pPr>
          </w:p>
        </w:tc>
        <w:tc>
          <w:tcPr>
            <w:tcW w:w="360" w:type="dxa"/>
            <w:vAlign w:val="bottom"/>
            <w:tcBorders>
              <w:bottom w:val="single" w:sz="8" w:color="auto"/>
            </w:tcBorders>
            <w:shd w:val="clear" w:color="auto" w:fill="98B0CF"/>
          </w:tcPr>
          <w:p>
            <w:pPr>
              <w:spacing w:after="0"/>
              <w:rPr>
                <w:sz w:val="13"/>
                <w:szCs w:val="13"/>
                <w:color w:val="auto"/>
              </w:rPr>
            </w:pPr>
          </w:p>
        </w:tc>
        <w:tc>
          <w:tcPr>
            <w:tcW w:w="740" w:type="dxa"/>
            <w:vAlign w:val="bottom"/>
            <w:tcBorders>
              <w:bottom w:val="single" w:sz="8" w:color="auto"/>
            </w:tcBorders>
            <w:vMerge w:val="continue"/>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680" w:type="dxa"/>
            <w:vAlign w:val="bottom"/>
            <w:tcBorders>
              <w:bottom w:val="single" w:sz="8" w:color="auto"/>
            </w:tcBorders>
            <w:shd w:val="clear" w:color="auto" w:fill="98B0CF"/>
          </w:tcPr>
          <w:p>
            <w:pPr>
              <w:jc w:val="center"/>
              <w:ind w:right="154"/>
              <w:spacing w:after="0"/>
              <w:rPr>
                <w:sz w:val="20"/>
                <w:szCs w:val="20"/>
                <w:color w:val="auto"/>
              </w:rPr>
            </w:pPr>
            <w:r>
              <w:rPr>
                <w:rFonts w:ascii="Arial" w:cs="Arial" w:eastAsia="Arial" w:hAnsi="Arial"/>
                <w:sz w:val="13"/>
                <w:szCs w:val="13"/>
                <w:b w:val="1"/>
                <w:bCs w:val="1"/>
                <w:color w:val="auto"/>
                <w:w w:val="96"/>
              </w:rPr>
              <w:t>Interim</w:t>
            </w:r>
          </w:p>
        </w:tc>
        <w:tc>
          <w:tcPr>
            <w:tcW w:w="100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7"/>
              </w:rPr>
              <w:t>Consulting</w:t>
            </w:r>
          </w:p>
        </w:tc>
        <w:tc>
          <w:tcPr>
            <w:tcW w:w="220" w:type="dxa"/>
            <w:vAlign w:val="bottom"/>
            <w:tcBorders>
              <w:bottom w:val="single" w:sz="8" w:color="auto"/>
            </w:tcBorders>
            <w:shd w:val="clear" w:color="auto" w:fill="98B0CF"/>
          </w:tcPr>
          <w:p>
            <w:pPr>
              <w:spacing w:after="0"/>
              <w:rPr>
                <w:sz w:val="13"/>
                <w:szCs w:val="13"/>
                <w:color w:val="auto"/>
              </w:rPr>
            </w:pPr>
          </w:p>
        </w:tc>
        <w:tc>
          <w:tcPr>
            <w:tcW w:w="1000" w:type="dxa"/>
            <w:vAlign w:val="bottom"/>
            <w:tcBorders>
              <w:bottom w:val="single" w:sz="8" w:color="auto"/>
            </w:tcBorders>
            <w:shd w:val="clear" w:color="auto" w:fill="98B0CF"/>
          </w:tcPr>
          <w:p>
            <w:pPr>
              <w:jc w:val="right"/>
              <w:ind w:right="174"/>
              <w:spacing w:after="0"/>
              <w:rPr>
                <w:sz w:val="20"/>
                <w:szCs w:val="20"/>
                <w:color w:val="auto"/>
              </w:rPr>
            </w:pPr>
            <w:r>
              <w:rPr>
                <w:rFonts w:ascii="Arial" w:cs="Arial" w:eastAsia="Arial" w:hAnsi="Arial"/>
                <w:sz w:val="13"/>
                <w:szCs w:val="13"/>
                <w:b w:val="1"/>
                <w:bCs w:val="1"/>
                <w:color w:val="auto"/>
                <w:w w:val="97"/>
              </w:rPr>
              <w:t>Recruitment</w:t>
            </w:r>
          </w:p>
        </w:tc>
        <w:tc>
          <w:tcPr>
            <w:tcW w:w="220" w:type="dxa"/>
            <w:vAlign w:val="bottom"/>
            <w:tcBorders>
              <w:bottom w:val="single" w:sz="8" w:color="auto"/>
            </w:tcBorders>
            <w:shd w:val="clear" w:color="auto" w:fill="98B0CF"/>
          </w:tcPr>
          <w:p>
            <w:pPr>
              <w:spacing w:after="0"/>
              <w:rPr>
                <w:sz w:val="13"/>
                <w:szCs w:val="13"/>
                <w:color w:val="auto"/>
              </w:rPr>
            </w:pPr>
          </w:p>
        </w:tc>
        <w:tc>
          <w:tcPr>
            <w:tcW w:w="600" w:type="dxa"/>
            <w:vAlign w:val="bottom"/>
            <w:tcBorders>
              <w:bottom w:val="single" w:sz="8" w:color="auto"/>
            </w:tcBorders>
            <w:vMerge w:val="continue"/>
            <w:shd w:val="clear" w:color="auto" w:fill="98B0CF"/>
          </w:tcPr>
          <w:p>
            <w:pPr>
              <w:spacing w:after="0"/>
              <w:rPr>
                <w:sz w:val="13"/>
                <w:szCs w:val="13"/>
                <w:color w:val="auto"/>
              </w:rPr>
            </w:pPr>
          </w:p>
        </w:tc>
        <w:tc>
          <w:tcPr>
            <w:tcW w:w="260" w:type="dxa"/>
            <w:vAlign w:val="bottom"/>
            <w:tcBorders>
              <w:bottom w:val="single" w:sz="8" w:color="auto"/>
            </w:tcBorders>
            <w:shd w:val="clear" w:color="auto" w:fill="98B0CF"/>
          </w:tcPr>
          <w:p>
            <w:pPr>
              <w:spacing w:after="0"/>
              <w:rPr>
                <w:sz w:val="13"/>
                <w:szCs w:val="13"/>
                <w:color w:val="auto"/>
              </w:rPr>
            </w:pPr>
          </w:p>
        </w:tc>
        <w:tc>
          <w:tcPr>
            <w:tcW w:w="680" w:type="dxa"/>
            <w:vAlign w:val="bottom"/>
            <w:tcBorders>
              <w:bottom w:val="single" w:sz="8" w:color="auto"/>
            </w:tcBorders>
            <w:vMerge w:val="continue"/>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E2E8F1"/>
          </w:tcPr>
          <w:p>
            <w:pPr>
              <w:ind w:left="20"/>
              <w:spacing w:after="0" w:line="142" w:lineRule="exact"/>
              <w:rPr>
                <w:sz w:val="20"/>
                <w:szCs w:val="20"/>
                <w:color w:val="auto"/>
              </w:rPr>
            </w:pPr>
            <w:r>
              <w:rPr>
                <w:rFonts w:ascii="Arial" w:cs="Arial" w:eastAsia="Arial" w:hAnsi="Arial"/>
                <w:sz w:val="13"/>
                <w:szCs w:val="13"/>
                <w:color w:val="auto"/>
              </w:rPr>
              <w:t>Americas:</w:t>
            </w:r>
          </w:p>
        </w:tc>
        <w:tc>
          <w:tcPr>
            <w:tcW w:w="10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76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8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940" w:type="dxa"/>
            <w:vAlign w:val="bottom"/>
            <w:shd w:val="clear" w:color="auto" w:fill="E2E8F1"/>
          </w:tcPr>
          <w:p>
            <w:pPr>
              <w:spacing w:after="0"/>
              <w:rPr>
                <w:sz w:val="12"/>
                <w:szCs w:val="12"/>
                <w:color w:val="auto"/>
              </w:rPr>
            </w:pPr>
          </w:p>
        </w:tc>
        <w:tc>
          <w:tcPr>
            <w:tcW w:w="200" w:type="dxa"/>
            <w:vAlign w:val="bottom"/>
            <w:shd w:val="clear" w:color="auto" w:fill="E2E8F1"/>
          </w:tcPr>
          <w:p>
            <w:pPr>
              <w:spacing w:after="0"/>
              <w:rPr>
                <w:sz w:val="12"/>
                <w:szCs w:val="12"/>
                <w:color w:val="auto"/>
              </w:rPr>
            </w:pPr>
          </w:p>
        </w:tc>
        <w:tc>
          <w:tcPr>
            <w:tcW w:w="480" w:type="dxa"/>
            <w:vAlign w:val="bottom"/>
            <w:shd w:val="clear" w:color="auto" w:fill="E2E8F1"/>
          </w:tcPr>
          <w:p>
            <w:pPr>
              <w:spacing w:after="0"/>
              <w:rPr>
                <w:sz w:val="12"/>
                <w:szCs w:val="12"/>
                <w:color w:val="auto"/>
              </w:rPr>
            </w:pPr>
          </w:p>
        </w:tc>
        <w:tc>
          <w:tcPr>
            <w:tcW w:w="360" w:type="dxa"/>
            <w:vAlign w:val="bottom"/>
            <w:shd w:val="clear" w:color="auto" w:fill="E2E8F1"/>
          </w:tcPr>
          <w:p>
            <w:pPr>
              <w:spacing w:after="0"/>
              <w:rPr>
                <w:sz w:val="12"/>
                <w:szCs w:val="12"/>
                <w:color w:val="auto"/>
              </w:rPr>
            </w:pPr>
          </w:p>
        </w:tc>
        <w:tc>
          <w:tcPr>
            <w:tcW w:w="74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680" w:type="dxa"/>
            <w:vAlign w:val="bottom"/>
            <w:shd w:val="clear" w:color="auto" w:fill="E2E8F1"/>
          </w:tcPr>
          <w:p>
            <w:pPr>
              <w:spacing w:after="0"/>
              <w:rPr>
                <w:sz w:val="12"/>
                <w:szCs w:val="12"/>
                <w:color w:val="auto"/>
              </w:rPr>
            </w:pPr>
          </w:p>
        </w:tc>
        <w:tc>
          <w:tcPr>
            <w:tcW w:w="200" w:type="dxa"/>
            <w:vAlign w:val="bottom"/>
            <w:shd w:val="clear" w:color="auto" w:fill="E2E8F1"/>
          </w:tcPr>
          <w:p>
            <w:pPr>
              <w:spacing w:after="0"/>
              <w:rPr>
                <w:sz w:val="12"/>
                <w:szCs w:val="12"/>
                <w:color w:val="auto"/>
              </w:rPr>
            </w:pPr>
          </w:p>
        </w:tc>
        <w:tc>
          <w:tcPr>
            <w:tcW w:w="8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10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60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680" w:type="dxa"/>
            <w:vAlign w:val="bottom"/>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40"/>
              <w:spacing w:after="0"/>
              <w:rPr>
                <w:sz w:val="20"/>
                <w:szCs w:val="20"/>
                <w:color w:val="auto"/>
              </w:rPr>
            </w:pPr>
            <w:r>
              <w:rPr>
                <w:rFonts w:ascii="Arial" w:cs="Arial" w:eastAsia="Arial" w:hAnsi="Arial"/>
                <w:sz w:val="13"/>
                <w:szCs w:val="13"/>
                <w:color w:val="auto"/>
              </w:rPr>
              <w:t>United States</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657.8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4"/>
              <w:spacing w:after="0"/>
              <w:rPr>
                <w:sz w:val="20"/>
                <w:szCs w:val="20"/>
                <w:color w:val="auto"/>
              </w:rPr>
            </w:pPr>
            <w:r>
              <w:rPr>
                <w:rFonts w:ascii="Arial" w:cs="Arial" w:eastAsia="Arial" w:hAnsi="Arial"/>
                <w:sz w:val="13"/>
                <w:szCs w:val="13"/>
                <w:color w:val="auto"/>
              </w:rPr>
              <w:t>2.3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28.4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40.3</w:t>
            </w:r>
          </w:p>
        </w:tc>
        <w:tc>
          <w:tcPr>
            <w:tcW w:w="3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728.8</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617.4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2.8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27.4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43.2</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690.8</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shd w:val="clear" w:color="auto" w:fill="E2E8F1"/>
          </w:tcPr>
          <w:p>
            <w:pPr>
              <w:ind w:left="40"/>
              <w:spacing w:after="0"/>
              <w:rPr>
                <w:sz w:val="20"/>
                <w:szCs w:val="20"/>
                <w:color w:val="auto"/>
              </w:rPr>
            </w:pPr>
            <w:r>
              <w:rPr>
                <w:rFonts w:ascii="Arial" w:cs="Arial" w:eastAsia="Arial" w:hAnsi="Arial"/>
                <w:sz w:val="13"/>
                <w:szCs w:val="13"/>
                <w:color w:val="auto"/>
              </w:rPr>
              <w:t>Other Americas</w:t>
            </w:r>
          </w:p>
        </w:tc>
        <w:tc>
          <w:tcPr>
            <w:tcW w:w="10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760" w:type="dxa"/>
            <w:vAlign w:val="bottom"/>
            <w:tcBorders>
              <w:bottom w:val="single" w:sz="8" w:color="auto"/>
            </w:tcBorders>
            <w:shd w:val="clear" w:color="auto" w:fill="E2E8F1"/>
          </w:tcPr>
          <w:p>
            <w:pPr>
              <w:jc w:val="right"/>
              <w:ind w:right="54"/>
              <w:spacing w:after="0"/>
              <w:rPr>
                <w:sz w:val="20"/>
                <w:szCs w:val="20"/>
                <w:color w:val="auto"/>
              </w:rPr>
            </w:pPr>
            <w:r>
              <w:rPr>
                <w:rFonts w:ascii="Arial" w:cs="Arial" w:eastAsia="Arial" w:hAnsi="Arial"/>
                <w:sz w:val="13"/>
                <w:szCs w:val="13"/>
                <w:color w:val="auto"/>
              </w:rPr>
              <w:t>482.3</w:t>
            </w:r>
          </w:p>
        </w:tc>
        <w:tc>
          <w:tcPr>
            <w:tcW w:w="180" w:type="dxa"/>
            <w:vAlign w:val="bottom"/>
            <w:tcBorders>
              <w:bottom w:val="single" w:sz="8" w:color="auto"/>
            </w:tcBorders>
            <w:shd w:val="clear" w:color="auto" w:fill="E2E8F1"/>
          </w:tcPr>
          <w:p>
            <w:pPr>
              <w:spacing w:after="0"/>
              <w:rPr>
                <w:sz w:val="12"/>
                <w:szCs w:val="12"/>
                <w:color w:val="auto"/>
              </w:rPr>
            </w:pPr>
          </w:p>
        </w:tc>
        <w:tc>
          <w:tcPr>
            <w:tcW w:w="820" w:type="dxa"/>
            <w:vAlign w:val="bottom"/>
            <w:tcBorders>
              <w:bottom w:val="single" w:sz="8" w:color="auto"/>
            </w:tcBorders>
            <w:shd w:val="clear" w:color="auto" w:fill="E2E8F1"/>
          </w:tcPr>
          <w:p>
            <w:pPr>
              <w:jc w:val="right"/>
              <w:ind w:right="54"/>
              <w:spacing w:after="0"/>
              <w:rPr>
                <w:sz w:val="20"/>
                <w:szCs w:val="20"/>
                <w:color w:val="auto"/>
              </w:rPr>
            </w:pPr>
            <w:r>
              <w:rPr>
                <w:rFonts w:ascii="Arial" w:cs="Arial" w:eastAsia="Arial" w:hAnsi="Arial"/>
                <w:sz w:val="13"/>
                <w:szCs w:val="13"/>
                <w:color w:val="auto"/>
              </w:rPr>
              <w:t>19.2</w:t>
            </w:r>
          </w:p>
        </w:tc>
        <w:tc>
          <w:tcPr>
            <w:tcW w:w="180" w:type="dxa"/>
            <w:vAlign w:val="bottom"/>
            <w:tcBorders>
              <w:bottom w:val="single" w:sz="8" w:color="auto"/>
            </w:tcBorders>
            <w:shd w:val="clear" w:color="auto" w:fill="E2E8F1"/>
          </w:tcPr>
          <w:p>
            <w:pPr>
              <w:spacing w:after="0"/>
              <w:rPr>
                <w:sz w:val="12"/>
                <w:szCs w:val="12"/>
                <w:color w:val="auto"/>
              </w:rPr>
            </w:pPr>
          </w:p>
        </w:tc>
        <w:tc>
          <w:tcPr>
            <w:tcW w:w="940" w:type="dxa"/>
            <w:vAlign w:val="bottom"/>
            <w:tcBorders>
              <w:bottom w:val="single" w:sz="8" w:color="auto"/>
            </w:tcBorders>
            <w:shd w:val="clear" w:color="auto" w:fill="E2E8F1"/>
          </w:tcPr>
          <w:p>
            <w:pPr>
              <w:jc w:val="right"/>
              <w:ind w:right="34"/>
              <w:spacing w:after="0"/>
              <w:rPr>
                <w:sz w:val="20"/>
                <w:szCs w:val="20"/>
                <w:color w:val="auto"/>
              </w:rPr>
            </w:pPr>
            <w:r>
              <w:rPr>
                <w:rFonts w:ascii="Arial" w:cs="Arial" w:eastAsia="Arial" w:hAnsi="Arial"/>
                <w:sz w:val="13"/>
                <w:szCs w:val="13"/>
                <w:color w:val="auto"/>
              </w:rPr>
              <w:t>11.5</w:t>
            </w:r>
          </w:p>
        </w:tc>
        <w:tc>
          <w:tcPr>
            <w:tcW w:w="200" w:type="dxa"/>
            <w:vAlign w:val="bottom"/>
            <w:tcBorders>
              <w:bottom w:val="single" w:sz="8" w:color="auto"/>
            </w:tcBorders>
            <w:shd w:val="clear" w:color="auto" w:fill="E2E8F1"/>
          </w:tcPr>
          <w:p>
            <w:pPr>
              <w:spacing w:after="0"/>
              <w:rPr>
                <w:sz w:val="12"/>
                <w:szCs w:val="12"/>
                <w:color w:val="auto"/>
              </w:rPr>
            </w:pPr>
          </w:p>
        </w:tc>
        <w:tc>
          <w:tcPr>
            <w:tcW w:w="4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4.9</w:t>
            </w:r>
          </w:p>
        </w:tc>
        <w:tc>
          <w:tcPr>
            <w:tcW w:w="360" w:type="dxa"/>
            <w:vAlign w:val="bottom"/>
            <w:tcBorders>
              <w:bottom w:val="single" w:sz="8" w:color="auto"/>
            </w:tcBorders>
            <w:shd w:val="clear" w:color="auto" w:fill="E2E8F1"/>
          </w:tcPr>
          <w:p>
            <w:pPr>
              <w:spacing w:after="0"/>
              <w:rPr>
                <w:sz w:val="12"/>
                <w:szCs w:val="12"/>
                <w:color w:val="auto"/>
              </w:rPr>
            </w:pPr>
          </w:p>
        </w:tc>
        <w:tc>
          <w:tcPr>
            <w:tcW w:w="740" w:type="dxa"/>
            <w:vAlign w:val="bottom"/>
            <w:tcBorders>
              <w:bottom w:val="single" w:sz="8" w:color="auto"/>
            </w:tcBorders>
            <w:shd w:val="clear" w:color="auto" w:fill="E2E8F1"/>
          </w:tcPr>
          <w:p>
            <w:pPr>
              <w:jc w:val="right"/>
              <w:ind w:right="53"/>
              <w:spacing w:after="0"/>
              <w:rPr>
                <w:sz w:val="20"/>
                <w:szCs w:val="20"/>
                <w:color w:val="auto"/>
              </w:rPr>
            </w:pPr>
            <w:r>
              <w:rPr>
                <w:rFonts w:ascii="Arial" w:cs="Arial" w:eastAsia="Arial" w:hAnsi="Arial"/>
                <w:sz w:val="13"/>
                <w:szCs w:val="13"/>
                <w:color w:val="auto"/>
              </w:rPr>
              <w:t>517.9</w:t>
            </w:r>
          </w:p>
        </w:tc>
        <w:tc>
          <w:tcPr>
            <w:tcW w:w="100" w:type="dxa"/>
            <w:vAlign w:val="bottom"/>
            <w:tcBorders>
              <w:bottom w:val="single" w:sz="8" w:color="auto"/>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ind w:right="34"/>
              <w:spacing w:after="0"/>
              <w:rPr>
                <w:sz w:val="20"/>
                <w:szCs w:val="20"/>
                <w:color w:val="auto"/>
              </w:rPr>
            </w:pPr>
            <w:r>
              <w:rPr>
                <w:rFonts w:ascii="Arial" w:cs="Arial" w:eastAsia="Arial" w:hAnsi="Arial"/>
                <w:sz w:val="13"/>
                <w:szCs w:val="13"/>
                <w:color w:val="auto"/>
              </w:rPr>
              <w:t>378.7</w:t>
            </w:r>
          </w:p>
        </w:tc>
        <w:tc>
          <w:tcPr>
            <w:tcW w:w="200" w:type="dxa"/>
            <w:vAlign w:val="bottom"/>
            <w:tcBorders>
              <w:bottom w:val="single" w:sz="8" w:color="auto"/>
            </w:tcBorders>
            <w:shd w:val="clear" w:color="auto" w:fill="E2E8F1"/>
          </w:tcPr>
          <w:p>
            <w:pPr>
              <w:spacing w:after="0"/>
              <w:rPr>
                <w:sz w:val="12"/>
                <w:szCs w:val="12"/>
                <w:color w:val="auto"/>
              </w:rPr>
            </w:pPr>
          </w:p>
        </w:tc>
        <w:tc>
          <w:tcPr>
            <w:tcW w:w="800" w:type="dxa"/>
            <w:vAlign w:val="bottom"/>
            <w:tcBorders>
              <w:bottom w:val="single" w:sz="8" w:color="auto"/>
            </w:tcBorders>
            <w:shd w:val="clear" w:color="auto" w:fill="E2E8F1"/>
          </w:tcPr>
          <w:p>
            <w:pPr>
              <w:jc w:val="right"/>
              <w:ind w:right="54"/>
              <w:spacing w:after="0"/>
              <w:rPr>
                <w:sz w:val="20"/>
                <w:szCs w:val="20"/>
                <w:color w:val="auto"/>
              </w:rPr>
            </w:pPr>
            <w:r>
              <w:rPr>
                <w:rFonts w:ascii="Arial" w:cs="Arial" w:eastAsia="Arial" w:hAnsi="Arial"/>
                <w:sz w:val="13"/>
                <w:szCs w:val="13"/>
                <w:color w:val="auto"/>
              </w:rPr>
              <w:t>16.8</w:t>
            </w:r>
          </w:p>
        </w:tc>
        <w:tc>
          <w:tcPr>
            <w:tcW w:w="220" w:type="dxa"/>
            <w:vAlign w:val="bottom"/>
            <w:tcBorders>
              <w:bottom w:val="single" w:sz="8" w:color="auto"/>
            </w:tcBorders>
            <w:shd w:val="clear" w:color="auto" w:fill="E2E8F1"/>
          </w:tcPr>
          <w:p>
            <w:pPr>
              <w:spacing w:after="0"/>
              <w:rPr>
                <w:sz w:val="12"/>
                <w:szCs w:val="12"/>
                <w:color w:val="auto"/>
              </w:rPr>
            </w:pPr>
          </w:p>
        </w:tc>
        <w:tc>
          <w:tcPr>
            <w:tcW w:w="1000" w:type="dxa"/>
            <w:vAlign w:val="bottom"/>
            <w:tcBorders>
              <w:bottom w:val="single" w:sz="8" w:color="auto"/>
            </w:tcBorders>
            <w:shd w:val="clear" w:color="auto" w:fill="E2E8F1"/>
          </w:tcPr>
          <w:p>
            <w:pPr>
              <w:jc w:val="right"/>
              <w:ind w:right="54"/>
              <w:spacing w:after="0"/>
              <w:rPr>
                <w:sz w:val="20"/>
                <w:szCs w:val="20"/>
                <w:color w:val="auto"/>
              </w:rPr>
            </w:pPr>
            <w:r>
              <w:rPr>
                <w:rFonts w:ascii="Arial" w:cs="Arial" w:eastAsia="Arial" w:hAnsi="Arial"/>
                <w:sz w:val="13"/>
                <w:szCs w:val="13"/>
                <w:color w:val="auto"/>
              </w:rPr>
              <w:t>9.2</w:t>
            </w:r>
          </w:p>
        </w:tc>
        <w:tc>
          <w:tcPr>
            <w:tcW w:w="220" w:type="dxa"/>
            <w:vAlign w:val="bottom"/>
            <w:tcBorders>
              <w:bottom w:val="single" w:sz="8" w:color="auto"/>
            </w:tcBorders>
            <w:shd w:val="clear" w:color="auto" w:fill="E2E8F1"/>
          </w:tcPr>
          <w:p>
            <w:pPr>
              <w:spacing w:after="0"/>
              <w:rPr>
                <w:sz w:val="12"/>
                <w:szCs w:val="12"/>
                <w:color w:val="auto"/>
              </w:rPr>
            </w:pPr>
          </w:p>
        </w:tc>
        <w:tc>
          <w:tcPr>
            <w:tcW w:w="600" w:type="dxa"/>
            <w:vAlign w:val="bottom"/>
            <w:tcBorders>
              <w:bottom w:val="single" w:sz="8" w:color="auto"/>
            </w:tcBorders>
            <w:shd w:val="clear" w:color="auto" w:fill="E2E8F1"/>
          </w:tcPr>
          <w:p>
            <w:pPr>
              <w:jc w:val="right"/>
              <w:ind w:right="53"/>
              <w:spacing w:after="0"/>
              <w:rPr>
                <w:sz w:val="20"/>
                <w:szCs w:val="20"/>
                <w:color w:val="auto"/>
              </w:rPr>
            </w:pPr>
            <w:r>
              <w:rPr>
                <w:rFonts w:ascii="Arial" w:cs="Arial" w:eastAsia="Arial" w:hAnsi="Arial"/>
                <w:sz w:val="13"/>
                <w:szCs w:val="13"/>
                <w:color w:val="auto"/>
              </w:rPr>
              <w:t>3.2</w:t>
            </w:r>
          </w:p>
        </w:tc>
        <w:tc>
          <w:tcPr>
            <w:tcW w:w="26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ind w:right="53"/>
              <w:spacing w:after="0"/>
              <w:rPr>
                <w:sz w:val="20"/>
                <w:szCs w:val="20"/>
                <w:color w:val="auto"/>
              </w:rPr>
            </w:pPr>
            <w:r>
              <w:rPr>
                <w:rFonts w:ascii="Arial" w:cs="Arial" w:eastAsia="Arial" w:hAnsi="Arial"/>
                <w:sz w:val="13"/>
                <w:szCs w:val="13"/>
                <w:color w:val="auto"/>
              </w:rPr>
              <w:t>407.9</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3"/>
                <w:szCs w:val="13"/>
                <w:color w:val="auto"/>
              </w:rPr>
              <w:t>1,140.1</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3"/>
                <w:szCs w:val="13"/>
                <w:color w:val="auto"/>
              </w:rPr>
              <w:t>21.5</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3"/>
                <w:szCs w:val="13"/>
                <w:color w:val="auto"/>
              </w:rPr>
              <w:t>39.9</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45.2</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1,246.7</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3"/>
                <w:szCs w:val="13"/>
                <w:color w:val="auto"/>
              </w:rPr>
              <w:t>996.1</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3"/>
                <w:szCs w:val="13"/>
                <w:color w:val="auto"/>
              </w:rPr>
              <w:t>19.6</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3"/>
                <w:szCs w:val="13"/>
                <w:color w:val="auto"/>
              </w:rPr>
              <w:t>36.6</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46.4</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1,098.7</w:t>
            </w:r>
          </w:p>
        </w:tc>
        <w:tc>
          <w:tcPr>
            <w:tcW w:w="0" w:type="dxa"/>
            <w:vAlign w:val="bottom"/>
          </w:tcPr>
          <w:p>
            <w:pPr>
              <w:spacing w:after="0"/>
              <w:rPr>
                <w:sz w:val="1"/>
                <w:szCs w:val="1"/>
                <w:color w:val="auto"/>
              </w:rPr>
            </w:pPr>
          </w:p>
        </w:tc>
      </w:tr>
      <w:tr>
        <w:trPr>
          <w:trHeight w:val="142"/>
        </w:trPr>
        <w:tc>
          <w:tcPr>
            <w:tcW w:w="1500" w:type="dxa"/>
            <w:vAlign w:val="bottom"/>
            <w:shd w:val="clear" w:color="auto" w:fill="E2E8F1"/>
          </w:tcPr>
          <w:p>
            <w:pPr>
              <w:ind w:left="20"/>
              <w:spacing w:after="0" w:line="142" w:lineRule="exact"/>
              <w:rPr>
                <w:sz w:val="20"/>
                <w:szCs w:val="20"/>
                <w:color w:val="auto"/>
              </w:rPr>
            </w:pPr>
            <w:r>
              <w:rPr>
                <w:rFonts w:ascii="Arial" w:cs="Arial" w:eastAsia="Arial" w:hAnsi="Arial"/>
                <w:sz w:val="13"/>
                <w:szCs w:val="13"/>
                <w:color w:val="auto"/>
              </w:rPr>
              <w:t>Southern Europe:</w:t>
            </w:r>
          </w:p>
        </w:tc>
        <w:tc>
          <w:tcPr>
            <w:tcW w:w="10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76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8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940" w:type="dxa"/>
            <w:vAlign w:val="bottom"/>
            <w:shd w:val="clear" w:color="auto" w:fill="E2E8F1"/>
          </w:tcPr>
          <w:p>
            <w:pPr>
              <w:spacing w:after="0"/>
              <w:rPr>
                <w:sz w:val="12"/>
                <w:szCs w:val="12"/>
                <w:color w:val="auto"/>
              </w:rPr>
            </w:pPr>
          </w:p>
        </w:tc>
        <w:tc>
          <w:tcPr>
            <w:tcW w:w="200" w:type="dxa"/>
            <w:vAlign w:val="bottom"/>
            <w:shd w:val="clear" w:color="auto" w:fill="E2E8F1"/>
          </w:tcPr>
          <w:p>
            <w:pPr>
              <w:spacing w:after="0"/>
              <w:rPr>
                <w:sz w:val="12"/>
                <w:szCs w:val="12"/>
                <w:color w:val="auto"/>
              </w:rPr>
            </w:pPr>
          </w:p>
        </w:tc>
        <w:tc>
          <w:tcPr>
            <w:tcW w:w="480" w:type="dxa"/>
            <w:vAlign w:val="bottom"/>
            <w:shd w:val="clear" w:color="auto" w:fill="E2E8F1"/>
          </w:tcPr>
          <w:p>
            <w:pPr>
              <w:spacing w:after="0"/>
              <w:rPr>
                <w:sz w:val="12"/>
                <w:szCs w:val="12"/>
                <w:color w:val="auto"/>
              </w:rPr>
            </w:pPr>
          </w:p>
        </w:tc>
        <w:tc>
          <w:tcPr>
            <w:tcW w:w="360" w:type="dxa"/>
            <w:vAlign w:val="bottom"/>
            <w:shd w:val="clear" w:color="auto" w:fill="E2E8F1"/>
          </w:tcPr>
          <w:p>
            <w:pPr>
              <w:spacing w:after="0"/>
              <w:rPr>
                <w:sz w:val="12"/>
                <w:szCs w:val="12"/>
                <w:color w:val="auto"/>
              </w:rPr>
            </w:pPr>
          </w:p>
        </w:tc>
        <w:tc>
          <w:tcPr>
            <w:tcW w:w="74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680" w:type="dxa"/>
            <w:vAlign w:val="bottom"/>
            <w:shd w:val="clear" w:color="auto" w:fill="E2E8F1"/>
          </w:tcPr>
          <w:p>
            <w:pPr>
              <w:spacing w:after="0"/>
              <w:rPr>
                <w:sz w:val="12"/>
                <w:szCs w:val="12"/>
                <w:color w:val="auto"/>
              </w:rPr>
            </w:pPr>
          </w:p>
        </w:tc>
        <w:tc>
          <w:tcPr>
            <w:tcW w:w="200" w:type="dxa"/>
            <w:vAlign w:val="bottom"/>
            <w:shd w:val="clear" w:color="auto" w:fill="E2E8F1"/>
          </w:tcPr>
          <w:p>
            <w:pPr>
              <w:spacing w:after="0"/>
              <w:rPr>
                <w:sz w:val="12"/>
                <w:szCs w:val="12"/>
                <w:color w:val="auto"/>
              </w:rPr>
            </w:pPr>
          </w:p>
        </w:tc>
        <w:tc>
          <w:tcPr>
            <w:tcW w:w="8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10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60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680" w:type="dxa"/>
            <w:vAlign w:val="bottom"/>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rPr>
                <w:sz w:val="20"/>
                <w:szCs w:val="20"/>
                <w:color w:val="auto"/>
              </w:rPr>
            </w:pPr>
            <w:r>
              <w:rPr>
                <w:rFonts w:ascii="Arial" w:cs="Arial" w:eastAsia="Arial" w:hAnsi="Arial"/>
                <w:sz w:val="13"/>
                <w:szCs w:val="13"/>
                <w:color w:val="auto"/>
              </w:rPr>
              <w:t>France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1,046.4</w:t>
            </w:r>
          </w:p>
        </w:tc>
        <w:tc>
          <w:tcPr>
            <w:tcW w:w="180" w:type="dxa"/>
            <w:vAlign w:val="bottom"/>
          </w:tcPr>
          <w:p>
            <w:pPr>
              <w:spacing w:after="0"/>
              <w:rPr>
                <w:sz w:val="12"/>
                <w:szCs w:val="12"/>
                <w:color w:val="auto"/>
              </w:rPr>
            </w:pPr>
          </w:p>
        </w:tc>
        <w:tc>
          <w:tcPr>
            <w:tcW w:w="820" w:type="dxa"/>
            <w:vAlign w:val="bottom"/>
          </w:tcPr>
          <w:p>
            <w:pPr>
              <w:jc w:val="right"/>
              <w:ind w:right="54"/>
              <w:spacing w:after="0"/>
              <w:rPr>
                <w:sz w:val="20"/>
                <w:szCs w:val="20"/>
                <w:color w:val="auto"/>
              </w:rPr>
            </w:pPr>
            <w:r>
              <w:rPr>
                <w:rFonts w:ascii="Arial" w:cs="Arial" w:eastAsia="Arial" w:hAnsi="Arial"/>
                <w:sz w:val="13"/>
                <w:szCs w:val="13"/>
                <w:color w:val="auto"/>
              </w:rPr>
              <w:t>61.6</w:t>
            </w:r>
          </w:p>
        </w:tc>
        <w:tc>
          <w:tcPr>
            <w:tcW w:w="180" w:type="dxa"/>
            <w:vAlign w:val="bottom"/>
          </w:tcPr>
          <w:p>
            <w:pPr>
              <w:spacing w:after="0"/>
              <w:rPr>
                <w:sz w:val="12"/>
                <w:szCs w:val="1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8.2</w:t>
            </w: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16.7</w:t>
            </w:r>
          </w:p>
        </w:tc>
        <w:tc>
          <w:tcPr>
            <w:tcW w:w="360" w:type="dxa"/>
            <w:vAlign w:val="bottom"/>
          </w:tcPr>
          <w:p>
            <w:pPr>
              <w:spacing w:after="0"/>
              <w:rPr>
                <w:sz w:val="12"/>
                <w:szCs w:val="12"/>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1,132.9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1,077.6</w:t>
            </w:r>
          </w:p>
        </w:tc>
        <w:tc>
          <w:tcPr>
            <w:tcW w:w="200" w:type="dxa"/>
            <w:vAlign w:val="bottom"/>
          </w:tcPr>
          <w:p>
            <w:pPr>
              <w:spacing w:after="0"/>
              <w:rPr>
                <w:sz w:val="12"/>
                <w:szCs w:val="12"/>
                <w:color w:val="auto"/>
              </w:rPr>
            </w:pP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65.8</w:t>
            </w:r>
          </w:p>
        </w:tc>
        <w:tc>
          <w:tcPr>
            <w:tcW w:w="220" w:type="dxa"/>
            <w:vAlign w:val="bottom"/>
          </w:tcPr>
          <w:p>
            <w:pPr>
              <w:spacing w:after="0"/>
              <w:rPr>
                <w:sz w:val="12"/>
                <w:szCs w:val="12"/>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10.1</w:t>
            </w:r>
          </w:p>
        </w:tc>
        <w:tc>
          <w:tcPr>
            <w:tcW w:w="22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20.0</w:t>
            </w:r>
          </w:p>
        </w:tc>
        <w:tc>
          <w:tcPr>
            <w:tcW w:w="260" w:type="dxa"/>
            <w:vAlign w:val="bottom"/>
          </w:tcPr>
          <w:p>
            <w:pPr>
              <w:spacing w:after="0"/>
              <w:rPr>
                <w:sz w:val="12"/>
                <w:szCs w:val="12"/>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1,173.5</w:t>
            </w:r>
          </w:p>
        </w:tc>
        <w:tc>
          <w:tcPr>
            <w:tcW w:w="0" w:type="dxa"/>
            <w:vAlign w:val="bottom"/>
          </w:tcPr>
          <w:p>
            <w:pPr>
              <w:spacing w:after="0"/>
              <w:rPr>
                <w:sz w:val="1"/>
                <w:szCs w:val="1"/>
                <w:color w:val="auto"/>
              </w:rPr>
            </w:pPr>
          </w:p>
        </w:tc>
      </w:tr>
      <w:tr>
        <w:trPr>
          <w:trHeight w:val="148"/>
        </w:trPr>
        <w:tc>
          <w:tcPr>
            <w:tcW w:w="1500" w:type="dxa"/>
            <w:vAlign w:val="bottom"/>
            <w:shd w:val="clear" w:color="auto" w:fill="E2E8F1"/>
          </w:tcPr>
          <w:p>
            <w:pPr>
              <w:ind w:left="40"/>
              <w:spacing w:after="0"/>
              <w:rPr>
                <w:sz w:val="20"/>
                <w:szCs w:val="20"/>
                <w:color w:val="auto"/>
              </w:rPr>
            </w:pPr>
            <w:r>
              <w:rPr>
                <w:rFonts w:ascii="Arial" w:cs="Arial" w:eastAsia="Arial" w:hAnsi="Arial"/>
                <w:sz w:val="13"/>
                <w:szCs w:val="13"/>
                <w:color w:val="auto"/>
              </w:rPr>
              <w:t>Italy</w:t>
            </w:r>
          </w:p>
        </w:tc>
        <w:tc>
          <w:tcPr>
            <w:tcW w:w="10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76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452.5</w:t>
            </w:r>
          </w:p>
        </w:tc>
        <w:tc>
          <w:tcPr>
            <w:tcW w:w="180" w:type="dxa"/>
            <w:vAlign w:val="bottom"/>
            <w:shd w:val="clear" w:color="auto" w:fill="E2E8F1"/>
          </w:tcPr>
          <w:p>
            <w:pPr>
              <w:spacing w:after="0"/>
              <w:rPr>
                <w:sz w:val="12"/>
                <w:szCs w:val="12"/>
                <w:color w:val="auto"/>
              </w:rPr>
            </w:pPr>
          </w:p>
        </w:tc>
        <w:tc>
          <w:tcPr>
            <w:tcW w:w="82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13.0</w:t>
            </w:r>
          </w:p>
        </w:tc>
        <w:tc>
          <w:tcPr>
            <w:tcW w:w="180" w:type="dxa"/>
            <w:vAlign w:val="bottom"/>
            <w:shd w:val="clear" w:color="auto" w:fill="E2E8F1"/>
          </w:tcPr>
          <w:p>
            <w:pPr>
              <w:spacing w:after="0"/>
              <w:rPr>
                <w:sz w:val="12"/>
                <w:szCs w:val="12"/>
                <w:color w:val="auto"/>
              </w:rPr>
            </w:pPr>
          </w:p>
        </w:tc>
        <w:tc>
          <w:tcPr>
            <w:tcW w:w="940" w:type="dxa"/>
            <w:vAlign w:val="bottom"/>
            <w:shd w:val="clear" w:color="auto" w:fill="E2E8F1"/>
          </w:tcPr>
          <w:p>
            <w:pPr>
              <w:jc w:val="right"/>
              <w:ind w:right="34"/>
              <w:spacing w:after="0"/>
              <w:rPr>
                <w:sz w:val="20"/>
                <w:szCs w:val="20"/>
                <w:color w:val="auto"/>
              </w:rPr>
            </w:pPr>
            <w:r>
              <w:rPr>
                <w:rFonts w:ascii="Arial" w:cs="Arial" w:eastAsia="Arial" w:hAnsi="Arial"/>
                <w:sz w:val="13"/>
                <w:szCs w:val="13"/>
                <w:color w:val="auto"/>
              </w:rPr>
              <w:t>10.5</w:t>
            </w:r>
          </w:p>
        </w:tc>
        <w:tc>
          <w:tcPr>
            <w:tcW w:w="200" w:type="dxa"/>
            <w:vAlign w:val="bottom"/>
            <w:shd w:val="clear" w:color="auto" w:fill="E2E8F1"/>
          </w:tcPr>
          <w:p>
            <w:pPr>
              <w:spacing w:after="0"/>
              <w:rPr>
                <w:sz w:val="12"/>
                <w:szCs w:val="12"/>
                <w:color w:val="auto"/>
              </w:rPr>
            </w:pPr>
          </w:p>
        </w:tc>
        <w:tc>
          <w:tcPr>
            <w:tcW w:w="4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7.1</w:t>
            </w:r>
          </w:p>
        </w:tc>
        <w:tc>
          <w:tcPr>
            <w:tcW w:w="360" w:type="dxa"/>
            <w:vAlign w:val="bottom"/>
            <w:shd w:val="clear" w:color="auto" w:fill="E2E8F1"/>
          </w:tcPr>
          <w:p>
            <w:pPr>
              <w:spacing w:after="0"/>
              <w:rPr>
                <w:sz w:val="12"/>
                <w:szCs w:val="12"/>
                <w:color w:val="auto"/>
              </w:rPr>
            </w:pPr>
          </w:p>
        </w:tc>
        <w:tc>
          <w:tcPr>
            <w:tcW w:w="74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483.1</w:t>
            </w:r>
          </w:p>
        </w:tc>
        <w:tc>
          <w:tcPr>
            <w:tcW w:w="1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680" w:type="dxa"/>
            <w:vAlign w:val="bottom"/>
            <w:shd w:val="clear" w:color="auto" w:fill="E2E8F1"/>
          </w:tcPr>
          <w:p>
            <w:pPr>
              <w:jc w:val="right"/>
              <w:ind w:right="34"/>
              <w:spacing w:after="0"/>
              <w:rPr>
                <w:sz w:val="20"/>
                <w:szCs w:val="20"/>
                <w:color w:val="auto"/>
              </w:rPr>
            </w:pPr>
            <w:r>
              <w:rPr>
                <w:rFonts w:ascii="Arial" w:cs="Arial" w:eastAsia="Arial" w:hAnsi="Arial"/>
                <w:sz w:val="13"/>
                <w:szCs w:val="13"/>
                <w:color w:val="auto"/>
              </w:rPr>
              <w:t>434.1</w:t>
            </w:r>
          </w:p>
        </w:tc>
        <w:tc>
          <w:tcPr>
            <w:tcW w:w="200" w:type="dxa"/>
            <w:vAlign w:val="bottom"/>
            <w:shd w:val="clear" w:color="auto" w:fill="E2E8F1"/>
          </w:tcPr>
          <w:p>
            <w:pPr>
              <w:spacing w:after="0"/>
              <w:rPr>
                <w:sz w:val="12"/>
                <w:szCs w:val="12"/>
                <w:color w:val="auto"/>
              </w:rPr>
            </w:pPr>
          </w:p>
        </w:tc>
        <w:tc>
          <w:tcPr>
            <w:tcW w:w="80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11.2</w:t>
            </w:r>
          </w:p>
        </w:tc>
        <w:tc>
          <w:tcPr>
            <w:tcW w:w="220" w:type="dxa"/>
            <w:vAlign w:val="bottom"/>
            <w:shd w:val="clear" w:color="auto" w:fill="E2E8F1"/>
          </w:tcPr>
          <w:p>
            <w:pPr>
              <w:spacing w:after="0"/>
              <w:rPr>
                <w:sz w:val="12"/>
                <w:szCs w:val="12"/>
                <w:color w:val="auto"/>
              </w:rPr>
            </w:pPr>
          </w:p>
        </w:tc>
        <w:tc>
          <w:tcPr>
            <w:tcW w:w="100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11.0</w:t>
            </w:r>
          </w:p>
        </w:tc>
        <w:tc>
          <w:tcPr>
            <w:tcW w:w="220" w:type="dxa"/>
            <w:vAlign w:val="bottom"/>
            <w:shd w:val="clear" w:color="auto" w:fill="E2E8F1"/>
          </w:tcPr>
          <w:p>
            <w:pPr>
              <w:spacing w:after="0"/>
              <w:rPr>
                <w:sz w:val="12"/>
                <w:szCs w:val="12"/>
                <w:color w:val="auto"/>
              </w:rPr>
            </w:pPr>
          </w:p>
        </w:tc>
        <w:tc>
          <w:tcPr>
            <w:tcW w:w="60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6.2</w:t>
            </w:r>
          </w:p>
        </w:tc>
        <w:tc>
          <w:tcPr>
            <w:tcW w:w="260" w:type="dxa"/>
            <w:vAlign w:val="bottom"/>
            <w:shd w:val="clear" w:color="auto" w:fill="E2E8F1"/>
          </w:tcPr>
          <w:p>
            <w:pPr>
              <w:spacing w:after="0"/>
              <w:rPr>
                <w:sz w:val="12"/>
                <w:szCs w:val="12"/>
                <w:color w:val="auto"/>
              </w:rPr>
            </w:pPr>
          </w:p>
        </w:tc>
        <w:tc>
          <w:tcPr>
            <w:tcW w:w="68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462.5</w:t>
            </w:r>
          </w:p>
        </w:tc>
        <w:tc>
          <w:tcPr>
            <w:tcW w:w="0" w:type="dxa"/>
            <w:vAlign w:val="bottom"/>
          </w:tcPr>
          <w:p>
            <w:pPr>
              <w:spacing w:after="0"/>
              <w:rPr>
                <w:sz w:val="1"/>
                <w:szCs w:val="1"/>
                <w:color w:val="auto"/>
              </w:rPr>
            </w:pPr>
          </w:p>
        </w:tc>
      </w:tr>
      <w:tr>
        <w:trPr>
          <w:trHeight w:val="148"/>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Other Southern Europe</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501.0</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88.2</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16.7</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611.9</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464.4</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81.7</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13.8</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9.6</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569.5</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760" w:type="dxa"/>
            <w:vAlign w:val="bottom"/>
            <w:tcBorders>
              <w:bottom w:val="single" w:sz="8" w:color="auto"/>
            </w:tcBorders>
            <w:shd w:val="clear" w:color="auto" w:fill="E2E8F1"/>
          </w:tcPr>
          <w:p>
            <w:pPr>
              <w:jc w:val="right"/>
              <w:ind w:right="54"/>
              <w:spacing w:after="0" w:line="142" w:lineRule="exact"/>
              <w:rPr>
                <w:sz w:val="20"/>
                <w:szCs w:val="20"/>
                <w:color w:val="auto"/>
              </w:rPr>
            </w:pPr>
            <w:r>
              <w:rPr>
                <w:rFonts w:ascii="Arial" w:cs="Arial" w:eastAsia="Arial" w:hAnsi="Arial"/>
                <w:sz w:val="13"/>
                <w:szCs w:val="13"/>
                <w:color w:val="auto"/>
              </w:rPr>
              <w:t>1,999.9</w:t>
            </w:r>
          </w:p>
        </w:tc>
        <w:tc>
          <w:tcPr>
            <w:tcW w:w="180" w:type="dxa"/>
            <w:vAlign w:val="bottom"/>
            <w:tcBorders>
              <w:bottom w:val="single" w:sz="8" w:color="auto"/>
            </w:tcBorders>
            <w:shd w:val="clear" w:color="auto" w:fill="E2E8F1"/>
          </w:tcPr>
          <w:p>
            <w:pPr>
              <w:spacing w:after="0"/>
              <w:rPr>
                <w:sz w:val="12"/>
                <w:szCs w:val="12"/>
                <w:color w:val="auto"/>
              </w:rPr>
            </w:pPr>
          </w:p>
        </w:tc>
        <w:tc>
          <w:tcPr>
            <w:tcW w:w="820" w:type="dxa"/>
            <w:vAlign w:val="bottom"/>
            <w:tcBorders>
              <w:bottom w:val="single" w:sz="8" w:color="auto"/>
            </w:tcBorders>
            <w:shd w:val="clear" w:color="auto" w:fill="E2E8F1"/>
          </w:tcPr>
          <w:p>
            <w:pPr>
              <w:jc w:val="right"/>
              <w:ind w:right="54"/>
              <w:spacing w:after="0" w:line="142" w:lineRule="exact"/>
              <w:rPr>
                <w:sz w:val="20"/>
                <w:szCs w:val="20"/>
                <w:color w:val="auto"/>
              </w:rPr>
            </w:pPr>
            <w:r>
              <w:rPr>
                <w:rFonts w:ascii="Arial" w:cs="Arial" w:eastAsia="Arial" w:hAnsi="Arial"/>
                <w:sz w:val="13"/>
                <w:szCs w:val="13"/>
                <w:color w:val="auto"/>
              </w:rPr>
              <w:t>162.8</w:t>
            </w:r>
          </w:p>
        </w:tc>
        <w:tc>
          <w:tcPr>
            <w:tcW w:w="180" w:type="dxa"/>
            <w:vAlign w:val="bottom"/>
            <w:tcBorders>
              <w:bottom w:val="single" w:sz="8" w:color="auto"/>
            </w:tcBorders>
            <w:shd w:val="clear" w:color="auto" w:fill="E2E8F1"/>
          </w:tcPr>
          <w:p>
            <w:pPr>
              <w:spacing w:after="0"/>
              <w:rPr>
                <w:sz w:val="12"/>
                <w:szCs w:val="12"/>
                <w:color w:val="auto"/>
              </w:rPr>
            </w:pPr>
          </w:p>
        </w:tc>
        <w:tc>
          <w:tcPr>
            <w:tcW w:w="940" w:type="dxa"/>
            <w:vAlign w:val="bottom"/>
            <w:tcBorders>
              <w:bottom w:val="single" w:sz="8" w:color="auto"/>
            </w:tcBorders>
            <w:shd w:val="clear" w:color="auto" w:fill="E2E8F1"/>
          </w:tcPr>
          <w:p>
            <w:pPr>
              <w:jc w:val="right"/>
              <w:ind w:right="34"/>
              <w:spacing w:after="0" w:line="142" w:lineRule="exact"/>
              <w:rPr>
                <w:sz w:val="20"/>
                <w:szCs w:val="20"/>
                <w:color w:val="auto"/>
              </w:rPr>
            </w:pPr>
            <w:r>
              <w:rPr>
                <w:rFonts w:ascii="Arial" w:cs="Arial" w:eastAsia="Arial" w:hAnsi="Arial"/>
                <w:sz w:val="13"/>
                <w:szCs w:val="13"/>
                <w:color w:val="auto"/>
              </w:rPr>
              <w:t>35.4</w:t>
            </w:r>
          </w:p>
        </w:tc>
        <w:tc>
          <w:tcPr>
            <w:tcW w:w="200" w:type="dxa"/>
            <w:vAlign w:val="bottom"/>
            <w:tcBorders>
              <w:bottom w:val="single" w:sz="8" w:color="auto"/>
            </w:tcBorders>
            <w:shd w:val="clear" w:color="auto" w:fill="E2E8F1"/>
          </w:tcPr>
          <w:p>
            <w:pPr>
              <w:spacing w:after="0"/>
              <w:rPr>
                <w:sz w:val="12"/>
                <w:szCs w:val="12"/>
                <w:color w:val="auto"/>
              </w:rPr>
            </w:pPr>
          </w:p>
        </w:tc>
        <w:tc>
          <w:tcPr>
            <w:tcW w:w="48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29.8</w:t>
            </w:r>
          </w:p>
        </w:tc>
        <w:tc>
          <w:tcPr>
            <w:tcW w:w="360" w:type="dxa"/>
            <w:vAlign w:val="bottom"/>
            <w:tcBorders>
              <w:bottom w:val="single" w:sz="8" w:color="auto"/>
            </w:tcBorders>
            <w:shd w:val="clear" w:color="auto" w:fill="E2E8F1"/>
          </w:tcPr>
          <w:p>
            <w:pPr>
              <w:spacing w:after="0"/>
              <w:rPr>
                <w:sz w:val="12"/>
                <w:szCs w:val="12"/>
                <w:color w:val="auto"/>
              </w:rPr>
            </w:pPr>
          </w:p>
        </w:tc>
        <w:tc>
          <w:tcPr>
            <w:tcW w:w="740" w:type="dxa"/>
            <w:vAlign w:val="bottom"/>
            <w:tcBorders>
              <w:bottom w:val="single" w:sz="8" w:color="auto"/>
            </w:tcBorders>
            <w:shd w:val="clear" w:color="auto" w:fill="E2E8F1"/>
          </w:tcPr>
          <w:p>
            <w:pPr>
              <w:jc w:val="right"/>
              <w:ind w:right="53"/>
              <w:spacing w:after="0" w:line="142" w:lineRule="exact"/>
              <w:rPr>
                <w:sz w:val="20"/>
                <w:szCs w:val="20"/>
                <w:color w:val="auto"/>
              </w:rPr>
            </w:pPr>
            <w:r>
              <w:rPr>
                <w:rFonts w:ascii="Arial" w:cs="Arial" w:eastAsia="Arial" w:hAnsi="Arial"/>
                <w:sz w:val="13"/>
                <w:szCs w:val="13"/>
                <w:color w:val="auto"/>
              </w:rPr>
              <w:t>2,227.9</w:t>
            </w:r>
          </w:p>
        </w:tc>
        <w:tc>
          <w:tcPr>
            <w:tcW w:w="100" w:type="dxa"/>
            <w:vAlign w:val="bottom"/>
            <w:tcBorders>
              <w:bottom w:val="single" w:sz="8" w:color="auto"/>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ind w:right="34"/>
              <w:spacing w:after="0" w:line="142" w:lineRule="exact"/>
              <w:rPr>
                <w:sz w:val="20"/>
                <w:szCs w:val="20"/>
                <w:color w:val="auto"/>
              </w:rPr>
            </w:pPr>
            <w:r>
              <w:rPr>
                <w:rFonts w:ascii="Arial" w:cs="Arial" w:eastAsia="Arial" w:hAnsi="Arial"/>
                <w:sz w:val="13"/>
                <w:szCs w:val="13"/>
                <w:color w:val="auto"/>
              </w:rPr>
              <w:t>1,976.1</w:t>
            </w:r>
          </w:p>
        </w:tc>
        <w:tc>
          <w:tcPr>
            <w:tcW w:w="200" w:type="dxa"/>
            <w:vAlign w:val="bottom"/>
            <w:tcBorders>
              <w:bottom w:val="single" w:sz="8" w:color="auto"/>
            </w:tcBorders>
            <w:shd w:val="clear" w:color="auto" w:fill="E2E8F1"/>
          </w:tcPr>
          <w:p>
            <w:pPr>
              <w:spacing w:after="0"/>
              <w:rPr>
                <w:sz w:val="12"/>
                <w:szCs w:val="12"/>
                <w:color w:val="auto"/>
              </w:rPr>
            </w:pPr>
          </w:p>
        </w:tc>
        <w:tc>
          <w:tcPr>
            <w:tcW w:w="800" w:type="dxa"/>
            <w:vAlign w:val="bottom"/>
            <w:tcBorders>
              <w:bottom w:val="single" w:sz="8" w:color="auto"/>
            </w:tcBorders>
            <w:shd w:val="clear" w:color="auto" w:fill="E2E8F1"/>
          </w:tcPr>
          <w:p>
            <w:pPr>
              <w:jc w:val="right"/>
              <w:ind w:right="54"/>
              <w:spacing w:after="0" w:line="142" w:lineRule="exact"/>
              <w:rPr>
                <w:sz w:val="20"/>
                <w:szCs w:val="20"/>
                <w:color w:val="auto"/>
              </w:rPr>
            </w:pPr>
            <w:r>
              <w:rPr>
                <w:rFonts w:ascii="Arial" w:cs="Arial" w:eastAsia="Arial" w:hAnsi="Arial"/>
                <w:sz w:val="13"/>
                <w:szCs w:val="13"/>
                <w:color w:val="auto"/>
              </w:rPr>
              <w:t>158.7</w:t>
            </w:r>
          </w:p>
        </w:tc>
        <w:tc>
          <w:tcPr>
            <w:tcW w:w="220" w:type="dxa"/>
            <w:vAlign w:val="bottom"/>
            <w:tcBorders>
              <w:bottom w:val="single" w:sz="8" w:color="auto"/>
            </w:tcBorders>
            <w:shd w:val="clear" w:color="auto" w:fill="E2E8F1"/>
          </w:tcPr>
          <w:p>
            <w:pPr>
              <w:spacing w:after="0"/>
              <w:rPr>
                <w:sz w:val="12"/>
                <w:szCs w:val="12"/>
                <w:color w:val="auto"/>
              </w:rPr>
            </w:pPr>
          </w:p>
        </w:tc>
        <w:tc>
          <w:tcPr>
            <w:tcW w:w="1000" w:type="dxa"/>
            <w:vAlign w:val="bottom"/>
            <w:tcBorders>
              <w:bottom w:val="single" w:sz="8" w:color="auto"/>
            </w:tcBorders>
            <w:shd w:val="clear" w:color="auto" w:fill="E2E8F1"/>
          </w:tcPr>
          <w:p>
            <w:pPr>
              <w:jc w:val="right"/>
              <w:ind w:right="54"/>
              <w:spacing w:after="0" w:line="142" w:lineRule="exact"/>
              <w:rPr>
                <w:sz w:val="20"/>
                <w:szCs w:val="20"/>
                <w:color w:val="auto"/>
              </w:rPr>
            </w:pPr>
            <w:r>
              <w:rPr>
                <w:rFonts w:ascii="Arial" w:cs="Arial" w:eastAsia="Arial" w:hAnsi="Arial"/>
                <w:sz w:val="13"/>
                <w:szCs w:val="13"/>
                <w:color w:val="auto"/>
              </w:rPr>
              <w:t>34.9</w:t>
            </w:r>
          </w:p>
        </w:tc>
        <w:tc>
          <w:tcPr>
            <w:tcW w:w="220" w:type="dxa"/>
            <w:vAlign w:val="bottom"/>
            <w:tcBorders>
              <w:bottom w:val="single" w:sz="8" w:color="auto"/>
            </w:tcBorders>
            <w:shd w:val="clear" w:color="auto" w:fill="E2E8F1"/>
          </w:tcPr>
          <w:p>
            <w:pPr>
              <w:spacing w:after="0"/>
              <w:rPr>
                <w:sz w:val="12"/>
                <w:szCs w:val="12"/>
                <w:color w:val="auto"/>
              </w:rPr>
            </w:pPr>
          </w:p>
        </w:tc>
        <w:tc>
          <w:tcPr>
            <w:tcW w:w="600" w:type="dxa"/>
            <w:vAlign w:val="bottom"/>
            <w:tcBorders>
              <w:bottom w:val="single" w:sz="8" w:color="auto"/>
            </w:tcBorders>
            <w:shd w:val="clear" w:color="auto" w:fill="E2E8F1"/>
          </w:tcPr>
          <w:p>
            <w:pPr>
              <w:jc w:val="right"/>
              <w:ind w:right="53"/>
              <w:spacing w:after="0" w:line="142" w:lineRule="exact"/>
              <w:rPr>
                <w:sz w:val="20"/>
                <w:szCs w:val="20"/>
                <w:color w:val="auto"/>
              </w:rPr>
            </w:pPr>
            <w:r>
              <w:rPr>
                <w:rFonts w:ascii="Arial" w:cs="Arial" w:eastAsia="Arial" w:hAnsi="Arial"/>
                <w:sz w:val="13"/>
                <w:szCs w:val="13"/>
                <w:color w:val="auto"/>
              </w:rPr>
              <w:t>35.8</w:t>
            </w:r>
          </w:p>
        </w:tc>
        <w:tc>
          <w:tcPr>
            <w:tcW w:w="26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ind w:right="53"/>
              <w:spacing w:after="0" w:line="142" w:lineRule="exact"/>
              <w:rPr>
                <w:sz w:val="20"/>
                <w:szCs w:val="20"/>
                <w:color w:val="auto"/>
              </w:rPr>
            </w:pPr>
            <w:r>
              <w:rPr>
                <w:rFonts w:ascii="Arial" w:cs="Arial" w:eastAsia="Arial" w:hAnsi="Arial"/>
                <w:sz w:val="13"/>
                <w:szCs w:val="13"/>
                <w:color w:val="auto"/>
              </w:rPr>
              <w:t>2,205.5</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line="142" w:lineRule="exact"/>
              <w:rPr>
                <w:sz w:val="20"/>
                <w:szCs w:val="20"/>
                <w:color w:val="auto"/>
              </w:rPr>
            </w:pPr>
            <w:r>
              <w:rPr>
                <w:rFonts w:ascii="Arial" w:cs="Arial" w:eastAsia="Arial" w:hAnsi="Arial"/>
                <w:sz w:val="13"/>
                <w:szCs w:val="13"/>
                <w:color w:val="auto"/>
              </w:rPr>
              <w:t>Northern Europe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4"/>
              <w:spacing w:after="0" w:line="142" w:lineRule="exact"/>
              <w:rPr>
                <w:sz w:val="20"/>
                <w:szCs w:val="20"/>
                <w:color w:val="auto"/>
              </w:rPr>
            </w:pPr>
            <w:r>
              <w:rPr>
                <w:rFonts w:ascii="Arial" w:cs="Arial" w:eastAsia="Arial" w:hAnsi="Arial"/>
                <w:sz w:val="13"/>
                <w:szCs w:val="13"/>
                <w:color w:val="auto"/>
              </w:rPr>
              <w:t>759.7</w:t>
            </w:r>
          </w:p>
        </w:tc>
        <w:tc>
          <w:tcPr>
            <w:tcW w:w="180" w:type="dxa"/>
            <w:vAlign w:val="bottom"/>
          </w:tcPr>
          <w:p>
            <w:pPr>
              <w:spacing w:after="0"/>
              <w:rPr>
                <w:sz w:val="12"/>
                <w:szCs w:val="12"/>
                <w:color w:val="auto"/>
              </w:rPr>
            </w:pPr>
          </w:p>
        </w:tc>
        <w:tc>
          <w:tcPr>
            <w:tcW w:w="820" w:type="dxa"/>
            <w:vAlign w:val="bottom"/>
          </w:tcPr>
          <w:p>
            <w:pPr>
              <w:jc w:val="right"/>
              <w:ind w:right="54"/>
              <w:spacing w:after="0" w:line="142" w:lineRule="exact"/>
              <w:rPr>
                <w:sz w:val="20"/>
                <w:szCs w:val="20"/>
                <w:color w:val="auto"/>
              </w:rPr>
            </w:pPr>
            <w:r>
              <w:rPr>
                <w:rFonts w:ascii="Arial" w:cs="Arial" w:eastAsia="Arial" w:hAnsi="Arial"/>
                <w:sz w:val="13"/>
                <w:szCs w:val="13"/>
                <w:color w:val="auto"/>
              </w:rPr>
              <w:t>51.5</w:t>
            </w:r>
          </w:p>
        </w:tc>
        <w:tc>
          <w:tcPr>
            <w:tcW w:w="180" w:type="dxa"/>
            <w:vAlign w:val="bottom"/>
          </w:tcPr>
          <w:p>
            <w:pPr>
              <w:spacing w:after="0"/>
              <w:rPr>
                <w:sz w:val="12"/>
                <w:szCs w:val="12"/>
                <w:color w:val="auto"/>
              </w:rPr>
            </w:pPr>
          </w:p>
        </w:tc>
        <w:tc>
          <w:tcPr>
            <w:tcW w:w="940" w:type="dxa"/>
            <w:vAlign w:val="bottom"/>
          </w:tcPr>
          <w:p>
            <w:pPr>
              <w:jc w:val="right"/>
              <w:ind w:right="34"/>
              <w:spacing w:after="0" w:line="142" w:lineRule="exact"/>
              <w:rPr>
                <w:sz w:val="20"/>
                <w:szCs w:val="20"/>
                <w:color w:val="auto"/>
              </w:rPr>
            </w:pPr>
            <w:r>
              <w:rPr>
                <w:rFonts w:ascii="Arial" w:cs="Arial" w:eastAsia="Arial" w:hAnsi="Arial"/>
                <w:sz w:val="13"/>
                <w:szCs w:val="13"/>
                <w:color w:val="auto"/>
              </w:rPr>
              <w:t>23.3</w:t>
            </w:r>
          </w:p>
        </w:tc>
        <w:tc>
          <w:tcPr>
            <w:tcW w:w="2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26.1</w:t>
            </w:r>
          </w:p>
        </w:tc>
        <w:tc>
          <w:tcPr>
            <w:tcW w:w="360" w:type="dxa"/>
            <w:vAlign w:val="bottom"/>
          </w:tcPr>
          <w:p>
            <w:pPr>
              <w:spacing w:after="0"/>
              <w:rPr>
                <w:sz w:val="12"/>
                <w:szCs w:val="12"/>
                <w:color w:val="auto"/>
              </w:rPr>
            </w:pPr>
          </w:p>
        </w:tc>
        <w:tc>
          <w:tcPr>
            <w:tcW w:w="740" w:type="dxa"/>
            <w:vAlign w:val="bottom"/>
          </w:tcPr>
          <w:p>
            <w:pPr>
              <w:jc w:val="right"/>
              <w:ind w:right="53"/>
              <w:spacing w:after="0" w:line="142" w:lineRule="exact"/>
              <w:rPr>
                <w:sz w:val="20"/>
                <w:szCs w:val="20"/>
                <w:color w:val="auto"/>
              </w:rPr>
            </w:pPr>
            <w:r>
              <w:rPr>
                <w:rFonts w:ascii="Arial" w:cs="Arial" w:eastAsia="Arial" w:hAnsi="Arial"/>
                <w:sz w:val="13"/>
                <w:szCs w:val="13"/>
                <w:color w:val="auto"/>
              </w:rPr>
              <w:t>860.6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4"/>
              <w:spacing w:after="0" w:line="142" w:lineRule="exact"/>
              <w:rPr>
                <w:sz w:val="20"/>
                <w:szCs w:val="20"/>
                <w:color w:val="auto"/>
              </w:rPr>
            </w:pPr>
            <w:r>
              <w:rPr>
                <w:rFonts w:ascii="Arial" w:cs="Arial" w:eastAsia="Arial" w:hAnsi="Arial"/>
                <w:sz w:val="13"/>
                <w:szCs w:val="13"/>
                <w:color w:val="auto"/>
              </w:rPr>
              <w:t>712.1</w:t>
            </w:r>
          </w:p>
        </w:tc>
        <w:tc>
          <w:tcPr>
            <w:tcW w:w="200" w:type="dxa"/>
            <w:vAlign w:val="bottom"/>
          </w:tcPr>
          <w:p>
            <w:pPr>
              <w:spacing w:after="0"/>
              <w:rPr>
                <w:sz w:val="12"/>
                <w:szCs w:val="12"/>
                <w:color w:val="auto"/>
              </w:rPr>
            </w:pPr>
          </w:p>
        </w:tc>
        <w:tc>
          <w:tcPr>
            <w:tcW w:w="800" w:type="dxa"/>
            <w:vAlign w:val="bottom"/>
          </w:tcPr>
          <w:p>
            <w:pPr>
              <w:jc w:val="right"/>
              <w:ind w:right="54"/>
              <w:spacing w:after="0" w:line="142" w:lineRule="exact"/>
              <w:rPr>
                <w:sz w:val="20"/>
                <w:szCs w:val="20"/>
                <w:color w:val="auto"/>
              </w:rPr>
            </w:pPr>
            <w:r>
              <w:rPr>
                <w:rFonts w:ascii="Arial" w:cs="Arial" w:eastAsia="Arial" w:hAnsi="Arial"/>
                <w:sz w:val="13"/>
                <w:szCs w:val="13"/>
                <w:color w:val="auto"/>
              </w:rPr>
              <w:t>56.7</w:t>
            </w:r>
          </w:p>
        </w:tc>
        <w:tc>
          <w:tcPr>
            <w:tcW w:w="220" w:type="dxa"/>
            <w:vAlign w:val="bottom"/>
          </w:tcPr>
          <w:p>
            <w:pPr>
              <w:spacing w:after="0"/>
              <w:rPr>
                <w:sz w:val="12"/>
                <w:szCs w:val="12"/>
                <w:color w:val="auto"/>
              </w:rPr>
            </w:pPr>
          </w:p>
        </w:tc>
        <w:tc>
          <w:tcPr>
            <w:tcW w:w="1000" w:type="dxa"/>
            <w:vAlign w:val="bottom"/>
          </w:tcPr>
          <w:p>
            <w:pPr>
              <w:jc w:val="right"/>
              <w:ind w:right="54"/>
              <w:spacing w:after="0" w:line="142" w:lineRule="exact"/>
              <w:rPr>
                <w:sz w:val="20"/>
                <w:szCs w:val="20"/>
                <w:color w:val="auto"/>
              </w:rPr>
            </w:pPr>
            <w:r>
              <w:rPr>
                <w:rFonts w:ascii="Arial" w:cs="Arial" w:eastAsia="Arial" w:hAnsi="Arial"/>
                <w:sz w:val="13"/>
                <w:szCs w:val="13"/>
                <w:color w:val="auto"/>
              </w:rPr>
              <w:t>23.5</w:t>
            </w:r>
          </w:p>
        </w:tc>
        <w:tc>
          <w:tcPr>
            <w:tcW w:w="22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Arial" w:cs="Arial" w:eastAsia="Arial" w:hAnsi="Arial"/>
                <w:sz w:val="13"/>
                <w:szCs w:val="13"/>
                <w:color w:val="auto"/>
              </w:rPr>
              <w:t>24.5</w:t>
            </w:r>
          </w:p>
        </w:tc>
        <w:tc>
          <w:tcPr>
            <w:tcW w:w="260" w:type="dxa"/>
            <w:vAlign w:val="bottom"/>
          </w:tcPr>
          <w:p>
            <w:pPr>
              <w:spacing w:after="0"/>
              <w:rPr>
                <w:sz w:val="12"/>
                <w:szCs w:val="12"/>
                <w:color w:val="auto"/>
              </w:rPr>
            </w:pPr>
          </w:p>
        </w:tc>
        <w:tc>
          <w:tcPr>
            <w:tcW w:w="680" w:type="dxa"/>
            <w:vAlign w:val="bottom"/>
          </w:tcPr>
          <w:p>
            <w:pPr>
              <w:jc w:val="right"/>
              <w:ind w:right="53"/>
              <w:spacing w:after="0" w:line="142" w:lineRule="exact"/>
              <w:rPr>
                <w:sz w:val="20"/>
                <w:szCs w:val="20"/>
                <w:color w:val="auto"/>
              </w:rPr>
            </w:pPr>
            <w:r>
              <w:rPr>
                <w:rFonts w:ascii="Arial" w:cs="Arial" w:eastAsia="Arial" w:hAnsi="Arial"/>
                <w:sz w:val="13"/>
                <w:szCs w:val="13"/>
                <w:color w:val="auto"/>
              </w:rPr>
              <w:t>816.8</w:t>
            </w:r>
          </w:p>
        </w:tc>
        <w:tc>
          <w:tcPr>
            <w:tcW w:w="0" w:type="dxa"/>
            <w:vAlign w:val="bottom"/>
          </w:tcPr>
          <w:p>
            <w:pPr>
              <w:spacing w:after="0"/>
              <w:rPr>
                <w:sz w:val="1"/>
                <w:szCs w:val="1"/>
                <w:color w:val="auto"/>
              </w:rPr>
            </w:pPr>
          </w:p>
        </w:tc>
      </w:tr>
      <w:tr>
        <w:trPr>
          <w:trHeight w:val="148"/>
        </w:trPr>
        <w:tc>
          <w:tcPr>
            <w:tcW w:w="1500" w:type="dxa"/>
            <w:vAlign w:val="bottom"/>
            <w:tcBorders>
              <w:bottom w:val="single" w:sz="8" w:color="auto"/>
            </w:tcBorders>
            <w:shd w:val="clear" w:color="auto" w:fill="E2E8F1"/>
          </w:tcPr>
          <w:p>
            <w:pPr>
              <w:ind w:left="20"/>
              <w:spacing w:after="0"/>
              <w:rPr>
                <w:sz w:val="20"/>
                <w:szCs w:val="20"/>
                <w:color w:val="auto"/>
              </w:rPr>
            </w:pPr>
            <w:r>
              <w:rPr>
                <w:rFonts w:ascii="Arial" w:cs="Arial" w:eastAsia="Arial" w:hAnsi="Arial"/>
                <w:sz w:val="13"/>
                <w:szCs w:val="13"/>
                <w:color w:val="auto"/>
              </w:rPr>
              <w:t>APME</w:t>
            </w:r>
          </w:p>
        </w:tc>
        <w:tc>
          <w:tcPr>
            <w:tcW w:w="10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760" w:type="dxa"/>
            <w:vAlign w:val="bottom"/>
            <w:tcBorders>
              <w:bottom w:val="single" w:sz="8" w:color="auto"/>
            </w:tcBorders>
            <w:shd w:val="clear" w:color="auto" w:fill="E2E8F1"/>
          </w:tcPr>
          <w:p>
            <w:pPr>
              <w:jc w:val="right"/>
              <w:ind w:right="54"/>
              <w:spacing w:after="0"/>
              <w:rPr>
                <w:sz w:val="20"/>
                <w:szCs w:val="20"/>
                <w:color w:val="auto"/>
              </w:rPr>
            </w:pPr>
            <w:r>
              <w:rPr>
                <w:rFonts w:ascii="Arial" w:cs="Arial" w:eastAsia="Arial" w:hAnsi="Arial"/>
                <w:sz w:val="13"/>
                <w:szCs w:val="13"/>
                <w:color w:val="auto"/>
              </w:rPr>
              <w:t>435.3</w:t>
            </w:r>
          </w:p>
        </w:tc>
        <w:tc>
          <w:tcPr>
            <w:tcW w:w="180" w:type="dxa"/>
            <w:vAlign w:val="bottom"/>
            <w:tcBorders>
              <w:bottom w:val="single" w:sz="8" w:color="auto"/>
            </w:tcBorders>
            <w:shd w:val="clear" w:color="auto" w:fill="E2E8F1"/>
          </w:tcPr>
          <w:p>
            <w:pPr>
              <w:spacing w:after="0"/>
              <w:rPr>
                <w:sz w:val="12"/>
                <w:szCs w:val="12"/>
                <w:color w:val="auto"/>
              </w:rPr>
            </w:pPr>
          </w:p>
        </w:tc>
        <w:tc>
          <w:tcPr>
            <w:tcW w:w="820" w:type="dxa"/>
            <w:vAlign w:val="bottom"/>
            <w:tcBorders>
              <w:bottom w:val="single" w:sz="8" w:color="auto"/>
            </w:tcBorders>
            <w:shd w:val="clear" w:color="auto" w:fill="E2E8F1"/>
          </w:tcPr>
          <w:p>
            <w:pPr>
              <w:jc w:val="right"/>
              <w:ind w:right="54"/>
              <w:spacing w:after="0"/>
              <w:rPr>
                <w:sz w:val="20"/>
                <w:szCs w:val="20"/>
                <w:color w:val="auto"/>
              </w:rPr>
            </w:pPr>
            <w:r>
              <w:rPr>
                <w:rFonts w:ascii="Arial" w:cs="Arial" w:eastAsia="Arial" w:hAnsi="Arial"/>
                <w:sz w:val="13"/>
                <w:szCs w:val="13"/>
                <w:color w:val="auto"/>
              </w:rPr>
              <w:t>58.2</w:t>
            </w:r>
          </w:p>
        </w:tc>
        <w:tc>
          <w:tcPr>
            <w:tcW w:w="180" w:type="dxa"/>
            <w:vAlign w:val="bottom"/>
            <w:tcBorders>
              <w:bottom w:val="single" w:sz="8" w:color="auto"/>
            </w:tcBorders>
            <w:shd w:val="clear" w:color="auto" w:fill="E2E8F1"/>
          </w:tcPr>
          <w:p>
            <w:pPr>
              <w:spacing w:after="0"/>
              <w:rPr>
                <w:sz w:val="12"/>
                <w:szCs w:val="12"/>
                <w:color w:val="auto"/>
              </w:rPr>
            </w:pPr>
          </w:p>
        </w:tc>
        <w:tc>
          <w:tcPr>
            <w:tcW w:w="940" w:type="dxa"/>
            <w:vAlign w:val="bottom"/>
            <w:tcBorders>
              <w:bottom w:val="single" w:sz="8" w:color="auto"/>
            </w:tcBorders>
            <w:shd w:val="clear" w:color="auto" w:fill="E2E8F1"/>
          </w:tcPr>
          <w:p>
            <w:pPr>
              <w:jc w:val="right"/>
              <w:ind w:right="34"/>
              <w:spacing w:after="0"/>
              <w:rPr>
                <w:sz w:val="20"/>
                <w:szCs w:val="20"/>
                <w:color w:val="auto"/>
              </w:rPr>
            </w:pPr>
            <w:r>
              <w:rPr>
                <w:rFonts w:ascii="Arial" w:cs="Arial" w:eastAsia="Arial" w:hAnsi="Arial"/>
                <w:sz w:val="13"/>
                <w:szCs w:val="13"/>
                <w:color w:val="auto"/>
              </w:rPr>
              <w:t>11.7</w:t>
            </w:r>
          </w:p>
        </w:tc>
        <w:tc>
          <w:tcPr>
            <w:tcW w:w="200" w:type="dxa"/>
            <w:vAlign w:val="bottom"/>
            <w:tcBorders>
              <w:bottom w:val="single" w:sz="8" w:color="auto"/>
            </w:tcBorders>
            <w:shd w:val="clear" w:color="auto" w:fill="E2E8F1"/>
          </w:tcPr>
          <w:p>
            <w:pPr>
              <w:spacing w:after="0"/>
              <w:rPr>
                <w:sz w:val="12"/>
                <w:szCs w:val="12"/>
                <w:color w:val="auto"/>
              </w:rPr>
            </w:pPr>
          </w:p>
        </w:tc>
        <w:tc>
          <w:tcPr>
            <w:tcW w:w="4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9.7</w:t>
            </w:r>
          </w:p>
        </w:tc>
        <w:tc>
          <w:tcPr>
            <w:tcW w:w="360" w:type="dxa"/>
            <w:vAlign w:val="bottom"/>
            <w:tcBorders>
              <w:bottom w:val="single" w:sz="8" w:color="auto"/>
            </w:tcBorders>
            <w:shd w:val="clear" w:color="auto" w:fill="E2E8F1"/>
          </w:tcPr>
          <w:p>
            <w:pPr>
              <w:spacing w:after="0"/>
              <w:rPr>
                <w:sz w:val="12"/>
                <w:szCs w:val="12"/>
                <w:color w:val="auto"/>
              </w:rPr>
            </w:pPr>
          </w:p>
        </w:tc>
        <w:tc>
          <w:tcPr>
            <w:tcW w:w="740" w:type="dxa"/>
            <w:vAlign w:val="bottom"/>
            <w:tcBorders>
              <w:bottom w:val="single" w:sz="8" w:color="auto"/>
            </w:tcBorders>
            <w:shd w:val="clear" w:color="auto" w:fill="E2E8F1"/>
          </w:tcPr>
          <w:p>
            <w:pPr>
              <w:jc w:val="right"/>
              <w:ind w:right="53"/>
              <w:spacing w:after="0"/>
              <w:rPr>
                <w:sz w:val="20"/>
                <w:szCs w:val="20"/>
                <w:color w:val="auto"/>
              </w:rPr>
            </w:pPr>
            <w:r>
              <w:rPr>
                <w:rFonts w:ascii="Arial" w:cs="Arial" w:eastAsia="Arial" w:hAnsi="Arial"/>
                <w:sz w:val="13"/>
                <w:szCs w:val="13"/>
                <w:color w:val="auto"/>
              </w:rPr>
              <w:t>514.9</w:t>
            </w:r>
          </w:p>
        </w:tc>
        <w:tc>
          <w:tcPr>
            <w:tcW w:w="100" w:type="dxa"/>
            <w:vAlign w:val="bottom"/>
            <w:tcBorders>
              <w:bottom w:val="single" w:sz="8" w:color="auto"/>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ind w:right="34"/>
              <w:spacing w:after="0"/>
              <w:rPr>
                <w:sz w:val="20"/>
                <w:szCs w:val="20"/>
                <w:color w:val="auto"/>
              </w:rPr>
            </w:pPr>
            <w:r>
              <w:rPr>
                <w:rFonts w:ascii="Arial" w:cs="Arial" w:eastAsia="Arial" w:hAnsi="Arial"/>
                <w:sz w:val="13"/>
                <w:szCs w:val="13"/>
                <w:color w:val="auto"/>
              </w:rPr>
              <w:t>433.9</w:t>
            </w:r>
          </w:p>
        </w:tc>
        <w:tc>
          <w:tcPr>
            <w:tcW w:w="200" w:type="dxa"/>
            <w:vAlign w:val="bottom"/>
            <w:tcBorders>
              <w:bottom w:val="single" w:sz="8" w:color="auto"/>
            </w:tcBorders>
            <w:shd w:val="clear" w:color="auto" w:fill="E2E8F1"/>
          </w:tcPr>
          <w:p>
            <w:pPr>
              <w:spacing w:after="0"/>
              <w:rPr>
                <w:sz w:val="12"/>
                <w:szCs w:val="12"/>
                <w:color w:val="auto"/>
              </w:rPr>
            </w:pPr>
          </w:p>
        </w:tc>
        <w:tc>
          <w:tcPr>
            <w:tcW w:w="800" w:type="dxa"/>
            <w:vAlign w:val="bottom"/>
            <w:tcBorders>
              <w:bottom w:val="single" w:sz="8" w:color="auto"/>
            </w:tcBorders>
            <w:shd w:val="clear" w:color="auto" w:fill="E2E8F1"/>
          </w:tcPr>
          <w:p>
            <w:pPr>
              <w:jc w:val="right"/>
              <w:ind w:right="54"/>
              <w:spacing w:after="0"/>
              <w:rPr>
                <w:sz w:val="20"/>
                <w:szCs w:val="20"/>
                <w:color w:val="auto"/>
              </w:rPr>
            </w:pPr>
            <w:r>
              <w:rPr>
                <w:rFonts w:ascii="Arial" w:cs="Arial" w:eastAsia="Arial" w:hAnsi="Arial"/>
                <w:sz w:val="13"/>
                <w:szCs w:val="13"/>
                <w:color w:val="auto"/>
              </w:rPr>
              <w:t>62.9</w:t>
            </w:r>
          </w:p>
        </w:tc>
        <w:tc>
          <w:tcPr>
            <w:tcW w:w="220" w:type="dxa"/>
            <w:vAlign w:val="bottom"/>
            <w:tcBorders>
              <w:bottom w:val="single" w:sz="8" w:color="auto"/>
            </w:tcBorders>
            <w:shd w:val="clear" w:color="auto" w:fill="E2E8F1"/>
          </w:tcPr>
          <w:p>
            <w:pPr>
              <w:spacing w:after="0"/>
              <w:rPr>
                <w:sz w:val="12"/>
                <w:szCs w:val="12"/>
                <w:color w:val="auto"/>
              </w:rPr>
            </w:pPr>
          </w:p>
        </w:tc>
        <w:tc>
          <w:tcPr>
            <w:tcW w:w="1000" w:type="dxa"/>
            <w:vAlign w:val="bottom"/>
            <w:tcBorders>
              <w:bottom w:val="single" w:sz="8" w:color="auto"/>
            </w:tcBorders>
            <w:shd w:val="clear" w:color="auto" w:fill="E2E8F1"/>
          </w:tcPr>
          <w:p>
            <w:pPr>
              <w:jc w:val="right"/>
              <w:ind w:right="54"/>
              <w:spacing w:after="0"/>
              <w:rPr>
                <w:sz w:val="20"/>
                <w:szCs w:val="20"/>
                <w:color w:val="auto"/>
              </w:rPr>
            </w:pPr>
            <w:r>
              <w:rPr>
                <w:rFonts w:ascii="Arial" w:cs="Arial" w:eastAsia="Arial" w:hAnsi="Arial"/>
                <w:sz w:val="13"/>
                <w:szCs w:val="13"/>
                <w:color w:val="auto"/>
              </w:rPr>
              <w:t>12.8</w:t>
            </w:r>
          </w:p>
        </w:tc>
        <w:tc>
          <w:tcPr>
            <w:tcW w:w="220" w:type="dxa"/>
            <w:vAlign w:val="bottom"/>
            <w:tcBorders>
              <w:bottom w:val="single" w:sz="8" w:color="auto"/>
            </w:tcBorders>
            <w:shd w:val="clear" w:color="auto" w:fill="E2E8F1"/>
          </w:tcPr>
          <w:p>
            <w:pPr>
              <w:spacing w:after="0"/>
              <w:rPr>
                <w:sz w:val="12"/>
                <w:szCs w:val="12"/>
                <w:color w:val="auto"/>
              </w:rPr>
            </w:pPr>
          </w:p>
        </w:tc>
        <w:tc>
          <w:tcPr>
            <w:tcW w:w="600" w:type="dxa"/>
            <w:vAlign w:val="bottom"/>
            <w:tcBorders>
              <w:bottom w:val="single" w:sz="8" w:color="auto"/>
            </w:tcBorders>
            <w:shd w:val="clear" w:color="auto" w:fill="E2E8F1"/>
          </w:tcPr>
          <w:p>
            <w:pPr>
              <w:jc w:val="right"/>
              <w:ind w:right="53"/>
              <w:spacing w:after="0"/>
              <w:rPr>
                <w:sz w:val="20"/>
                <w:szCs w:val="20"/>
                <w:color w:val="auto"/>
              </w:rPr>
            </w:pPr>
            <w:r>
              <w:rPr>
                <w:rFonts w:ascii="Arial" w:cs="Arial" w:eastAsia="Arial" w:hAnsi="Arial"/>
                <w:sz w:val="13"/>
                <w:szCs w:val="13"/>
                <w:color w:val="auto"/>
              </w:rPr>
              <w:t>10.9</w:t>
            </w:r>
          </w:p>
        </w:tc>
        <w:tc>
          <w:tcPr>
            <w:tcW w:w="26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ind w:right="53"/>
              <w:spacing w:after="0"/>
              <w:rPr>
                <w:sz w:val="20"/>
                <w:szCs w:val="20"/>
                <w:color w:val="auto"/>
              </w:rPr>
            </w:pPr>
            <w:r>
              <w:rPr>
                <w:rFonts w:ascii="Arial" w:cs="Arial" w:eastAsia="Arial" w:hAnsi="Arial"/>
                <w:sz w:val="13"/>
                <w:szCs w:val="13"/>
                <w:color w:val="auto"/>
              </w:rPr>
              <w:t>520.5</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3"/>
                <w:szCs w:val="13"/>
                <w:color w:val="auto"/>
              </w:rPr>
              <w:t>4,335.0</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3"/>
                <w:szCs w:val="13"/>
                <w:color w:val="auto"/>
              </w:rPr>
              <w:t>294.0</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3"/>
                <w:szCs w:val="13"/>
                <w:color w:val="auto"/>
              </w:rPr>
              <w:t>110.3</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110.8</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4,850.1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3"/>
                <w:szCs w:val="13"/>
                <w:color w:val="auto"/>
              </w:rPr>
              <w:t>4,118.2</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3"/>
                <w:szCs w:val="13"/>
                <w:color w:val="auto"/>
              </w:rPr>
              <w:t>297.9</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3"/>
                <w:szCs w:val="13"/>
                <w:color w:val="auto"/>
              </w:rPr>
              <w:t>107.8</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117.6</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4,641.5</w:t>
            </w:r>
          </w:p>
        </w:tc>
        <w:tc>
          <w:tcPr>
            <w:tcW w:w="0" w:type="dxa"/>
            <w:vAlign w:val="bottom"/>
          </w:tcPr>
          <w:p>
            <w:pPr>
              <w:spacing w:after="0"/>
              <w:rPr>
                <w:sz w:val="1"/>
                <w:szCs w:val="1"/>
                <w:color w:val="auto"/>
              </w:rPr>
            </w:pPr>
          </w:p>
        </w:tc>
      </w:tr>
      <w:tr>
        <w:trPr>
          <w:trHeight w:val="129"/>
        </w:trPr>
        <w:tc>
          <w:tcPr>
            <w:tcW w:w="1500" w:type="dxa"/>
            <w:vAlign w:val="bottom"/>
            <w:shd w:val="clear" w:color="auto" w:fill="E2E8F1"/>
          </w:tcPr>
          <w:p>
            <w:pPr>
              <w:ind w:left="20"/>
              <w:spacing w:after="0" w:line="129" w:lineRule="exact"/>
              <w:rPr>
                <w:sz w:val="20"/>
                <w:szCs w:val="20"/>
                <w:color w:val="auto"/>
              </w:rPr>
            </w:pPr>
            <w:r>
              <w:rPr>
                <w:rFonts w:ascii="Arial" w:cs="Arial" w:eastAsia="Arial" w:hAnsi="Arial"/>
                <w:sz w:val="13"/>
                <w:szCs w:val="13"/>
                <w:color w:val="auto"/>
              </w:rPr>
              <w:t>Intercompany</w:t>
            </w:r>
          </w:p>
        </w:tc>
        <w:tc>
          <w:tcPr>
            <w:tcW w:w="100" w:type="dxa"/>
            <w:vAlign w:val="bottom"/>
            <w:shd w:val="clear" w:color="auto" w:fill="E2E8F1"/>
          </w:tcPr>
          <w:p>
            <w:pPr>
              <w:spacing w:after="0"/>
              <w:rPr>
                <w:sz w:val="11"/>
                <w:szCs w:val="11"/>
                <w:color w:val="auto"/>
              </w:rPr>
            </w:pPr>
          </w:p>
        </w:tc>
        <w:tc>
          <w:tcPr>
            <w:tcW w:w="120" w:type="dxa"/>
            <w:vAlign w:val="bottom"/>
            <w:shd w:val="clear" w:color="auto" w:fill="E2E8F1"/>
          </w:tcPr>
          <w:p>
            <w:pPr>
              <w:spacing w:after="0"/>
              <w:rPr>
                <w:sz w:val="11"/>
                <w:szCs w:val="11"/>
                <w:color w:val="auto"/>
              </w:rPr>
            </w:pPr>
          </w:p>
        </w:tc>
        <w:tc>
          <w:tcPr>
            <w:tcW w:w="760" w:type="dxa"/>
            <w:vAlign w:val="bottom"/>
            <w:shd w:val="clear" w:color="auto" w:fill="E2E8F1"/>
          </w:tcPr>
          <w:p>
            <w:pPr>
              <w:spacing w:after="0"/>
              <w:rPr>
                <w:sz w:val="11"/>
                <w:szCs w:val="11"/>
                <w:color w:val="auto"/>
              </w:rPr>
            </w:pPr>
          </w:p>
        </w:tc>
        <w:tc>
          <w:tcPr>
            <w:tcW w:w="180" w:type="dxa"/>
            <w:vAlign w:val="bottom"/>
            <w:shd w:val="clear" w:color="auto" w:fill="E2E8F1"/>
          </w:tcPr>
          <w:p>
            <w:pPr>
              <w:spacing w:after="0"/>
              <w:rPr>
                <w:sz w:val="11"/>
                <w:szCs w:val="11"/>
                <w:color w:val="auto"/>
              </w:rPr>
            </w:pPr>
          </w:p>
        </w:tc>
        <w:tc>
          <w:tcPr>
            <w:tcW w:w="820" w:type="dxa"/>
            <w:vAlign w:val="bottom"/>
            <w:shd w:val="clear" w:color="auto" w:fill="E2E8F1"/>
          </w:tcPr>
          <w:p>
            <w:pPr>
              <w:spacing w:after="0"/>
              <w:rPr>
                <w:sz w:val="11"/>
                <w:szCs w:val="11"/>
                <w:color w:val="auto"/>
              </w:rPr>
            </w:pPr>
          </w:p>
        </w:tc>
        <w:tc>
          <w:tcPr>
            <w:tcW w:w="180" w:type="dxa"/>
            <w:vAlign w:val="bottom"/>
            <w:shd w:val="clear" w:color="auto" w:fill="E2E8F1"/>
          </w:tcPr>
          <w:p>
            <w:pPr>
              <w:spacing w:after="0"/>
              <w:rPr>
                <w:sz w:val="11"/>
                <w:szCs w:val="11"/>
                <w:color w:val="auto"/>
              </w:rPr>
            </w:pPr>
          </w:p>
        </w:tc>
        <w:tc>
          <w:tcPr>
            <w:tcW w:w="940" w:type="dxa"/>
            <w:vAlign w:val="bottom"/>
            <w:shd w:val="clear" w:color="auto" w:fill="E2E8F1"/>
          </w:tcPr>
          <w:p>
            <w:pPr>
              <w:spacing w:after="0"/>
              <w:rPr>
                <w:sz w:val="11"/>
                <w:szCs w:val="11"/>
                <w:color w:val="auto"/>
              </w:rPr>
            </w:pPr>
          </w:p>
        </w:tc>
        <w:tc>
          <w:tcPr>
            <w:tcW w:w="200" w:type="dxa"/>
            <w:vAlign w:val="bottom"/>
            <w:shd w:val="clear" w:color="auto" w:fill="E2E8F1"/>
          </w:tcPr>
          <w:p>
            <w:pPr>
              <w:spacing w:after="0"/>
              <w:rPr>
                <w:sz w:val="11"/>
                <w:szCs w:val="11"/>
                <w:color w:val="auto"/>
              </w:rPr>
            </w:pPr>
          </w:p>
        </w:tc>
        <w:tc>
          <w:tcPr>
            <w:tcW w:w="480" w:type="dxa"/>
            <w:vAlign w:val="bottom"/>
            <w:shd w:val="clear" w:color="auto" w:fill="E2E8F1"/>
          </w:tcPr>
          <w:p>
            <w:pPr>
              <w:spacing w:after="0"/>
              <w:rPr>
                <w:sz w:val="11"/>
                <w:szCs w:val="11"/>
                <w:color w:val="auto"/>
              </w:rPr>
            </w:pPr>
          </w:p>
        </w:tc>
        <w:tc>
          <w:tcPr>
            <w:tcW w:w="360" w:type="dxa"/>
            <w:vAlign w:val="bottom"/>
            <w:shd w:val="clear" w:color="auto" w:fill="E2E8F1"/>
          </w:tcPr>
          <w:p>
            <w:pPr>
              <w:spacing w:after="0"/>
              <w:rPr>
                <w:sz w:val="11"/>
                <w:szCs w:val="11"/>
                <w:color w:val="auto"/>
              </w:rPr>
            </w:pPr>
          </w:p>
        </w:tc>
        <w:tc>
          <w:tcPr>
            <w:tcW w:w="74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680" w:type="dxa"/>
            <w:vAlign w:val="bottom"/>
            <w:shd w:val="clear" w:color="auto" w:fill="E2E8F1"/>
          </w:tcPr>
          <w:p>
            <w:pPr>
              <w:spacing w:after="0"/>
              <w:rPr>
                <w:sz w:val="11"/>
                <w:szCs w:val="11"/>
                <w:color w:val="auto"/>
              </w:rPr>
            </w:pPr>
          </w:p>
        </w:tc>
        <w:tc>
          <w:tcPr>
            <w:tcW w:w="200" w:type="dxa"/>
            <w:vAlign w:val="bottom"/>
            <w:shd w:val="clear" w:color="auto" w:fill="E2E8F1"/>
          </w:tcPr>
          <w:p>
            <w:pPr>
              <w:spacing w:after="0"/>
              <w:rPr>
                <w:sz w:val="11"/>
                <w:szCs w:val="11"/>
                <w:color w:val="auto"/>
              </w:rPr>
            </w:pPr>
          </w:p>
        </w:tc>
        <w:tc>
          <w:tcPr>
            <w:tcW w:w="800" w:type="dxa"/>
            <w:vAlign w:val="bottom"/>
            <w:shd w:val="clear" w:color="auto" w:fill="E2E8F1"/>
          </w:tcPr>
          <w:p>
            <w:pPr>
              <w:spacing w:after="0"/>
              <w:rPr>
                <w:sz w:val="11"/>
                <w:szCs w:val="11"/>
                <w:color w:val="auto"/>
              </w:rPr>
            </w:pPr>
          </w:p>
        </w:tc>
        <w:tc>
          <w:tcPr>
            <w:tcW w:w="220" w:type="dxa"/>
            <w:vAlign w:val="bottom"/>
            <w:shd w:val="clear" w:color="auto" w:fill="E2E8F1"/>
          </w:tcPr>
          <w:p>
            <w:pPr>
              <w:spacing w:after="0"/>
              <w:rPr>
                <w:sz w:val="11"/>
                <w:szCs w:val="11"/>
                <w:color w:val="auto"/>
              </w:rPr>
            </w:pPr>
          </w:p>
        </w:tc>
        <w:tc>
          <w:tcPr>
            <w:tcW w:w="1000" w:type="dxa"/>
            <w:vAlign w:val="bottom"/>
            <w:shd w:val="clear" w:color="auto" w:fill="E2E8F1"/>
          </w:tcPr>
          <w:p>
            <w:pPr>
              <w:spacing w:after="0"/>
              <w:rPr>
                <w:sz w:val="11"/>
                <w:szCs w:val="11"/>
                <w:color w:val="auto"/>
              </w:rPr>
            </w:pPr>
          </w:p>
        </w:tc>
        <w:tc>
          <w:tcPr>
            <w:tcW w:w="220" w:type="dxa"/>
            <w:vAlign w:val="bottom"/>
            <w:shd w:val="clear" w:color="auto" w:fill="E2E8F1"/>
          </w:tcPr>
          <w:p>
            <w:pPr>
              <w:spacing w:after="0"/>
              <w:rPr>
                <w:sz w:val="11"/>
                <w:szCs w:val="11"/>
                <w:color w:val="auto"/>
              </w:rPr>
            </w:pPr>
          </w:p>
        </w:tc>
        <w:tc>
          <w:tcPr>
            <w:tcW w:w="600" w:type="dxa"/>
            <w:vAlign w:val="bottom"/>
            <w:shd w:val="clear" w:color="auto" w:fill="E2E8F1"/>
          </w:tcPr>
          <w:p>
            <w:pPr>
              <w:spacing w:after="0"/>
              <w:rPr>
                <w:sz w:val="11"/>
                <w:szCs w:val="11"/>
                <w:color w:val="auto"/>
              </w:rPr>
            </w:pPr>
          </w:p>
        </w:tc>
        <w:tc>
          <w:tcPr>
            <w:tcW w:w="260" w:type="dxa"/>
            <w:vAlign w:val="bottom"/>
            <w:shd w:val="clear" w:color="auto" w:fill="E2E8F1"/>
          </w:tcPr>
          <w:p>
            <w:pPr>
              <w:spacing w:after="0"/>
              <w:rPr>
                <w:sz w:val="11"/>
                <w:szCs w:val="11"/>
                <w:color w:val="auto"/>
              </w:rPr>
            </w:pPr>
          </w:p>
        </w:tc>
        <w:tc>
          <w:tcPr>
            <w:tcW w:w="680" w:type="dxa"/>
            <w:vAlign w:val="bottom"/>
            <w:shd w:val="clear" w:color="auto" w:fill="E2E8F1"/>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00" w:type="dxa"/>
            <w:vAlign w:val="bottom"/>
            <w:tcBorders>
              <w:bottom w:val="single" w:sz="8" w:color="auto"/>
            </w:tcBorders>
            <w:shd w:val="clear" w:color="auto" w:fill="E2E8F1"/>
          </w:tcPr>
          <w:p>
            <w:pPr>
              <w:ind w:left="20"/>
              <w:spacing w:after="0"/>
              <w:rPr>
                <w:sz w:val="20"/>
                <w:szCs w:val="20"/>
                <w:color w:val="auto"/>
              </w:rPr>
            </w:pPr>
            <w:r>
              <w:rPr>
                <w:rFonts w:ascii="Arial" w:cs="Arial" w:eastAsia="Arial" w:hAnsi="Arial"/>
                <w:sz w:val="13"/>
                <w:szCs w:val="13"/>
                <w:color w:val="auto"/>
              </w:rPr>
              <w:t>Eliminations</w:t>
            </w:r>
          </w:p>
        </w:tc>
        <w:tc>
          <w:tcPr>
            <w:tcW w:w="10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760" w:type="dxa"/>
            <w:vAlign w:val="bottom"/>
            <w:tcBorders>
              <w:bottom w:val="single" w:sz="8" w:color="auto"/>
            </w:tcBorders>
            <w:shd w:val="clear" w:color="auto" w:fill="E2E8F1"/>
          </w:tcPr>
          <w:p>
            <w:pPr>
              <w:spacing w:after="0"/>
              <w:rPr>
                <w:sz w:val="14"/>
                <w:szCs w:val="14"/>
                <w:color w:val="auto"/>
              </w:rPr>
            </w:pPr>
          </w:p>
        </w:tc>
        <w:tc>
          <w:tcPr>
            <w:tcW w:w="180" w:type="dxa"/>
            <w:vAlign w:val="bottom"/>
            <w:tcBorders>
              <w:bottom w:val="single" w:sz="8" w:color="auto"/>
            </w:tcBorders>
            <w:shd w:val="clear" w:color="auto" w:fill="E2E8F1"/>
          </w:tcPr>
          <w:p>
            <w:pPr>
              <w:spacing w:after="0"/>
              <w:rPr>
                <w:sz w:val="14"/>
                <w:szCs w:val="14"/>
                <w:color w:val="auto"/>
              </w:rPr>
            </w:pPr>
          </w:p>
        </w:tc>
        <w:tc>
          <w:tcPr>
            <w:tcW w:w="820" w:type="dxa"/>
            <w:vAlign w:val="bottom"/>
            <w:tcBorders>
              <w:bottom w:val="single" w:sz="8" w:color="auto"/>
            </w:tcBorders>
            <w:shd w:val="clear" w:color="auto" w:fill="E2E8F1"/>
          </w:tcPr>
          <w:p>
            <w:pPr>
              <w:spacing w:after="0"/>
              <w:rPr>
                <w:sz w:val="14"/>
                <w:szCs w:val="14"/>
                <w:color w:val="auto"/>
              </w:rPr>
            </w:pPr>
          </w:p>
        </w:tc>
        <w:tc>
          <w:tcPr>
            <w:tcW w:w="1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480" w:type="dxa"/>
            <w:vAlign w:val="bottom"/>
            <w:tcBorders>
              <w:bottom w:val="single" w:sz="8" w:color="auto"/>
            </w:tcBorders>
            <w:shd w:val="clear" w:color="auto" w:fill="E2E8F1"/>
          </w:tcPr>
          <w:p>
            <w:pPr>
              <w:spacing w:after="0"/>
              <w:rPr>
                <w:sz w:val="14"/>
                <w:szCs w:val="14"/>
                <w:color w:val="auto"/>
              </w:rPr>
            </w:pPr>
          </w:p>
        </w:tc>
        <w:tc>
          <w:tcPr>
            <w:tcW w:w="360" w:type="dxa"/>
            <w:vAlign w:val="bottom"/>
            <w:tcBorders>
              <w:bottom w:val="single" w:sz="8" w:color="auto"/>
            </w:tcBorders>
            <w:shd w:val="clear" w:color="auto" w:fill="E2E8F1"/>
          </w:tcPr>
          <w:p>
            <w:pPr>
              <w:spacing w:after="0"/>
              <w:rPr>
                <w:sz w:val="14"/>
                <w:szCs w:val="14"/>
                <w:color w:val="auto"/>
              </w:rPr>
            </w:pPr>
          </w:p>
        </w:tc>
        <w:tc>
          <w:tcPr>
            <w:tcW w:w="7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auto"/>
            </w:tcBorders>
            <w:shd w:val="clear" w:color="auto" w:fill="E2E8F1"/>
          </w:tcPr>
          <w:p>
            <w:pPr>
              <w:spacing w:after="0"/>
              <w:rPr>
                <w:sz w:val="14"/>
                <w:szCs w:val="14"/>
                <w:color w:val="auto"/>
              </w:rPr>
            </w:pPr>
          </w:p>
        </w:tc>
        <w:tc>
          <w:tcPr>
            <w:tcW w:w="100" w:type="dxa"/>
            <w:vAlign w:val="bottom"/>
            <w:tcBorders>
              <w:bottom w:val="single" w:sz="8" w:color="auto"/>
            </w:tcBorders>
            <w:shd w:val="clear" w:color="auto" w:fill="E2E8F1"/>
          </w:tcPr>
          <w:p>
            <w:pPr>
              <w:spacing w:after="0"/>
              <w:rPr>
                <w:sz w:val="14"/>
                <w:szCs w:val="14"/>
                <w:color w:val="auto"/>
              </w:rPr>
            </w:pPr>
          </w:p>
        </w:tc>
        <w:tc>
          <w:tcPr>
            <w:tcW w:w="680" w:type="dxa"/>
            <w:vAlign w:val="bottom"/>
            <w:tcBorders>
              <w:bottom w:val="single" w:sz="8" w:color="auto"/>
            </w:tcBorders>
            <w:shd w:val="clear" w:color="auto" w:fill="E2E8F1"/>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800" w:type="dxa"/>
            <w:vAlign w:val="bottom"/>
            <w:tcBorders>
              <w:bottom w:val="single" w:sz="8" w:color="auto"/>
            </w:tcBorders>
            <w:shd w:val="clear" w:color="auto" w:fill="E2E8F1"/>
          </w:tcPr>
          <w:p>
            <w:pPr>
              <w:spacing w:after="0"/>
              <w:rPr>
                <w:sz w:val="14"/>
                <w:szCs w:val="14"/>
                <w:color w:val="auto"/>
              </w:rPr>
            </w:pPr>
          </w:p>
        </w:tc>
        <w:tc>
          <w:tcPr>
            <w:tcW w:w="220" w:type="dxa"/>
            <w:vAlign w:val="bottom"/>
            <w:tcBorders>
              <w:bottom w:val="single" w:sz="8" w:color="auto"/>
            </w:tcBorders>
            <w:shd w:val="clear" w:color="auto" w:fill="E2E8F1"/>
          </w:tcPr>
          <w:p>
            <w:pPr>
              <w:spacing w:after="0"/>
              <w:rPr>
                <w:sz w:val="14"/>
                <w:szCs w:val="14"/>
                <w:color w:val="auto"/>
              </w:rPr>
            </w:pPr>
          </w:p>
        </w:tc>
        <w:tc>
          <w:tcPr>
            <w:tcW w:w="1000" w:type="dxa"/>
            <w:vAlign w:val="bottom"/>
            <w:tcBorders>
              <w:bottom w:val="single" w:sz="8" w:color="auto"/>
            </w:tcBorders>
            <w:shd w:val="clear" w:color="auto" w:fill="E2E8F1"/>
          </w:tcPr>
          <w:p>
            <w:pPr>
              <w:spacing w:after="0"/>
              <w:rPr>
                <w:sz w:val="14"/>
                <w:szCs w:val="14"/>
                <w:color w:val="auto"/>
              </w:rPr>
            </w:pPr>
          </w:p>
        </w:tc>
        <w:tc>
          <w:tcPr>
            <w:tcW w:w="220" w:type="dxa"/>
            <w:vAlign w:val="bottom"/>
            <w:tcBorders>
              <w:bottom w:val="single" w:sz="8" w:color="auto"/>
            </w:tcBorders>
            <w:shd w:val="clear" w:color="auto" w:fill="E2E8F1"/>
          </w:tcPr>
          <w:p>
            <w:pPr>
              <w:spacing w:after="0"/>
              <w:rPr>
                <w:sz w:val="14"/>
                <w:szCs w:val="14"/>
                <w:color w:val="auto"/>
              </w:rPr>
            </w:pPr>
          </w:p>
        </w:tc>
        <w:tc>
          <w:tcPr>
            <w:tcW w:w="600" w:type="dxa"/>
            <w:vAlign w:val="bottom"/>
            <w:tcBorders>
              <w:bottom w:val="single" w:sz="8" w:color="auto"/>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4,840.0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4,634.4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-1927860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760" w:type="dxa"/>
            <w:vAlign w:val="bottom"/>
            <w:tcBorders>
              <w:top w:val="single" w:sz="8" w:color="auto"/>
              <w:bottom w:val="single" w:sz="8" w:color="98B0CF"/>
            </w:tcBorders>
            <w:shd w:val="clear" w:color="auto" w:fill="98B0CF"/>
          </w:tcPr>
          <w:p>
            <w:pPr>
              <w:spacing w:after="0"/>
              <w:rPr>
                <w:sz w:val="12"/>
                <w:szCs w:val="12"/>
                <w:color w:val="auto"/>
              </w:rPr>
            </w:pPr>
          </w:p>
        </w:tc>
        <w:tc>
          <w:tcPr>
            <w:tcW w:w="120" w:type="dxa"/>
            <w:vAlign w:val="bottom"/>
            <w:tcBorders>
              <w:top w:val="single" w:sz="8" w:color="auto"/>
              <w:bottom w:val="single" w:sz="8" w:color="98B0CF"/>
            </w:tcBorders>
            <w:shd w:val="clear" w:color="auto" w:fill="98B0CF"/>
          </w:tcPr>
          <w:p>
            <w:pPr>
              <w:spacing w:after="0"/>
              <w:rPr>
                <w:sz w:val="12"/>
                <w:szCs w:val="12"/>
                <w:color w:val="auto"/>
              </w:rPr>
            </w:pPr>
          </w:p>
        </w:tc>
        <w:tc>
          <w:tcPr>
            <w:tcW w:w="80" w:type="dxa"/>
            <w:vAlign w:val="bottom"/>
            <w:tcBorders>
              <w:top w:val="single" w:sz="8" w:color="auto"/>
              <w:bottom w:val="single" w:sz="8" w:color="auto"/>
            </w:tcBorders>
            <w:shd w:val="clear" w:color="auto" w:fill="98B0CF"/>
          </w:tcPr>
          <w:p>
            <w:pPr>
              <w:spacing w:after="0"/>
              <w:rPr>
                <w:sz w:val="12"/>
                <w:szCs w:val="12"/>
                <w:color w:val="auto"/>
              </w:rPr>
            </w:pPr>
          </w:p>
        </w:tc>
        <w:tc>
          <w:tcPr>
            <w:tcW w:w="680" w:type="dxa"/>
            <w:vAlign w:val="bottom"/>
            <w:tcBorders>
              <w:top w:val="single" w:sz="8" w:color="auto"/>
              <w:bottom w:val="single" w:sz="8" w:color="auto"/>
            </w:tcBorders>
            <w:shd w:val="clear" w:color="auto" w:fill="98B0CF"/>
          </w:tcPr>
          <w:p>
            <w:pPr>
              <w:spacing w:after="0"/>
              <w:rPr>
                <w:sz w:val="12"/>
                <w:szCs w:val="12"/>
                <w:color w:val="auto"/>
              </w:rPr>
            </w:pPr>
          </w:p>
        </w:tc>
        <w:tc>
          <w:tcPr>
            <w:tcW w:w="180" w:type="dxa"/>
            <w:vAlign w:val="bottom"/>
            <w:tcBorders>
              <w:top w:val="single" w:sz="8" w:color="auto"/>
              <w:bottom w:val="single" w:sz="8" w:color="auto"/>
            </w:tcBorders>
            <w:shd w:val="clear" w:color="auto" w:fill="98B0CF"/>
          </w:tcPr>
          <w:p>
            <w:pPr>
              <w:spacing w:after="0"/>
              <w:rPr>
                <w:sz w:val="12"/>
                <w:szCs w:val="12"/>
                <w:color w:val="auto"/>
              </w:rPr>
            </w:pPr>
          </w:p>
        </w:tc>
        <w:tc>
          <w:tcPr>
            <w:tcW w:w="780" w:type="dxa"/>
            <w:vAlign w:val="bottom"/>
            <w:tcBorders>
              <w:top w:val="single" w:sz="8" w:color="auto"/>
              <w:bottom w:val="single" w:sz="8" w:color="auto"/>
            </w:tcBorders>
            <w:shd w:val="clear" w:color="auto" w:fill="98B0CF"/>
          </w:tcPr>
          <w:p>
            <w:pPr>
              <w:spacing w:after="0"/>
              <w:rPr>
                <w:sz w:val="12"/>
                <w:szCs w:val="12"/>
                <w:color w:val="auto"/>
              </w:rPr>
            </w:pPr>
          </w:p>
        </w:tc>
        <w:tc>
          <w:tcPr>
            <w:tcW w:w="180" w:type="dxa"/>
            <w:vAlign w:val="bottom"/>
            <w:tcBorders>
              <w:top w:val="single" w:sz="8" w:color="auto"/>
              <w:bottom w:val="single" w:sz="8" w:color="auto"/>
            </w:tcBorders>
            <w:shd w:val="clear" w:color="auto" w:fill="98B0CF"/>
          </w:tcPr>
          <w:p>
            <w:pPr>
              <w:spacing w:after="0"/>
              <w:rPr>
                <w:sz w:val="12"/>
                <w:szCs w:val="12"/>
                <w:color w:val="auto"/>
              </w:rPr>
            </w:pPr>
          </w:p>
        </w:tc>
        <w:tc>
          <w:tcPr>
            <w:tcW w:w="880" w:type="dxa"/>
            <w:vAlign w:val="bottom"/>
            <w:tcBorders>
              <w:top w:val="single" w:sz="8" w:color="auto"/>
              <w:bottom w:val="single" w:sz="8" w:color="auto"/>
            </w:tcBorders>
            <w:shd w:val="clear" w:color="auto" w:fill="98B0CF"/>
          </w:tcPr>
          <w:p>
            <w:pPr>
              <w:spacing w:after="0"/>
              <w:rPr>
                <w:sz w:val="12"/>
                <w:szCs w:val="12"/>
                <w:color w:val="auto"/>
              </w:rPr>
            </w:pPr>
          </w:p>
        </w:tc>
        <w:tc>
          <w:tcPr>
            <w:tcW w:w="260" w:type="dxa"/>
            <w:vAlign w:val="bottom"/>
            <w:tcBorders>
              <w:top w:val="single" w:sz="8" w:color="auto"/>
              <w:bottom w:val="single" w:sz="8" w:color="auto"/>
            </w:tcBorders>
            <w:shd w:val="clear" w:color="auto" w:fill="98B0CF"/>
          </w:tcPr>
          <w:p>
            <w:pPr>
              <w:spacing w:after="0"/>
              <w:rPr>
                <w:sz w:val="12"/>
                <w:szCs w:val="12"/>
                <w:color w:val="auto"/>
              </w:rPr>
            </w:pPr>
          </w:p>
        </w:tc>
        <w:tc>
          <w:tcPr>
            <w:tcW w:w="520" w:type="dxa"/>
            <w:vAlign w:val="bottom"/>
            <w:tcBorders>
              <w:top w:val="single" w:sz="8" w:color="auto"/>
              <w:bottom w:val="single" w:sz="8" w:color="auto"/>
            </w:tcBorders>
            <w:shd w:val="clear" w:color="auto" w:fill="98B0CF"/>
          </w:tcPr>
          <w:p>
            <w:pPr>
              <w:spacing w:after="0"/>
              <w:rPr>
                <w:sz w:val="12"/>
                <w:szCs w:val="12"/>
                <w:color w:val="auto"/>
              </w:rPr>
            </w:pPr>
          </w:p>
        </w:tc>
        <w:tc>
          <w:tcPr>
            <w:tcW w:w="2140" w:type="dxa"/>
            <w:vAlign w:val="bottom"/>
            <w:tcBorders>
              <w:top w:val="single" w:sz="8" w:color="auto"/>
              <w:bottom w:val="single" w:sz="8" w:color="auto"/>
            </w:tcBorders>
            <w:gridSpan w:val="6"/>
            <w:shd w:val="clear" w:color="auto" w:fill="98B0CF"/>
          </w:tcPr>
          <w:p>
            <w:pPr>
              <w:jc w:val="right"/>
              <w:spacing w:after="0"/>
              <w:rPr>
                <w:sz w:val="20"/>
                <w:szCs w:val="20"/>
                <w:color w:val="auto"/>
              </w:rPr>
            </w:pPr>
            <w:r>
              <w:rPr>
                <w:rFonts w:ascii="Arial" w:cs="Arial" w:eastAsia="Arial" w:hAnsi="Arial"/>
                <w:sz w:val="13"/>
                <w:szCs w:val="13"/>
                <w:b w:val="1"/>
                <w:bCs w:val="1"/>
                <w:color w:val="auto"/>
                <w:w w:val="97"/>
              </w:rPr>
              <w:t>Nine Months Ended September 30,</w:t>
            </w:r>
          </w:p>
        </w:tc>
        <w:tc>
          <w:tcPr>
            <w:tcW w:w="800" w:type="dxa"/>
            <w:vAlign w:val="bottom"/>
            <w:tcBorders>
              <w:top w:val="single" w:sz="8" w:color="auto"/>
              <w:bottom w:val="single" w:sz="8" w:color="auto"/>
            </w:tcBorders>
            <w:shd w:val="clear" w:color="auto" w:fill="98B0CF"/>
          </w:tcPr>
          <w:p>
            <w:pPr>
              <w:spacing w:after="0"/>
              <w:rPr>
                <w:sz w:val="12"/>
                <w:szCs w:val="12"/>
                <w:color w:val="auto"/>
              </w:rPr>
            </w:pPr>
          </w:p>
        </w:tc>
        <w:tc>
          <w:tcPr>
            <w:tcW w:w="180" w:type="dxa"/>
            <w:vAlign w:val="bottom"/>
            <w:tcBorders>
              <w:top w:val="single" w:sz="8" w:color="auto"/>
              <w:bottom w:val="single" w:sz="8" w:color="auto"/>
            </w:tcBorders>
            <w:shd w:val="clear" w:color="auto" w:fill="98B0CF"/>
          </w:tcPr>
          <w:p>
            <w:pPr>
              <w:spacing w:after="0"/>
              <w:rPr>
                <w:sz w:val="12"/>
                <w:szCs w:val="12"/>
                <w:color w:val="auto"/>
              </w:rPr>
            </w:pPr>
          </w:p>
        </w:tc>
        <w:tc>
          <w:tcPr>
            <w:tcW w:w="860" w:type="dxa"/>
            <w:vAlign w:val="bottom"/>
            <w:tcBorders>
              <w:top w:val="single" w:sz="8" w:color="auto"/>
              <w:bottom w:val="single" w:sz="8" w:color="auto"/>
            </w:tcBorders>
            <w:shd w:val="clear" w:color="auto" w:fill="98B0CF"/>
          </w:tcPr>
          <w:p>
            <w:pPr>
              <w:spacing w:after="0"/>
              <w:rPr>
                <w:sz w:val="12"/>
                <w:szCs w:val="12"/>
                <w:color w:val="auto"/>
              </w:rPr>
            </w:pPr>
          </w:p>
        </w:tc>
        <w:tc>
          <w:tcPr>
            <w:tcW w:w="200" w:type="dxa"/>
            <w:vAlign w:val="bottom"/>
            <w:tcBorders>
              <w:top w:val="single" w:sz="8" w:color="auto"/>
              <w:bottom w:val="single" w:sz="8" w:color="auto"/>
            </w:tcBorders>
            <w:shd w:val="clear" w:color="auto" w:fill="98B0CF"/>
          </w:tcPr>
          <w:p>
            <w:pPr>
              <w:spacing w:after="0"/>
              <w:rPr>
                <w:sz w:val="12"/>
                <w:szCs w:val="12"/>
                <w:color w:val="auto"/>
              </w:rPr>
            </w:pPr>
          </w:p>
        </w:tc>
        <w:tc>
          <w:tcPr>
            <w:tcW w:w="580" w:type="dxa"/>
            <w:vAlign w:val="bottom"/>
            <w:tcBorders>
              <w:top w:val="single" w:sz="8" w:color="auto"/>
              <w:bottom w:val="single" w:sz="8" w:color="auto"/>
            </w:tcBorders>
            <w:shd w:val="clear" w:color="auto" w:fill="98B0CF"/>
          </w:tcPr>
          <w:p>
            <w:pPr>
              <w:spacing w:after="0"/>
              <w:rPr>
                <w:sz w:val="12"/>
                <w:szCs w:val="12"/>
                <w:color w:val="auto"/>
              </w:rPr>
            </w:pPr>
          </w:p>
        </w:tc>
        <w:tc>
          <w:tcPr>
            <w:tcW w:w="280" w:type="dxa"/>
            <w:vAlign w:val="bottom"/>
            <w:tcBorders>
              <w:top w:val="single" w:sz="8" w:color="auto"/>
              <w:bottom w:val="single" w:sz="8" w:color="auto"/>
            </w:tcBorders>
            <w:shd w:val="clear" w:color="auto" w:fill="98B0CF"/>
          </w:tcPr>
          <w:p>
            <w:pPr>
              <w:spacing w:after="0"/>
              <w:rPr>
                <w:sz w:val="12"/>
                <w:szCs w:val="12"/>
                <w:color w:val="auto"/>
              </w:rPr>
            </w:pPr>
          </w:p>
        </w:tc>
        <w:tc>
          <w:tcPr>
            <w:tcW w:w="760" w:type="dxa"/>
            <w:vAlign w:val="bottom"/>
            <w:tcBorders>
              <w:top w:val="single" w:sz="8" w:color="auto"/>
              <w:bottom w:val="single" w:sz="8" w:color="auto"/>
            </w:tcBorders>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60" w:type="dxa"/>
            <w:vAlign w:val="bottom"/>
            <w:tcBorders>
              <w:bottom w:val="single" w:sz="8" w:color="98B0CF"/>
            </w:tcBorders>
            <w:shd w:val="clear" w:color="auto" w:fill="98B0CF"/>
          </w:tcPr>
          <w:p>
            <w:pPr>
              <w:spacing w:after="0"/>
              <w:rPr>
                <w:sz w:val="11"/>
                <w:szCs w:val="11"/>
                <w:color w:val="auto"/>
              </w:rPr>
            </w:pPr>
          </w:p>
        </w:tc>
        <w:tc>
          <w:tcPr>
            <w:tcW w:w="120" w:type="dxa"/>
            <w:vAlign w:val="bottom"/>
            <w:tcBorders>
              <w:bottom w:val="single" w:sz="8" w:color="98B0CF"/>
            </w:tcBorders>
            <w:shd w:val="clear" w:color="auto" w:fill="98B0CF"/>
          </w:tcPr>
          <w:p>
            <w:pPr>
              <w:spacing w:after="0"/>
              <w:rPr>
                <w:sz w:val="11"/>
                <w:szCs w:val="11"/>
                <w:color w:val="auto"/>
              </w:rPr>
            </w:pPr>
          </w:p>
        </w:tc>
        <w:tc>
          <w:tcPr>
            <w:tcW w:w="80" w:type="dxa"/>
            <w:vAlign w:val="bottom"/>
            <w:tcBorders>
              <w:bottom w:val="single" w:sz="8" w:color="auto"/>
            </w:tcBorders>
            <w:shd w:val="clear" w:color="auto" w:fill="98B0CF"/>
          </w:tcPr>
          <w:p>
            <w:pPr>
              <w:spacing w:after="0"/>
              <w:rPr>
                <w:sz w:val="11"/>
                <w:szCs w:val="11"/>
                <w:color w:val="auto"/>
              </w:rPr>
            </w:pPr>
          </w:p>
        </w:tc>
        <w:tc>
          <w:tcPr>
            <w:tcW w:w="680" w:type="dxa"/>
            <w:vAlign w:val="bottom"/>
            <w:tcBorders>
              <w:bottom w:val="single" w:sz="8" w:color="auto"/>
            </w:tcBorders>
            <w:shd w:val="clear" w:color="auto" w:fill="98B0CF"/>
          </w:tcPr>
          <w:p>
            <w:pPr>
              <w:spacing w:after="0"/>
              <w:rPr>
                <w:sz w:val="11"/>
                <w:szCs w:val="11"/>
                <w:color w:val="auto"/>
              </w:rPr>
            </w:pPr>
          </w:p>
        </w:tc>
        <w:tc>
          <w:tcPr>
            <w:tcW w:w="180" w:type="dxa"/>
            <w:vAlign w:val="bottom"/>
            <w:tcBorders>
              <w:bottom w:val="single" w:sz="8" w:color="auto"/>
            </w:tcBorders>
            <w:shd w:val="clear" w:color="auto" w:fill="98B0CF"/>
          </w:tcPr>
          <w:p>
            <w:pPr>
              <w:spacing w:after="0"/>
              <w:rPr>
                <w:sz w:val="11"/>
                <w:szCs w:val="11"/>
                <w:color w:val="auto"/>
              </w:rPr>
            </w:pPr>
          </w:p>
        </w:tc>
        <w:tc>
          <w:tcPr>
            <w:tcW w:w="780" w:type="dxa"/>
            <w:vAlign w:val="bottom"/>
            <w:tcBorders>
              <w:bottom w:val="single" w:sz="8" w:color="auto"/>
            </w:tcBorders>
            <w:shd w:val="clear" w:color="auto" w:fill="98B0CF"/>
          </w:tcPr>
          <w:p>
            <w:pPr>
              <w:spacing w:after="0"/>
              <w:rPr>
                <w:sz w:val="11"/>
                <w:szCs w:val="11"/>
                <w:color w:val="auto"/>
              </w:rPr>
            </w:pPr>
          </w:p>
        </w:tc>
        <w:tc>
          <w:tcPr>
            <w:tcW w:w="180" w:type="dxa"/>
            <w:vAlign w:val="bottom"/>
            <w:tcBorders>
              <w:bottom w:val="single" w:sz="8" w:color="auto"/>
            </w:tcBorders>
            <w:shd w:val="clear" w:color="auto" w:fill="98B0CF"/>
          </w:tcPr>
          <w:p>
            <w:pPr>
              <w:spacing w:after="0"/>
              <w:rPr>
                <w:sz w:val="11"/>
                <w:szCs w:val="11"/>
                <w:color w:val="auto"/>
              </w:rPr>
            </w:pPr>
          </w:p>
        </w:tc>
        <w:tc>
          <w:tcPr>
            <w:tcW w:w="880" w:type="dxa"/>
            <w:vAlign w:val="bottom"/>
            <w:tcBorders>
              <w:bottom w:val="single" w:sz="8" w:color="auto"/>
            </w:tcBorders>
            <w:shd w:val="clear" w:color="auto" w:fill="98B0CF"/>
          </w:tcPr>
          <w:p>
            <w:pPr>
              <w:jc w:val="center"/>
              <w:ind w:right="133"/>
              <w:spacing w:after="0" w:line="129" w:lineRule="exact"/>
              <w:rPr>
                <w:sz w:val="20"/>
                <w:szCs w:val="20"/>
                <w:color w:val="auto"/>
              </w:rPr>
            </w:pPr>
            <w:r>
              <w:rPr>
                <w:rFonts w:ascii="Arial" w:cs="Arial" w:eastAsia="Arial" w:hAnsi="Arial"/>
                <w:sz w:val="13"/>
                <w:szCs w:val="13"/>
                <w:b w:val="1"/>
                <w:bCs w:val="1"/>
                <w:color w:val="auto"/>
                <w:w w:val="96"/>
              </w:rPr>
              <w:t>2026</w:t>
            </w:r>
          </w:p>
        </w:tc>
        <w:tc>
          <w:tcPr>
            <w:tcW w:w="260" w:type="dxa"/>
            <w:vAlign w:val="bottom"/>
            <w:tcBorders>
              <w:bottom w:val="single" w:sz="8" w:color="auto"/>
            </w:tcBorders>
            <w:shd w:val="clear" w:color="auto" w:fill="98B0CF"/>
          </w:tcPr>
          <w:p>
            <w:pPr>
              <w:spacing w:after="0"/>
              <w:rPr>
                <w:sz w:val="11"/>
                <w:szCs w:val="11"/>
                <w:color w:val="auto"/>
              </w:rPr>
            </w:pPr>
          </w:p>
        </w:tc>
        <w:tc>
          <w:tcPr>
            <w:tcW w:w="520" w:type="dxa"/>
            <w:vAlign w:val="bottom"/>
            <w:tcBorders>
              <w:bottom w:val="single" w:sz="8" w:color="auto"/>
            </w:tcBorders>
            <w:shd w:val="clear" w:color="auto" w:fill="98B0CF"/>
          </w:tcPr>
          <w:p>
            <w:pPr>
              <w:spacing w:after="0"/>
              <w:rPr>
                <w:sz w:val="11"/>
                <w:szCs w:val="11"/>
                <w:color w:val="auto"/>
              </w:rPr>
            </w:pPr>
          </w:p>
        </w:tc>
        <w:tc>
          <w:tcPr>
            <w:tcW w:w="340" w:type="dxa"/>
            <w:vAlign w:val="bottom"/>
            <w:tcBorders>
              <w:bottom w:val="single" w:sz="8" w:color="auto"/>
            </w:tcBorders>
            <w:shd w:val="clear" w:color="auto" w:fill="98B0CF"/>
          </w:tcPr>
          <w:p>
            <w:pPr>
              <w:spacing w:after="0"/>
              <w:rPr>
                <w:sz w:val="11"/>
                <w:szCs w:val="11"/>
                <w:color w:val="auto"/>
              </w:rPr>
            </w:pPr>
          </w:p>
        </w:tc>
        <w:tc>
          <w:tcPr>
            <w:tcW w:w="70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98B0CF"/>
            </w:tcBorders>
            <w:shd w:val="clear" w:color="auto" w:fill="98B0CF"/>
          </w:tcPr>
          <w:p>
            <w:pPr>
              <w:spacing w:after="0"/>
              <w:rPr>
                <w:sz w:val="11"/>
                <w:szCs w:val="11"/>
                <w:color w:val="auto"/>
              </w:rPr>
            </w:pPr>
          </w:p>
        </w:tc>
        <w:tc>
          <w:tcPr>
            <w:tcW w:w="100" w:type="dxa"/>
            <w:vAlign w:val="bottom"/>
            <w:tcBorders>
              <w:bottom w:val="single" w:sz="8" w:color="auto"/>
            </w:tcBorders>
            <w:shd w:val="clear" w:color="auto" w:fill="98B0CF"/>
          </w:tcPr>
          <w:p>
            <w:pPr>
              <w:spacing w:after="0"/>
              <w:rPr>
                <w:sz w:val="11"/>
                <w:szCs w:val="11"/>
                <w:color w:val="auto"/>
              </w:rPr>
            </w:pPr>
          </w:p>
        </w:tc>
        <w:tc>
          <w:tcPr>
            <w:tcW w:w="700" w:type="dxa"/>
            <w:vAlign w:val="bottom"/>
            <w:tcBorders>
              <w:bottom w:val="single" w:sz="8" w:color="auto"/>
            </w:tcBorders>
            <w:shd w:val="clear" w:color="auto" w:fill="98B0CF"/>
          </w:tcPr>
          <w:p>
            <w:pPr>
              <w:spacing w:after="0"/>
              <w:rPr>
                <w:sz w:val="11"/>
                <w:szCs w:val="11"/>
                <w:color w:val="auto"/>
              </w:rPr>
            </w:pPr>
          </w:p>
        </w:tc>
        <w:tc>
          <w:tcPr>
            <w:tcW w:w="200" w:type="dxa"/>
            <w:vAlign w:val="bottom"/>
            <w:tcBorders>
              <w:bottom w:val="single" w:sz="8" w:color="auto"/>
            </w:tcBorders>
            <w:shd w:val="clear" w:color="auto" w:fill="98B0CF"/>
          </w:tcPr>
          <w:p>
            <w:pPr>
              <w:spacing w:after="0"/>
              <w:rPr>
                <w:sz w:val="11"/>
                <w:szCs w:val="11"/>
                <w:color w:val="auto"/>
              </w:rPr>
            </w:pPr>
          </w:p>
        </w:tc>
        <w:tc>
          <w:tcPr>
            <w:tcW w:w="800" w:type="dxa"/>
            <w:vAlign w:val="bottom"/>
            <w:tcBorders>
              <w:bottom w:val="single" w:sz="8" w:color="auto"/>
            </w:tcBorders>
            <w:shd w:val="clear" w:color="auto" w:fill="98B0CF"/>
          </w:tcPr>
          <w:p>
            <w:pPr>
              <w:spacing w:after="0"/>
              <w:rPr>
                <w:sz w:val="11"/>
                <w:szCs w:val="11"/>
                <w:color w:val="auto"/>
              </w:rPr>
            </w:pPr>
          </w:p>
        </w:tc>
        <w:tc>
          <w:tcPr>
            <w:tcW w:w="180" w:type="dxa"/>
            <w:vAlign w:val="bottom"/>
            <w:tcBorders>
              <w:bottom w:val="single" w:sz="8" w:color="auto"/>
            </w:tcBorders>
            <w:shd w:val="clear" w:color="auto" w:fill="98B0CF"/>
          </w:tcPr>
          <w:p>
            <w:pPr>
              <w:spacing w:after="0"/>
              <w:rPr>
                <w:sz w:val="11"/>
                <w:szCs w:val="11"/>
                <w:color w:val="auto"/>
              </w:rPr>
            </w:pPr>
          </w:p>
        </w:tc>
        <w:tc>
          <w:tcPr>
            <w:tcW w:w="860" w:type="dxa"/>
            <w:vAlign w:val="bottom"/>
            <w:tcBorders>
              <w:bottom w:val="single" w:sz="8" w:color="auto"/>
            </w:tcBorders>
            <w:shd w:val="clear" w:color="auto" w:fill="98B0CF"/>
          </w:tcPr>
          <w:p>
            <w:pPr>
              <w:jc w:val="right"/>
              <w:ind w:right="353"/>
              <w:spacing w:after="0" w:line="129" w:lineRule="exact"/>
              <w:rPr>
                <w:sz w:val="20"/>
                <w:szCs w:val="20"/>
                <w:color w:val="auto"/>
              </w:rPr>
            </w:pPr>
            <w:r>
              <w:rPr>
                <w:rFonts w:ascii="Arial" w:cs="Arial" w:eastAsia="Arial" w:hAnsi="Arial"/>
                <w:sz w:val="13"/>
                <w:szCs w:val="13"/>
                <w:b w:val="1"/>
                <w:bCs w:val="1"/>
                <w:color w:val="auto"/>
              </w:rPr>
              <w:t>2025</w:t>
            </w:r>
          </w:p>
        </w:tc>
        <w:tc>
          <w:tcPr>
            <w:tcW w:w="200" w:type="dxa"/>
            <w:vAlign w:val="bottom"/>
            <w:tcBorders>
              <w:bottom w:val="single" w:sz="8" w:color="auto"/>
            </w:tcBorders>
            <w:shd w:val="clear" w:color="auto" w:fill="98B0CF"/>
          </w:tcPr>
          <w:p>
            <w:pPr>
              <w:spacing w:after="0"/>
              <w:rPr>
                <w:sz w:val="11"/>
                <w:szCs w:val="11"/>
                <w:color w:val="auto"/>
              </w:rPr>
            </w:pPr>
          </w:p>
        </w:tc>
        <w:tc>
          <w:tcPr>
            <w:tcW w:w="580" w:type="dxa"/>
            <w:vAlign w:val="bottom"/>
            <w:tcBorders>
              <w:bottom w:val="single" w:sz="8" w:color="auto"/>
            </w:tcBorders>
            <w:shd w:val="clear" w:color="auto" w:fill="98B0CF"/>
          </w:tcPr>
          <w:p>
            <w:pPr>
              <w:spacing w:after="0"/>
              <w:rPr>
                <w:sz w:val="11"/>
                <w:szCs w:val="11"/>
                <w:color w:val="auto"/>
              </w:rPr>
            </w:pPr>
          </w:p>
        </w:tc>
        <w:tc>
          <w:tcPr>
            <w:tcW w:w="280" w:type="dxa"/>
            <w:vAlign w:val="bottom"/>
            <w:tcBorders>
              <w:bottom w:val="single" w:sz="8" w:color="auto"/>
            </w:tcBorders>
            <w:shd w:val="clear" w:color="auto" w:fill="98B0CF"/>
          </w:tcPr>
          <w:p>
            <w:pPr>
              <w:spacing w:after="0"/>
              <w:rPr>
                <w:sz w:val="11"/>
                <w:szCs w:val="11"/>
                <w:color w:val="auto"/>
              </w:rPr>
            </w:pPr>
          </w:p>
        </w:tc>
        <w:tc>
          <w:tcPr>
            <w:tcW w:w="760" w:type="dxa"/>
            <w:vAlign w:val="bottom"/>
            <w:tcBorders>
              <w:bottom w:val="single" w:sz="8" w:color="auto"/>
            </w:tcBorders>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760" w:type="dxa"/>
            <w:vAlign w:val="bottom"/>
            <w:shd w:val="clear" w:color="auto" w:fill="98B0CF"/>
          </w:tcPr>
          <w:p>
            <w:pPr>
              <w:spacing w:after="0"/>
              <w:rPr>
                <w:sz w:val="9"/>
                <w:szCs w:val="9"/>
                <w:color w:val="auto"/>
              </w:rPr>
            </w:pPr>
          </w:p>
        </w:tc>
        <w:tc>
          <w:tcPr>
            <w:tcW w:w="120" w:type="dxa"/>
            <w:vAlign w:val="bottom"/>
            <w:shd w:val="clear" w:color="auto" w:fill="98B0CF"/>
          </w:tcPr>
          <w:p>
            <w:pPr>
              <w:spacing w:after="0"/>
              <w:rPr>
                <w:sz w:val="9"/>
                <w:szCs w:val="9"/>
                <w:color w:val="auto"/>
              </w:rPr>
            </w:pPr>
          </w:p>
        </w:tc>
        <w:tc>
          <w:tcPr>
            <w:tcW w:w="80" w:type="dxa"/>
            <w:vAlign w:val="bottom"/>
            <w:shd w:val="clear" w:color="auto" w:fill="98B0CF"/>
          </w:tcPr>
          <w:p>
            <w:pPr>
              <w:spacing w:after="0"/>
              <w:rPr>
                <w:sz w:val="9"/>
                <w:szCs w:val="9"/>
                <w:color w:val="auto"/>
              </w:rPr>
            </w:pPr>
          </w:p>
        </w:tc>
        <w:tc>
          <w:tcPr>
            <w:tcW w:w="680" w:type="dxa"/>
            <w:vAlign w:val="bottom"/>
            <w:shd w:val="clear" w:color="auto" w:fill="98B0CF"/>
          </w:tcPr>
          <w:p>
            <w:pPr>
              <w:spacing w:after="0"/>
              <w:rPr>
                <w:sz w:val="9"/>
                <w:szCs w:val="9"/>
                <w:color w:val="auto"/>
              </w:rPr>
            </w:pPr>
          </w:p>
        </w:tc>
        <w:tc>
          <w:tcPr>
            <w:tcW w:w="960" w:type="dxa"/>
            <w:vAlign w:val="bottom"/>
            <w:gridSpan w:val="2"/>
            <w:shd w:val="clear" w:color="auto" w:fill="98B0CF"/>
          </w:tcPr>
          <w:p>
            <w:pPr>
              <w:jc w:val="center"/>
              <w:spacing w:after="0" w:line="111" w:lineRule="exact"/>
              <w:rPr>
                <w:sz w:val="20"/>
                <w:szCs w:val="20"/>
                <w:color w:val="auto"/>
              </w:rPr>
            </w:pPr>
            <w:r>
              <w:rPr>
                <w:rFonts w:ascii="Arial" w:cs="Arial" w:eastAsia="Arial" w:hAnsi="Arial"/>
                <w:sz w:val="12"/>
                <w:szCs w:val="12"/>
                <w:b w:val="1"/>
                <w:bCs w:val="1"/>
                <w:color w:val="auto"/>
              </w:rPr>
              <w:t>Outcome-</w:t>
            </w:r>
          </w:p>
        </w:tc>
        <w:tc>
          <w:tcPr>
            <w:tcW w:w="180" w:type="dxa"/>
            <w:vAlign w:val="bottom"/>
            <w:shd w:val="clear" w:color="auto" w:fill="98B0CF"/>
          </w:tcPr>
          <w:p>
            <w:pPr>
              <w:spacing w:after="0"/>
              <w:rPr>
                <w:sz w:val="9"/>
                <w:szCs w:val="9"/>
                <w:color w:val="auto"/>
              </w:rPr>
            </w:pPr>
          </w:p>
        </w:tc>
        <w:tc>
          <w:tcPr>
            <w:tcW w:w="880" w:type="dxa"/>
            <w:vAlign w:val="bottom"/>
            <w:shd w:val="clear" w:color="auto" w:fill="98B0CF"/>
          </w:tcPr>
          <w:p>
            <w:pPr>
              <w:spacing w:after="0"/>
              <w:rPr>
                <w:sz w:val="9"/>
                <w:szCs w:val="9"/>
                <w:color w:val="auto"/>
              </w:rPr>
            </w:pPr>
          </w:p>
        </w:tc>
        <w:tc>
          <w:tcPr>
            <w:tcW w:w="260" w:type="dxa"/>
            <w:vAlign w:val="bottom"/>
            <w:shd w:val="clear" w:color="auto" w:fill="98B0CF"/>
          </w:tcPr>
          <w:p>
            <w:pPr>
              <w:spacing w:after="0"/>
              <w:rPr>
                <w:sz w:val="9"/>
                <w:szCs w:val="9"/>
                <w:color w:val="auto"/>
              </w:rPr>
            </w:pPr>
          </w:p>
        </w:tc>
        <w:tc>
          <w:tcPr>
            <w:tcW w:w="520" w:type="dxa"/>
            <w:vAlign w:val="bottom"/>
            <w:shd w:val="clear" w:color="auto" w:fill="98B0CF"/>
          </w:tcPr>
          <w:p>
            <w:pPr>
              <w:spacing w:after="0"/>
              <w:rPr>
                <w:sz w:val="9"/>
                <w:szCs w:val="9"/>
                <w:color w:val="auto"/>
              </w:rPr>
            </w:pPr>
          </w:p>
        </w:tc>
        <w:tc>
          <w:tcPr>
            <w:tcW w:w="340" w:type="dxa"/>
            <w:vAlign w:val="bottom"/>
            <w:shd w:val="clear" w:color="auto" w:fill="98B0CF"/>
          </w:tcPr>
          <w:p>
            <w:pPr>
              <w:spacing w:after="0"/>
              <w:rPr>
                <w:sz w:val="9"/>
                <w:szCs w:val="9"/>
                <w:color w:val="auto"/>
              </w:rPr>
            </w:pPr>
          </w:p>
        </w:tc>
        <w:tc>
          <w:tcPr>
            <w:tcW w:w="70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700" w:type="dxa"/>
            <w:vAlign w:val="bottom"/>
            <w:shd w:val="clear" w:color="auto" w:fill="98B0CF"/>
          </w:tcPr>
          <w:p>
            <w:pPr>
              <w:spacing w:after="0"/>
              <w:rPr>
                <w:sz w:val="9"/>
                <w:szCs w:val="9"/>
                <w:color w:val="auto"/>
              </w:rPr>
            </w:pPr>
          </w:p>
        </w:tc>
        <w:tc>
          <w:tcPr>
            <w:tcW w:w="200" w:type="dxa"/>
            <w:vAlign w:val="bottom"/>
            <w:shd w:val="clear" w:color="auto" w:fill="98B0CF"/>
          </w:tcPr>
          <w:p>
            <w:pPr>
              <w:spacing w:after="0"/>
              <w:rPr>
                <w:sz w:val="9"/>
                <w:szCs w:val="9"/>
                <w:color w:val="auto"/>
              </w:rPr>
            </w:pPr>
          </w:p>
        </w:tc>
        <w:tc>
          <w:tcPr>
            <w:tcW w:w="800" w:type="dxa"/>
            <w:vAlign w:val="bottom"/>
            <w:shd w:val="clear" w:color="auto" w:fill="98B0CF"/>
          </w:tcPr>
          <w:p>
            <w:pPr>
              <w:jc w:val="center"/>
              <w:ind w:right="134"/>
              <w:spacing w:after="0" w:line="111" w:lineRule="exact"/>
              <w:rPr>
                <w:sz w:val="20"/>
                <w:szCs w:val="20"/>
                <w:color w:val="auto"/>
              </w:rPr>
            </w:pPr>
            <w:r>
              <w:rPr>
                <w:rFonts w:ascii="Arial" w:cs="Arial" w:eastAsia="Arial" w:hAnsi="Arial"/>
                <w:sz w:val="12"/>
                <w:szCs w:val="12"/>
                <w:b w:val="1"/>
                <w:bCs w:val="1"/>
                <w:color w:val="auto"/>
              </w:rPr>
              <w:t>Outcome-</w:t>
            </w:r>
          </w:p>
        </w:tc>
        <w:tc>
          <w:tcPr>
            <w:tcW w:w="180" w:type="dxa"/>
            <w:vAlign w:val="bottom"/>
            <w:shd w:val="clear" w:color="auto" w:fill="98B0CF"/>
          </w:tcPr>
          <w:p>
            <w:pPr>
              <w:spacing w:after="0"/>
              <w:rPr>
                <w:sz w:val="9"/>
                <w:szCs w:val="9"/>
                <w:color w:val="auto"/>
              </w:rPr>
            </w:pPr>
          </w:p>
        </w:tc>
        <w:tc>
          <w:tcPr>
            <w:tcW w:w="860" w:type="dxa"/>
            <w:vAlign w:val="bottom"/>
            <w:shd w:val="clear" w:color="auto" w:fill="98B0CF"/>
          </w:tcPr>
          <w:p>
            <w:pPr>
              <w:spacing w:after="0"/>
              <w:rPr>
                <w:sz w:val="9"/>
                <w:szCs w:val="9"/>
                <w:color w:val="auto"/>
              </w:rPr>
            </w:pPr>
          </w:p>
        </w:tc>
        <w:tc>
          <w:tcPr>
            <w:tcW w:w="200" w:type="dxa"/>
            <w:vAlign w:val="bottom"/>
            <w:shd w:val="clear" w:color="auto" w:fill="98B0CF"/>
          </w:tcPr>
          <w:p>
            <w:pPr>
              <w:spacing w:after="0"/>
              <w:rPr>
                <w:sz w:val="9"/>
                <w:szCs w:val="9"/>
                <w:color w:val="auto"/>
              </w:rPr>
            </w:pPr>
          </w:p>
        </w:tc>
        <w:tc>
          <w:tcPr>
            <w:tcW w:w="580" w:type="dxa"/>
            <w:vAlign w:val="bottom"/>
            <w:shd w:val="clear" w:color="auto" w:fill="98B0CF"/>
          </w:tcPr>
          <w:p>
            <w:pPr>
              <w:spacing w:after="0"/>
              <w:rPr>
                <w:sz w:val="9"/>
                <w:szCs w:val="9"/>
                <w:color w:val="auto"/>
              </w:rPr>
            </w:pPr>
          </w:p>
        </w:tc>
        <w:tc>
          <w:tcPr>
            <w:tcW w:w="280" w:type="dxa"/>
            <w:vAlign w:val="bottom"/>
            <w:shd w:val="clear" w:color="auto" w:fill="98B0CF"/>
          </w:tcPr>
          <w:p>
            <w:pPr>
              <w:spacing w:after="0"/>
              <w:rPr>
                <w:sz w:val="9"/>
                <w:szCs w:val="9"/>
                <w:color w:val="auto"/>
              </w:rPr>
            </w:pPr>
          </w:p>
        </w:tc>
        <w:tc>
          <w:tcPr>
            <w:tcW w:w="760" w:type="dxa"/>
            <w:vAlign w:val="bottom"/>
            <w:shd w:val="clear" w:color="auto" w:fill="98B0C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680" w:type="dxa"/>
            <w:vAlign w:val="bottom"/>
            <w:vMerge w:val="restart"/>
            <w:shd w:val="clear" w:color="auto" w:fill="98B0CF"/>
          </w:tcPr>
          <w:p>
            <w:pPr>
              <w:jc w:val="center"/>
              <w:ind w:right="154"/>
              <w:spacing w:after="0"/>
              <w:rPr>
                <w:sz w:val="20"/>
                <w:szCs w:val="20"/>
                <w:color w:val="auto"/>
              </w:rPr>
            </w:pPr>
            <w:r>
              <w:rPr>
                <w:rFonts w:ascii="Arial" w:cs="Arial" w:eastAsia="Arial" w:hAnsi="Arial"/>
                <w:sz w:val="13"/>
                <w:szCs w:val="13"/>
                <w:b w:val="1"/>
                <w:bCs w:val="1"/>
                <w:color w:val="auto"/>
                <w:w w:val="94"/>
              </w:rPr>
              <w:t>Staffing</w:t>
            </w:r>
          </w:p>
        </w:tc>
        <w:tc>
          <w:tcPr>
            <w:tcW w:w="180" w:type="dxa"/>
            <w:vAlign w:val="bottom"/>
            <w:shd w:val="clear" w:color="auto" w:fill="98B0CF"/>
          </w:tcPr>
          <w:p>
            <w:pPr>
              <w:spacing w:after="0"/>
              <w:rPr>
                <w:sz w:val="11"/>
                <w:szCs w:val="11"/>
                <w:color w:val="auto"/>
              </w:rPr>
            </w:pPr>
          </w:p>
        </w:tc>
        <w:tc>
          <w:tcPr>
            <w:tcW w:w="78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Based</w:t>
            </w:r>
          </w:p>
        </w:tc>
        <w:tc>
          <w:tcPr>
            <w:tcW w:w="180" w:type="dxa"/>
            <w:vAlign w:val="bottom"/>
            <w:shd w:val="clear" w:color="auto" w:fill="98B0CF"/>
          </w:tcPr>
          <w:p>
            <w:pPr>
              <w:spacing w:after="0"/>
              <w:rPr>
                <w:sz w:val="11"/>
                <w:szCs w:val="11"/>
                <w:color w:val="auto"/>
              </w:rPr>
            </w:pPr>
          </w:p>
        </w:tc>
        <w:tc>
          <w:tcPr>
            <w:tcW w:w="88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520" w:type="dxa"/>
            <w:vAlign w:val="bottom"/>
            <w:shd w:val="clear" w:color="auto" w:fill="98B0CF"/>
          </w:tcPr>
          <w:p>
            <w:pPr>
              <w:spacing w:after="0"/>
              <w:rPr>
                <w:sz w:val="11"/>
                <w:szCs w:val="11"/>
                <w:color w:val="auto"/>
              </w:rPr>
            </w:pPr>
          </w:p>
        </w:tc>
        <w:tc>
          <w:tcPr>
            <w:tcW w:w="340" w:type="dxa"/>
            <w:vAlign w:val="bottom"/>
            <w:shd w:val="clear" w:color="auto" w:fill="98B0CF"/>
          </w:tcPr>
          <w:p>
            <w:pPr>
              <w:spacing w:after="0"/>
              <w:rPr>
                <w:sz w:val="11"/>
                <w:szCs w:val="11"/>
                <w:color w:val="auto"/>
              </w:rPr>
            </w:pPr>
          </w:p>
        </w:tc>
        <w:tc>
          <w:tcPr>
            <w:tcW w:w="7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00" w:type="dxa"/>
            <w:vAlign w:val="bottom"/>
            <w:vMerge w:val="restart"/>
            <w:shd w:val="clear" w:color="auto" w:fill="98B0CF"/>
          </w:tcPr>
          <w:p>
            <w:pPr>
              <w:jc w:val="center"/>
              <w:ind w:right="134"/>
              <w:spacing w:after="0"/>
              <w:rPr>
                <w:sz w:val="20"/>
                <w:szCs w:val="20"/>
                <w:color w:val="auto"/>
              </w:rPr>
            </w:pPr>
            <w:r>
              <w:rPr>
                <w:rFonts w:ascii="Arial" w:cs="Arial" w:eastAsia="Arial" w:hAnsi="Arial"/>
                <w:sz w:val="13"/>
                <w:szCs w:val="13"/>
                <w:b w:val="1"/>
                <w:bCs w:val="1"/>
                <w:color w:val="auto"/>
                <w:w w:val="94"/>
              </w:rPr>
              <w:t>Staffing</w:t>
            </w:r>
          </w:p>
        </w:tc>
        <w:tc>
          <w:tcPr>
            <w:tcW w:w="20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2"/>
              </w:rPr>
              <w:t>Based</w:t>
            </w:r>
          </w:p>
        </w:tc>
        <w:tc>
          <w:tcPr>
            <w:tcW w:w="180" w:type="dxa"/>
            <w:vAlign w:val="bottom"/>
            <w:shd w:val="clear" w:color="auto" w:fill="98B0CF"/>
          </w:tcPr>
          <w:p>
            <w:pPr>
              <w:spacing w:after="0"/>
              <w:rPr>
                <w:sz w:val="11"/>
                <w:szCs w:val="11"/>
                <w:color w:val="auto"/>
              </w:rPr>
            </w:pPr>
          </w:p>
        </w:tc>
        <w:tc>
          <w:tcPr>
            <w:tcW w:w="860" w:type="dxa"/>
            <w:vAlign w:val="bottom"/>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580" w:type="dxa"/>
            <w:vAlign w:val="bottom"/>
            <w:shd w:val="clear" w:color="auto" w:fill="98B0CF"/>
          </w:tcPr>
          <w:p>
            <w:pPr>
              <w:spacing w:after="0"/>
              <w:rPr>
                <w:sz w:val="11"/>
                <w:szCs w:val="11"/>
                <w:color w:val="auto"/>
              </w:rPr>
            </w:pPr>
          </w:p>
        </w:tc>
        <w:tc>
          <w:tcPr>
            <w:tcW w:w="280" w:type="dxa"/>
            <w:vAlign w:val="bottom"/>
            <w:shd w:val="clear" w:color="auto" w:fill="98B0CF"/>
          </w:tcPr>
          <w:p>
            <w:pPr>
              <w:spacing w:after="0"/>
              <w:rPr>
                <w:sz w:val="11"/>
                <w:szCs w:val="11"/>
                <w:color w:val="auto"/>
              </w:rPr>
            </w:pPr>
          </w:p>
        </w:tc>
        <w:tc>
          <w:tcPr>
            <w:tcW w:w="76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680" w:type="dxa"/>
            <w:vAlign w:val="bottom"/>
            <w:vMerge w:val="continue"/>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78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Solutions</w:t>
            </w:r>
          </w:p>
        </w:tc>
        <w:tc>
          <w:tcPr>
            <w:tcW w:w="180" w:type="dxa"/>
            <w:vAlign w:val="bottom"/>
            <w:shd w:val="clear" w:color="auto" w:fill="98B0CF"/>
          </w:tcPr>
          <w:p>
            <w:pPr>
              <w:spacing w:after="0"/>
              <w:rPr>
                <w:sz w:val="11"/>
                <w:szCs w:val="11"/>
                <w:color w:val="auto"/>
              </w:rPr>
            </w:pPr>
          </w:p>
        </w:tc>
        <w:tc>
          <w:tcPr>
            <w:tcW w:w="880" w:type="dxa"/>
            <w:vAlign w:val="bottom"/>
            <w:vMerge w:val="restart"/>
            <w:shd w:val="clear" w:color="auto" w:fill="98B0CF"/>
          </w:tcPr>
          <w:p>
            <w:pPr>
              <w:jc w:val="center"/>
              <w:ind w:right="153"/>
              <w:spacing w:after="0"/>
              <w:rPr>
                <w:sz w:val="20"/>
                <w:szCs w:val="20"/>
                <w:color w:val="auto"/>
              </w:rPr>
            </w:pPr>
            <w:r>
              <w:rPr>
                <w:rFonts w:ascii="Arial" w:cs="Arial" w:eastAsia="Arial" w:hAnsi="Arial"/>
                <w:sz w:val="13"/>
                <w:szCs w:val="13"/>
                <w:b w:val="1"/>
                <w:bCs w:val="1"/>
                <w:color w:val="auto"/>
                <w:w w:val="98"/>
              </w:rPr>
              <w:t>Permanent</w:t>
            </w:r>
          </w:p>
        </w:tc>
        <w:tc>
          <w:tcPr>
            <w:tcW w:w="260" w:type="dxa"/>
            <w:vAlign w:val="bottom"/>
            <w:shd w:val="clear" w:color="auto" w:fill="98B0CF"/>
          </w:tcPr>
          <w:p>
            <w:pPr>
              <w:spacing w:after="0"/>
              <w:rPr>
                <w:sz w:val="11"/>
                <w:szCs w:val="11"/>
                <w:color w:val="auto"/>
              </w:rPr>
            </w:pPr>
          </w:p>
        </w:tc>
        <w:tc>
          <w:tcPr>
            <w:tcW w:w="520" w:type="dxa"/>
            <w:vAlign w:val="bottom"/>
            <w:shd w:val="clear" w:color="auto" w:fill="98B0CF"/>
          </w:tcPr>
          <w:p>
            <w:pPr>
              <w:spacing w:after="0"/>
              <w:rPr>
                <w:sz w:val="11"/>
                <w:szCs w:val="11"/>
                <w:color w:val="auto"/>
              </w:rPr>
            </w:pPr>
          </w:p>
        </w:tc>
        <w:tc>
          <w:tcPr>
            <w:tcW w:w="340" w:type="dxa"/>
            <w:vAlign w:val="bottom"/>
            <w:shd w:val="clear" w:color="auto" w:fill="98B0CF"/>
          </w:tcPr>
          <w:p>
            <w:pPr>
              <w:spacing w:after="0"/>
              <w:rPr>
                <w:sz w:val="11"/>
                <w:szCs w:val="11"/>
                <w:color w:val="auto"/>
              </w:rPr>
            </w:pPr>
          </w:p>
        </w:tc>
        <w:tc>
          <w:tcPr>
            <w:tcW w:w="7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00" w:type="dxa"/>
            <w:vAlign w:val="bottom"/>
            <w:vMerge w:val="continue"/>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4"/>
              </w:rPr>
              <w:t>Solutions</w:t>
            </w:r>
          </w:p>
        </w:tc>
        <w:tc>
          <w:tcPr>
            <w:tcW w:w="180" w:type="dxa"/>
            <w:vAlign w:val="bottom"/>
            <w:shd w:val="clear" w:color="auto" w:fill="98B0CF"/>
          </w:tcPr>
          <w:p>
            <w:pPr>
              <w:spacing w:after="0"/>
              <w:rPr>
                <w:sz w:val="11"/>
                <w:szCs w:val="11"/>
                <w:color w:val="auto"/>
              </w:rPr>
            </w:pPr>
          </w:p>
        </w:tc>
        <w:tc>
          <w:tcPr>
            <w:tcW w:w="860" w:type="dxa"/>
            <w:vAlign w:val="bottom"/>
            <w:vMerge w:val="restart"/>
            <w:shd w:val="clear" w:color="auto" w:fill="98B0CF"/>
          </w:tcPr>
          <w:p>
            <w:pPr>
              <w:jc w:val="right"/>
              <w:ind w:right="133"/>
              <w:spacing w:after="0"/>
              <w:rPr>
                <w:sz w:val="20"/>
                <w:szCs w:val="20"/>
                <w:color w:val="auto"/>
              </w:rPr>
            </w:pPr>
            <w:r>
              <w:rPr>
                <w:rFonts w:ascii="Arial" w:cs="Arial" w:eastAsia="Arial" w:hAnsi="Arial"/>
                <w:sz w:val="13"/>
                <w:szCs w:val="13"/>
                <w:b w:val="1"/>
                <w:bCs w:val="1"/>
                <w:color w:val="auto"/>
                <w:w w:val="95"/>
              </w:rPr>
              <w:t>Permanent</w:t>
            </w:r>
          </w:p>
        </w:tc>
        <w:tc>
          <w:tcPr>
            <w:tcW w:w="200" w:type="dxa"/>
            <w:vAlign w:val="bottom"/>
            <w:shd w:val="clear" w:color="auto" w:fill="98B0CF"/>
          </w:tcPr>
          <w:p>
            <w:pPr>
              <w:spacing w:after="0"/>
              <w:rPr>
                <w:sz w:val="11"/>
                <w:szCs w:val="11"/>
                <w:color w:val="auto"/>
              </w:rPr>
            </w:pPr>
          </w:p>
        </w:tc>
        <w:tc>
          <w:tcPr>
            <w:tcW w:w="580" w:type="dxa"/>
            <w:vAlign w:val="bottom"/>
            <w:shd w:val="clear" w:color="auto" w:fill="98B0CF"/>
          </w:tcPr>
          <w:p>
            <w:pPr>
              <w:spacing w:after="0"/>
              <w:rPr>
                <w:sz w:val="11"/>
                <w:szCs w:val="11"/>
                <w:color w:val="auto"/>
              </w:rPr>
            </w:pPr>
          </w:p>
        </w:tc>
        <w:tc>
          <w:tcPr>
            <w:tcW w:w="280" w:type="dxa"/>
            <w:vAlign w:val="bottom"/>
            <w:shd w:val="clear" w:color="auto" w:fill="98B0CF"/>
          </w:tcPr>
          <w:p>
            <w:pPr>
              <w:spacing w:after="0"/>
              <w:rPr>
                <w:sz w:val="11"/>
                <w:szCs w:val="11"/>
                <w:color w:val="auto"/>
              </w:rPr>
            </w:pPr>
          </w:p>
        </w:tc>
        <w:tc>
          <w:tcPr>
            <w:tcW w:w="76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680" w:type="dxa"/>
            <w:vAlign w:val="bottom"/>
            <w:shd w:val="clear" w:color="auto" w:fill="98B0CF"/>
          </w:tcPr>
          <w:p>
            <w:pPr>
              <w:jc w:val="center"/>
              <w:ind w:right="154"/>
              <w:spacing w:after="0" w:line="135" w:lineRule="exact"/>
              <w:rPr>
                <w:sz w:val="20"/>
                <w:szCs w:val="20"/>
                <w:color w:val="auto"/>
              </w:rPr>
            </w:pPr>
            <w:r>
              <w:rPr>
                <w:rFonts w:ascii="Arial" w:cs="Arial" w:eastAsia="Arial" w:hAnsi="Arial"/>
                <w:sz w:val="13"/>
                <w:szCs w:val="13"/>
                <w:b w:val="1"/>
                <w:bCs w:val="1"/>
                <w:color w:val="auto"/>
                <w:w w:val="94"/>
              </w:rPr>
              <w:t>and</w:t>
            </w:r>
          </w:p>
        </w:tc>
        <w:tc>
          <w:tcPr>
            <w:tcW w:w="180" w:type="dxa"/>
            <w:vAlign w:val="bottom"/>
            <w:shd w:val="clear" w:color="auto" w:fill="98B0CF"/>
          </w:tcPr>
          <w:p>
            <w:pPr>
              <w:spacing w:after="0"/>
              <w:rPr>
                <w:sz w:val="11"/>
                <w:szCs w:val="11"/>
                <w:color w:val="auto"/>
              </w:rPr>
            </w:pPr>
          </w:p>
        </w:tc>
        <w:tc>
          <w:tcPr>
            <w:tcW w:w="78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4"/>
              </w:rPr>
              <w:t>and</w:t>
            </w:r>
          </w:p>
        </w:tc>
        <w:tc>
          <w:tcPr>
            <w:tcW w:w="180" w:type="dxa"/>
            <w:vAlign w:val="bottom"/>
            <w:shd w:val="clear" w:color="auto" w:fill="98B0CF"/>
          </w:tcPr>
          <w:p>
            <w:pPr>
              <w:spacing w:after="0"/>
              <w:rPr>
                <w:sz w:val="11"/>
                <w:szCs w:val="11"/>
                <w:color w:val="auto"/>
              </w:rPr>
            </w:pPr>
          </w:p>
        </w:tc>
        <w:tc>
          <w:tcPr>
            <w:tcW w:w="880" w:type="dxa"/>
            <w:vAlign w:val="bottom"/>
            <w:vMerge w:val="continue"/>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520" w:type="dxa"/>
            <w:vAlign w:val="bottom"/>
            <w:vMerge w:val="restart"/>
            <w:shd w:val="clear" w:color="auto" w:fill="98B0CF"/>
          </w:tcPr>
          <w:p>
            <w:pPr>
              <w:jc w:val="right"/>
              <w:ind w:right="73"/>
              <w:spacing w:after="0"/>
              <w:rPr>
                <w:sz w:val="20"/>
                <w:szCs w:val="20"/>
                <w:color w:val="auto"/>
              </w:rPr>
            </w:pPr>
            <w:r>
              <w:rPr>
                <w:rFonts w:ascii="Arial" w:cs="Arial" w:eastAsia="Arial" w:hAnsi="Arial"/>
                <w:sz w:val="13"/>
                <w:szCs w:val="13"/>
                <w:b w:val="1"/>
                <w:bCs w:val="1"/>
                <w:color w:val="auto"/>
              </w:rPr>
              <w:t>Other</w:t>
            </w:r>
          </w:p>
        </w:tc>
        <w:tc>
          <w:tcPr>
            <w:tcW w:w="340" w:type="dxa"/>
            <w:vAlign w:val="bottom"/>
            <w:shd w:val="clear" w:color="auto" w:fill="98B0CF"/>
          </w:tcPr>
          <w:p>
            <w:pPr>
              <w:spacing w:after="0"/>
              <w:rPr>
                <w:sz w:val="11"/>
                <w:szCs w:val="11"/>
                <w:color w:val="auto"/>
              </w:rPr>
            </w:pPr>
          </w:p>
        </w:tc>
        <w:tc>
          <w:tcPr>
            <w:tcW w:w="700" w:type="dxa"/>
            <w:vAlign w:val="bottom"/>
            <w:vMerge w:val="restart"/>
            <w:shd w:val="clear" w:color="auto" w:fill="98B0CF"/>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0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4"/>
              </w:rPr>
              <w:t>and</w:t>
            </w:r>
          </w:p>
        </w:tc>
        <w:tc>
          <w:tcPr>
            <w:tcW w:w="20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rPr>
              <w:t>and</w:t>
            </w:r>
          </w:p>
        </w:tc>
        <w:tc>
          <w:tcPr>
            <w:tcW w:w="180" w:type="dxa"/>
            <w:vAlign w:val="bottom"/>
            <w:shd w:val="clear" w:color="auto" w:fill="98B0CF"/>
          </w:tcPr>
          <w:p>
            <w:pPr>
              <w:spacing w:after="0"/>
              <w:rPr>
                <w:sz w:val="11"/>
                <w:szCs w:val="11"/>
                <w:color w:val="auto"/>
              </w:rPr>
            </w:pPr>
          </w:p>
        </w:tc>
        <w:tc>
          <w:tcPr>
            <w:tcW w:w="860" w:type="dxa"/>
            <w:vAlign w:val="bottom"/>
            <w:vMerge w:val="continue"/>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580" w:type="dxa"/>
            <w:vAlign w:val="bottom"/>
            <w:vMerge w:val="restart"/>
            <w:shd w:val="clear" w:color="auto" w:fill="98B0CF"/>
          </w:tcPr>
          <w:p>
            <w:pPr>
              <w:jc w:val="right"/>
              <w:ind w:right="153"/>
              <w:spacing w:after="0"/>
              <w:rPr>
                <w:sz w:val="20"/>
                <w:szCs w:val="20"/>
                <w:color w:val="auto"/>
              </w:rPr>
            </w:pPr>
            <w:r>
              <w:rPr>
                <w:rFonts w:ascii="Arial" w:cs="Arial" w:eastAsia="Arial" w:hAnsi="Arial"/>
                <w:sz w:val="13"/>
                <w:szCs w:val="13"/>
                <w:b w:val="1"/>
                <w:bCs w:val="1"/>
                <w:color w:val="auto"/>
                <w:w w:val="97"/>
              </w:rPr>
              <w:t>Other</w:t>
            </w:r>
          </w:p>
        </w:tc>
        <w:tc>
          <w:tcPr>
            <w:tcW w:w="280" w:type="dxa"/>
            <w:vAlign w:val="bottom"/>
            <w:shd w:val="clear" w:color="auto" w:fill="98B0CF"/>
          </w:tcPr>
          <w:p>
            <w:pPr>
              <w:spacing w:after="0"/>
              <w:rPr>
                <w:sz w:val="11"/>
                <w:szCs w:val="11"/>
                <w:color w:val="auto"/>
              </w:rPr>
            </w:pPr>
          </w:p>
        </w:tc>
        <w:tc>
          <w:tcPr>
            <w:tcW w:w="760" w:type="dxa"/>
            <w:vAlign w:val="bottom"/>
            <w:vMerge w:val="restart"/>
            <w:shd w:val="clear" w:color="auto" w:fill="98B0CF"/>
          </w:tcPr>
          <w:p>
            <w:pPr>
              <w:jc w:val="right"/>
              <w:ind w:right="29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76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80" w:type="dxa"/>
            <w:vAlign w:val="bottom"/>
            <w:tcBorders>
              <w:bottom w:val="single" w:sz="8" w:color="auto"/>
            </w:tcBorders>
            <w:shd w:val="clear" w:color="auto" w:fill="98B0CF"/>
          </w:tcPr>
          <w:p>
            <w:pPr>
              <w:spacing w:after="0"/>
              <w:rPr>
                <w:sz w:val="13"/>
                <w:szCs w:val="13"/>
                <w:color w:val="auto"/>
              </w:rPr>
            </w:pPr>
          </w:p>
        </w:tc>
        <w:tc>
          <w:tcPr>
            <w:tcW w:w="680" w:type="dxa"/>
            <w:vAlign w:val="bottom"/>
            <w:tcBorders>
              <w:bottom w:val="single" w:sz="8" w:color="auto"/>
            </w:tcBorders>
            <w:shd w:val="clear" w:color="auto" w:fill="98B0CF"/>
          </w:tcPr>
          <w:p>
            <w:pPr>
              <w:jc w:val="center"/>
              <w:ind w:right="154"/>
              <w:spacing w:after="0"/>
              <w:rPr>
                <w:sz w:val="20"/>
                <w:szCs w:val="20"/>
                <w:color w:val="auto"/>
              </w:rPr>
            </w:pPr>
            <w:r>
              <w:rPr>
                <w:rFonts w:ascii="Arial" w:cs="Arial" w:eastAsia="Arial" w:hAnsi="Arial"/>
                <w:sz w:val="13"/>
                <w:szCs w:val="13"/>
                <w:b w:val="1"/>
                <w:bCs w:val="1"/>
                <w:color w:val="auto"/>
                <w:w w:val="96"/>
              </w:rPr>
              <w:t>Interim</w:t>
            </w:r>
          </w:p>
        </w:tc>
        <w:tc>
          <w:tcPr>
            <w:tcW w:w="96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7"/>
              </w:rPr>
              <w:t>Consulting</w:t>
            </w:r>
          </w:p>
        </w:tc>
        <w:tc>
          <w:tcPr>
            <w:tcW w:w="106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7"/>
              </w:rPr>
              <w:t>Recruitment</w:t>
            </w:r>
          </w:p>
        </w:tc>
        <w:tc>
          <w:tcPr>
            <w:tcW w:w="260" w:type="dxa"/>
            <w:vAlign w:val="bottom"/>
            <w:tcBorders>
              <w:bottom w:val="single" w:sz="8" w:color="auto"/>
            </w:tcBorders>
            <w:shd w:val="clear" w:color="auto" w:fill="98B0CF"/>
          </w:tcPr>
          <w:p>
            <w:pPr>
              <w:spacing w:after="0"/>
              <w:rPr>
                <w:sz w:val="13"/>
                <w:szCs w:val="13"/>
                <w:color w:val="auto"/>
              </w:rPr>
            </w:pPr>
          </w:p>
        </w:tc>
        <w:tc>
          <w:tcPr>
            <w:tcW w:w="520" w:type="dxa"/>
            <w:vAlign w:val="bottom"/>
            <w:tcBorders>
              <w:bottom w:val="single" w:sz="8" w:color="auto"/>
            </w:tcBorders>
            <w:vMerge w:val="continue"/>
            <w:shd w:val="clear" w:color="auto" w:fill="98B0CF"/>
          </w:tcPr>
          <w:p>
            <w:pPr>
              <w:spacing w:after="0"/>
              <w:rPr>
                <w:sz w:val="13"/>
                <w:szCs w:val="13"/>
                <w:color w:val="auto"/>
              </w:rPr>
            </w:pPr>
          </w:p>
        </w:tc>
        <w:tc>
          <w:tcPr>
            <w:tcW w:w="340" w:type="dxa"/>
            <w:vAlign w:val="bottom"/>
            <w:tcBorders>
              <w:bottom w:val="single" w:sz="8" w:color="auto"/>
            </w:tcBorders>
            <w:shd w:val="clear" w:color="auto" w:fill="98B0CF"/>
          </w:tcPr>
          <w:p>
            <w:pPr>
              <w:spacing w:after="0"/>
              <w:rPr>
                <w:sz w:val="13"/>
                <w:szCs w:val="13"/>
                <w:color w:val="auto"/>
              </w:rPr>
            </w:pPr>
          </w:p>
        </w:tc>
        <w:tc>
          <w:tcPr>
            <w:tcW w:w="700" w:type="dxa"/>
            <w:vAlign w:val="bottom"/>
            <w:tcBorders>
              <w:bottom w:val="single" w:sz="8" w:color="auto"/>
            </w:tcBorders>
            <w:vMerge w:val="continue"/>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700" w:type="dxa"/>
            <w:vAlign w:val="bottom"/>
            <w:tcBorders>
              <w:bottom w:val="single" w:sz="8" w:color="auto"/>
            </w:tcBorders>
            <w:shd w:val="clear" w:color="auto" w:fill="98B0CF"/>
          </w:tcPr>
          <w:p>
            <w:pPr>
              <w:jc w:val="center"/>
              <w:ind w:right="134"/>
              <w:spacing w:after="0"/>
              <w:rPr>
                <w:sz w:val="20"/>
                <w:szCs w:val="20"/>
                <w:color w:val="auto"/>
              </w:rPr>
            </w:pPr>
            <w:r>
              <w:rPr>
                <w:rFonts w:ascii="Arial" w:cs="Arial" w:eastAsia="Arial" w:hAnsi="Arial"/>
                <w:sz w:val="13"/>
                <w:szCs w:val="13"/>
                <w:b w:val="1"/>
                <w:bCs w:val="1"/>
                <w:color w:val="auto"/>
                <w:w w:val="96"/>
              </w:rPr>
              <w:t>Interim</w:t>
            </w:r>
          </w:p>
        </w:tc>
        <w:tc>
          <w:tcPr>
            <w:tcW w:w="100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4"/>
              </w:rPr>
              <w:t>Consulting</w:t>
            </w:r>
          </w:p>
        </w:tc>
        <w:tc>
          <w:tcPr>
            <w:tcW w:w="1040" w:type="dxa"/>
            <w:vAlign w:val="bottom"/>
            <w:tcBorders>
              <w:bottom w:val="single" w:sz="8" w:color="auto"/>
            </w:tcBorders>
            <w:gridSpan w:val="2"/>
            <w:shd w:val="clear" w:color="auto" w:fill="98B0CF"/>
          </w:tcPr>
          <w:p>
            <w:pPr>
              <w:jc w:val="right"/>
              <w:ind w:right="93"/>
              <w:spacing w:after="0"/>
              <w:rPr>
                <w:sz w:val="20"/>
                <w:szCs w:val="20"/>
                <w:color w:val="auto"/>
              </w:rPr>
            </w:pPr>
            <w:r>
              <w:rPr>
                <w:rFonts w:ascii="Arial" w:cs="Arial" w:eastAsia="Arial" w:hAnsi="Arial"/>
                <w:sz w:val="13"/>
                <w:szCs w:val="13"/>
                <w:b w:val="1"/>
                <w:bCs w:val="1"/>
                <w:color w:val="auto"/>
              </w:rPr>
              <w:t>Recruitment</w:t>
            </w:r>
          </w:p>
        </w:tc>
        <w:tc>
          <w:tcPr>
            <w:tcW w:w="200" w:type="dxa"/>
            <w:vAlign w:val="bottom"/>
            <w:tcBorders>
              <w:bottom w:val="single" w:sz="8" w:color="auto"/>
            </w:tcBorders>
            <w:shd w:val="clear" w:color="auto" w:fill="98B0CF"/>
          </w:tcPr>
          <w:p>
            <w:pPr>
              <w:spacing w:after="0"/>
              <w:rPr>
                <w:sz w:val="13"/>
                <w:szCs w:val="13"/>
                <w:color w:val="auto"/>
              </w:rPr>
            </w:pPr>
          </w:p>
        </w:tc>
        <w:tc>
          <w:tcPr>
            <w:tcW w:w="580" w:type="dxa"/>
            <w:vAlign w:val="bottom"/>
            <w:tcBorders>
              <w:bottom w:val="single" w:sz="8" w:color="auto"/>
            </w:tcBorders>
            <w:vMerge w:val="continue"/>
            <w:shd w:val="clear" w:color="auto" w:fill="98B0CF"/>
          </w:tcPr>
          <w:p>
            <w:pPr>
              <w:spacing w:after="0"/>
              <w:rPr>
                <w:sz w:val="13"/>
                <w:szCs w:val="13"/>
                <w:color w:val="auto"/>
              </w:rPr>
            </w:pPr>
          </w:p>
        </w:tc>
        <w:tc>
          <w:tcPr>
            <w:tcW w:w="28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vMerge w:val="continue"/>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60" w:type="dxa"/>
            <w:vAlign w:val="bottom"/>
            <w:shd w:val="clear" w:color="auto" w:fill="E2E8F1"/>
          </w:tcPr>
          <w:p>
            <w:pPr>
              <w:ind w:left="20"/>
              <w:spacing w:after="0"/>
              <w:rPr>
                <w:sz w:val="20"/>
                <w:szCs w:val="20"/>
                <w:color w:val="auto"/>
              </w:rPr>
            </w:pPr>
            <w:r>
              <w:rPr>
                <w:rFonts w:ascii="Arial" w:cs="Arial" w:eastAsia="Arial" w:hAnsi="Arial"/>
                <w:sz w:val="13"/>
                <w:szCs w:val="13"/>
                <w:color w:val="auto"/>
              </w:rPr>
              <w:t>Americas:</w:t>
            </w:r>
          </w:p>
        </w:tc>
        <w:tc>
          <w:tcPr>
            <w:tcW w:w="120" w:type="dxa"/>
            <w:vAlign w:val="bottom"/>
            <w:shd w:val="clear" w:color="auto" w:fill="E2E8F1"/>
          </w:tcPr>
          <w:p>
            <w:pPr>
              <w:spacing w:after="0"/>
              <w:rPr>
                <w:sz w:val="15"/>
                <w:szCs w:val="15"/>
                <w:color w:val="auto"/>
              </w:rPr>
            </w:pPr>
          </w:p>
        </w:tc>
        <w:tc>
          <w:tcPr>
            <w:tcW w:w="8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7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520" w:type="dxa"/>
            <w:vAlign w:val="bottom"/>
            <w:shd w:val="clear" w:color="auto" w:fill="E2E8F1"/>
          </w:tcPr>
          <w:p>
            <w:pPr>
              <w:spacing w:after="0"/>
              <w:rPr>
                <w:sz w:val="15"/>
                <w:szCs w:val="15"/>
                <w:color w:val="auto"/>
              </w:rPr>
            </w:pPr>
          </w:p>
        </w:tc>
        <w:tc>
          <w:tcPr>
            <w:tcW w:w="340" w:type="dxa"/>
            <w:vAlign w:val="bottom"/>
            <w:shd w:val="clear" w:color="auto" w:fill="E2E8F1"/>
          </w:tcPr>
          <w:p>
            <w:pPr>
              <w:spacing w:after="0"/>
              <w:rPr>
                <w:sz w:val="15"/>
                <w:szCs w:val="15"/>
                <w:color w:val="auto"/>
              </w:rPr>
            </w:pPr>
          </w:p>
        </w:tc>
        <w:tc>
          <w:tcPr>
            <w:tcW w:w="7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70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8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6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580" w:type="dxa"/>
            <w:vAlign w:val="bottom"/>
            <w:shd w:val="clear" w:color="auto" w:fill="E2E8F1"/>
          </w:tcPr>
          <w:p>
            <w:pPr>
              <w:spacing w:after="0"/>
              <w:rPr>
                <w:sz w:val="15"/>
                <w:szCs w:val="15"/>
                <w:color w:val="auto"/>
              </w:rPr>
            </w:pPr>
          </w:p>
        </w:tc>
        <w:tc>
          <w:tcPr>
            <w:tcW w:w="280" w:type="dxa"/>
            <w:vAlign w:val="bottom"/>
            <w:shd w:val="clear" w:color="auto" w:fill="E2E8F1"/>
          </w:tcPr>
          <w:p>
            <w:pPr>
              <w:spacing w:after="0"/>
              <w:rPr>
                <w:sz w:val="15"/>
                <w:szCs w:val="15"/>
                <w:color w:val="auto"/>
              </w:rPr>
            </w:pPr>
          </w:p>
        </w:tc>
        <w:tc>
          <w:tcPr>
            <w:tcW w:w="760" w:type="dxa"/>
            <w:vAlign w:val="bottom"/>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40"/>
              <w:spacing w:after="0"/>
              <w:rPr>
                <w:sz w:val="20"/>
                <w:szCs w:val="20"/>
                <w:color w:val="auto"/>
              </w:rPr>
            </w:pPr>
            <w:r>
              <w:rPr>
                <w:rFonts w:ascii="Arial" w:cs="Arial" w:eastAsia="Arial" w:hAnsi="Arial"/>
                <w:sz w:val="13"/>
                <w:szCs w:val="13"/>
                <w:color w:val="auto"/>
              </w:rPr>
              <w:t>United States</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1,880.7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6.4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84.5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126.4</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2,098.0</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1,833.1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8.2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83.0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129.4</w:t>
            </w:r>
          </w:p>
        </w:tc>
        <w:tc>
          <w:tcPr>
            <w:tcW w:w="2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2,053.7</w:t>
            </w:r>
          </w:p>
        </w:tc>
        <w:tc>
          <w:tcPr>
            <w:tcW w:w="0" w:type="dxa"/>
            <w:vAlign w:val="bottom"/>
          </w:tcPr>
          <w:p>
            <w:pPr>
              <w:spacing w:after="0"/>
              <w:rPr>
                <w:sz w:val="1"/>
                <w:szCs w:val="1"/>
                <w:color w:val="auto"/>
              </w:rPr>
            </w:pPr>
          </w:p>
        </w:tc>
      </w:tr>
      <w:tr>
        <w:trPr>
          <w:trHeight w:val="189"/>
        </w:trPr>
        <w:tc>
          <w:tcPr>
            <w:tcW w:w="1760" w:type="dxa"/>
            <w:vAlign w:val="bottom"/>
            <w:tcBorders>
              <w:bottom w:val="single" w:sz="8" w:color="231F20"/>
            </w:tcBorders>
            <w:shd w:val="clear" w:color="auto" w:fill="E2E8F1"/>
          </w:tcPr>
          <w:p>
            <w:pPr>
              <w:ind w:left="40"/>
              <w:spacing w:after="0"/>
              <w:rPr>
                <w:sz w:val="20"/>
                <w:szCs w:val="20"/>
                <w:color w:val="auto"/>
              </w:rPr>
            </w:pPr>
            <w:r>
              <w:rPr>
                <w:rFonts w:ascii="Arial" w:cs="Arial" w:eastAsia="Arial" w:hAnsi="Arial"/>
                <w:sz w:val="13"/>
                <w:szCs w:val="13"/>
                <w:color w:val="auto"/>
              </w:rPr>
              <w:t>Other Americas</w:t>
            </w:r>
          </w:p>
        </w:tc>
        <w:tc>
          <w:tcPr>
            <w:tcW w:w="120" w:type="dxa"/>
            <w:vAlign w:val="bottom"/>
            <w:tcBorders>
              <w:bottom w:val="single" w:sz="8" w:color="231F20"/>
            </w:tcBorders>
            <w:shd w:val="clear" w:color="auto" w:fill="E2E8F1"/>
          </w:tcPr>
          <w:p>
            <w:pPr>
              <w:spacing w:after="0"/>
              <w:rPr>
                <w:sz w:val="16"/>
                <w:szCs w:val="16"/>
                <w:color w:val="auto"/>
              </w:rPr>
            </w:pPr>
          </w:p>
        </w:tc>
        <w:tc>
          <w:tcPr>
            <w:tcW w:w="80" w:type="dxa"/>
            <w:vAlign w:val="bottom"/>
            <w:tcBorders>
              <w:bottom w:val="single" w:sz="8" w:color="231F20"/>
            </w:tcBorders>
            <w:shd w:val="clear" w:color="auto" w:fill="E2E8F1"/>
          </w:tcPr>
          <w:p>
            <w:pPr>
              <w:spacing w:after="0"/>
              <w:rPr>
                <w:sz w:val="16"/>
                <w:szCs w:val="16"/>
                <w:color w:val="auto"/>
              </w:rPr>
            </w:pPr>
          </w:p>
        </w:tc>
        <w:tc>
          <w:tcPr>
            <w:tcW w:w="6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1,376.7</w:t>
            </w:r>
          </w:p>
        </w:tc>
        <w:tc>
          <w:tcPr>
            <w:tcW w:w="180" w:type="dxa"/>
            <w:vAlign w:val="bottom"/>
            <w:tcBorders>
              <w:bottom w:val="single" w:sz="8" w:color="231F20"/>
            </w:tcBorders>
            <w:shd w:val="clear" w:color="auto" w:fill="E2E8F1"/>
          </w:tcPr>
          <w:p>
            <w:pPr>
              <w:spacing w:after="0"/>
              <w:rPr>
                <w:sz w:val="16"/>
                <w:szCs w:val="16"/>
                <w:color w:val="auto"/>
              </w:rPr>
            </w:pPr>
          </w:p>
        </w:tc>
        <w:tc>
          <w:tcPr>
            <w:tcW w:w="7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54.0</w:t>
            </w:r>
          </w:p>
        </w:tc>
        <w:tc>
          <w:tcPr>
            <w:tcW w:w="180" w:type="dxa"/>
            <w:vAlign w:val="bottom"/>
            <w:tcBorders>
              <w:bottom w:val="single" w:sz="8" w:color="231F20"/>
            </w:tcBorders>
            <w:shd w:val="clear" w:color="auto" w:fill="E2E8F1"/>
          </w:tcPr>
          <w:p>
            <w:pPr>
              <w:spacing w:after="0"/>
              <w:rPr>
                <w:sz w:val="16"/>
                <w:szCs w:val="16"/>
                <w:color w:val="auto"/>
              </w:rPr>
            </w:pPr>
          </w:p>
        </w:tc>
        <w:tc>
          <w:tcPr>
            <w:tcW w:w="880" w:type="dxa"/>
            <w:vAlign w:val="bottom"/>
            <w:tcBorders>
              <w:bottom w:val="single" w:sz="8" w:color="231F20"/>
            </w:tcBorders>
            <w:shd w:val="clear" w:color="auto" w:fill="E2E8F1"/>
          </w:tcPr>
          <w:p>
            <w:pPr>
              <w:jc w:val="right"/>
              <w:ind w:right="73"/>
              <w:spacing w:after="0"/>
              <w:rPr>
                <w:sz w:val="20"/>
                <w:szCs w:val="20"/>
                <w:color w:val="auto"/>
              </w:rPr>
            </w:pPr>
            <w:r>
              <w:rPr>
                <w:rFonts w:ascii="Arial" w:cs="Arial" w:eastAsia="Arial" w:hAnsi="Arial"/>
                <w:sz w:val="13"/>
                <w:szCs w:val="13"/>
                <w:color w:val="auto"/>
              </w:rPr>
              <w:t>32.7</w:t>
            </w:r>
          </w:p>
        </w:tc>
        <w:tc>
          <w:tcPr>
            <w:tcW w:w="260" w:type="dxa"/>
            <w:vAlign w:val="bottom"/>
            <w:tcBorders>
              <w:bottom w:val="single" w:sz="8" w:color="231F20"/>
            </w:tcBorders>
            <w:shd w:val="clear" w:color="auto" w:fill="E2E8F1"/>
          </w:tcPr>
          <w:p>
            <w:pPr>
              <w:spacing w:after="0"/>
              <w:rPr>
                <w:sz w:val="16"/>
                <w:szCs w:val="16"/>
                <w:color w:val="auto"/>
              </w:rPr>
            </w:pPr>
          </w:p>
        </w:tc>
        <w:tc>
          <w:tcPr>
            <w:tcW w:w="52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13.2</w:t>
            </w:r>
          </w:p>
        </w:tc>
        <w:tc>
          <w:tcPr>
            <w:tcW w:w="340" w:type="dxa"/>
            <w:vAlign w:val="bottom"/>
            <w:tcBorders>
              <w:bottom w:val="single" w:sz="8" w:color="231F20"/>
            </w:tcBorders>
            <w:shd w:val="clear" w:color="auto" w:fill="E2E8F1"/>
          </w:tcPr>
          <w:p>
            <w:pPr>
              <w:spacing w:after="0"/>
              <w:rPr>
                <w:sz w:val="16"/>
                <w:szCs w:val="16"/>
                <w:color w:val="auto"/>
              </w:rPr>
            </w:pPr>
          </w:p>
        </w:tc>
        <w:tc>
          <w:tcPr>
            <w:tcW w:w="70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1,476.6</w:t>
            </w:r>
          </w:p>
        </w:tc>
        <w:tc>
          <w:tcPr>
            <w:tcW w:w="100" w:type="dxa"/>
            <w:vAlign w:val="bottom"/>
            <w:tcBorders>
              <w:bottom w:val="single" w:sz="8" w:color="231F20"/>
            </w:tcBorders>
            <w:shd w:val="clear" w:color="auto" w:fill="E2E8F1"/>
          </w:tcPr>
          <w:p>
            <w:pPr>
              <w:spacing w:after="0"/>
              <w:rPr>
                <w:sz w:val="16"/>
                <w:szCs w:val="16"/>
                <w:color w:val="auto"/>
              </w:rPr>
            </w:pPr>
          </w:p>
        </w:tc>
        <w:tc>
          <w:tcPr>
            <w:tcW w:w="100" w:type="dxa"/>
            <w:vAlign w:val="bottom"/>
            <w:tcBorders>
              <w:bottom w:val="single" w:sz="8" w:color="231F20"/>
            </w:tcBorders>
            <w:shd w:val="clear" w:color="auto" w:fill="E2E8F1"/>
          </w:tcPr>
          <w:p>
            <w:pPr>
              <w:spacing w:after="0"/>
              <w:rPr>
                <w:sz w:val="16"/>
                <w:szCs w:val="16"/>
                <w:color w:val="auto"/>
              </w:rPr>
            </w:pPr>
          </w:p>
        </w:tc>
        <w:tc>
          <w:tcPr>
            <w:tcW w:w="700" w:type="dxa"/>
            <w:vAlign w:val="bottom"/>
            <w:tcBorders>
              <w:bottom w:val="single" w:sz="8" w:color="231F20"/>
            </w:tcBorders>
            <w:shd w:val="clear" w:color="auto" w:fill="E2E8F1"/>
          </w:tcPr>
          <w:p>
            <w:pPr>
              <w:jc w:val="right"/>
              <w:ind w:right="34"/>
              <w:spacing w:after="0"/>
              <w:rPr>
                <w:sz w:val="20"/>
                <w:szCs w:val="20"/>
                <w:color w:val="auto"/>
              </w:rPr>
            </w:pPr>
            <w:r>
              <w:rPr>
                <w:rFonts w:ascii="Arial" w:cs="Arial" w:eastAsia="Arial" w:hAnsi="Arial"/>
                <w:sz w:val="13"/>
                <w:szCs w:val="13"/>
                <w:color w:val="auto"/>
              </w:rPr>
              <w:t>1,077.7</w:t>
            </w:r>
          </w:p>
        </w:tc>
        <w:tc>
          <w:tcPr>
            <w:tcW w:w="200" w:type="dxa"/>
            <w:vAlign w:val="bottom"/>
            <w:tcBorders>
              <w:bottom w:val="single" w:sz="8" w:color="231F20"/>
            </w:tcBorders>
            <w:shd w:val="clear" w:color="auto" w:fill="E2E8F1"/>
          </w:tcPr>
          <w:p>
            <w:pPr>
              <w:spacing w:after="0"/>
              <w:rPr>
                <w:sz w:val="16"/>
                <w:szCs w:val="16"/>
                <w:color w:val="auto"/>
              </w:rPr>
            </w:pPr>
          </w:p>
        </w:tc>
        <w:tc>
          <w:tcPr>
            <w:tcW w:w="80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48.0</w:t>
            </w:r>
          </w:p>
        </w:tc>
        <w:tc>
          <w:tcPr>
            <w:tcW w:w="180" w:type="dxa"/>
            <w:vAlign w:val="bottom"/>
            <w:tcBorders>
              <w:bottom w:val="single" w:sz="8" w:color="231F20"/>
            </w:tcBorders>
            <w:shd w:val="clear" w:color="auto" w:fill="E2E8F1"/>
          </w:tcPr>
          <w:p>
            <w:pPr>
              <w:spacing w:after="0"/>
              <w:rPr>
                <w:sz w:val="16"/>
                <w:szCs w:val="16"/>
                <w:color w:val="auto"/>
              </w:rPr>
            </w:pPr>
          </w:p>
        </w:tc>
        <w:tc>
          <w:tcPr>
            <w:tcW w:w="8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27.1</w:t>
            </w:r>
          </w:p>
        </w:tc>
        <w:tc>
          <w:tcPr>
            <w:tcW w:w="20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ind w:right="33"/>
              <w:spacing w:after="0"/>
              <w:rPr>
                <w:sz w:val="20"/>
                <w:szCs w:val="20"/>
                <w:color w:val="auto"/>
              </w:rPr>
            </w:pPr>
            <w:r>
              <w:rPr>
                <w:rFonts w:ascii="Arial" w:cs="Arial" w:eastAsia="Arial" w:hAnsi="Arial"/>
                <w:sz w:val="13"/>
                <w:szCs w:val="13"/>
                <w:color w:val="auto"/>
              </w:rPr>
              <w:t>8.9</w:t>
            </w:r>
          </w:p>
        </w:tc>
        <w:tc>
          <w:tcPr>
            <w:tcW w:w="280" w:type="dxa"/>
            <w:vAlign w:val="bottom"/>
            <w:tcBorders>
              <w:bottom w:val="single" w:sz="8" w:color="231F20"/>
            </w:tcBorders>
            <w:shd w:val="clear" w:color="auto" w:fill="E2E8F1"/>
          </w:tcPr>
          <w:p>
            <w:pPr>
              <w:spacing w:after="0"/>
              <w:rPr>
                <w:sz w:val="16"/>
                <w:szCs w:val="16"/>
                <w:color w:val="auto"/>
              </w:rPr>
            </w:pPr>
          </w:p>
        </w:tc>
        <w:tc>
          <w:tcPr>
            <w:tcW w:w="7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1,161.7</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231F20"/>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3,257.4</w:t>
            </w:r>
          </w:p>
        </w:tc>
        <w:tc>
          <w:tcPr>
            <w:tcW w:w="1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60.4</w:t>
            </w:r>
          </w:p>
        </w:tc>
        <w:tc>
          <w:tcPr>
            <w:tcW w:w="18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jc w:val="right"/>
              <w:ind w:right="73"/>
              <w:spacing w:after="0"/>
              <w:rPr>
                <w:sz w:val="20"/>
                <w:szCs w:val="20"/>
                <w:color w:val="auto"/>
              </w:rPr>
            </w:pPr>
            <w:r>
              <w:rPr>
                <w:rFonts w:ascii="Arial" w:cs="Arial" w:eastAsia="Arial" w:hAnsi="Arial"/>
                <w:sz w:val="13"/>
                <w:szCs w:val="13"/>
                <w:color w:val="auto"/>
              </w:rPr>
              <w:t>117.2</w:t>
            </w:r>
          </w:p>
        </w:tc>
        <w:tc>
          <w:tcPr>
            <w:tcW w:w="26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139.6</w:t>
            </w:r>
          </w:p>
        </w:tc>
        <w:tc>
          <w:tcPr>
            <w:tcW w:w="340" w:type="dxa"/>
            <w:vAlign w:val="bottom"/>
            <w:tcBorders>
              <w:bottom w:val="single" w:sz="8" w:color="231F20"/>
            </w:tcBorders>
          </w:tcPr>
          <w:p>
            <w:pPr>
              <w:spacing w:after="0"/>
              <w:rPr>
                <w:sz w:val="15"/>
                <w:szCs w:val="15"/>
                <w:color w:val="auto"/>
              </w:rPr>
            </w:pPr>
          </w:p>
        </w:tc>
        <w:tc>
          <w:tcPr>
            <w:tcW w:w="70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3,574.6</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00" w:type="dxa"/>
            <w:vAlign w:val="bottom"/>
            <w:tcBorders>
              <w:bottom w:val="single" w:sz="8" w:color="231F20"/>
            </w:tcBorders>
          </w:tcPr>
          <w:p>
            <w:pPr>
              <w:jc w:val="right"/>
              <w:ind w:right="34"/>
              <w:spacing w:after="0"/>
              <w:rPr>
                <w:sz w:val="20"/>
                <w:szCs w:val="20"/>
                <w:color w:val="auto"/>
              </w:rPr>
            </w:pPr>
            <w:r>
              <w:rPr>
                <w:rFonts w:ascii="Arial" w:cs="Arial" w:eastAsia="Arial" w:hAnsi="Arial"/>
                <w:sz w:val="13"/>
                <w:szCs w:val="13"/>
                <w:color w:val="auto"/>
              </w:rPr>
              <w:t>2,910.8</w:t>
            </w:r>
          </w:p>
        </w:tc>
        <w:tc>
          <w:tcPr>
            <w:tcW w:w="2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56.2</w:t>
            </w:r>
          </w:p>
        </w:tc>
        <w:tc>
          <w:tcPr>
            <w:tcW w:w="1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110.1</w:t>
            </w:r>
          </w:p>
        </w:tc>
        <w:tc>
          <w:tcPr>
            <w:tcW w:w="20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ind w:right="33"/>
              <w:spacing w:after="0"/>
              <w:rPr>
                <w:sz w:val="20"/>
                <w:szCs w:val="20"/>
                <w:color w:val="auto"/>
              </w:rPr>
            </w:pPr>
            <w:r>
              <w:rPr>
                <w:rFonts w:ascii="Arial" w:cs="Arial" w:eastAsia="Arial" w:hAnsi="Arial"/>
                <w:sz w:val="13"/>
                <w:szCs w:val="13"/>
                <w:color w:val="auto"/>
              </w:rPr>
              <w:t>138.3</w:t>
            </w:r>
          </w:p>
        </w:tc>
        <w:tc>
          <w:tcPr>
            <w:tcW w:w="2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3,215.4</w:t>
            </w:r>
          </w:p>
        </w:tc>
        <w:tc>
          <w:tcPr>
            <w:tcW w:w="0" w:type="dxa"/>
            <w:vAlign w:val="bottom"/>
          </w:tcPr>
          <w:p>
            <w:pPr>
              <w:spacing w:after="0"/>
              <w:rPr>
                <w:sz w:val="1"/>
                <w:szCs w:val="1"/>
                <w:color w:val="auto"/>
              </w:rPr>
            </w:pPr>
          </w:p>
        </w:tc>
      </w:tr>
      <w:tr>
        <w:trPr>
          <w:trHeight w:val="183"/>
        </w:trPr>
        <w:tc>
          <w:tcPr>
            <w:tcW w:w="1760" w:type="dxa"/>
            <w:vAlign w:val="bottom"/>
            <w:shd w:val="clear" w:color="auto" w:fill="E2E8F1"/>
          </w:tcPr>
          <w:p>
            <w:pPr>
              <w:ind w:left="20"/>
              <w:spacing w:after="0"/>
              <w:rPr>
                <w:sz w:val="20"/>
                <w:szCs w:val="20"/>
                <w:color w:val="auto"/>
              </w:rPr>
            </w:pPr>
            <w:r>
              <w:rPr>
                <w:rFonts w:ascii="Arial" w:cs="Arial" w:eastAsia="Arial" w:hAnsi="Arial"/>
                <w:sz w:val="13"/>
                <w:szCs w:val="13"/>
                <w:color w:val="auto"/>
              </w:rPr>
              <w:t>Southern Europe:</w:t>
            </w:r>
          </w:p>
        </w:tc>
        <w:tc>
          <w:tcPr>
            <w:tcW w:w="120" w:type="dxa"/>
            <w:vAlign w:val="bottom"/>
            <w:shd w:val="clear" w:color="auto" w:fill="E2E8F1"/>
          </w:tcPr>
          <w:p>
            <w:pPr>
              <w:spacing w:after="0"/>
              <w:rPr>
                <w:sz w:val="15"/>
                <w:szCs w:val="15"/>
                <w:color w:val="auto"/>
              </w:rPr>
            </w:pPr>
          </w:p>
        </w:tc>
        <w:tc>
          <w:tcPr>
            <w:tcW w:w="8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7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520" w:type="dxa"/>
            <w:vAlign w:val="bottom"/>
            <w:shd w:val="clear" w:color="auto" w:fill="E2E8F1"/>
          </w:tcPr>
          <w:p>
            <w:pPr>
              <w:spacing w:after="0"/>
              <w:rPr>
                <w:sz w:val="15"/>
                <w:szCs w:val="15"/>
                <w:color w:val="auto"/>
              </w:rPr>
            </w:pPr>
          </w:p>
        </w:tc>
        <w:tc>
          <w:tcPr>
            <w:tcW w:w="340" w:type="dxa"/>
            <w:vAlign w:val="bottom"/>
            <w:shd w:val="clear" w:color="auto" w:fill="E2E8F1"/>
          </w:tcPr>
          <w:p>
            <w:pPr>
              <w:spacing w:after="0"/>
              <w:rPr>
                <w:sz w:val="15"/>
                <w:szCs w:val="15"/>
                <w:color w:val="auto"/>
              </w:rPr>
            </w:pPr>
          </w:p>
        </w:tc>
        <w:tc>
          <w:tcPr>
            <w:tcW w:w="7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70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8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6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580" w:type="dxa"/>
            <w:vAlign w:val="bottom"/>
            <w:shd w:val="clear" w:color="auto" w:fill="E2E8F1"/>
          </w:tcPr>
          <w:p>
            <w:pPr>
              <w:spacing w:after="0"/>
              <w:rPr>
                <w:sz w:val="15"/>
                <w:szCs w:val="15"/>
                <w:color w:val="auto"/>
              </w:rPr>
            </w:pPr>
          </w:p>
        </w:tc>
        <w:tc>
          <w:tcPr>
            <w:tcW w:w="280" w:type="dxa"/>
            <w:vAlign w:val="bottom"/>
            <w:shd w:val="clear" w:color="auto" w:fill="E2E8F1"/>
          </w:tcPr>
          <w:p>
            <w:pPr>
              <w:spacing w:after="0"/>
              <w:rPr>
                <w:sz w:val="15"/>
                <w:szCs w:val="15"/>
                <w:color w:val="auto"/>
              </w:rPr>
            </w:pPr>
          </w:p>
        </w:tc>
        <w:tc>
          <w:tcPr>
            <w:tcW w:w="760" w:type="dxa"/>
            <w:vAlign w:val="bottom"/>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40"/>
              <w:spacing w:after="0"/>
              <w:rPr>
                <w:sz w:val="20"/>
                <w:szCs w:val="20"/>
                <w:color w:val="auto"/>
              </w:rPr>
            </w:pPr>
            <w:r>
              <w:rPr>
                <w:rFonts w:ascii="Arial" w:cs="Arial" w:eastAsia="Arial" w:hAnsi="Arial"/>
                <w:sz w:val="13"/>
                <w:szCs w:val="13"/>
                <w:color w:val="auto"/>
              </w:rPr>
              <w:t>France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3,102.7</w:t>
            </w:r>
          </w:p>
        </w:tc>
        <w:tc>
          <w:tcPr>
            <w:tcW w:w="18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190.0</w:t>
            </w:r>
          </w:p>
        </w:tc>
        <w:tc>
          <w:tcPr>
            <w:tcW w:w="180" w:type="dxa"/>
            <w:vAlign w:val="bottom"/>
          </w:tcPr>
          <w:p>
            <w:pPr>
              <w:spacing w:after="0"/>
              <w:rPr>
                <w:sz w:val="16"/>
                <w:szCs w:val="16"/>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29.6</w:t>
            </w: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56.8</w:t>
            </w:r>
          </w:p>
        </w:tc>
        <w:tc>
          <w:tcPr>
            <w:tcW w:w="340" w:type="dxa"/>
            <w:vAlign w:val="bottom"/>
          </w:tcPr>
          <w:p>
            <w:pPr>
              <w:spacing w:after="0"/>
              <w:rPr>
                <w:sz w:val="16"/>
                <w:szCs w:val="16"/>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3,379.1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2,999.7</w:t>
            </w:r>
          </w:p>
        </w:tc>
        <w:tc>
          <w:tcPr>
            <w:tcW w:w="200" w:type="dxa"/>
            <w:vAlign w:val="bottom"/>
          </w:tcPr>
          <w:p>
            <w:pPr>
              <w:spacing w:after="0"/>
              <w:rPr>
                <w:sz w:val="16"/>
                <w:szCs w:val="16"/>
                <w:color w:val="auto"/>
              </w:rPr>
            </w:pP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195.4</w:t>
            </w:r>
          </w:p>
        </w:tc>
        <w:tc>
          <w:tcPr>
            <w:tcW w:w="18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32.9</w:t>
            </w:r>
          </w:p>
        </w:tc>
        <w:tc>
          <w:tcPr>
            <w:tcW w:w="200" w:type="dxa"/>
            <w:vAlign w:val="bottom"/>
          </w:tcPr>
          <w:p>
            <w:pPr>
              <w:spacing w:after="0"/>
              <w:rPr>
                <w:sz w:val="16"/>
                <w:szCs w:val="16"/>
                <w:color w:val="auto"/>
              </w:rPr>
            </w:pP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60.5</w:t>
            </w:r>
          </w:p>
        </w:tc>
        <w:tc>
          <w:tcPr>
            <w:tcW w:w="280" w:type="dxa"/>
            <w:vAlign w:val="bottom"/>
          </w:tcPr>
          <w:p>
            <w:pPr>
              <w:spacing w:after="0"/>
              <w:rPr>
                <w:sz w:val="16"/>
                <w:szCs w:val="16"/>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3,288.5</w:t>
            </w:r>
          </w:p>
        </w:tc>
        <w:tc>
          <w:tcPr>
            <w:tcW w:w="0" w:type="dxa"/>
            <w:vAlign w:val="bottom"/>
          </w:tcPr>
          <w:p>
            <w:pPr>
              <w:spacing w:after="0"/>
              <w:rPr>
                <w:sz w:val="1"/>
                <w:szCs w:val="1"/>
                <w:color w:val="auto"/>
              </w:rPr>
            </w:pPr>
          </w:p>
        </w:tc>
      </w:tr>
      <w:tr>
        <w:trPr>
          <w:trHeight w:val="189"/>
        </w:trPr>
        <w:tc>
          <w:tcPr>
            <w:tcW w:w="1760" w:type="dxa"/>
            <w:vAlign w:val="bottom"/>
            <w:shd w:val="clear" w:color="auto" w:fill="E2E8F1"/>
          </w:tcPr>
          <w:p>
            <w:pPr>
              <w:ind w:left="40"/>
              <w:spacing w:after="0"/>
              <w:rPr>
                <w:sz w:val="20"/>
                <w:szCs w:val="20"/>
                <w:color w:val="auto"/>
              </w:rPr>
            </w:pPr>
            <w:r>
              <w:rPr>
                <w:rFonts w:ascii="Arial" w:cs="Arial" w:eastAsia="Arial" w:hAnsi="Arial"/>
                <w:sz w:val="13"/>
                <w:szCs w:val="13"/>
                <w:color w:val="auto"/>
              </w:rPr>
              <w:t>Italy</w:t>
            </w:r>
          </w:p>
        </w:tc>
        <w:tc>
          <w:tcPr>
            <w:tcW w:w="120" w:type="dxa"/>
            <w:vAlign w:val="bottom"/>
            <w:shd w:val="clear" w:color="auto" w:fill="E2E8F1"/>
          </w:tcPr>
          <w:p>
            <w:pPr>
              <w:spacing w:after="0"/>
              <w:rPr>
                <w:sz w:val="16"/>
                <w:szCs w:val="16"/>
                <w:color w:val="auto"/>
              </w:rPr>
            </w:pPr>
          </w:p>
        </w:tc>
        <w:tc>
          <w:tcPr>
            <w:tcW w:w="80" w:type="dxa"/>
            <w:vAlign w:val="bottom"/>
            <w:shd w:val="clear" w:color="auto" w:fill="E2E8F1"/>
          </w:tcPr>
          <w:p>
            <w:pPr>
              <w:spacing w:after="0"/>
              <w:rPr>
                <w:sz w:val="16"/>
                <w:szCs w:val="16"/>
                <w:color w:val="auto"/>
              </w:rPr>
            </w:pPr>
          </w:p>
        </w:tc>
        <w:tc>
          <w:tcPr>
            <w:tcW w:w="68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1,378.8</w:t>
            </w:r>
          </w:p>
        </w:tc>
        <w:tc>
          <w:tcPr>
            <w:tcW w:w="180" w:type="dxa"/>
            <w:vAlign w:val="bottom"/>
            <w:shd w:val="clear" w:color="auto" w:fill="E2E8F1"/>
          </w:tcPr>
          <w:p>
            <w:pPr>
              <w:spacing w:after="0"/>
              <w:rPr>
                <w:sz w:val="16"/>
                <w:szCs w:val="16"/>
                <w:color w:val="auto"/>
              </w:rPr>
            </w:pPr>
          </w:p>
        </w:tc>
        <w:tc>
          <w:tcPr>
            <w:tcW w:w="78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41.8</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73"/>
              <w:spacing w:after="0"/>
              <w:rPr>
                <w:sz w:val="20"/>
                <w:szCs w:val="20"/>
                <w:color w:val="auto"/>
              </w:rPr>
            </w:pPr>
            <w:r>
              <w:rPr>
                <w:rFonts w:ascii="Arial" w:cs="Arial" w:eastAsia="Arial" w:hAnsi="Arial"/>
                <w:sz w:val="13"/>
                <w:szCs w:val="13"/>
                <w:color w:val="auto"/>
              </w:rPr>
              <w:t>38.0</w:t>
            </w:r>
          </w:p>
        </w:tc>
        <w:tc>
          <w:tcPr>
            <w:tcW w:w="260" w:type="dxa"/>
            <w:vAlign w:val="bottom"/>
            <w:shd w:val="clear" w:color="auto" w:fill="E2E8F1"/>
          </w:tcPr>
          <w:p>
            <w:pPr>
              <w:spacing w:after="0"/>
              <w:rPr>
                <w:sz w:val="16"/>
                <w:szCs w:val="16"/>
                <w:color w:val="auto"/>
              </w:rPr>
            </w:pPr>
          </w:p>
        </w:tc>
        <w:tc>
          <w:tcPr>
            <w:tcW w:w="520" w:type="dxa"/>
            <w:vAlign w:val="bottom"/>
            <w:shd w:val="clear" w:color="auto" w:fill="E2E8F1"/>
          </w:tcPr>
          <w:p>
            <w:pPr>
              <w:jc w:val="right"/>
              <w:spacing w:after="0"/>
              <w:rPr>
                <w:sz w:val="20"/>
                <w:szCs w:val="20"/>
                <w:color w:val="auto"/>
              </w:rPr>
            </w:pPr>
            <w:r>
              <w:rPr>
                <w:rFonts w:ascii="Arial" w:cs="Arial" w:eastAsia="Arial" w:hAnsi="Arial"/>
                <w:sz w:val="13"/>
                <w:szCs w:val="13"/>
                <w:color w:val="auto"/>
              </w:rPr>
              <w:t>21.1</w:t>
            </w:r>
          </w:p>
        </w:tc>
        <w:tc>
          <w:tcPr>
            <w:tcW w:w="340" w:type="dxa"/>
            <w:vAlign w:val="bottom"/>
            <w:shd w:val="clear" w:color="auto" w:fill="E2E8F1"/>
          </w:tcPr>
          <w:p>
            <w:pPr>
              <w:spacing w:after="0"/>
              <w:rPr>
                <w:sz w:val="16"/>
                <w:szCs w:val="16"/>
                <w:color w:val="auto"/>
              </w:rPr>
            </w:pPr>
          </w:p>
        </w:tc>
        <w:tc>
          <w:tcPr>
            <w:tcW w:w="70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1,479.7</w:t>
            </w:r>
          </w:p>
        </w:tc>
        <w:tc>
          <w:tcPr>
            <w:tcW w:w="1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700" w:type="dxa"/>
            <w:vAlign w:val="bottom"/>
            <w:shd w:val="clear" w:color="auto" w:fill="E2E8F1"/>
          </w:tcPr>
          <w:p>
            <w:pPr>
              <w:jc w:val="right"/>
              <w:ind w:right="34"/>
              <w:spacing w:after="0"/>
              <w:rPr>
                <w:sz w:val="20"/>
                <w:szCs w:val="20"/>
                <w:color w:val="auto"/>
              </w:rPr>
            </w:pPr>
            <w:r>
              <w:rPr>
                <w:rFonts w:ascii="Arial" w:cs="Arial" w:eastAsia="Arial" w:hAnsi="Arial"/>
                <w:sz w:val="13"/>
                <w:szCs w:val="13"/>
                <w:color w:val="auto"/>
              </w:rPr>
              <w:t>1,244.6</w:t>
            </w:r>
          </w:p>
        </w:tc>
        <w:tc>
          <w:tcPr>
            <w:tcW w:w="200" w:type="dxa"/>
            <w:vAlign w:val="bottom"/>
            <w:shd w:val="clear" w:color="auto" w:fill="E2E8F1"/>
          </w:tcPr>
          <w:p>
            <w:pPr>
              <w:spacing w:after="0"/>
              <w:rPr>
                <w:sz w:val="16"/>
                <w:szCs w:val="16"/>
                <w:color w:val="auto"/>
              </w:rPr>
            </w:pPr>
          </w:p>
        </w:tc>
        <w:tc>
          <w:tcPr>
            <w:tcW w:w="80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35.2</w:t>
            </w:r>
          </w:p>
        </w:tc>
        <w:tc>
          <w:tcPr>
            <w:tcW w:w="180" w:type="dxa"/>
            <w:vAlign w:val="bottom"/>
            <w:shd w:val="clear" w:color="auto" w:fill="E2E8F1"/>
          </w:tcPr>
          <w:p>
            <w:pPr>
              <w:spacing w:after="0"/>
              <w:rPr>
                <w:sz w:val="16"/>
                <w:szCs w:val="16"/>
                <w:color w:val="auto"/>
              </w:rPr>
            </w:pPr>
          </w:p>
        </w:tc>
        <w:tc>
          <w:tcPr>
            <w:tcW w:w="86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35.9</w:t>
            </w:r>
          </w:p>
        </w:tc>
        <w:tc>
          <w:tcPr>
            <w:tcW w:w="20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33"/>
              <w:spacing w:after="0"/>
              <w:rPr>
                <w:sz w:val="20"/>
                <w:szCs w:val="20"/>
                <w:color w:val="auto"/>
              </w:rPr>
            </w:pPr>
            <w:r>
              <w:rPr>
                <w:rFonts w:ascii="Arial" w:cs="Arial" w:eastAsia="Arial" w:hAnsi="Arial"/>
                <w:sz w:val="13"/>
                <w:szCs w:val="13"/>
                <w:color w:val="auto"/>
              </w:rPr>
              <w:t>20.5</w:t>
            </w:r>
          </w:p>
        </w:tc>
        <w:tc>
          <w:tcPr>
            <w:tcW w:w="280" w:type="dxa"/>
            <w:vAlign w:val="bottom"/>
            <w:shd w:val="clear" w:color="auto" w:fill="E2E8F1"/>
          </w:tcPr>
          <w:p>
            <w:pPr>
              <w:spacing w:after="0"/>
              <w:rPr>
                <w:sz w:val="16"/>
                <w:szCs w:val="16"/>
                <w:color w:val="auto"/>
              </w:rPr>
            </w:pPr>
          </w:p>
        </w:tc>
        <w:tc>
          <w:tcPr>
            <w:tcW w:w="76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1,336.2</w:t>
            </w:r>
          </w:p>
        </w:tc>
        <w:tc>
          <w:tcPr>
            <w:tcW w:w="0" w:type="dxa"/>
            <w:vAlign w:val="bottom"/>
          </w:tcPr>
          <w:p>
            <w:pPr>
              <w:spacing w:after="0"/>
              <w:rPr>
                <w:sz w:val="1"/>
                <w:szCs w:val="1"/>
                <w:color w:val="auto"/>
              </w:rPr>
            </w:pPr>
          </w:p>
        </w:tc>
      </w:tr>
      <w:tr>
        <w:trPr>
          <w:trHeight w:val="189"/>
        </w:trPr>
        <w:tc>
          <w:tcPr>
            <w:tcW w:w="1760" w:type="dxa"/>
            <w:vAlign w:val="bottom"/>
            <w:tcBorders>
              <w:bottom w:val="single" w:sz="8" w:color="231F20"/>
            </w:tcBorders>
          </w:tcPr>
          <w:p>
            <w:pPr>
              <w:ind w:left="40"/>
              <w:spacing w:after="0"/>
              <w:rPr>
                <w:sz w:val="20"/>
                <w:szCs w:val="20"/>
                <w:color w:val="auto"/>
              </w:rPr>
            </w:pPr>
            <w:r>
              <w:rPr>
                <w:rFonts w:ascii="Arial" w:cs="Arial" w:eastAsia="Arial" w:hAnsi="Arial"/>
                <w:sz w:val="13"/>
                <w:szCs w:val="13"/>
                <w:color w:val="auto"/>
              </w:rPr>
              <w:t>Other Southern Europe</w:t>
            </w:r>
          </w:p>
        </w:tc>
        <w:tc>
          <w:tcPr>
            <w:tcW w:w="120" w:type="dxa"/>
            <w:vAlign w:val="bottom"/>
            <w:tcBorders>
              <w:bottom w:val="single" w:sz="8" w:color="231F20"/>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6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1,437.5</w:t>
            </w:r>
          </w:p>
        </w:tc>
        <w:tc>
          <w:tcPr>
            <w:tcW w:w="18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265.8</w:t>
            </w:r>
          </w:p>
        </w:tc>
        <w:tc>
          <w:tcPr>
            <w:tcW w:w="18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73"/>
              <w:spacing w:after="0"/>
              <w:rPr>
                <w:sz w:val="20"/>
                <w:szCs w:val="20"/>
                <w:color w:val="auto"/>
              </w:rPr>
            </w:pPr>
            <w:r>
              <w:rPr>
                <w:rFonts w:ascii="Arial" w:cs="Arial" w:eastAsia="Arial" w:hAnsi="Arial"/>
                <w:sz w:val="13"/>
                <w:szCs w:val="13"/>
                <w:color w:val="auto"/>
              </w:rPr>
              <w:t>50.9</w:t>
            </w:r>
          </w:p>
        </w:tc>
        <w:tc>
          <w:tcPr>
            <w:tcW w:w="260" w:type="dxa"/>
            <w:vAlign w:val="bottom"/>
            <w:tcBorders>
              <w:bottom w:val="single" w:sz="8" w:color="231F20"/>
            </w:tcBorders>
          </w:tcPr>
          <w:p>
            <w:pPr>
              <w:spacing w:after="0"/>
              <w:rPr>
                <w:sz w:val="16"/>
                <w:szCs w:val="16"/>
                <w:color w:val="auto"/>
              </w:rPr>
            </w:pP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24.9</w:t>
            </w:r>
          </w:p>
        </w:tc>
        <w:tc>
          <w:tcPr>
            <w:tcW w:w="340" w:type="dxa"/>
            <w:vAlign w:val="bottom"/>
            <w:tcBorders>
              <w:bottom w:val="single" w:sz="8" w:color="231F20"/>
            </w:tcBorders>
          </w:tcPr>
          <w:p>
            <w:pPr>
              <w:spacing w:after="0"/>
              <w:rPr>
                <w:sz w:val="16"/>
                <w:szCs w:val="16"/>
                <w:color w:val="auto"/>
              </w:rPr>
            </w:pPr>
          </w:p>
        </w:tc>
        <w:tc>
          <w:tcPr>
            <w:tcW w:w="70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1,779.1</w:t>
            </w:r>
          </w:p>
        </w:tc>
        <w:tc>
          <w:tcPr>
            <w:tcW w:w="10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700" w:type="dxa"/>
            <w:vAlign w:val="bottom"/>
            <w:tcBorders>
              <w:bottom w:val="single" w:sz="8" w:color="231F20"/>
            </w:tcBorders>
          </w:tcPr>
          <w:p>
            <w:pPr>
              <w:jc w:val="right"/>
              <w:ind w:right="34"/>
              <w:spacing w:after="0"/>
              <w:rPr>
                <w:sz w:val="20"/>
                <w:szCs w:val="20"/>
                <w:color w:val="auto"/>
              </w:rPr>
            </w:pPr>
            <w:r>
              <w:rPr>
                <w:rFonts w:ascii="Arial" w:cs="Arial" w:eastAsia="Arial" w:hAnsi="Arial"/>
                <w:sz w:val="13"/>
                <w:szCs w:val="13"/>
                <w:color w:val="auto"/>
              </w:rPr>
              <w:t>1,257.8</w:t>
            </w:r>
          </w:p>
        </w:tc>
        <w:tc>
          <w:tcPr>
            <w:tcW w:w="200" w:type="dxa"/>
            <w:vAlign w:val="bottom"/>
            <w:tcBorders>
              <w:bottom w:val="single" w:sz="8" w:color="231F20"/>
            </w:tcBorders>
          </w:tcPr>
          <w:p>
            <w:pPr>
              <w:spacing w:after="0"/>
              <w:rPr>
                <w:sz w:val="16"/>
                <w:szCs w:val="16"/>
                <w:color w:val="auto"/>
              </w:rPr>
            </w:pPr>
          </w:p>
        </w:tc>
        <w:tc>
          <w:tcPr>
            <w:tcW w:w="80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235.0</w:t>
            </w:r>
          </w:p>
        </w:tc>
        <w:tc>
          <w:tcPr>
            <w:tcW w:w="18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41.8</w:t>
            </w:r>
          </w:p>
        </w:tc>
        <w:tc>
          <w:tcPr>
            <w:tcW w:w="20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ind w:right="33"/>
              <w:spacing w:after="0"/>
              <w:rPr>
                <w:sz w:val="20"/>
                <w:szCs w:val="20"/>
                <w:color w:val="auto"/>
              </w:rPr>
            </w:pPr>
            <w:r>
              <w:rPr>
                <w:rFonts w:ascii="Arial" w:cs="Arial" w:eastAsia="Arial" w:hAnsi="Arial"/>
                <w:sz w:val="13"/>
                <w:szCs w:val="13"/>
                <w:color w:val="auto"/>
              </w:rPr>
              <w:t>29.5</w:t>
            </w:r>
          </w:p>
        </w:tc>
        <w:tc>
          <w:tcPr>
            <w:tcW w:w="28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1,564.1</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231F20"/>
            </w:tcBorders>
            <w:shd w:val="clear" w:color="auto" w:fill="E2E8F1"/>
          </w:tcPr>
          <w:p>
            <w:pPr>
              <w:spacing w:after="0"/>
              <w:rPr>
                <w:sz w:val="15"/>
                <w:szCs w:val="15"/>
                <w:color w:val="auto"/>
              </w:rPr>
            </w:pPr>
          </w:p>
        </w:tc>
        <w:tc>
          <w:tcPr>
            <w:tcW w:w="120" w:type="dxa"/>
            <w:vAlign w:val="bottom"/>
            <w:tcBorders>
              <w:bottom w:val="single" w:sz="8" w:color="231F20"/>
            </w:tcBorders>
            <w:shd w:val="clear" w:color="auto" w:fill="E2E8F1"/>
          </w:tcPr>
          <w:p>
            <w:pPr>
              <w:spacing w:after="0"/>
              <w:rPr>
                <w:sz w:val="15"/>
                <w:szCs w:val="15"/>
                <w:color w:val="auto"/>
              </w:rPr>
            </w:pPr>
          </w:p>
        </w:tc>
        <w:tc>
          <w:tcPr>
            <w:tcW w:w="80" w:type="dxa"/>
            <w:vAlign w:val="bottom"/>
            <w:tcBorders>
              <w:bottom w:val="single" w:sz="8" w:color="231F20"/>
            </w:tcBorders>
            <w:shd w:val="clear" w:color="auto" w:fill="E2E8F1"/>
          </w:tcPr>
          <w:p>
            <w:pPr>
              <w:spacing w:after="0"/>
              <w:rPr>
                <w:sz w:val="15"/>
                <w:szCs w:val="15"/>
                <w:color w:val="auto"/>
              </w:rPr>
            </w:pPr>
          </w:p>
        </w:tc>
        <w:tc>
          <w:tcPr>
            <w:tcW w:w="6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5,919.0</w:t>
            </w:r>
          </w:p>
        </w:tc>
        <w:tc>
          <w:tcPr>
            <w:tcW w:w="180" w:type="dxa"/>
            <w:vAlign w:val="bottom"/>
            <w:tcBorders>
              <w:bottom w:val="single" w:sz="8" w:color="231F20"/>
            </w:tcBorders>
            <w:shd w:val="clear" w:color="auto" w:fill="E2E8F1"/>
          </w:tcPr>
          <w:p>
            <w:pPr>
              <w:spacing w:after="0"/>
              <w:rPr>
                <w:sz w:val="15"/>
                <w:szCs w:val="15"/>
                <w:color w:val="auto"/>
              </w:rPr>
            </w:pPr>
          </w:p>
        </w:tc>
        <w:tc>
          <w:tcPr>
            <w:tcW w:w="7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497.6</w:t>
            </w:r>
          </w:p>
        </w:tc>
        <w:tc>
          <w:tcPr>
            <w:tcW w:w="180" w:type="dxa"/>
            <w:vAlign w:val="bottom"/>
            <w:tcBorders>
              <w:bottom w:val="single" w:sz="8" w:color="231F20"/>
            </w:tcBorders>
            <w:shd w:val="clear" w:color="auto" w:fill="E2E8F1"/>
          </w:tcPr>
          <w:p>
            <w:pPr>
              <w:spacing w:after="0"/>
              <w:rPr>
                <w:sz w:val="15"/>
                <w:szCs w:val="15"/>
                <w:color w:val="auto"/>
              </w:rPr>
            </w:pPr>
          </w:p>
        </w:tc>
        <w:tc>
          <w:tcPr>
            <w:tcW w:w="880" w:type="dxa"/>
            <w:vAlign w:val="bottom"/>
            <w:tcBorders>
              <w:bottom w:val="single" w:sz="8" w:color="231F20"/>
            </w:tcBorders>
            <w:shd w:val="clear" w:color="auto" w:fill="E2E8F1"/>
          </w:tcPr>
          <w:p>
            <w:pPr>
              <w:jc w:val="right"/>
              <w:ind w:right="73"/>
              <w:spacing w:after="0"/>
              <w:rPr>
                <w:sz w:val="20"/>
                <w:szCs w:val="20"/>
                <w:color w:val="auto"/>
              </w:rPr>
            </w:pPr>
            <w:r>
              <w:rPr>
                <w:rFonts w:ascii="Arial" w:cs="Arial" w:eastAsia="Arial" w:hAnsi="Arial"/>
                <w:sz w:val="13"/>
                <w:szCs w:val="13"/>
                <w:color w:val="auto"/>
              </w:rPr>
              <w:t>118.5</w:t>
            </w:r>
          </w:p>
        </w:tc>
        <w:tc>
          <w:tcPr>
            <w:tcW w:w="260" w:type="dxa"/>
            <w:vAlign w:val="bottom"/>
            <w:tcBorders>
              <w:bottom w:val="single" w:sz="8" w:color="231F20"/>
            </w:tcBorders>
            <w:shd w:val="clear" w:color="auto" w:fill="E2E8F1"/>
          </w:tcPr>
          <w:p>
            <w:pPr>
              <w:spacing w:after="0"/>
              <w:rPr>
                <w:sz w:val="15"/>
                <w:szCs w:val="15"/>
                <w:color w:val="auto"/>
              </w:rPr>
            </w:pPr>
          </w:p>
        </w:tc>
        <w:tc>
          <w:tcPr>
            <w:tcW w:w="52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102.8</w:t>
            </w:r>
          </w:p>
        </w:tc>
        <w:tc>
          <w:tcPr>
            <w:tcW w:w="340" w:type="dxa"/>
            <w:vAlign w:val="bottom"/>
            <w:tcBorders>
              <w:bottom w:val="single" w:sz="8" w:color="231F20"/>
            </w:tcBorders>
            <w:shd w:val="clear" w:color="auto" w:fill="E2E8F1"/>
          </w:tcPr>
          <w:p>
            <w:pPr>
              <w:spacing w:after="0"/>
              <w:rPr>
                <w:sz w:val="15"/>
                <w:szCs w:val="15"/>
                <w:color w:val="auto"/>
              </w:rPr>
            </w:pPr>
          </w:p>
        </w:tc>
        <w:tc>
          <w:tcPr>
            <w:tcW w:w="70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6,637.9</w:t>
            </w:r>
          </w:p>
        </w:tc>
        <w:tc>
          <w:tcPr>
            <w:tcW w:w="100" w:type="dxa"/>
            <w:vAlign w:val="bottom"/>
            <w:tcBorders>
              <w:bottom w:val="single" w:sz="8" w:color="231F20"/>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700" w:type="dxa"/>
            <w:vAlign w:val="bottom"/>
            <w:tcBorders>
              <w:bottom w:val="single" w:sz="8" w:color="231F20"/>
            </w:tcBorders>
            <w:shd w:val="clear" w:color="auto" w:fill="E2E8F1"/>
          </w:tcPr>
          <w:p>
            <w:pPr>
              <w:jc w:val="right"/>
              <w:ind w:right="34"/>
              <w:spacing w:after="0"/>
              <w:rPr>
                <w:sz w:val="20"/>
                <w:szCs w:val="20"/>
                <w:color w:val="auto"/>
              </w:rPr>
            </w:pPr>
            <w:r>
              <w:rPr>
                <w:rFonts w:ascii="Arial" w:cs="Arial" w:eastAsia="Arial" w:hAnsi="Arial"/>
                <w:sz w:val="13"/>
                <w:szCs w:val="13"/>
                <w:color w:val="auto"/>
              </w:rPr>
              <w:t>5,502.1</w:t>
            </w:r>
          </w:p>
        </w:tc>
        <w:tc>
          <w:tcPr>
            <w:tcW w:w="200" w:type="dxa"/>
            <w:vAlign w:val="bottom"/>
            <w:tcBorders>
              <w:bottom w:val="single" w:sz="8" w:color="231F20"/>
            </w:tcBorders>
            <w:shd w:val="clear" w:color="auto" w:fill="E2E8F1"/>
          </w:tcPr>
          <w:p>
            <w:pPr>
              <w:spacing w:after="0"/>
              <w:rPr>
                <w:sz w:val="15"/>
                <w:szCs w:val="15"/>
                <w:color w:val="auto"/>
              </w:rPr>
            </w:pPr>
          </w:p>
        </w:tc>
        <w:tc>
          <w:tcPr>
            <w:tcW w:w="80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465.6</w:t>
            </w:r>
          </w:p>
        </w:tc>
        <w:tc>
          <w:tcPr>
            <w:tcW w:w="180" w:type="dxa"/>
            <w:vAlign w:val="bottom"/>
            <w:tcBorders>
              <w:bottom w:val="single" w:sz="8" w:color="231F20"/>
            </w:tcBorders>
            <w:shd w:val="clear" w:color="auto" w:fill="E2E8F1"/>
          </w:tcPr>
          <w:p>
            <w:pPr>
              <w:spacing w:after="0"/>
              <w:rPr>
                <w:sz w:val="15"/>
                <w:szCs w:val="15"/>
                <w:color w:val="auto"/>
              </w:rPr>
            </w:pPr>
          </w:p>
        </w:tc>
        <w:tc>
          <w:tcPr>
            <w:tcW w:w="8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110.6</w:t>
            </w:r>
          </w:p>
        </w:tc>
        <w:tc>
          <w:tcPr>
            <w:tcW w:w="20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jc w:val="right"/>
              <w:ind w:right="33"/>
              <w:spacing w:after="0"/>
              <w:rPr>
                <w:sz w:val="20"/>
                <w:szCs w:val="20"/>
                <w:color w:val="auto"/>
              </w:rPr>
            </w:pPr>
            <w:r>
              <w:rPr>
                <w:rFonts w:ascii="Arial" w:cs="Arial" w:eastAsia="Arial" w:hAnsi="Arial"/>
                <w:sz w:val="13"/>
                <w:szCs w:val="13"/>
                <w:color w:val="auto"/>
              </w:rPr>
              <w:t>110.5</w:t>
            </w:r>
          </w:p>
        </w:tc>
        <w:tc>
          <w:tcPr>
            <w:tcW w:w="280" w:type="dxa"/>
            <w:vAlign w:val="bottom"/>
            <w:tcBorders>
              <w:bottom w:val="single" w:sz="8" w:color="231F20"/>
            </w:tcBorders>
            <w:shd w:val="clear" w:color="auto" w:fill="E2E8F1"/>
          </w:tcPr>
          <w:p>
            <w:pPr>
              <w:spacing w:after="0"/>
              <w:rPr>
                <w:sz w:val="15"/>
                <w:szCs w:val="15"/>
                <w:color w:val="auto"/>
              </w:rPr>
            </w:pPr>
          </w:p>
        </w:tc>
        <w:tc>
          <w:tcPr>
            <w:tcW w:w="7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6,188.8</w:t>
            </w:r>
          </w:p>
        </w:tc>
        <w:tc>
          <w:tcPr>
            <w:tcW w:w="0" w:type="dxa"/>
            <w:vAlign w:val="bottom"/>
          </w:tcPr>
          <w:p>
            <w:pPr>
              <w:spacing w:after="0"/>
              <w:rPr>
                <w:sz w:val="1"/>
                <w:szCs w:val="1"/>
                <w:color w:val="auto"/>
              </w:rPr>
            </w:pPr>
          </w:p>
        </w:tc>
      </w:tr>
      <w:tr>
        <w:trPr>
          <w:trHeight w:val="183"/>
        </w:trPr>
        <w:tc>
          <w:tcPr>
            <w:tcW w:w="1760" w:type="dxa"/>
            <w:vAlign w:val="bottom"/>
          </w:tcPr>
          <w:p>
            <w:pPr>
              <w:ind w:left="20"/>
              <w:spacing w:after="0"/>
              <w:rPr>
                <w:sz w:val="20"/>
                <w:szCs w:val="20"/>
                <w:color w:val="auto"/>
              </w:rPr>
            </w:pPr>
            <w:r>
              <w:rPr>
                <w:rFonts w:ascii="Arial" w:cs="Arial" w:eastAsia="Arial" w:hAnsi="Arial"/>
                <w:sz w:val="13"/>
                <w:szCs w:val="13"/>
                <w:color w:val="auto"/>
              </w:rPr>
              <w:t>Northern Europe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2,154.3</w:t>
            </w:r>
          </w:p>
        </w:tc>
        <w:tc>
          <w:tcPr>
            <w:tcW w:w="180" w:type="dxa"/>
            <w:vAlign w:val="bottom"/>
          </w:tcPr>
          <w:p>
            <w:pPr>
              <w:spacing w:after="0"/>
              <w:rPr>
                <w:sz w:val="15"/>
                <w:szCs w:val="15"/>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172.6</w:t>
            </w:r>
          </w:p>
        </w:tc>
        <w:tc>
          <w:tcPr>
            <w:tcW w:w="18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71.8</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77.5</w:t>
            </w:r>
          </w:p>
        </w:tc>
        <w:tc>
          <w:tcPr>
            <w:tcW w:w="340" w:type="dxa"/>
            <w:vAlign w:val="bottom"/>
          </w:tcPr>
          <w:p>
            <w:pPr>
              <w:spacing w:after="0"/>
              <w:rPr>
                <w:sz w:val="15"/>
                <w:szCs w:val="15"/>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2,476.2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2,016.0</w:t>
            </w:r>
          </w:p>
        </w:tc>
        <w:tc>
          <w:tcPr>
            <w:tcW w:w="20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172.3</w:t>
            </w:r>
          </w:p>
        </w:tc>
        <w:tc>
          <w:tcPr>
            <w:tcW w:w="18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77.5</w:t>
            </w:r>
          </w:p>
        </w:tc>
        <w:tc>
          <w:tcPr>
            <w:tcW w:w="20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76.2</w:t>
            </w:r>
          </w:p>
        </w:tc>
        <w:tc>
          <w:tcPr>
            <w:tcW w:w="28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2,342.0</w:t>
            </w:r>
          </w:p>
        </w:tc>
        <w:tc>
          <w:tcPr>
            <w:tcW w:w="0" w:type="dxa"/>
            <w:vAlign w:val="bottom"/>
          </w:tcPr>
          <w:p>
            <w:pPr>
              <w:spacing w:after="0"/>
              <w:rPr>
                <w:sz w:val="1"/>
                <w:szCs w:val="1"/>
                <w:color w:val="auto"/>
              </w:rPr>
            </w:pPr>
          </w:p>
        </w:tc>
      </w:tr>
      <w:tr>
        <w:trPr>
          <w:trHeight w:val="189"/>
        </w:trPr>
        <w:tc>
          <w:tcPr>
            <w:tcW w:w="1760" w:type="dxa"/>
            <w:vAlign w:val="bottom"/>
            <w:tcBorders>
              <w:bottom w:val="single" w:sz="8" w:color="231F20"/>
            </w:tcBorders>
            <w:shd w:val="clear" w:color="auto" w:fill="E2E8F1"/>
          </w:tcPr>
          <w:p>
            <w:pPr>
              <w:ind w:left="20"/>
              <w:spacing w:after="0"/>
              <w:rPr>
                <w:sz w:val="20"/>
                <w:szCs w:val="20"/>
                <w:color w:val="auto"/>
              </w:rPr>
            </w:pPr>
            <w:r>
              <w:rPr>
                <w:rFonts w:ascii="Arial" w:cs="Arial" w:eastAsia="Arial" w:hAnsi="Arial"/>
                <w:sz w:val="13"/>
                <w:szCs w:val="13"/>
                <w:color w:val="auto"/>
              </w:rPr>
              <w:t>APME</w:t>
            </w:r>
          </w:p>
        </w:tc>
        <w:tc>
          <w:tcPr>
            <w:tcW w:w="120" w:type="dxa"/>
            <w:vAlign w:val="bottom"/>
            <w:tcBorders>
              <w:bottom w:val="single" w:sz="8" w:color="231F20"/>
            </w:tcBorders>
            <w:shd w:val="clear" w:color="auto" w:fill="E2E8F1"/>
          </w:tcPr>
          <w:p>
            <w:pPr>
              <w:spacing w:after="0"/>
              <w:rPr>
                <w:sz w:val="16"/>
                <w:szCs w:val="16"/>
                <w:color w:val="auto"/>
              </w:rPr>
            </w:pPr>
          </w:p>
        </w:tc>
        <w:tc>
          <w:tcPr>
            <w:tcW w:w="80" w:type="dxa"/>
            <w:vAlign w:val="bottom"/>
            <w:tcBorders>
              <w:bottom w:val="single" w:sz="8" w:color="231F20"/>
            </w:tcBorders>
            <w:shd w:val="clear" w:color="auto" w:fill="E2E8F1"/>
          </w:tcPr>
          <w:p>
            <w:pPr>
              <w:spacing w:after="0"/>
              <w:rPr>
                <w:sz w:val="16"/>
                <w:szCs w:val="16"/>
                <w:color w:val="auto"/>
              </w:rPr>
            </w:pPr>
          </w:p>
        </w:tc>
        <w:tc>
          <w:tcPr>
            <w:tcW w:w="6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1,304.5</w:t>
            </w:r>
          </w:p>
        </w:tc>
        <w:tc>
          <w:tcPr>
            <w:tcW w:w="180" w:type="dxa"/>
            <w:vAlign w:val="bottom"/>
            <w:tcBorders>
              <w:bottom w:val="single" w:sz="8" w:color="231F20"/>
            </w:tcBorders>
            <w:shd w:val="clear" w:color="auto" w:fill="E2E8F1"/>
          </w:tcPr>
          <w:p>
            <w:pPr>
              <w:spacing w:after="0"/>
              <w:rPr>
                <w:sz w:val="16"/>
                <w:szCs w:val="16"/>
                <w:color w:val="auto"/>
              </w:rPr>
            </w:pPr>
          </w:p>
        </w:tc>
        <w:tc>
          <w:tcPr>
            <w:tcW w:w="7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174.3</w:t>
            </w:r>
          </w:p>
        </w:tc>
        <w:tc>
          <w:tcPr>
            <w:tcW w:w="180" w:type="dxa"/>
            <w:vAlign w:val="bottom"/>
            <w:tcBorders>
              <w:bottom w:val="single" w:sz="8" w:color="231F20"/>
            </w:tcBorders>
            <w:shd w:val="clear" w:color="auto" w:fill="E2E8F1"/>
          </w:tcPr>
          <w:p>
            <w:pPr>
              <w:spacing w:after="0"/>
              <w:rPr>
                <w:sz w:val="16"/>
                <w:szCs w:val="16"/>
                <w:color w:val="auto"/>
              </w:rPr>
            </w:pPr>
          </w:p>
        </w:tc>
        <w:tc>
          <w:tcPr>
            <w:tcW w:w="880" w:type="dxa"/>
            <w:vAlign w:val="bottom"/>
            <w:tcBorders>
              <w:bottom w:val="single" w:sz="8" w:color="231F20"/>
            </w:tcBorders>
            <w:shd w:val="clear" w:color="auto" w:fill="E2E8F1"/>
          </w:tcPr>
          <w:p>
            <w:pPr>
              <w:jc w:val="right"/>
              <w:ind w:right="73"/>
              <w:spacing w:after="0"/>
              <w:rPr>
                <w:sz w:val="20"/>
                <w:szCs w:val="20"/>
                <w:color w:val="auto"/>
              </w:rPr>
            </w:pPr>
            <w:r>
              <w:rPr>
                <w:rFonts w:ascii="Arial" w:cs="Arial" w:eastAsia="Arial" w:hAnsi="Arial"/>
                <w:sz w:val="13"/>
                <w:szCs w:val="13"/>
                <w:color w:val="auto"/>
              </w:rPr>
              <w:t>36.3</w:t>
            </w:r>
          </w:p>
        </w:tc>
        <w:tc>
          <w:tcPr>
            <w:tcW w:w="260" w:type="dxa"/>
            <w:vAlign w:val="bottom"/>
            <w:tcBorders>
              <w:bottom w:val="single" w:sz="8" w:color="231F20"/>
            </w:tcBorders>
            <w:shd w:val="clear" w:color="auto" w:fill="E2E8F1"/>
          </w:tcPr>
          <w:p>
            <w:pPr>
              <w:spacing w:after="0"/>
              <w:rPr>
                <w:sz w:val="16"/>
                <w:szCs w:val="16"/>
                <w:color w:val="auto"/>
              </w:rPr>
            </w:pPr>
          </w:p>
        </w:tc>
        <w:tc>
          <w:tcPr>
            <w:tcW w:w="52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29.0</w:t>
            </w:r>
          </w:p>
        </w:tc>
        <w:tc>
          <w:tcPr>
            <w:tcW w:w="340" w:type="dxa"/>
            <w:vAlign w:val="bottom"/>
            <w:tcBorders>
              <w:bottom w:val="single" w:sz="8" w:color="231F20"/>
            </w:tcBorders>
            <w:shd w:val="clear" w:color="auto" w:fill="E2E8F1"/>
          </w:tcPr>
          <w:p>
            <w:pPr>
              <w:spacing w:after="0"/>
              <w:rPr>
                <w:sz w:val="16"/>
                <w:szCs w:val="16"/>
                <w:color w:val="auto"/>
              </w:rPr>
            </w:pPr>
          </w:p>
        </w:tc>
        <w:tc>
          <w:tcPr>
            <w:tcW w:w="70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1,544.1</w:t>
            </w:r>
          </w:p>
        </w:tc>
        <w:tc>
          <w:tcPr>
            <w:tcW w:w="100" w:type="dxa"/>
            <w:vAlign w:val="bottom"/>
            <w:tcBorders>
              <w:bottom w:val="single" w:sz="8" w:color="231F20"/>
            </w:tcBorders>
            <w:shd w:val="clear" w:color="auto" w:fill="E2E8F1"/>
          </w:tcPr>
          <w:p>
            <w:pPr>
              <w:spacing w:after="0"/>
              <w:rPr>
                <w:sz w:val="16"/>
                <w:szCs w:val="16"/>
                <w:color w:val="auto"/>
              </w:rPr>
            </w:pPr>
          </w:p>
        </w:tc>
        <w:tc>
          <w:tcPr>
            <w:tcW w:w="100" w:type="dxa"/>
            <w:vAlign w:val="bottom"/>
            <w:tcBorders>
              <w:bottom w:val="single" w:sz="8" w:color="231F20"/>
            </w:tcBorders>
            <w:shd w:val="clear" w:color="auto" w:fill="E2E8F1"/>
          </w:tcPr>
          <w:p>
            <w:pPr>
              <w:spacing w:after="0"/>
              <w:rPr>
                <w:sz w:val="16"/>
                <w:szCs w:val="16"/>
                <w:color w:val="auto"/>
              </w:rPr>
            </w:pPr>
          </w:p>
        </w:tc>
        <w:tc>
          <w:tcPr>
            <w:tcW w:w="700" w:type="dxa"/>
            <w:vAlign w:val="bottom"/>
            <w:tcBorders>
              <w:bottom w:val="single" w:sz="8" w:color="231F20"/>
            </w:tcBorders>
            <w:shd w:val="clear" w:color="auto" w:fill="E2E8F1"/>
          </w:tcPr>
          <w:p>
            <w:pPr>
              <w:jc w:val="right"/>
              <w:ind w:right="34"/>
              <w:spacing w:after="0"/>
              <w:rPr>
                <w:sz w:val="20"/>
                <w:szCs w:val="20"/>
                <w:color w:val="auto"/>
              </w:rPr>
            </w:pPr>
            <w:r>
              <w:rPr>
                <w:rFonts w:ascii="Arial" w:cs="Arial" w:eastAsia="Arial" w:hAnsi="Arial"/>
                <w:sz w:val="13"/>
                <w:szCs w:val="13"/>
                <w:color w:val="auto"/>
              </w:rPr>
              <w:t>1,267.4</w:t>
            </w:r>
          </w:p>
        </w:tc>
        <w:tc>
          <w:tcPr>
            <w:tcW w:w="200" w:type="dxa"/>
            <w:vAlign w:val="bottom"/>
            <w:tcBorders>
              <w:bottom w:val="single" w:sz="8" w:color="231F20"/>
            </w:tcBorders>
            <w:shd w:val="clear" w:color="auto" w:fill="E2E8F1"/>
          </w:tcPr>
          <w:p>
            <w:pPr>
              <w:spacing w:after="0"/>
              <w:rPr>
                <w:sz w:val="16"/>
                <w:szCs w:val="16"/>
                <w:color w:val="auto"/>
              </w:rPr>
            </w:pPr>
          </w:p>
        </w:tc>
        <w:tc>
          <w:tcPr>
            <w:tcW w:w="80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187.6</w:t>
            </w:r>
          </w:p>
        </w:tc>
        <w:tc>
          <w:tcPr>
            <w:tcW w:w="180" w:type="dxa"/>
            <w:vAlign w:val="bottom"/>
            <w:tcBorders>
              <w:bottom w:val="single" w:sz="8" w:color="231F20"/>
            </w:tcBorders>
            <w:shd w:val="clear" w:color="auto" w:fill="E2E8F1"/>
          </w:tcPr>
          <w:p>
            <w:pPr>
              <w:spacing w:after="0"/>
              <w:rPr>
                <w:sz w:val="16"/>
                <w:szCs w:val="16"/>
                <w:color w:val="auto"/>
              </w:rPr>
            </w:pPr>
          </w:p>
        </w:tc>
        <w:tc>
          <w:tcPr>
            <w:tcW w:w="8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37.8</w:t>
            </w:r>
          </w:p>
        </w:tc>
        <w:tc>
          <w:tcPr>
            <w:tcW w:w="20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ind w:right="33"/>
              <w:spacing w:after="0"/>
              <w:rPr>
                <w:sz w:val="20"/>
                <w:szCs w:val="20"/>
                <w:color w:val="auto"/>
              </w:rPr>
            </w:pPr>
            <w:r>
              <w:rPr>
                <w:rFonts w:ascii="Arial" w:cs="Arial" w:eastAsia="Arial" w:hAnsi="Arial"/>
                <w:sz w:val="13"/>
                <w:szCs w:val="13"/>
                <w:color w:val="auto"/>
              </w:rPr>
              <w:t>29.4</w:t>
            </w:r>
          </w:p>
        </w:tc>
        <w:tc>
          <w:tcPr>
            <w:tcW w:w="280" w:type="dxa"/>
            <w:vAlign w:val="bottom"/>
            <w:tcBorders>
              <w:bottom w:val="single" w:sz="8" w:color="231F20"/>
            </w:tcBorders>
            <w:shd w:val="clear" w:color="auto" w:fill="E2E8F1"/>
          </w:tcPr>
          <w:p>
            <w:pPr>
              <w:spacing w:after="0"/>
              <w:rPr>
                <w:sz w:val="16"/>
                <w:szCs w:val="16"/>
                <w:color w:val="auto"/>
              </w:rPr>
            </w:pPr>
          </w:p>
        </w:tc>
        <w:tc>
          <w:tcPr>
            <w:tcW w:w="7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1,522.2</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231F20"/>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12,635.2</w:t>
            </w:r>
          </w:p>
        </w:tc>
        <w:tc>
          <w:tcPr>
            <w:tcW w:w="1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904.9</w:t>
            </w:r>
          </w:p>
        </w:tc>
        <w:tc>
          <w:tcPr>
            <w:tcW w:w="18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jc w:val="right"/>
              <w:ind w:right="73"/>
              <w:spacing w:after="0"/>
              <w:rPr>
                <w:sz w:val="20"/>
                <w:szCs w:val="20"/>
                <w:color w:val="auto"/>
              </w:rPr>
            </w:pPr>
            <w:r>
              <w:rPr>
                <w:rFonts w:ascii="Arial" w:cs="Arial" w:eastAsia="Arial" w:hAnsi="Arial"/>
                <w:sz w:val="13"/>
                <w:szCs w:val="13"/>
                <w:color w:val="auto"/>
              </w:rPr>
              <w:t>343.8</w:t>
            </w:r>
          </w:p>
        </w:tc>
        <w:tc>
          <w:tcPr>
            <w:tcW w:w="26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348.9</w:t>
            </w:r>
          </w:p>
        </w:tc>
        <w:tc>
          <w:tcPr>
            <w:tcW w:w="340" w:type="dxa"/>
            <w:vAlign w:val="bottom"/>
            <w:tcBorders>
              <w:bottom w:val="single" w:sz="8" w:color="231F20"/>
            </w:tcBorders>
          </w:tcPr>
          <w:p>
            <w:pPr>
              <w:spacing w:after="0"/>
              <w:rPr>
                <w:sz w:val="15"/>
                <w:szCs w:val="15"/>
                <w:color w:val="auto"/>
              </w:rPr>
            </w:pPr>
          </w:p>
        </w:tc>
        <w:tc>
          <w:tcPr>
            <w:tcW w:w="70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14,232.8</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00" w:type="dxa"/>
            <w:vAlign w:val="bottom"/>
            <w:tcBorders>
              <w:bottom w:val="single" w:sz="8" w:color="231F20"/>
            </w:tcBorders>
          </w:tcPr>
          <w:p>
            <w:pPr>
              <w:jc w:val="right"/>
              <w:ind w:right="34"/>
              <w:spacing w:after="0"/>
              <w:rPr>
                <w:sz w:val="20"/>
                <w:szCs w:val="20"/>
                <w:color w:val="auto"/>
              </w:rPr>
            </w:pPr>
            <w:r>
              <w:rPr>
                <w:rFonts w:ascii="Arial" w:cs="Arial" w:eastAsia="Arial" w:hAnsi="Arial"/>
                <w:sz w:val="13"/>
                <w:szCs w:val="13"/>
                <w:color w:val="auto"/>
              </w:rPr>
              <w:t>11,696.3</w:t>
            </w:r>
          </w:p>
        </w:tc>
        <w:tc>
          <w:tcPr>
            <w:tcW w:w="2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881.7</w:t>
            </w:r>
          </w:p>
        </w:tc>
        <w:tc>
          <w:tcPr>
            <w:tcW w:w="1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336.0</w:t>
            </w:r>
          </w:p>
        </w:tc>
        <w:tc>
          <w:tcPr>
            <w:tcW w:w="20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ind w:right="33"/>
              <w:spacing w:after="0"/>
              <w:rPr>
                <w:sz w:val="20"/>
                <w:szCs w:val="20"/>
                <w:color w:val="auto"/>
              </w:rPr>
            </w:pPr>
            <w:r>
              <w:rPr>
                <w:rFonts w:ascii="Arial" w:cs="Arial" w:eastAsia="Arial" w:hAnsi="Arial"/>
                <w:sz w:val="13"/>
                <w:szCs w:val="13"/>
                <w:color w:val="auto"/>
              </w:rPr>
              <w:t>354.4</w:t>
            </w:r>
          </w:p>
        </w:tc>
        <w:tc>
          <w:tcPr>
            <w:tcW w:w="2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13,268.4</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231F20"/>
            </w:tcBorders>
            <w:shd w:val="clear" w:color="auto" w:fill="E2E8F1"/>
          </w:tcPr>
          <w:p>
            <w:pPr>
              <w:ind w:left="20"/>
              <w:spacing w:after="0"/>
              <w:rPr>
                <w:sz w:val="20"/>
                <w:szCs w:val="20"/>
                <w:color w:val="auto"/>
              </w:rPr>
            </w:pPr>
            <w:r>
              <w:rPr>
                <w:rFonts w:ascii="Arial" w:cs="Arial" w:eastAsia="Arial" w:hAnsi="Arial"/>
                <w:sz w:val="13"/>
                <w:szCs w:val="13"/>
                <w:color w:val="auto"/>
              </w:rPr>
              <w:t>Intercompany Eliminations</w:t>
            </w:r>
          </w:p>
        </w:tc>
        <w:tc>
          <w:tcPr>
            <w:tcW w:w="120" w:type="dxa"/>
            <w:vAlign w:val="bottom"/>
            <w:tcBorders>
              <w:bottom w:val="single" w:sz="8" w:color="231F20"/>
            </w:tcBorders>
            <w:shd w:val="clear" w:color="auto" w:fill="E2E8F1"/>
          </w:tcPr>
          <w:p>
            <w:pPr>
              <w:spacing w:after="0"/>
              <w:rPr>
                <w:sz w:val="15"/>
                <w:szCs w:val="15"/>
                <w:color w:val="auto"/>
              </w:rPr>
            </w:pPr>
          </w:p>
        </w:tc>
        <w:tc>
          <w:tcPr>
            <w:tcW w:w="80" w:type="dxa"/>
            <w:vAlign w:val="bottom"/>
            <w:tcBorders>
              <w:bottom w:val="single" w:sz="8" w:color="231F20"/>
            </w:tcBorders>
            <w:shd w:val="clear" w:color="auto" w:fill="E2E8F1"/>
          </w:tcPr>
          <w:p>
            <w:pPr>
              <w:spacing w:after="0"/>
              <w:rPr>
                <w:sz w:val="15"/>
                <w:szCs w:val="15"/>
                <w:color w:val="auto"/>
              </w:rPr>
            </w:pPr>
          </w:p>
        </w:tc>
        <w:tc>
          <w:tcPr>
            <w:tcW w:w="680" w:type="dxa"/>
            <w:vAlign w:val="bottom"/>
            <w:tcBorders>
              <w:bottom w:val="single" w:sz="8" w:color="231F20"/>
            </w:tcBorders>
            <w:shd w:val="clear" w:color="auto" w:fill="E2E8F1"/>
          </w:tcPr>
          <w:p>
            <w:pPr>
              <w:spacing w:after="0"/>
              <w:rPr>
                <w:sz w:val="15"/>
                <w:szCs w:val="15"/>
                <w:color w:val="auto"/>
              </w:rPr>
            </w:pPr>
          </w:p>
        </w:tc>
        <w:tc>
          <w:tcPr>
            <w:tcW w:w="180" w:type="dxa"/>
            <w:vAlign w:val="bottom"/>
            <w:tcBorders>
              <w:bottom w:val="single" w:sz="8" w:color="231F20"/>
            </w:tcBorders>
            <w:shd w:val="clear" w:color="auto" w:fill="E2E8F1"/>
          </w:tcPr>
          <w:p>
            <w:pPr>
              <w:spacing w:after="0"/>
              <w:rPr>
                <w:sz w:val="15"/>
                <w:szCs w:val="15"/>
                <w:color w:val="auto"/>
              </w:rPr>
            </w:pPr>
          </w:p>
        </w:tc>
        <w:tc>
          <w:tcPr>
            <w:tcW w:w="780" w:type="dxa"/>
            <w:vAlign w:val="bottom"/>
            <w:tcBorders>
              <w:bottom w:val="single" w:sz="8" w:color="231F20"/>
            </w:tcBorders>
            <w:shd w:val="clear" w:color="auto" w:fill="E2E8F1"/>
          </w:tcPr>
          <w:p>
            <w:pPr>
              <w:spacing w:after="0"/>
              <w:rPr>
                <w:sz w:val="15"/>
                <w:szCs w:val="15"/>
                <w:color w:val="auto"/>
              </w:rPr>
            </w:pPr>
          </w:p>
        </w:tc>
        <w:tc>
          <w:tcPr>
            <w:tcW w:w="180" w:type="dxa"/>
            <w:vAlign w:val="bottom"/>
            <w:tcBorders>
              <w:bottom w:val="single" w:sz="8" w:color="231F20"/>
            </w:tcBorders>
            <w:shd w:val="clear" w:color="auto" w:fill="E2E8F1"/>
          </w:tcPr>
          <w:p>
            <w:pPr>
              <w:spacing w:after="0"/>
              <w:rPr>
                <w:sz w:val="15"/>
                <w:szCs w:val="15"/>
                <w:color w:val="auto"/>
              </w:rPr>
            </w:pPr>
          </w:p>
        </w:tc>
        <w:tc>
          <w:tcPr>
            <w:tcW w:w="880" w:type="dxa"/>
            <w:vAlign w:val="bottom"/>
            <w:tcBorders>
              <w:bottom w:val="single" w:sz="8" w:color="231F20"/>
            </w:tcBorders>
            <w:shd w:val="clear" w:color="auto" w:fill="E2E8F1"/>
          </w:tcPr>
          <w:p>
            <w:pPr>
              <w:spacing w:after="0"/>
              <w:rPr>
                <w:sz w:val="15"/>
                <w:szCs w:val="15"/>
                <w:color w:val="auto"/>
              </w:rPr>
            </w:pPr>
          </w:p>
        </w:tc>
        <w:tc>
          <w:tcPr>
            <w:tcW w:w="260" w:type="dxa"/>
            <w:vAlign w:val="bottom"/>
            <w:tcBorders>
              <w:bottom w:val="single" w:sz="8" w:color="231F20"/>
            </w:tcBorders>
            <w:shd w:val="clear" w:color="auto" w:fill="E2E8F1"/>
          </w:tcPr>
          <w:p>
            <w:pPr>
              <w:spacing w:after="0"/>
              <w:rPr>
                <w:sz w:val="15"/>
                <w:szCs w:val="15"/>
                <w:color w:val="auto"/>
              </w:rPr>
            </w:pPr>
          </w:p>
        </w:tc>
        <w:tc>
          <w:tcPr>
            <w:tcW w:w="520" w:type="dxa"/>
            <w:vAlign w:val="bottom"/>
            <w:tcBorders>
              <w:bottom w:val="single" w:sz="8" w:color="231F20"/>
            </w:tcBorders>
            <w:shd w:val="clear" w:color="auto" w:fill="E2E8F1"/>
          </w:tcPr>
          <w:p>
            <w:pPr>
              <w:spacing w:after="0"/>
              <w:rPr>
                <w:sz w:val="15"/>
                <w:szCs w:val="15"/>
                <w:color w:val="auto"/>
              </w:rPr>
            </w:pPr>
          </w:p>
        </w:tc>
        <w:tc>
          <w:tcPr>
            <w:tcW w:w="340" w:type="dxa"/>
            <w:vAlign w:val="bottom"/>
            <w:tcBorders>
              <w:bottom w:val="single" w:sz="8" w:color="231F20"/>
            </w:tcBorders>
            <w:shd w:val="clear" w:color="auto" w:fill="E2E8F1"/>
          </w:tcPr>
          <w:p>
            <w:pPr>
              <w:spacing w:after="0"/>
              <w:rPr>
                <w:sz w:val="15"/>
                <w:szCs w:val="15"/>
                <w:color w:val="auto"/>
              </w:rPr>
            </w:pPr>
          </w:p>
        </w:tc>
        <w:tc>
          <w:tcPr>
            <w:tcW w:w="7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Borders>
              <w:bottom w:val="single" w:sz="8" w:color="231F20"/>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700" w:type="dxa"/>
            <w:vAlign w:val="bottom"/>
            <w:tcBorders>
              <w:bottom w:val="single" w:sz="8" w:color="231F20"/>
            </w:tcBorders>
            <w:shd w:val="clear" w:color="auto" w:fill="E2E8F1"/>
          </w:tcPr>
          <w:p>
            <w:pPr>
              <w:spacing w:after="0"/>
              <w:rPr>
                <w:sz w:val="15"/>
                <w:szCs w:val="15"/>
                <w:color w:val="auto"/>
              </w:rPr>
            </w:pPr>
          </w:p>
        </w:tc>
        <w:tc>
          <w:tcPr>
            <w:tcW w:w="200" w:type="dxa"/>
            <w:vAlign w:val="bottom"/>
            <w:tcBorders>
              <w:bottom w:val="single" w:sz="8" w:color="231F20"/>
            </w:tcBorders>
            <w:shd w:val="clear" w:color="auto" w:fill="E2E8F1"/>
          </w:tcPr>
          <w:p>
            <w:pPr>
              <w:spacing w:after="0"/>
              <w:rPr>
                <w:sz w:val="15"/>
                <w:szCs w:val="15"/>
                <w:color w:val="auto"/>
              </w:rPr>
            </w:pPr>
          </w:p>
        </w:tc>
        <w:tc>
          <w:tcPr>
            <w:tcW w:w="800" w:type="dxa"/>
            <w:vAlign w:val="bottom"/>
            <w:tcBorders>
              <w:bottom w:val="single" w:sz="8" w:color="231F20"/>
            </w:tcBorders>
            <w:shd w:val="clear" w:color="auto" w:fill="E2E8F1"/>
          </w:tcPr>
          <w:p>
            <w:pPr>
              <w:spacing w:after="0"/>
              <w:rPr>
                <w:sz w:val="15"/>
                <w:szCs w:val="15"/>
                <w:color w:val="auto"/>
              </w:rPr>
            </w:pPr>
          </w:p>
        </w:tc>
        <w:tc>
          <w:tcPr>
            <w:tcW w:w="180" w:type="dxa"/>
            <w:vAlign w:val="bottom"/>
            <w:tcBorders>
              <w:bottom w:val="single" w:sz="8" w:color="231F20"/>
            </w:tcBorders>
            <w:shd w:val="clear" w:color="auto" w:fill="E2E8F1"/>
          </w:tcPr>
          <w:p>
            <w:pPr>
              <w:spacing w:after="0"/>
              <w:rPr>
                <w:sz w:val="15"/>
                <w:szCs w:val="15"/>
                <w:color w:val="auto"/>
              </w:rPr>
            </w:pPr>
          </w:p>
        </w:tc>
        <w:tc>
          <w:tcPr>
            <w:tcW w:w="860" w:type="dxa"/>
            <w:vAlign w:val="bottom"/>
            <w:tcBorders>
              <w:bottom w:val="single" w:sz="8" w:color="231F20"/>
            </w:tcBorders>
            <w:shd w:val="clear" w:color="auto" w:fill="E2E8F1"/>
          </w:tcPr>
          <w:p>
            <w:pPr>
              <w:spacing w:after="0"/>
              <w:rPr>
                <w:sz w:val="15"/>
                <w:szCs w:val="15"/>
                <w:color w:val="auto"/>
              </w:rPr>
            </w:pPr>
          </w:p>
        </w:tc>
        <w:tc>
          <w:tcPr>
            <w:tcW w:w="20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spacing w:after="0"/>
              <w:rPr>
                <w:sz w:val="15"/>
                <w:szCs w:val="15"/>
                <w:color w:val="auto"/>
              </w:rPr>
            </w:pPr>
          </w:p>
        </w:tc>
        <w:tc>
          <w:tcPr>
            <w:tcW w:w="280" w:type="dxa"/>
            <w:vAlign w:val="bottom"/>
            <w:tcBorders>
              <w:bottom w:val="single" w:sz="8" w:color="231F20"/>
            </w:tcBorders>
            <w:shd w:val="clear" w:color="auto" w:fill="E2E8F1"/>
          </w:tcPr>
          <w:p>
            <w:pPr>
              <w:spacing w:after="0"/>
              <w:rPr>
                <w:sz w:val="15"/>
                <w:szCs w:val="15"/>
                <w:color w:val="auto"/>
              </w:rPr>
            </w:pPr>
          </w:p>
        </w:tc>
        <w:tc>
          <w:tcPr>
            <w:tcW w:w="7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231F20"/>
            </w:tcBorders>
          </w:tcPr>
          <w:p>
            <w:pPr>
              <w:ind w:left="20"/>
              <w:spacing w:after="0"/>
              <w:rPr>
                <w:sz w:val="20"/>
                <w:szCs w:val="20"/>
                <w:color w:val="auto"/>
              </w:rPr>
            </w:pPr>
            <w:r>
              <w:rPr>
                <w:rFonts w:ascii="Arial" w:cs="Arial" w:eastAsia="Arial" w:hAnsi="Arial"/>
                <w:sz w:val="13"/>
                <w:szCs w:val="13"/>
                <w:color w:val="auto"/>
              </w:rPr>
              <w:t>Total</w:t>
            </w:r>
          </w:p>
        </w:tc>
        <w:tc>
          <w:tcPr>
            <w:tcW w:w="12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spacing w:after="0"/>
              <w:rPr>
                <w:sz w:val="15"/>
                <w:szCs w:val="15"/>
                <w:color w:val="auto"/>
              </w:rPr>
            </w:pPr>
          </w:p>
        </w:tc>
        <w:tc>
          <w:tcPr>
            <w:tcW w:w="34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14,210.6</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0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spacing w:after="0"/>
              <w:rPr>
                <w:sz w:val="15"/>
                <w:szCs w:val="15"/>
                <w:color w:val="auto"/>
              </w:rPr>
            </w:pPr>
          </w:p>
        </w:tc>
        <w:tc>
          <w:tcPr>
            <w:tcW w:w="280" w:type="dxa"/>
            <w:vAlign w:val="bottom"/>
            <w:tcBorders>
              <w:bottom w:val="single" w:sz="8" w:color="231F20"/>
            </w:tcBorders>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13,244.0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-2193925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In the following tables, revenue is disaggregated by timing of revenue recognition for each of our reportable segments: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00" w:type="dxa"/>
            <w:vAlign w:val="bottom"/>
            <w:tcBorders>
              <w:top w:val="single" w:sz="8" w:color="auto"/>
              <w:bottom w:val="single" w:sz="8" w:color="98B0CF"/>
            </w:tcBorders>
            <w:shd w:val="clear" w:color="auto" w:fill="98B0CF"/>
          </w:tcPr>
          <w:p>
            <w:pPr>
              <w:spacing w:after="0"/>
              <w:rPr>
                <w:sz w:val="13"/>
                <w:szCs w:val="13"/>
                <w:color w:val="auto"/>
              </w:rPr>
            </w:pPr>
          </w:p>
        </w:tc>
        <w:tc>
          <w:tcPr>
            <w:tcW w:w="120" w:type="dxa"/>
            <w:vAlign w:val="bottom"/>
            <w:tcBorders>
              <w:top w:val="single" w:sz="8" w:color="auto"/>
              <w:bottom w:val="single" w:sz="8" w:color="98B0CF"/>
            </w:tcBorders>
            <w:shd w:val="clear" w:color="auto" w:fill="98B0CF"/>
          </w:tcPr>
          <w:p>
            <w:pPr>
              <w:spacing w:after="0"/>
              <w:rPr>
                <w:sz w:val="13"/>
                <w:szCs w:val="13"/>
                <w:color w:val="auto"/>
              </w:rPr>
            </w:pPr>
          </w:p>
        </w:tc>
        <w:tc>
          <w:tcPr>
            <w:tcW w:w="120" w:type="dxa"/>
            <w:vAlign w:val="bottom"/>
            <w:tcBorders>
              <w:top w:val="single" w:sz="8" w:color="auto"/>
              <w:bottom w:val="single" w:sz="8" w:color="auto"/>
            </w:tcBorders>
            <w:shd w:val="clear" w:color="auto" w:fill="98B0CF"/>
          </w:tcPr>
          <w:p>
            <w:pPr>
              <w:spacing w:after="0"/>
              <w:rPr>
                <w:sz w:val="13"/>
                <w:szCs w:val="13"/>
                <w:color w:val="auto"/>
              </w:rPr>
            </w:pPr>
          </w:p>
        </w:tc>
        <w:tc>
          <w:tcPr>
            <w:tcW w:w="1120" w:type="dxa"/>
            <w:vAlign w:val="bottom"/>
            <w:tcBorders>
              <w:top w:val="single" w:sz="8" w:color="auto"/>
              <w:bottom w:val="single" w:sz="8" w:color="auto"/>
            </w:tcBorders>
            <w:shd w:val="clear" w:color="auto" w:fill="98B0CF"/>
          </w:tcPr>
          <w:p>
            <w:pPr>
              <w:spacing w:after="0"/>
              <w:rPr>
                <w:sz w:val="13"/>
                <w:szCs w:val="13"/>
                <w:color w:val="auto"/>
              </w:rPr>
            </w:pPr>
          </w:p>
        </w:tc>
        <w:tc>
          <w:tcPr>
            <w:tcW w:w="300" w:type="dxa"/>
            <w:vAlign w:val="bottom"/>
            <w:tcBorders>
              <w:top w:val="single" w:sz="8" w:color="auto"/>
              <w:bottom w:val="single" w:sz="8" w:color="auto"/>
            </w:tcBorders>
            <w:shd w:val="clear" w:color="auto" w:fill="98B0CF"/>
          </w:tcPr>
          <w:p>
            <w:pPr>
              <w:spacing w:after="0"/>
              <w:rPr>
                <w:sz w:val="13"/>
                <w:szCs w:val="13"/>
                <w:color w:val="auto"/>
              </w:rPr>
            </w:pPr>
          </w:p>
        </w:tc>
        <w:tc>
          <w:tcPr>
            <w:tcW w:w="1220" w:type="dxa"/>
            <w:vAlign w:val="bottom"/>
            <w:tcBorders>
              <w:top w:val="single" w:sz="8" w:color="auto"/>
              <w:bottom w:val="single" w:sz="8" w:color="auto"/>
            </w:tcBorders>
            <w:shd w:val="clear" w:color="auto" w:fill="98B0CF"/>
          </w:tcPr>
          <w:p>
            <w:pPr>
              <w:spacing w:after="0"/>
              <w:rPr>
                <w:sz w:val="13"/>
                <w:szCs w:val="13"/>
                <w:color w:val="auto"/>
              </w:rPr>
            </w:pPr>
          </w:p>
        </w:tc>
        <w:tc>
          <w:tcPr>
            <w:tcW w:w="2860" w:type="dxa"/>
            <w:vAlign w:val="bottom"/>
            <w:tcBorders>
              <w:top w:val="single" w:sz="8" w:color="auto"/>
              <w:bottom w:val="single" w:sz="8" w:color="auto"/>
            </w:tcBorders>
            <w:gridSpan w:val="5"/>
            <w:shd w:val="clear" w:color="auto" w:fill="98B0CF"/>
          </w:tcPr>
          <w:p>
            <w:pPr>
              <w:jc w:val="right"/>
              <w:ind w:right="168"/>
              <w:spacing w:after="0" w:line="157" w:lineRule="exact"/>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bottom w:val="single" w:sz="8" w:color="auto"/>
            </w:tcBorders>
            <w:shd w:val="clear" w:color="auto" w:fill="98B0CF"/>
          </w:tcPr>
          <w:p>
            <w:pPr>
              <w:spacing w:after="0"/>
              <w:rPr>
                <w:sz w:val="13"/>
                <w:szCs w:val="13"/>
                <w:color w:val="auto"/>
              </w:rPr>
            </w:pPr>
          </w:p>
        </w:tc>
        <w:tc>
          <w:tcPr>
            <w:tcW w:w="1120" w:type="dxa"/>
            <w:vAlign w:val="bottom"/>
            <w:tcBorders>
              <w:top w:val="single" w:sz="8" w:color="auto"/>
              <w:bottom w:val="single" w:sz="8" w:color="auto"/>
            </w:tcBorders>
            <w:shd w:val="clear" w:color="auto" w:fill="98B0CF"/>
          </w:tcPr>
          <w:p>
            <w:pPr>
              <w:spacing w:after="0"/>
              <w:rPr>
                <w:sz w:val="13"/>
                <w:szCs w:val="13"/>
                <w:color w:val="auto"/>
              </w:rPr>
            </w:pPr>
          </w:p>
        </w:tc>
        <w:tc>
          <w:tcPr>
            <w:tcW w:w="360" w:type="dxa"/>
            <w:vAlign w:val="bottom"/>
            <w:tcBorders>
              <w:top w:val="single" w:sz="8" w:color="auto"/>
              <w:bottom w:val="single" w:sz="8" w:color="auto"/>
            </w:tcBorders>
            <w:shd w:val="clear" w:color="auto" w:fill="98B0CF"/>
          </w:tcPr>
          <w:p>
            <w:pPr>
              <w:spacing w:after="0"/>
              <w:rPr>
                <w:sz w:val="13"/>
                <w:szCs w:val="13"/>
                <w:color w:val="auto"/>
              </w:rPr>
            </w:pPr>
          </w:p>
        </w:tc>
        <w:tc>
          <w:tcPr>
            <w:tcW w:w="1060" w:type="dxa"/>
            <w:vAlign w:val="bottom"/>
            <w:tcBorders>
              <w:top w:val="single" w:sz="8" w:color="auto"/>
              <w:bottom w:val="single" w:sz="8" w:color="auto"/>
            </w:tcBorders>
            <w:shd w:val="clear" w:color="auto" w:fill="98B0CF"/>
          </w:tcPr>
          <w:p>
            <w:pPr>
              <w:spacing w:after="0"/>
              <w:rPr>
                <w:sz w:val="13"/>
                <w:szCs w:val="13"/>
                <w:color w:val="auto"/>
              </w:rPr>
            </w:pPr>
          </w:p>
        </w:tc>
      </w:tr>
      <w:tr>
        <w:trPr>
          <w:trHeight w:val="156"/>
        </w:trPr>
        <w:tc>
          <w:tcPr>
            <w:tcW w:w="27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1120" w:type="dxa"/>
            <w:vAlign w:val="bottom"/>
            <w:tcBorders>
              <w:bottom w:val="single" w:sz="8" w:color="auto"/>
            </w:tcBorders>
            <w:shd w:val="clear" w:color="auto" w:fill="98B0CF"/>
          </w:tcPr>
          <w:p>
            <w:pPr>
              <w:spacing w:after="0"/>
              <w:rPr>
                <w:sz w:val="13"/>
                <w:szCs w:val="13"/>
                <w:color w:val="auto"/>
              </w:rPr>
            </w:pPr>
          </w:p>
        </w:tc>
        <w:tc>
          <w:tcPr>
            <w:tcW w:w="300" w:type="dxa"/>
            <w:vAlign w:val="bottom"/>
            <w:tcBorders>
              <w:bottom w:val="single" w:sz="8" w:color="auto"/>
            </w:tcBorders>
            <w:shd w:val="clear" w:color="auto" w:fill="98B0CF"/>
          </w:tcPr>
          <w:p>
            <w:pPr>
              <w:spacing w:after="0"/>
              <w:rPr>
                <w:sz w:val="13"/>
                <w:szCs w:val="13"/>
                <w:color w:val="auto"/>
              </w:rPr>
            </w:pPr>
          </w:p>
        </w:tc>
        <w:tc>
          <w:tcPr>
            <w:tcW w:w="1220" w:type="dxa"/>
            <w:vAlign w:val="bottom"/>
            <w:tcBorders>
              <w:bottom w:val="single" w:sz="8" w:color="auto"/>
            </w:tcBorders>
            <w:shd w:val="clear" w:color="auto" w:fill="98B0CF"/>
          </w:tcPr>
          <w:p>
            <w:pPr>
              <w:jc w:val="right"/>
              <w:ind w:right="428"/>
              <w:spacing w:after="0" w:line="155" w:lineRule="exact"/>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shd w:val="clear" w:color="auto" w:fill="98B0CF"/>
          </w:tcPr>
          <w:p>
            <w:pPr>
              <w:spacing w:after="0"/>
              <w:rPr>
                <w:sz w:val="13"/>
                <w:szCs w:val="13"/>
                <w:color w:val="auto"/>
              </w:rPr>
            </w:pPr>
          </w:p>
        </w:tc>
        <w:tc>
          <w:tcPr>
            <w:tcW w:w="116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1060" w:type="dxa"/>
            <w:vAlign w:val="bottom"/>
            <w:tcBorders>
              <w:bottom w:val="single" w:sz="8" w:color="auto"/>
            </w:tcBorders>
            <w:shd w:val="clear" w:color="auto" w:fill="98B0CF"/>
          </w:tcPr>
          <w:p>
            <w:pPr>
              <w:spacing w:after="0"/>
              <w:rPr>
                <w:sz w:val="13"/>
                <w:szCs w:val="13"/>
                <w:color w:val="auto"/>
              </w:rPr>
            </w:pPr>
          </w:p>
        </w:tc>
        <w:tc>
          <w:tcPr>
            <w:tcW w:w="260" w:type="dxa"/>
            <w:vAlign w:val="bottom"/>
            <w:tcBorders>
              <w:bottom w:val="single" w:sz="8" w:color="auto"/>
            </w:tcBorders>
            <w:shd w:val="clear" w:color="auto" w:fill="98B0CF"/>
          </w:tcPr>
          <w:p>
            <w:pPr>
              <w:spacing w:after="0"/>
              <w:rPr>
                <w:sz w:val="13"/>
                <w:szCs w:val="13"/>
                <w:color w:val="auto"/>
              </w:rPr>
            </w:pPr>
          </w:p>
        </w:tc>
        <w:tc>
          <w:tcPr>
            <w:tcW w:w="1120" w:type="dxa"/>
            <w:vAlign w:val="bottom"/>
            <w:tcBorders>
              <w:bottom w:val="single" w:sz="8" w:color="auto"/>
            </w:tcBorders>
            <w:shd w:val="clear" w:color="auto" w:fill="98B0CF"/>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shd w:val="clear" w:color="auto" w:fill="98B0CF"/>
          </w:tcPr>
          <w:p>
            <w:pPr>
              <w:spacing w:after="0"/>
              <w:rPr>
                <w:sz w:val="13"/>
                <w:szCs w:val="13"/>
                <w:color w:val="auto"/>
              </w:rPr>
            </w:pPr>
          </w:p>
        </w:tc>
        <w:tc>
          <w:tcPr>
            <w:tcW w:w="1060" w:type="dxa"/>
            <w:vAlign w:val="bottom"/>
            <w:tcBorders>
              <w:bottom w:val="single" w:sz="8" w:color="auto"/>
            </w:tcBorders>
            <w:shd w:val="clear" w:color="auto" w:fill="98B0CF"/>
          </w:tcPr>
          <w:p>
            <w:pPr>
              <w:spacing w:after="0"/>
              <w:rPr>
                <w:sz w:val="13"/>
                <w:szCs w:val="13"/>
                <w:color w:val="auto"/>
              </w:rPr>
            </w:pPr>
          </w:p>
        </w:tc>
      </w:tr>
      <w:tr>
        <w:trPr>
          <w:trHeight w:val="146"/>
        </w:trPr>
        <w:tc>
          <w:tcPr>
            <w:tcW w:w="270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12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1220" w:type="dxa"/>
            <w:vAlign w:val="bottom"/>
            <w:shd w:val="clear" w:color="auto" w:fill="98B0CF"/>
          </w:tcPr>
          <w:p>
            <w:pPr>
              <w:jc w:val="center"/>
              <w:ind w:right="228"/>
              <w:spacing w:after="0" w:line="147" w:lineRule="exact"/>
              <w:rPr>
                <w:sz w:val="20"/>
                <w:szCs w:val="20"/>
                <w:color w:val="auto"/>
              </w:rPr>
            </w:pPr>
            <w:r>
              <w:rPr>
                <w:rFonts w:ascii="Arial" w:cs="Arial" w:eastAsia="Arial" w:hAnsi="Arial"/>
                <w:sz w:val="14"/>
                <w:szCs w:val="14"/>
                <w:b w:val="1"/>
                <w:bCs w:val="1"/>
                <w:color w:val="auto"/>
              </w:rPr>
              <w:t>Services</w:t>
            </w:r>
          </w:p>
        </w:tc>
        <w:tc>
          <w:tcPr>
            <w:tcW w:w="400" w:type="dxa"/>
            <w:vAlign w:val="bottom"/>
            <w:shd w:val="clear" w:color="auto" w:fill="98B0CF"/>
          </w:tcPr>
          <w:p>
            <w:pPr>
              <w:spacing w:after="0"/>
              <w:rPr>
                <w:sz w:val="12"/>
                <w:szCs w:val="12"/>
                <w:color w:val="auto"/>
              </w:rPr>
            </w:pPr>
          </w:p>
        </w:tc>
        <w:tc>
          <w:tcPr>
            <w:tcW w:w="116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06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120" w:type="dxa"/>
            <w:vAlign w:val="bottom"/>
            <w:shd w:val="clear" w:color="auto" w:fill="98B0CF"/>
          </w:tcPr>
          <w:p>
            <w:pPr>
              <w:jc w:val="center"/>
              <w:ind w:right="188"/>
              <w:spacing w:after="0" w:line="147" w:lineRule="exact"/>
              <w:rPr>
                <w:sz w:val="20"/>
                <w:szCs w:val="20"/>
                <w:color w:val="auto"/>
              </w:rPr>
            </w:pPr>
            <w:r>
              <w:rPr>
                <w:rFonts w:ascii="Arial" w:cs="Arial" w:eastAsia="Arial" w:hAnsi="Arial"/>
                <w:sz w:val="14"/>
                <w:szCs w:val="14"/>
                <w:b w:val="1"/>
                <w:bCs w:val="1"/>
                <w:color w:val="auto"/>
              </w:rPr>
              <w:t>Services</w:t>
            </w:r>
          </w:p>
        </w:tc>
        <w:tc>
          <w:tcPr>
            <w:tcW w:w="360" w:type="dxa"/>
            <w:vAlign w:val="bottom"/>
            <w:shd w:val="clear" w:color="auto" w:fill="98B0CF"/>
          </w:tcPr>
          <w:p>
            <w:pPr>
              <w:spacing w:after="0"/>
              <w:rPr>
                <w:sz w:val="12"/>
                <w:szCs w:val="12"/>
                <w:color w:val="auto"/>
              </w:rPr>
            </w:pPr>
          </w:p>
        </w:tc>
        <w:tc>
          <w:tcPr>
            <w:tcW w:w="1060" w:type="dxa"/>
            <w:vAlign w:val="bottom"/>
            <w:shd w:val="clear" w:color="auto" w:fill="98B0CF"/>
          </w:tcPr>
          <w:p>
            <w:pPr>
              <w:spacing w:after="0"/>
              <w:rPr>
                <w:sz w:val="12"/>
                <w:szCs w:val="12"/>
                <w:color w:val="auto"/>
              </w:rPr>
            </w:pPr>
          </w:p>
        </w:tc>
      </w:tr>
      <w:tr>
        <w:trPr>
          <w:trHeight w:val="162"/>
        </w:trPr>
        <w:tc>
          <w:tcPr>
            <w:tcW w:w="27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120" w:type="dxa"/>
            <w:vAlign w:val="bottom"/>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Services</w:t>
            </w:r>
          </w:p>
        </w:tc>
        <w:tc>
          <w:tcPr>
            <w:tcW w:w="300" w:type="dxa"/>
            <w:vAlign w:val="bottom"/>
            <w:shd w:val="clear" w:color="auto" w:fill="98B0CF"/>
          </w:tcPr>
          <w:p>
            <w:pPr>
              <w:spacing w:after="0"/>
              <w:rPr>
                <w:sz w:val="14"/>
                <w:szCs w:val="14"/>
                <w:color w:val="auto"/>
              </w:rPr>
            </w:pPr>
          </w:p>
        </w:tc>
        <w:tc>
          <w:tcPr>
            <w:tcW w:w="122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transferred</w:t>
            </w:r>
          </w:p>
        </w:tc>
        <w:tc>
          <w:tcPr>
            <w:tcW w:w="400" w:type="dxa"/>
            <w:vAlign w:val="bottom"/>
            <w:shd w:val="clear" w:color="auto" w:fill="98B0CF"/>
          </w:tcPr>
          <w:p>
            <w:pPr>
              <w:spacing w:after="0"/>
              <w:rPr>
                <w:sz w:val="14"/>
                <w:szCs w:val="14"/>
                <w:color w:val="auto"/>
              </w:rPr>
            </w:pPr>
          </w:p>
        </w:tc>
        <w:tc>
          <w:tcPr>
            <w:tcW w:w="11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Services</w:t>
            </w:r>
          </w:p>
        </w:tc>
        <w:tc>
          <w:tcPr>
            <w:tcW w:w="260" w:type="dxa"/>
            <w:vAlign w:val="bottom"/>
            <w:shd w:val="clear" w:color="auto" w:fill="98B0CF"/>
          </w:tcPr>
          <w:p>
            <w:pPr>
              <w:spacing w:after="0"/>
              <w:rPr>
                <w:sz w:val="14"/>
                <w:szCs w:val="14"/>
                <w:color w:val="auto"/>
              </w:rPr>
            </w:pPr>
          </w:p>
        </w:tc>
        <w:tc>
          <w:tcPr>
            <w:tcW w:w="112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transferred</w:t>
            </w:r>
          </w:p>
        </w:tc>
        <w:tc>
          <w:tcPr>
            <w:tcW w:w="360" w:type="dxa"/>
            <w:vAlign w:val="bottom"/>
            <w:shd w:val="clear" w:color="auto" w:fill="98B0CF"/>
          </w:tcPr>
          <w:p>
            <w:pPr>
              <w:spacing w:after="0"/>
              <w:rPr>
                <w:sz w:val="14"/>
                <w:szCs w:val="14"/>
                <w:color w:val="auto"/>
              </w:rPr>
            </w:pPr>
          </w:p>
        </w:tc>
        <w:tc>
          <w:tcPr>
            <w:tcW w:w="1060" w:type="dxa"/>
            <w:vAlign w:val="bottom"/>
            <w:shd w:val="clear" w:color="auto" w:fill="98B0CF"/>
          </w:tcPr>
          <w:p>
            <w:pPr>
              <w:spacing w:after="0"/>
              <w:rPr>
                <w:sz w:val="14"/>
                <w:szCs w:val="14"/>
                <w:color w:val="auto"/>
              </w:rPr>
            </w:pPr>
          </w:p>
        </w:tc>
      </w:tr>
      <w:tr>
        <w:trPr>
          <w:trHeight w:val="162"/>
        </w:trPr>
        <w:tc>
          <w:tcPr>
            <w:tcW w:w="27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120" w:type="dxa"/>
            <w:vAlign w:val="bottom"/>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transferred</w:t>
            </w:r>
          </w:p>
        </w:tc>
        <w:tc>
          <w:tcPr>
            <w:tcW w:w="300" w:type="dxa"/>
            <w:vAlign w:val="bottom"/>
            <w:shd w:val="clear" w:color="auto" w:fill="98B0CF"/>
          </w:tcPr>
          <w:p>
            <w:pPr>
              <w:spacing w:after="0"/>
              <w:rPr>
                <w:sz w:val="14"/>
                <w:szCs w:val="14"/>
                <w:color w:val="auto"/>
              </w:rPr>
            </w:pPr>
          </w:p>
        </w:tc>
        <w:tc>
          <w:tcPr>
            <w:tcW w:w="122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at a point</w:t>
            </w:r>
          </w:p>
        </w:tc>
        <w:tc>
          <w:tcPr>
            <w:tcW w:w="400" w:type="dxa"/>
            <w:vAlign w:val="bottom"/>
            <w:shd w:val="clear" w:color="auto" w:fill="98B0CF"/>
          </w:tcPr>
          <w:p>
            <w:pPr>
              <w:spacing w:after="0"/>
              <w:rPr>
                <w:sz w:val="14"/>
                <w:szCs w:val="14"/>
                <w:color w:val="auto"/>
              </w:rPr>
            </w:pPr>
          </w:p>
        </w:tc>
        <w:tc>
          <w:tcPr>
            <w:tcW w:w="11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48"/>
              <w:spacing w:after="0"/>
              <w:rPr>
                <w:sz w:val="20"/>
                <w:szCs w:val="20"/>
                <w:color w:val="auto"/>
              </w:rPr>
            </w:pPr>
            <w:r>
              <w:rPr>
                <w:rFonts w:ascii="Arial" w:cs="Arial" w:eastAsia="Arial" w:hAnsi="Arial"/>
                <w:sz w:val="14"/>
                <w:szCs w:val="14"/>
                <w:b w:val="1"/>
                <w:bCs w:val="1"/>
                <w:color w:val="auto"/>
              </w:rPr>
              <w:t>transferred</w:t>
            </w:r>
          </w:p>
        </w:tc>
        <w:tc>
          <w:tcPr>
            <w:tcW w:w="260" w:type="dxa"/>
            <w:vAlign w:val="bottom"/>
            <w:shd w:val="clear" w:color="auto" w:fill="98B0CF"/>
          </w:tcPr>
          <w:p>
            <w:pPr>
              <w:spacing w:after="0"/>
              <w:rPr>
                <w:sz w:val="14"/>
                <w:szCs w:val="14"/>
                <w:color w:val="auto"/>
              </w:rPr>
            </w:pPr>
          </w:p>
        </w:tc>
        <w:tc>
          <w:tcPr>
            <w:tcW w:w="112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at a point</w:t>
            </w:r>
          </w:p>
        </w:tc>
        <w:tc>
          <w:tcPr>
            <w:tcW w:w="360" w:type="dxa"/>
            <w:vAlign w:val="bottom"/>
            <w:shd w:val="clear" w:color="auto" w:fill="98B0CF"/>
          </w:tcPr>
          <w:p>
            <w:pPr>
              <w:spacing w:after="0"/>
              <w:rPr>
                <w:sz w:val="14"/>
                <w:szCs w:val="14"/>
                <w:color w:val="auto"/>
              </w:rPr>
            </w:pPr>
          </w:p>
        </w:tc>
        <w:tc>
          <w:tcPr>
            <w:tcW w:w="1060" w:type="dxa"/>
            <w:vAlign w:val="bottom"/>
            <w:shd w:val="clear" w:color="auto" w:fill="98B0CF"/>
          </w:tcPr>
          <w:p>
            <w:pPr>
              <w:spacing w:after="0"/>
              <w:rPr>
                <w:sz w:val="14"/>
                <w:szCs w:val="14"/>
                <w:color w:val="auto"/>
              </w:rPr>
            </w:pPr>
          </w:p>
        </w:tc>
      </w:tr>
      <w:tr>
        <w:trPr>
          <w:trHeight w:val="171"/>
        </w:trPr>
        <w:tc>
          <w:tcPr>
            <w:tcW w:w="270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120" w:type="dxa"/>
            <w:vAlign w:val="bottom"/>
            <w:tcBorders>
              <w:bottom w:val="single" w:sz="8" w:color="auto"/>
            </w:tcBorders>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over time</w:t>
            </w:r>
          </w:p>
        </w:tc>
        <w:tc>
          <w:tcPr>
            <w:tcW w:w="300" w:type="dxa"/>
            <w:vAlign w:val="bottom"/>
            <w:tcBorders>
              <w:bottom w:val="single" w:sz="8" w:color="auto"/>
            </w:tcBorders>
            <w:shd w:val="clear" w:color="auto" w:fill="98B0CF"/>
          </w:tcPr>
          <w:p>
            <w:pPr>
              <w:spacing w:after="0"/>
              <w:rPr>
                <w:sz w:val="14"/>
                <w:szCs w:val="14"/>
                <w:color w:val="auto"/>
              </w:rPr>
            </w:pPr>
          </w:p>
        </w:tc>
        <w:tc>
          <w:tcPr>
            <w:tcW w:w="1220" w:type="dxa"/>
            <w:vAlign w:val="bottom"/>
            <w:tcBorders>
              <w:bottom w:val="single" w:sz="8" w:color="auto"/>
            </w:tcBorders>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in time</w:t>
            </w:r>
          </w:p>
        </w:tc>
        <w:tc>
          <w:tcPr>
            <w:tcW w:w="400" w:type="dxa"/>
            <w:vAlign w:val="bottom"/>
            <w:tcBorders>
              <w:bottom w:val="single" w:sz="8" w:color="auto"/>
            </w:tcBorders>
            <w:shd w:val="clear" w:color="auto" w:fill="98B0CF"/>
          </w:tcPr>
          <w:p>
            <w:pPr>
              <w:spacing w:after="0"/>
              <w:rPr>
                <w:sz w:val="14"/>
                <w:szCs w:val="14"/>
                <w:color w:val="auto"/>
              </w:rPr>
            </w:pPr>
          </w:p>
        </w:tc>
        <w:tc>
          <w:tcPr>
            <w:tcW w:w="1160" w:type="dxa"/>
            <w:vAlign w:val="bottom"/>
            <w:tcBorders>
              <w:bottom w:val="single" w:sz="8" w:color="auto"/>
            </w:tcBorders>
            <w:shd w:val="clear" w:color="auto" w:fill="98B0CF"/>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060" w:type="dxa"/>
            <w:vAlign w:val="bottom"/>
            <w:tcBorders>
              <w:bottom w:val="single" w:sz="8" w:color="auto"/>
            </w:tcBorders>
            <w:shd w:val="clear" w:color="auto" w:fill="98B0CF"/>
          </w:tcPr>
          <w:p>
            <w:pPr>
              <w:jc w:val="center"/>
              <w:ind w:right="148"/>
              <w:spacing w:after="0"/>
              <w:rPr>
                <w:sz w:val="20"/>
                <w:szCs w:val="20"/>
                <w:color w:val="auto"/>
              </w:rPr>
            </w:pPr>
            <w:r>
              <w:rPr>
                <w:rFonts w:ascii="Arial" w:cs="Arial" w:eastAsia="Arial" w:hAnsi="Arial"/>
                <w:sz w:val="14"/>
                <w:szCs w:val="14"/>
                <w:b w:val="1"/>
                <w:bCs w:val="1"/>
                <w:color w:val="auto"/>
              </w:rPr>
              <w:t>over time</w:t>
            </w:r>
          </w:p>
        </w:tc>
        <w:tc>
          <w:tcPr>
            <w:tcW w:w="260" w:type="dxa"/>
            <w:vAlign w:val="bottom"/>
            <w:tcBorders>
              <w:bottom w:val="single" w:sz="8" w:color="auto"/>
            </w:tcBorders>
            <w:shd w:val="clear" w:color="auto" w:fill="98B0CF"/>
          </w:tcPr>
          <w:p>
            <w:pPr>
              <w:spacing w:after="0"/>
              <w:rPr>
                <w:sz w:val="14"/>
                <w:szCs w:val="14"/>
                <w:color w:val="auto"/>
              </w:rPr>
            </w:pPr>
          </w:p>
        </w:tc>
        <w:tc>
          <w:tcPr>
            <w:tcW w:w="1120" w:type="dxa"/>
            <w:vAlign w:val="bottom"/>
            <w:tcBorders>
              <w:bottom w:val="single" w:sz="8" w:color="auto"/>
            </w:tcBorders>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in time</w:t>
            </w:r>
          </w:p>
        </w:tc>
        <w:tc>
          <w:tcPr>
            <w:tcW w:w="360" w:type="dxa"/>
            <w:vAlign w:val="bottom"/>
            <w:tcBorders>
              <w:bottom w:val="single" w:sz="8" w:color="auto"/>
            </w:tcBorders>
            <w:shd w:val="clear" w:color="auto" w:fill="98B0CF"/>
          </w:tcPr>
          <w:p>
            <w:pPr>
              <w:spacing w:after="0"/>
              <w:rPr>
                <w:sz w:val="14"/>
                <w:szCs w:val="14"/>
                <w:color w:val="auto"/>
              </w:rPr>
            </w:pPr>
          </w:p>
        </w:tc>
        <w:tc>
          <w:tcPr>
            <w:tcW w:w="1060" w:type="dxa"/>
            <w:vAlign w:val="bottom"/>
            <w:tcBorders>
              <w:bottom w:val="single" w:sz="8" w:color="auto"/>
            </w:tcBorders>
            <w:shd w:val="clear" w:color="auto" w:fill="98B0CF"/>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55"/>
        </w:trPr>
        <w:tc>
          <w:tcPr>
            <w:tcW w:w="270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Americas:</w:t>
            </w: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12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122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16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1120" w:type="dxa"/>
            <w:vAlign w:val="bottom"/>
            <w:shd w:val="clear" w:color="auto" w:fill="E2E8F1"/>
          </w:tcPr>
          <w:p>
            <w:pPr>
              <w:spacing w:after="0"/>
              <w:rPr>
                <w:sz w:val="13"/>
                <w:szCs w:val="13"/>
                <w:color w:val="auto"/>
              </w:rPr>
            </w:pPr>
          </w:p>
        </w:tc>
        <w:tc>
          <w:tcPr>
            <w:tcW w:w="36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United States</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714.4</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728.8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676.6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690.8</w:t>
            </w:r>
          </w:p>
        </w:tc>
      </w:tr>
      <w:tr>
        <w:trPr>
          <w:trHeight w:val="162"/>
        </w:trPr>
        <w:tc>
          <w:tcPr>
            <w:tcW w:w="270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4"/>
                <w:szCs w:val="14"/>
                <w:color w:val="auto"/>
              </w:rPr>
              <w:t>Other Americas</w:t>
            </w: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12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510.3</w:t>
            </w:r>
          </w:p>
        </w:tc>
        <w:tc>
          <w:tcPr>
            <w:tcW w:w="300" w:type="dxa"/>
            <w:vAlign w:val="bottom"/>
            <w:tcBorders>
              <w:bottom w:val="single" w:sz="8" w:color="auto"/>
            </w:tcBorders>
            <w:shd w:val="clear" w:color="auto" w:fill="E2E8F1"/>
          </w:tcPr>
          <w:p>
            <w:pPr>
              <w:spacing w:after="0"/>
              <w:rPr>
                <w:sz w:val="14"/>
                <w:szCs w:val="14"/>
                <w:color w:val="auto"/>
              </w:rPr>
            </w:pPr>
          </w:p>
        </w:tc>
        <w:tc>
          <w:tcPr>
            <w:tcW w:w="1220" w:type="dxa"/>
            <w:vAlign w:val="bottom"/>
            <w:tcBorders>
              <w:bottom w:val="single" w:sz="8" w:color="auto"/>
            </w:tcBorders>
            <w:shd w:val="clear" w:color="auto" w:fill="E2E8F1"/>
          </w:tcPr>
          <w:p>
            <w:pPr>
              <w:jc w:val="right"/>
              <w:ind w:right="68"/>
              <w:spacing w:after="0"/>
              <w:rPr>
                <w:sz w:val="20"/>
                <w:szCs w:val="20"/>
                <w:color w:val="auto"/>
              </w:rPr>
            </w:pPr>
            <w:r>
              <w:rPr>
                <w:rFonts w:ascii="Arial" w:cs="Arial" w:eastAsia="Arial" w:hAnsi="Arial"/>
                <w:sz w:val="14"/>
                <w:szCs w:val="14"/>
                <w:color w:val="auto"/>
              </w:rPr>
              <w:t>7.6</w:t>
            </w:r>
          </w:p>
        </w:tc>
        <w:tc>
          <w:tcPr>
            <w:tcW w:w="400" w:type="dxa"/>
            <w:vAlign w:val="bottom"/>
            <w:tcBorders>
              <w:bottom w:val="single" w:sz="8" w:color="auto"/>
            </w:tcBorders>
            <w:shd w:val="clear" w:color="auto" w:fill="E2E8F1"/>
          </w:tcPr>
          <w:p>
            <w:pPr>
              <w:spacing w:after="0"/>
              <w:rPr>
                <w:sz w:val="14"/>
                <w:szCs w:val="14"/>
                <w:color w:val="auto"/>
              </w:rPr>
            </w:pPr>
          </w:p>
        </w:tc>
        <w:tc>
          <w:tcPr>
            <w:tcW w:w="116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517.9</w:t>
            </w: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06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402.9</w:t>
            </w:r>
          </w:p>
        </w:tc>
        <w:tc>
          <w:tcPr>
            <w:tcW w:w="260" w:type="dxa"/>
            <w:vAlign w:val="bottom"/>
            <w:tcBorders>
              <w:bottom w:val="single" w:sz="8" w:color="auto"/>
            </w:tcBorders>
            <w:shd w:val="clear" w:color="auto" w:fill="E2E8F1"/>
          </w:tcPr>
          <w:p>
            <w:pPr>
              <w:spacing w:after="0"/>
              <w:rPr>
                <w:sz w:val="14"/>
                <w:szCs w:val="14"/>
                <w:color w:val="auto"/>
              </w:rPr>
            </w:pPr>
          </w:p>
        </w:tc>
        <w:tc>
          <w:tcPr>
            <w:tcW w:w="112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5.0</w:t>
            </w:r>
          </w:p>
        </w:tc>
        <w:tc>
          <w:tcPr>
            <w:tcW w:w="360" w:type="dxa"/>
            <w:vAlign w:val="bottom"/>
            <w:tcBorders>
              <w:bottom w:val="single" w:sz="8" w:color="auto"/>
            </w:tcBorders>
            <w:shd w:val="clear" w:color="auto" w:fill="E2E8F1"/>
          </w:tcPr>
          <w:p>
            <w:pPr>
              <w:spacing w:after="0"/>
              <w:rPr>
                <w:sz w:val="14"/>
                <w:szCs w:val="14"/>
                <w:color w:val="auto"/>
              </w:rPr>
            </w:pPr>
          </w:p>
        </w:tc>
        <w:tc>
          <w:tcPr>
            <w:tcW w:w="106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407.9</w:t>
            </w:r>
          </w:p>
        </w:tc>
      </w:tr>
      <w:tr>
        <w:trPr>
          <w:trHeight w:val="155"/>
        </w:trPr>
        <w:tc>
          <w:tcPr>
            <w:tcW w:w="2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1,224.7</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22.0</w:t>
            </w: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1,246.7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1,079.5</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19.2</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1,098.7</w:t>
            </w:r>
          </w:p>
        </w:tc>
      </w:tr>
      <w:tr>
        <w:trPr>
          <w:trHeight w:val="155"/>
        </w:trPr>
        <w:tc>
          <w:tcPr>
            <w:tcW w:w="270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Southern Europe:</w:t>
            </w: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12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122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16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1120" w:type="dxa"/>
            <w:vAlign w:val="bottom"/>
            <w:shd w:val="clear" w:color="auto" w:fill="E2E8F1"/>
          </w:tcPr>
          <w:p>
            <w:pPr>
              <w:spacing w:after="0"/>
              <w:rPr>
                <w:sz w:val="13"/>
                <w:szCs w:val="13"/>
                <w:color w:val="auto"/>
              </w:rPr>
            </w:pPr>
          </w:p>
        </w:tc>
        <w:tc>
          <w:tcPr>
            <w:tcW w:w="36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France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1,125.6</w:t>
            </w:r>
          </w:p>
        </w:tc>
        <w:tc>
          <w:tcPr>
            <w:tcW w:w="30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4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1,132.9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1,164.3</w:t>
            </w:r>
          </w:p>
        </w:tc>
        <w:tc>
          <w:tcPr>
            <w:tcW w:w="2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36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1,173.5</w:t>
            </w:r>
          </w:p>
        </w:tc>
      </w:tr>
      <w:tr>
        <w:trPr>
          <w:trHeight w:val="162"/>
        </w:trPr>
        <w:tc>
          <w:tcPr>
            <w:tcW w:w="2700" w:type="dxa"/>
            <w:vAlign w:val="bottom"/>
            <w:shd w:val="clear" w:color="auto" w:fill="E2E8F1"/>
          </w:tcPr>
          <w:p>
            <w:pPr>
              <w:ind w:left="60"/>
              <w:spacing w:after="0"/>
              <w:rPr>
                <w:sz w:val="20"/>
                <w:szCs w:val="20"/>
                <w:color w:val="auto"/>
              </w:rPr>
            </w:pPr>
            <w:r>
              <w:rPr>
                <w:rFonts w:ascii="Arial" w:cs="Arial" w:eastAsia="Arial" w:hAnsi="Arial"/>
                <w:sz w:val="14"/>
                <w:szCs w:val="14"/>
                <w:color w:val="auto"/>
              </w:rPr>
              <w:t>Italy</w:t>
            </w:r>
          </w:p>
        </w:tc>
        <w:tc>
          <w:tcPr>
            <w:tcW w:w="1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473.2</w:t>
            </w:r>
          </w:p>
        </w:tc>
        <w:tc>
          <w:tcPr>
            <w:tcW w:w="300" w:type="dxa"/>
            <w:vAlign w:val="bottom"/>
            <w:shd w:val="clear" w:color="auto" w:fill="E2E8F1"/>
          </w:tcPr>
          <w:p>
            <w:pPr>
              <w:spacing w:after="0"/>
              <w:rPr>
                <w:sz w:val="14"/>
                <w:szCs w:val="14"/>
                <w:color w:val="auto"/>
              </w:rPr>
            </w:pPr>
          </w:p>
        </w:tc>
        <w:tc>
          <w:tcPr>
            <w:tcW w:w="1220" w:type="dxa"/>
            <w:vAlign w:val="bottom"/>
            <w:shd w:val="clear" w:color="auto" w:fill="E2E8F1"/>
          </w:tcPr>
          <w:p>
            <w:pPr>
              <w:jc w:val="right"/>
              <w:ind w:right="68"/>
              <w:spacing w:after="0"/>
              <w:rPr>
                <w:sz w:val="20"/>
                <w:szCs w:val="20"/>
                <w:color w:val="auto"/>
              </w:rPr>
            </w:pPr>
            <w:r>
              <w:rPr>
                <w:rFonts w:ascii="Arial" w:cs="Arial" w:eastAsia="Arial" w:hAnsi="Arial"/>
                <w:sz w:val="14"/>
                <w:szCs w:val="14"/>
                <w:color w:val="auto"/>
              </w:rPr>
              <w:t>9.9</w:t>
            </w:r>
          </w:p>
        </w:tc>
        <w:tc>
          <w:tcPr>
            <w:tcW w:w="40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483.1</w:t>
            </w:r>
          </w:p>
        </w:tc>
        <w:tc>
          <w:tcPr>
            <w:tcW w:w="1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0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452.2</w:t>
            </w:r>
          </w:p>
        </w:tc>
        <w:tc>
          <w:tcPr>
            <w:tcW w:w="26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10.3</w:t>
            </w:r>
          </w:p>
        </w:tc>
        <w:tc>
          <w:tcPr>
            <w:tcW w:w="360" w:type="dxa"/>
            <w:vAlign w:val="bottom"/>
            <w:shd w:val="clear" w:color="auto" w:fill="E2E8F1"/>
          </w:tcPr>
          <w:p>
            <w:pPr>
              <w:spacing w:after="0"/>
              <w:rPr>
                <w:sz w:val="14"/>
                <w:szCs w:val="14"/>
                <w:color w:val="auto"/>
              </w:rPr>
            </w:pPr>
          </w:p>
        </w:tc>
        <w:tc>
          <w:tcPr>
            <w:tcW w:w="10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462.5</w:t>
            </w:r>
          </w:p>
        </w:tc>
      </w:tr>
      <w:tr>
        <w:trPr>
          <w:trHeight w:val="162"/>
        </w:trPr>
        <w:tc>
          <w:tcPr>
            <w:tcW w:w="2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 Southern Europe</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599.1</w:t>
            </w: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w:t>
            </w: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611.9</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558.9</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569.5</w:t>
            </w:r>
          </w:p>
        </w:tc>
      </w:tr>
      <w:tr>
        <w:trPr>
          <w:trHeight w:val="156"/>
        </w:trPr>
        <w:tc>
          <w:tcPr>
            <w:tcW w:w="270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12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2,197.9</w:t>
            </w:r>
          </w:p>
        </w:tc>
        <w:tc>
          <w:tcPr>
            <w:tcW w:w="300" w:type="dxa"/>
            <w:vAlign w:val="bottom"/>
            <w:tcBorders>
              <w:bottom w:val="single" w:sz="8" w:color="auto"/>
            </w:tcBorders>
            <w:shd w:val="clear" w:color="auto" w:fill="E2E8F1"/>
          </w:tcPr>
          <w:p>
            <w:pPr>
              <w:spacing w:after="0"/>
              <w:rPr>
                <w:sz w:val="13"/>
                <w:szCs w:val="13"/>
                <w:color w:val="auto"/>
              </w:rPr>
            </w:pPr>
          </w:p>
        </w:tc>
        <w:tc>
          <w:tcPr>
            <w:tcW w:w="1220" w:type="dxa"/>
            <w:vAlign w:val="bottom"/>
            <w:tcBorders>
              <w:bottom w:val="single" w:sz="8" w:color="auto"/>
            </w:tcBorders>
            <w:shd w:val="clear" w:color="auto" w:fill="E2E8F1"/>
          </w:tcPr>
          <w:p>
            <w:pPr>
              <w:jc w:val="right"/>
              <w:ind w:right="68"/>
              <w:spacing w:after="0" w:line="155" w:lineRule="exact"/>
              <w:rPr>
                <w:sz w:val="20"/>
                <w:szCs w:val="20"/>
                <w:color w:val="auto"/>
              </w:rPr>
            </w:pPr>
            <w:r>
              <w:rPr>
                <w:rFonts w:ascii="Arial" w:cs="Arial" w:eastAsia="Arial" w:hAnsi="Arial"/>
                <w:sz w:val="14"/>
                <w:szCs w:val="14"/>
                <w:color w:val="auto"/>
              </w:rPr>
              <w:t>30.0</w:t>
            </w:r>
          </w:p>
        </w:tc>
        <w:tc>
          <w:tcPr>
            <w:tcW w:w="400" w:type="dxa"/>
            <w:vAlign w:val="bottom"/>
            <w:tcBorders>
              <w:bottom w:val="single" w:sz="8" w:color="auto"/>
            </w:tcBorders>
            <w:shd w:val="clear" w:color="auto" w:fill="E2E8F1"/>
          </w:tcPr>
          <w:p>
            <w:pPr>
              <w:spacing w:after="0"/>
              <w:rPr>
                <w:sz w:val="13"/>
                <w:szCs w:val="13"/>
                <w:color w:val="auto"/>
              </w:rPr>
            </w:pPr>
          </w:p>
        </w:tc>
        <w:tc>
          <w:tcPr>
            <w:tcW w:w="116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2,227.9</w:t>
            </w:r>
          </w:p>
        </w:tc>
        <w:tc>
          <w:tcPr>
            <w:tcW w:w="12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06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2,175.4</w:t>
            </w:r>
          </w:p>
        </w:tc>
        <w:tc>
          <w:tcPr>
            <w:tcW w:w="260" w:type="dxa"/>
            <w:vAlign w:val="bottom"/>
            <w:tcBorders>
              <w:bottom w:val="single" w:sz="8" w:color="auto"/>
            </w:tcBorders>
            <w:shd w:val="clear" w:color="auto" w:fill="E2E8F1"/>
          </w:tcPr>
          <w:p>
            <w:pPr>
              <w:spacing w:after="0"/>
              <w:rPr>
                <w:sz w:val="13"/>
                <w:szCs w:val="13"/>
                <w:color w:val="auto"/>
              </w:rPr>
            </w:pPr>
          </w:p>
        </w:tc>
        <w:tc>
          <w:tcPr>
            <w:tcW w:w="112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30.1</w:t>
            </w:r>
          </w:p>
        </w:tc>
        <w:tc>
          <w:tcPr>
            <w:tcW w:w="360" w:type="dxa"/>
            <w:vAlign w:val="bottom"/>
            <w:tcBorders>
              <w:bottom w:val="single" w:sz="8" w:color="auto"/>
            </w:tcBorders>
            <w:shd w:val="clear" w:color="auto" w:fill="E2E8F1"/>
          </w:tcPr>
          <w:p>
            <w:pPr>
              <w:spacing w:after="0"/>
              <w:rPr>
                <w:sz w:val="13"/>
                <w:szCs w:val="13"/>
                <w:color w:val="auto"/>
              </w:rPr>
            </w:pPr>
          </w:p>
        </w:tc>
        <w:tc>
          <w:tcPr>
            <w:tcW w:w="106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2,205.5</w:t>
            </w:r>
          </w:p>
        </w:tc>
      </w:tr>
      <w:tr>
        <w:trPr>
          <w:trHeight w:val="155"/>
        </w:trPr>
        <w:tc>
          <w:tcPr>
            <w:tcW w:w="270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844.9</w:t>
            </w:r>
          </w:p>
        </w:tc>
        <w:tc>
          <w:tcPr>
            <w:tcW w:w="300" w:type="dxa"/>
            <w:vAlign w:val="bottom"/>
          </w:tcPr>
          <w:p>
            <w:pPr>
              <w:spacing w:after="0"/>
              <w:rPr>
                <w:sz w:val="13"/>
                <w:szCs w:val="13"/>
                <w:color w:val="auto"/>
              </w:rPr>
            </w:pPr>
          </w:p>
        </w:tc>
        <w:tc>
          <w:tcPr>
            <w:tcW w:w="12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15.7</w:t>
            </w:r>
          </w:p>
        </w:tc>
        <w:tc>
          <w:tcPr>
            <w:tcW w:w="400" w:type="dxa"/>
            <w:vAlign w:val="bottom"/>
          </w:tcPr>
          <w:p>
            <w:pPr>
              <w:spacing w:after="0"/>
              <w:rPr>
                <w:sz w:val="13"/>
                <w:szCs w:val="13"/>
                <w:color w:val="auto"/>
              </w:rPr>
            </w:pPr>
          </w:p>
        </w:tc>
        <w:tc>
          <w:tcPr>
            <w:tcW w:w="11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860.6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799.2</w:t>
            </w:r>
          </w:p>
        </w:tc>
        <w:tc>
          <w:tcPr>
            <w:tcW w:w="260" w:type="dxa"/>
            <w:vAlign w:val="bottom"/>
          </w:tcPr>
          <w:p>
            <w:pPr>
              <w:spacing w:after="0"/>
              <w:rPr>
                <w:sz w:val="13"/>
                <w:szCs w:val="13"/>
                <w:color w:val="auto"/>
              </w:rPr>
            </w:pPr>
          </w:p>
        </w:tc>
        <w:tc>
          <w:tcPr>
            <w:tcW w:w="11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17.6</w:t>
            </w:r>
          </w:p>
        </w:tc>
        <w:tc>
          <w:tcPr>
            <w:tcW w:w="360" w:type="dxa"/>
            <w:vAlign w:val="bottom"/>
          </w:tcPr>
          <w:p>
            <w:pPr>
              <w:spacing w:after="0"/>
              <w:rPr>
                <w:sz w:val="13"/>
                <w:szCs w:val="13"/>
                <w:color w:val="auto"/>
              </w:rPr>
            </w:pPr>
          </w:p>
        </w:tc>
        <w:tc>
          <w:tcPr>
            <w:tcW w:w="10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816.8</w:t>
            </w:r>
          </w:p>
        </w:tc>
      </w:tr>
      <w:tr>
        <w:trPr>
          <w:trHeight w:val="162"/>
        </w:trPr>
        <w:tc>
          <w:tcPr>
            <w:tcW w:w="2700" w:type="dxa"/>
            <w:vAlign w:val="bottom"/>
            <w:tcBorders>
              <w:bottom w:val="single" w:sz="8" w:color="auto"/>
            </w:tcBorders>
            <w:shd w:val="clear" w:color="auto" w:fill="E2E8F1"/>
          </w:tcPr>
          <w:p>
            <w:pPr>
              <w:spacing w:after="0"/>
              <w:rPr>
                <w:sz w:val="20"/>
                <w:szCs w:val="20"/>
                <w:color w:val="auto"/>
              </w:rPr>
            </w:pPr>
            <w:r>
              <w:rPr>
                <w:rFonts w:ascii="Arial" w:cs="Arial" w:eastAsia="Arial" w:hAnsi="Arial"/>
                <w:sz w:val="14"/>
                <w:szCs w:val="14"/>
                <w:color w:val="auto"/>
              </w:rPr>
              <w:t>APME</w:t>
            </w: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12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504.8</w:t>
            </w:r>
          </w:p>
        </w:tc>
        <w:tc>
          <w:tcPr>
            <w:tcW w:w="300" w:type="dxa"/>
            <w:vAlign w:val="bottom"/>
            <w:tcBorders>
              <w:bottom w:val="single" w:sz="8" w:color="auto"/>
            </w:tcBorders>
            <w:shd w:val="clear" w:color="auto" w:fill="E2E8F1"/>
          </w:tcPr>
          <w:p>
            <w:pPr>
              <w:spacing w:after="0"/>
              <w:rPr>
                <w:sz w:val="14"/>
                <w:szCs w:val="14"/>
                <w:color w:val="auto"/>
              </w:rPr>
            </w:pPr>
          </w:p>
        </w:tc>
        <w:tc>
          <w:tcPr>
            <w:tcW w:w="1220" w:type="dxa"/>
            <w:vAlign w:val="bottom"/>
            <w:tcBorders>
              <w:bottom w:val="single" w:sz="8" w:color="auto"/>
            </w:tcBorders>
            <w:shd w:val="clear" w:color="auto" w:fill="E2E8F1"/>
          </w:tcPr>
          <w:p>
            <w:pPr>
              <w:jc w:val="right"/>
              <w:ind w:right="68"/>
              <w:spacing w:after="0"/>
              <w:rPr>
                <w:sz w:val="20"/>
                <w:szCs w:val="20"/>
                <w:color w:val="auto"/>
              </w:rPr>
            </w:pPr>
            <w:r>
              <w:rPr>
                <w:rFonts w:ascii="Arial" w:cs="Arial" w:eastAsia="Arial" w:hAnsi="Arial"/>
                <w:sz w:val="14"/>
                <w:szCs w:val="14"/>
                <w:color w:val="auto"/>
              </w:rPr>
              <w:t>10.1</w:t>
            </w:r>
          </w:p>
        </w:tc>
        <w:tc>
          <w:tcPr>
            <w:tcW w:w="400" w:type="dxa"/>
            <w:vAlign w:val="bottom"/>
            <w:tcBorders>
              <w:bottom w:val="single" w:sz="8" w:color="auto"/>
            </w:tcBorders>
            <w:shd w:val="clear" w:color="auto" w:fill="E2E8F1"/>
          </w:tcPr>
          <w:p>
            <w:pPr>
              <w:spacing w:after="0"/>
              <w:rPr>
                <w:sz w:val="14"/>
                <w:szCs w:val="14"/>
                <w:color w:val="auto"/>
              </w:rPr>
            </w:pPr>
          </w:p>
        </w:tc>
        <w:tc>
          <w:tcPr>
            <w:tcW w:w="116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514.9</w:t>
            </w: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06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509.4</w:t>
            </w:r>
          </w:p>
        </w:tc>
        <w:tc>
          <w:tcPr>
            <w:tcW w:w="260" w:type="dxa"/>
            <w:vAlign w:val="bottom"/>
            <w:tcBorders>
              <w:bottom w:val="single" w:sz="8" w:color="auto"/>
            </w:tcBorders>
            <w:shd w:val="clear" w:color="auto" w:fill="E2E8F1"/>
          </w:tcPr>
          <w:p>
            <w:pPr>
              <w:spacing w:after="0"/>
              <w:rPr>
                <w:sz w:val="14"/>
                <w:szCs w:val="14"/>
                <w:color w:val="auto"/>
              </w:rPr>
            </w:pPr>
          </w:p>
        </w:tc>
        <w:tc>
          <w:tcPr>
            <w:tcW w:w="112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11.1</w:t>
            </w:r>
          </w:p>
        </w:tc>
        <w:tc>
          <w:tcPr>
            <w:tcW w:w="360" w:type="dxa"/>
            <w:vAlign w:val="bottom"/>
            <w:tcBorders>
              <w:bottom w:val="single" w:sz="8" w:color="auto"/>
            </w:tcBorders>
            <w:shd w:val="clear" w:color="auto" w:fill="E2E8F1"/>
          </w:tcPr>
          <w:p>
            <w:pPr>
              <w:spacing w:after="0"/>
              <w:rPr>
                <w:sz w:val="14"/>
                <w:szCs w:val="14"/>
                <w:color w:val="auto"/>
              </w:rPr>
            </w:pPr>
          </w:p>
        </w:tc>
        <w:tc>
          <w:tcPr>
            <w:tcW w:w="106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520.5</w:t>
            </w:r>
          </w:p>
        </w:tc>
      </w:tr>
      <w:tr>
        <w:trPr>
          <w:trHeight w:val="155"/>
        </w:trPr>
        <w:tc>
          <w:tcPr>
            <w:tcW w:w="2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4,772.3</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77.8</w:t>
            </w: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4,850.1</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4,563.5</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78.0</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4,641.5</w:t>
            </w:r>
          </w:p>
        </w:tc>
      </w:tr>
      <w:tr>
        <w:trPr>
          <w:trHeight w:val="155"/>
        </w:trPr>
        <w:tc>
          <w:tcPr>
            <w:tcW w:w="2700" w:type="dxa"/>
            <w:vAlign w:val="bottom"/>
            <w:tcBorders>
              <w:bottom w:val="single" w:sz="8" w:color="auto"/>
            </w:tcBorders>
            <w:shd w:val="clear" w:color="auto" w:fill="E2E8F1"/>
          </w:tcPr>
          <w:p>
            <w:pPr>
              <w:spacing w:after="0" w:line="155" w:lineRule="exact"/>
              <w:rPr>
                <w:sz w:val="20"/>
                <w:szCs w:val="20"/>
                <w:color w:val="auto"/>
              </w:rPr>
            </w:pPr>
            <w:r>
              <w:rPr>
                <w:rFonts w:ascii="Arial" w:cs="Arial" w:eastAsia="Arial" w:hAnsi="Arial"/>
                <w:sz w:val="14"/>
                <w:szCs w:val="14"/>
                <w:color w:val="auto"/>
              </w:rPr>
              <w:t>Intercompany Eliminations</w:t>
            </w:r>
          </w:p>
        </w:tc>
        <w:tc>
          <w:tcPr>
            <w:tcW w:w="12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120" w:type="dxa"/>
            <w:vAlign w:val="bottom"/>
            <w:tcBorders>
              <w:bottom w:val="single" w:sz="8" w:color="auto"/>
            </w:tcBorders>
            <w:shd w:val="clear" w:color="auto" w:fill="E2E8F1"/>
          </w:tcPr>
          <w:p>
            <w:pPr>
              <w:spacing w:after="0"/>
              <w:rPr>
                <w:sz w:val="13"/>
                <w:szCs w:val="13"/>
                <w:color w:val="auto"/>
              </w:rPr>
            </w:pPr>
          </w:p>
        </w:tc>
        <w:tc>
          <w:tcPr>
            <w:tcW w:w="300" w:type="dxa"/>
            <w:vAlign w:val="bottom"/>
            <w:tcBorders>
              <w:bottom w:val="single" w:sz="8" w:color="auto"/>
            </w:tcBorders>
            <w:shd w:val="clear" w:color="auto" w:fill="E2E8F1"/>
          </w:tcPr>
          <w:p>
            <w:pPr>
              <w:spacing w:after="0"/>
              <w:rPr>
                <w:sz w:val="13"/>
                <w:szCs w:val="13"/>
                <w:color w:val="auto"/>
              </w:rPr>
            </w:pPr>
          </w:p>
        </w:tc>
        <w:tc>
          <w:tcPr>
            <w:tcW w:w="1220" w:type="dxa"/>
            <w:vAlign w:val="bottom"/>
            <w:tcBorders>
              <w:bottom w:val="single" w:sz="8" w:color="auto"/>
            </w:tcBorders>
            <w:shd w:val="clear" w:color="auto" w:fill="E2E8F1"/>
          </w:tcPr>
          <w:p>
            <w:pPr>
              <w:spacing w:after="0"/>
              <w:rPr>
                <w:sz w:val="13"/>
                <w:szCs w:val="13"/>
                <w:color w:val="auto"/>
              </w:rPr>
            </w:pPr>
          </w:p>
        </w:tc>
        <w:tc>
          <w:tcPr>
            <w:tcW w:w="400" w:type="dxa"/>
            <w:vAlign w:val="bottom"/>
            <w:tcBorders>
              <w:bottom w:val="single" w:sz="8" w:color="auto"/>
            </w:tcBorders>
            <w:shd w:val="clear" w:color="auto" w:fill="E2E8F1"/>
          </w:tcPr>
          <w:p>
            <w:pPr>
              <w:spacing w:after="0"/>
              <w:rPr>
                <w:sz w:val="13"/>
                <w:szCs w:val="13"/>
                <w:color w:val="auto"/>
              </w:rPr>
            </w:pPr>
          </w:p>
        </w:tc>
        <w:tc>
          <w:tcPr>
            <w:tcW w:w="116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(10.1)</w:t>
            </w:r>
          </w:p>
        </w:tc>
        <w:tc>
          <w:tcPr>
            <w:tcW w:w="12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060" w:type="dxa"/>
            <w:vAlign w:val="bottom"/>
            <w:tcBorders>
              <w:bottom w:val="single" w:sz="8" w:color="auto"/>
            </w:tcBorders>
            <w:shd w:val="clear" w:color="auto" w:fill="E2E8F1"/>
          </w:tcPr>
          <w:p>
            <w:pPr>
              <w:spacing w:after="0"/>
              <w:rPr>
                <w:sz w:val="13"/>
                <w:szCs w:val="13"/>
                <w:color w:val="auto"/>
              </w:rPr>
            </w:pPr>
          </w:p>
        </w:tc>
        <w:tc>
          <w:tcPr>
            <w:tcW w:w="260" w:type="dxa"/>
            <w:vAlign w:val="bottom"/>
            <w:tcBorders>
              <w:bottom w:val="single" w:sz="8" w:color="auto"/>
            </w:tcBorders>
            <w:shd w:val="clear" w:color="auto" w:fill="E2E8F1"/>
          </w:tcPr>
          <w:p>
            <w:pPr>
              <w:spacing w:after="0"/>
              <w:rPr>
                <w:sz w:val="13"/>
                <w:szCs w:val="13"/>
                <w:color w:val="auto"/>
              </w:rPr>
            </w:pPr>
          </w:p>
        </w:tc>
        <w:tc>
          <w:tcPr>
            <w:tcW w:w="1120" w:type="dxa"/>
            <w:vAlign w:val="bottom"/>
            <w:tcBorders>
              <w:bottom w:val="single" w:sz="8" w:color="auto"/>
            </w:tcBorders>
            <w:shd w:val="clear" w:color="auto" w:fill="E2E8F1"/>
          </w:tcPr>
          <w:p>
            <w:pPr>
              <w:spacing w:after="0"/>
              <w:rPr>
                <w:sz w:val="13"/>
                <w:szCs w:val="13"/>
                <w:color w:val="auto"/>
              </w:rPr>
            </w:pPr>
          </w:p>
        </w:tc>
        <w:tc>
          <w:tcPr>
            <w:tcW w:w="360" w:type="dxa"/>
            <w:vAlign w:val="bottom"/>
            <w:tcBorders>
              <w:bottom w:val="single" w:sz="8" w:color="auto"/>
            </w:tcBorders>
            <w:shd w:val="clear" w:color="auto" w:fill="E2E8F1"/>
          </w:tcPr>
          <w:p>
            <w:pPr>
              <w:spacing w:after="0"/>
              <w:rPr>
                <w:sz w:val="13"/>
                <w:szCs w:val="13"/>
                <w:color w:val="auto"/>
              </w:rPr>
            </w:pPr>
          </w:p>
        </w:tc>
        <w:tc>
          <w:tcPr>
            <w:tcW w:w="106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(7.1)</w:t>
            </w:r>
          </w:p>
        </w:tc>
      </w:tr>
      <w:tr>
        <w:trPr>
          <w:trHeight w:val="155"/>
        </w:trPr>
        <w:tc>
          <w:tcPr>
            <w:tcW w:w="2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4,840.0</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-1936750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-1516380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auto"/>
            </w:tcBorders>
            <w:shd w:val="clear" w:color="auto" w:fill="98B0CF"/>
          </w:tcPr>
          <w:p>
            <w:pPr>
              <w:spacing w:after="0"/>
              <w:rPr>
                <w:sz w:val="15"/>
                <w:szCs w:val="15"/>
                <w:color w:val="auto"/>
              </w:rPr>
            </w:pPr>
          </w:p>
        </w:tc>
        <w:tc>
          <w:tcPr>
            <w:tcW w:w="1140" w:type="dxa"/>
            <w:vAlign w:val="bottom"/>
            <w:tcBorders>
              <w:top w:val="single" w:sz="8" w:color="auto"/>
              <w:bottom w:val="single" w:sz="8" w:color="auto"/>
            </w:tcBorders>
            <w:shd w:val="clear" w:color="auto" w:fill="98B0CF"/>
          </w:tcPr>
          <w:p>
            <w:pPr>
              <w:spacing w:after="0"/>
              <w:rPr>
                <w:sz w:val="15"/>
                <w:szCs w:val="15"/>
                <w:color w:val="auto"/>
              </w:rPr>
            </w:pPr>
          </w:p>
        </w:tc>
        <w:tc>
          <w:tcPr>
            <w:tcW w:w="320" w:type="dxa"/>
            <w:vAlign w:val="bottom"/>
            <w:tcBorders>
              <w:top w:val="single" w:sz="8" w:color="auto"/>
              <w:bottom w:val="single" w:sz="8" w:color="auto"/>
            </w:tcBorders>
            <w:shd w:val="clear" w:color="auto" w:fill="98B0CF"/>
          </w:tcPr>
          <w:p>
            <w:pPr>
              <w:spacing w:after="0"/>
              <w:rPr>
                <w:sz w:val="15"/>
                <w:szCs w:val="15"/>
                <w:color w:val="auto"/>
              </w:rPr>
            </w:pPr>
          </w:p>
        </w:tc>
        <w:tc>
          <w:tcPr>
            <w:tcW w:w="1180" w:type="dxa"/>
            <w:vAlign w:val="bottom"/>
            <w:tcBorders>
              <w:top w:val="single" w:sz="8" w:color="auto"/>
              <w:bottom w:val="single" w:sz="8" w:color="auto"/>
            </w:tcBorders>
            <w:shd w:val="clear" w:color="auto" w:fill="98B0CF"/>
          </w:tcPr>
          <w:p>
            <w:pPr>
              <w:spacing w:after="0"/>
              <w:rPr>
                <w:sz w:val="15"/>
                <w:szCs w:val="15"/>
                <w:color w:val="auto"/>
              </w:rPr>
            </w:pPr>
          </w:p>
        </w:tc>
        <w:tc>
          <w:tcPr>
            <w:tcW w:w="200" w:type="dxa"/>
            <w:vAlign w:val="bottom"/>
            <w:tcBorders>
              <w:top w:val="single" w:sz="8" w:color="auto"/>
              <w:bottom w:val="single" w:sz="8" w:color="auto"/>
            </w:tcBorders>
            <w:shd w:val="clear" w:color="auto" w:fill="98B0CF"/>
          </w:tcPr>
          <w:p>
            <w:pPr>
              <w:spacing w:after="0"/>
              <w:rPr>
                <w:sz w:val="15"/>
                <w:szCs w:val="15"/>
                <w:color w:val="auto"/>
              </w:rPr>
            </w:pPr>
          </w:p>
        </w:tc>
        <w:tc>
          <w:tcPr>
            <w:tcW w:w="2660" w:type="dxa"/>
            <w:vAlign w:val="bottom"/>
            <w:tcBorders>
              <w:top w:val="single" w:sz="8" w:color="auto"/>
              <w:bottom w:val="single" w:sz="8" w:color="auto"/>
            </w:tcBorders>
            <w:gridSpan w:val="4"/>
            <w:shd w:val="clear" w:color="auto" w:fill="98B0CF"/>
          </w:tcPr>
          <w:p>
            <w:pPr>
              <w:jc w:val="right"/>
              <w:ind w:right="208"/>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Borders>
              <w:top w:val="single" w:sz="8" w:color="auto"/>
              <w:bottom w:val="single" w:sz="8" w:color="auto"/>
            </w:tcBorders>
            <w:shd w:val="clear" w:color="auto" w:fill="98B0CF"/>
          </w:tcPr>
          <w:p>
            <w:pPr>
              <w:spacing w:after="0"/>
              <w:rPr>
                <w:sz w:val="15"/>
                <w:szCs w:val="15"/>
                <w:color w:val="auto"/>
              </w:rPr>
            </w:pPr>
          </w:p>
        </w:tc>
        <w:tc>
          <w:tcPr>
            <w:tcW w:w="1120" w:type="dxa"/>
            <w:vAlign w:val="bottom"/>
            <w:tcBorders>
              <w:top w:val="single" w:sz="8" w:color="auto"/>
              <w:bottom w:val="single" w:sz="8" w:color="auto"/>
            </w:tcBorders>
            <w:shd w:val="clear" w:color="auto" w:fill="98B0CF"/>
          </w:tcPr>
          <w:p>
            <w:pPr>
              <w:spacing w:after="0"/>
              <w:rPr>
                <w:sz w:val="15"/>
                <w:szCs w:val="15"/>
                <w:color w:val="auto"/>
              </w:rPr>
            </w:pPr>
          </w:p>
        </w:tc>
        <w:tc>
          <w:tcPr>
            <w:tcW w:w="360" w:type="dxa"/>
            <w:vAlign w:val="bottom"/>
            <w:tcBorders>
              <w:top w:val="single" w:sz="8" w:color="auto"/>
              <w:bottom w:val="single" w:sz="8" w:color="auto"/>
            </w:tcBorders>
            <w:shd w:val="clear" w:color="auto" w:fill="98B0CF"/>
          </w:tcPr>
          <w:p>
            <w:pPr>
              <w:spacing w:after="0"/>
              <w:rPr>
                <w:sz w:val="15"/>
                <w:szCs w:val="15"/>
                <w:color w:val="auto"/>
              </w:rPr>
            </w:pPr>
          </w:p>
        </w:tc>
        <w:tc>
          <w:tcPr>
            <w:tcW w:w="1060" w:type="dxa"/>
            <w:vAlign w:val="bottom"/>
            <w:tcBorders>
              <w:top w:val="single" w:sz="8" w:color="auto"/>
              <w:bottom w:val="single" w:sz="8" w:color="auto"/>
            </w:tcBorders>
            <w:shd w:val="clear" w:color="auto" w:fill="98B0CF"/>
          </w:tcPr>
          <w:p>
            <w:pPr>
              <w:spacing w:after="0"/>
              <w:rPr>
                <w:sz w:val="15"/>
                <w:szCs w:val="15"/>
                <w:color w:val="auto"/>
              </w:rPr>
            </w:pPr>
          </w:p>
        </w:tc>
      </w:tr>
      <w:tr>
        <w:trPr>
          <w:trHeight w:val="210"/>
        </w:trPr>
        <w:tc>
          <w:tcPr>
            <w:tcW w:w="2700" w:type="dxa"/>
            <w:vAlign w:val="bottom"/>
            <w:tcBorders>
              <w:bottom w:val="single" w:sz="8" w:color="98B0CF"/>
            </w:tcBorders>
            <w:shd w:val="clear" w:color="auto" w:fill="98B0CF"/>
          </w:tcPr>
          <w:p>
            <w:pPr>
              <w:spacing w:after="0"/>
              <w:rPr>
                <w:sz w:val="18"/>
                <w:szCs w:val="18"/>
                <w:color w:val="auto"/>
              </w:rPr>
            </w:pPr>
          </w:p>
        </w:tc>
        <w:tc>
          <w:tcPr>
            <w:tcW w:w="120" w:type="dxa"/>
            <w:vAlign w:val="bottom"/>
            <w:tcBorders>
              <w:bottom w:val="single" w:sz="8" w:color="98B0CF"/>
            </w:tcBorders>
            <w:shd w:val="clear" w:color="auto" w:fill="98B0CF"/>
          </w:tcPr>
          <w:p>
            <w:pPr>
              <w:spacing w:after="0"/>
              <w:rPr>
                <w:sz w:val="18"/>
                <w:szCs w:val="18"/>
                <w:color w:val="auto"/>
              </w:rPr>
            </w:pPr>
          </w:p>
        </w:tc>
        <w:tc>
          <w:tcPr>
            <w:tcW w:w="120" w:type="dxa"/>
            <w:vAlign w:val="bottom"/>
            <w:tcBorders>
              <w:bottom w:val="single" w:sz="8" w:color="auto"/>
            </w:tcBorders>
            <w:shd w:val="clear" w:color="auto" w:fill="98B0CF"/>
          </w:tcPr>
          <w:p>
            <w:pPr>
              <w:spacing w:after="0"/>
              <w:rPr>
                <w:sz w:val="18"/>
                <w:szCs w:val="18"/>
                <w:color w:val="auto"/>
              </w:rPr>
            </w:pPr>
          </w:p>
        </w:tc>
        <w:tc>
          <w:tcPr>
            <w:tcW w:w="1140" w:type="dxa"/>
            <w:vAlign w:val="bottom"/>
            <w:tcBorders>
              <w:bottom w:val="single" w:sz="8" w:color="auto"/>
            </w:tcBorders>
            <w:shd w:val="clear" w:color="auto" w:fill="98B0CF"/>
          </w:tcPr>
          <w:p>
            <w:pPr>
              <w:spacing w:after="0"/>
              <w:rPr>
                <w:sz w:val="18"/>
                <w:szCs w:val="18"/>
                <w:color w:val="auto"/>
              </w:rPr>
            </w:pPr>
          </w:p>
        </w:tc>
        <w:tc>
          <w:tcPr>
            <w:tcW w:w="320" w:type="dxa"/>
            <w:vAlign w:val="bottom"/>
            <w:tcBorders>
              <w:bottom w:val="single" w:sz="8" w:color="auto"/>
            </w:tcBorders>
            <w:shd w:val="clear" w:color="auto" w:fill="98B0CF"/>
          </w:tcPr>
          <w:p>
            <w:pPr>
              <w:spacing w:after="0"/>
              <w:rPr>
                <w:sz w:val="18"/>
                <w:szCs w:val="18"/>
                <w:color w:val="auto"/>
              </w:rPr>
            </w:pPr>
          </w:p>
        </w:tc>
        <w:tc>
          <w:tcPr>
            <w:tcW w:w="1180" w:type="dxa"/>
            <w:vAlign w:val="bottom"/>
            <w:tcBorders>
              <w:bottom w:val="single" w:sz="8" w:color="auto"/>
            </w:tcBorders>
            <w:shd w:val="clear" w:color="auto" w:fill="98B0CF"/>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auto"/>
            </w:tcBorders>
            <w:shd w:val="clear" w:color="auto" w:fill="98B0CF"/>
          </w:tcPr>
          <w:p>
            <w:pPr>
              <w:spacing w:after="0"/>
              <w:rPr>
                <w:sz w:val="18"/>
                <w:szCs w:val="18"/>
                <w:color w:val="auto"/>
              </w:rPr>
            </w:pPr>
          </w:p>
        </w:tc>
        <w:tc>
          <w:tcPr>
            <w:tcW w:w="1360" w:type="dxa"/>
            <w:vAlign w:val="bottom"/>
            <w:tcBorders>
              <w:bottom w:val="single" w:sz="8" w:color="auto"/>
            </w:tcBorders>
            <w:shd w:val="clear" w:color="auto" w:fill="98B0CF"/>
          </w:tcPr>
          <w:p>
            <w:pPr>
              <w:spacing w:after="0"/>
              <w:rPr>
                <w:sz w:val="18"/>
                <w:szCs w:val="18"/>
                <w:color w:val="auto"/>
              </w:rPr>
            </w:pPr>
          </w:p>
        </w:tc>
        <w:tc>
          <w:tcPr>
            <w:tcW w:w="120" w:type="dxa"/>
            <w:vAlign w:val="bottom"/>
            <w:tcBorders>
              <w:bottom w:val="single" w:sz="8" w:color="98B0CF"/>
            </w:tcBorders>
            <w:shd w:val="clear" w:color="auto" w:fill="98B0CF"/>
          </w:tcPr>
          <w:p>
            <w:pPr>
              <w:spacing w:after="0"/>
              <w:rPr>
                <w:sz w:val="18"/>
                <w:szCs w:val="18"/>
                <w:color w:val="auto"/>
              </w:rPr>
            </w:pPr>
          </w:p>
        </w:tc>
        <w:tc>
          <w:tcPr>
            <w:tcW w:w="120" w:type="dxa"/>
            <w:vAlign w:val="bottom"/>
            <w:tcBorders>
              <w:bottom w:val="single" w:sz="8" w:color="231F20"/>
            </w:tcBorders>
            <w:shd w:val="clear" w:color="auto" w:fill="98B0CF"/>
          </w:tcPr>
          <w:p>
            <w:pPr>
              <w:spacing w:after="0"/>
              <w:rPr>
                <w:sz w:val="18"/>
                <w:szCs w:val="18"/>
                <w:color w:val="auto"/>
              </w:rPr>
            </w:pPr>
          </w:p>
        </w:tc>
        <w:tc>
          <w:tcPr>
            <w:tcW w:w="1060" w:type="dxa"/>
            <w:vAlign w:val="bottom"/>
            <w:tcBorders>
              <w:bottom w:val="single" w:sz="8" w:color="231F20"/>
            </w:tcBorders>
            <w:shd w:val="clear" w:color="auto" w:fill="98B0CF"/>
          </w:tcPr>
          <w:p>
            <w:pPr>
              <w:spacing w:after="0"/>
              <w:rPr>
                <w:sz w:val="18"/>
                <w:szCs w:val="18"/>
                <w:color w:val="auto"/>
              </w:rPr>
            </w:pPr>
          </w:p>
        </w:tc>
        <w:tc>
          <w:tcPr>
            <w:tcW w:w="260" w:type="dxa"/>
            <w:vAlign w:val="bottom"/>
            <w:tcBorders>
              <w:bottom w:val="single" w:sz="8" w:color="231F20"/>
            </w:tcBorders>
            <w:shd w:val="clear" w:color="auto" w:fill="98B0CF"/>
          </w:tcPr>
          <w:p>
            <w:pPr>
              <w:spacing w:after="0"/>
              <w:rPr>
                <w:sz w:val="18"/>
                <w:szCs w:val="18"/>
                <w:color w:val="auto"/>
              </w:rPr>
            </w:pPr>
          </w:p>
        </w:tc>
        <w:tc>
          <w:tcPr>
            <w:tcW w:w="1120" w:type="dxa"/>
            <w:vAlign w:val="bottom"/>
            <w:tcBorders>
              <w:bottom w:val="single" w:sz="8" w:color="231F20"/>
            </w:tcBorders>
            <w:shd w:val="clear" w:color="auto" w:fill="98B0CF"/>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231F20"/>
            </w:tcBorders>
            <w:shd w:val="clear" w:color="auto" w:fill="98B0CF"/>
          </w:tcPr>
          <w:p>
            <w:pPr>
              <w:spacing w:after="0"/>
              <w:rPr>
                <w:sz w:val="18"/>
                <w:szCs w:val="18"/>
                <w:color w:val="auto"/>
              </w:rPr>
            </w:pPr>
          </w:p>
        </w:tc>
        <w:tc>
          <w:tcPr>
            <w:tcW w:w="1060" w:type="dxa"/>
            <w:vAlign w:val="bottom"/>
            <w:tcBorders>
              <w:bottom w:val="single" w:sz="8" w:color="231F20"/>
            </w:tcBorders>
            <w:shd w:val="clear" w:color="auto" w:fill="98B0CF"/>
          </w:tcPr>
          <w:p>
            <w:pPr>
              <w:spacing w:after="0"/>
              <w:rPr>
                <w:sz w:val="18"/>
                <w:szCs w:val="18"/>
                <w:color w:val="auto"/>
              </w:rPr>
            </w:pPr>
          </w:p>
        </w:tc>
      </w:tr>
      <w:tr>
        <w:trPr>
          <w:trHeight w:val="227"/>
        </w:trPr>
        <w:tc>
          <w:tcPr>
            <w:tcW w:w="2700" w:type="dxa"/>
            <w:vAlign w:val="bottom"/>
            <w:shd w:val="clear" w:color="auto" w:fill="98B0CF"/>
          </w:tcPr>
          <w:p>
            <w:pPr>
              <w:spacing w:after="0"/>
              <w:rPr>
                <w:sz w:val="19"/>
                <w:szCs w:val="19"/>
                <w:color w:val="auto"/>
              </w:rPr>
            </w:pPr>
          </w:p>
        </w:tc>
        <w:tc>
          <w:tcPr>
            <w:tcW w:w="120" w:type="dxa"/>
            <w:vAlign w:val="bottom"/>
            <w:shd w:val="clear" w:color="auto" w:fill="98B0CF"/>
          </w:tcPr>
          <w:p>
            <w:pPr>
              <w:spacing w:after="0"/>
              <w:rPr>
                <w:sz w:val="19"/>
                <w:szCs w:val="19"/>
                <w:color w:val="auto"/>
              </w:rPr>
            </w:pPr>
          </w:p>
        </w:tc>
        <w:tc>
          <w:tcPr>
            <w:tcW w:w="120" w:type="dxa"/>
            <w:vAlign w:val="bottom"/>
            <w:shd w:val="clear" w:color="auto" w:fill="98B0CF"/>
          </w:tcPr>
          <w:p>
            <w:pPr>
              <w:spacing w:after="0"/>
              <w:rPr>
                <w:sz w:val="19"/>
                <w:szCs w:val="19"/>
                <w:color w:val="auto"/>
              </w:rPr>
            </w:pPr>
          </w:p>
        </w:tc>
        <w:tc>
          <w:tcPr>
            <w:tcW w:w="1140" w:type="dxa"/>
            <w:vAlign w:val="bottom"/>
            <w:shd w:val="clear" w:color="auto" w:fill="98B0CF"/>
          </w:tcPr>
          <w:p>
            <w:pPr>
              <w:spacing w:after="0"/>
              <w:rPr>
                <w:sz w:val="19"/>
                <w:szCs w:val="19"/>
                <w:color w:val="auto"/>
              </w:rPr>
            </w:pPr>
          </w:p>
        </w:tc>
        <w:tc>
          <w:tcPr>
            <w:tcW w:w="320" w:type="dxa"/>
            <w:vAlign w:val="bottom"/>
            <w:shd w:val="clear" w:color="auto" w:fill="98B0CF"/>
          </w:tcPr>
          <w:p>
            <w:pPr>
              <w:spacing w:after="0"/>
              <w:rPr>
                <w:sz w:val="19"/>
                <w:szCs w:val="19"/>
                <w:color w:val="auto"/>
              </w:rPr>
            </w:pPr>
          </w:p>
        </w:tc>
        <w:tc>
          <w:tcPr>
            <w:tcW w:w="118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Services</w:t>
            </w:r>
          </w:p>
        </w:tc>
        <w:tc>
          <w:tcPr>
            <w:tcW w:w="200" w:type="dxa"/>
            <w:vAlign w:val="bottom"/>
            <w:shd w:val="clear" w:color="auto" w:fill="98B0CF"/>
          </w:tcPr>
          <w:p>
            <w:pPr>
              <w:spacing w:after="0"/>
              <w:rPr>
                <w:sz w:val="19"/>
                <w:szCs w:val="19"/>
                <w:color w:val="auto"/>
              </w:rPr>
            </w:pPr>
          </w:p>
        </w:tc>
        <w:tc>
          <w:tcPr>
            <w:tcW w:w="1360" w:type="dxa"/>
            <w:vAlign w:val="bottom"/>
            <w:shd w:val="clear" w:color="auto" w:fill="98B0CF"/>
          </w:tcPr>
          <w:p>
            <w:pPr>
              <w:spacing w:after="0"/>
              <w:rPr>
                <w:sz w:val="19"/>
                <w:szCs w:val="19"/>
                <w:color w:val="auto"/>
              </w:rPr>
            </w:pPr>
          </w:p>
        </w:tc>
        <w:tc>
          <w:tcPr>
            <w:tcW w:w="120" w:type="dxa"/>
            <w:vAlign w:val="bottom"/>
            <w:shd w:val="clear" w:color="auto" w:fill="98B0CF"/>
          </w:tcPr>
          <w:p>
            <w:pPr>
              <w:spacing w:after="0"/>
              <w:rPr>
                <w:sz w:val="19"/>
                <w:szCs w:val="19"/>
                <w:color w:val="auto"/>
              </w:rPr>
            </w:pPr>
          </w:p>
        </w:tc>
        <w:tc>
          <w:tcPr>
            <w:tcW w:w="120" w:type="dxa"/>
            <w:vAlign w:val="bottom"/>
            <w:shd w:val="clear" w:color="auto" w:fill="98B0CF"/>
          </w:tcPr>
          <w:p>
            <w:pPr>
              <w:spacing w:after="0"/>
              <w:rPr>
                <w:sz w:val="19"/>
                <w:szCs w:val="19"/>
                <w:color w:val="auto"/>
              </w:rPr>
            </w:pPr>
          </w:p>
        </w:tc>
        <w:tc>
          <w:tcPr>
            <w:tcW w:w="1060" w:type="dxa"/>
            <w:vAlign w:val="bottom"/>
            <w:shd w:val="clear" w:color="auto" w:fill="98B0CF"/>
          </w:tcPr>
          <w:p>
            <w:pPr>
              <w:spacing w:after="0"/>
              <w:rPr>
                <w:sz w:val="19"/>
                <w:szCs w:val="19"/>
                <w:color w:val="auto"/>
              </w:rPr>
            </w:pPr>
          </w:p>
        </w:tc>
        <w:tc>
          <w:tcPr>
            <w:tcW w:w="260" w:type="dxa"/>
            <w:vAlign w:val="bottom"/>
            <w:shd w:val="clear" w:color="auto" w:fill="98B0CF"/>
          </w:tcPr>
          <w:p>
            <w:pPr>
              <w:spacing w:after="0"/>
              <w:rPr>
                <w:sz w:val="19"/>
                <w:szCs w:val="19"/>
                <w:color w:val="auto"/>
              </w:rPr>
            </w:pPr>
          </w:p>
        </w:tc>
        <w:tc>
          <w:tcPr>
            <w:tcW w:w="112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Services</w:t>
            </w:r>
          </w:p>
        </w:tc>
        <w:tc>
          <w:tcPr>
            <w:tcW w:w="360" w:type="dxa"/>
            <w:vAlign w:val="bottom"/>
            <w:shd w:val="clear" w:color="auto" w:fill="98B0CF"/>
          </w:tcPr>
          <w:p>
            <w:pPr>
              <w:spacing w:after="0"/>
              <w:rPr>
                <w:sz w:val="19"/>
                <w:szCs w:val="19"/>
                <w:color w:val="auto"/>
              </w:rPr>
            </w:pPr>
          </w:p>
        </w:tc>
        <w:tc>
          <w:tcPr>
            <w:tcW w:w="1060" w:type="dxa"/>
            <w:vAlign w:val="bottom"/>
            <w:shd w:val="clear" w:color="auto" w:fill="98B0CF"/>
          </w:tcPr>
          <w:p>
            <w:pPr>
              <w:spacing w:after="0"/>
              <w:rPr>
                <w:sz w:val="19"/>
                <w:szCs w:val="19"/>
                <w:color w:val="auto"/>
              </w:rPr>
            </w:pPr>
          </w:p>
        </w:tc>
      </w:tr>
      <w:tr>
        <w:trPr>
          <w:trHeight w:val="162"/>
        </w:trPr>
        <w:tc>
          <w:tcPr>
            <w:tcW w:w="27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14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Services</w:t>
            </w:r>
          </w:p>
        </w:tc>
        <w:tc>
          <w:tcPr>
            <w:tcW w:w="320" w:type="dxa"/>
            <w:vAlign w:val="bottom"/>
            <w:shd w:val="clear" w:color="auto" w:fill="98B0CF"/>
          </w:tcPr>
          <w:p>
            <w:pPr>
              <w:spacing w:after="0"/>
              <w:rPr>
                <w:sz w:val="14"/>
                <w:szCs w:val="14"/>
                <w:color w:val="auto"/>
              </w:rPr>
            </w:pPr>
          </w:p>
        </w:tc>
        <w:tc>
          <w:tcPr>
            <w:tcW w:w="118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transferred</w:t>
            </w:r>
          </w:p>
        </w:tc>
        <w:tc>
          <w:tcPr>
            <w:tcW w:w="200" w:type="dxa"/>
            <w:vAlign w:val="bottom"/>
            <w:shd w:val="clear" w:color="auto" w:fill="98B0CF"/>
          </w:tcPr>
          <w:p>
            <w:pPr>
              <w:spacing w:after="0"/>
              <w:rPr>
                <w:sz w:val="14"/>
                <w:szCs w:val="14"/>
                <w:color w:val="auto"/>
              </w:rPr>
            </w:pPr>
          </w:p>
        </w:tc>
        <w:tc>
          <w:tcPr>
            <w:tcW w:w="13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Services</w:t>
            </w:r>
          </w:p>
        </w:tc>
        <w:tc>
          <w:tcPr>
            <w:tcW w:w="260" w:type="dxa"/>
            <w:vAlign w:val="bottom"/>
            <w:shd w:val="clear" w:color="auto" w:fill="98B0CF"/>
          </w:tcPr>
          <w:p>
            <w:pPr>
              <w:spacing w:after="0"/>
              <w:rPr>
                <w:sz w:val="14"/>
                <w:szCs w:val="14"/>
                <w:color w:val="auto"/>
              </w:rPr>
            </w:pPr>
          </w:p>
        </w:tc>
        <w:tc>
          <w:tcPr>
            <w:tcW w:w="112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transferred</w:t>
            </w:r>
          </w:p>
        </w:tc>
        <w:tc>
          <w:tcPr>
            <w:tcW w:w="360" w:type="dxa"/>
            <w:vAlign w:val="bottom"/>
            <w:shd w:val="clear" w:color="auto" w:fill="98B0CF"/>
          </w:tcPr>
          <w:p>
            <w:pPr>
              <w:spacing w:after="0"/>
              <w:rPr>
                <w:sz w:val="14"/>
                <w:szCs w:val="14"/>
                <w:color w:val="auto"/>
              </w:rPr>
            </w:pPr>
          </w:p>
        </w:tc>
        <w:tc>
          <w:tcPr>
            <w:tcW w:w="1060" w:type="dxa"/>
            <w:vAlign w:val="bottom"/>
            <w:shd w:val="clear" w:color="auto" w:fill="98B0CF"/>
          </w:tcPr>
          <w:p>
            <w:pPr>
              <w:spacing w:after="0"/>
              <w:rPr>
                <w:sz w:val="14"/>
                <w:szCs w:val="14"/>
                <w:color w:val="auto"/>
              </w:rPr>
            </w:pPr>
          </w:p>
        </w:tc>
      </w:tr>
      <w:tr>
        <w:trPr>
          <w:trHeight w:val="162"/>
        </w:trPr>
        <w:tc>
          <w:tcPr>
            <w:tcW w:w="27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14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transferred</w:t>
            </w:r>
          </w:p>
        </w:tc>
        <w:tc>
          <w:tcPr>
            <w:tcW w:w="320" w:type="dxa"/>
            <w:vAlign w:val="bottom"/>
            <w:shd w:val="clear" w:color="auto" w:fill="98B0CF"/>
          </w:tcPr>
          <w:p>
            <w:pPr>
              <w:spacing w:after="0"/>
              <w:rPr>
                <w:sz w:val="14"/>
                <w:szCs w:val="14"/>
                <w:color w:val="auto"/>
              </w:rPr>
            </w:pPr>
          </w:p>
        </w:tc>
        <w:tc>
          <w:tcPr>
            <w:tcW w:w="118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at a point</w:t>
            </w:r>
          </w:p>
        </w:tc>
        <w:tc>
          <w:tcPr>
            <w:tcW w:w="200" w:type="dxa"/>
            <w:vAlign w:val="bottom"/>
            <w:shd w:val="clear" w:color="auto" w:fill="98B0CF"/>
          </w:tcPr>
          <w:p>
            <w:pPr>
              <w:spacing w:after="0"/>
              <w:rPr>
                <w:sz w:val="14"/>
                <w:szCs w:val="14"/>
                <w:color w:val="auto"/>
              </w:rPr>
            </w:pPr>
          </w:p>
        </w:tc>
        <w:tc>
          <w:tcPr>
            <w:tcW w:w="13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48"/>
              <w:spacing w:after="0"/>
              <w:rPr>
                <w:sz w:val="20"/>
                <w:szCs w:val="20"/>
                <w:color w:val="auto"/>
              </w:rPr>
            </w:pPr>
            <w:r>
              <w:rPr>
                <w:rFonts w:ascii="Arial" w:cs="Arial" w:eastAsia="Arial" w:hAnsi="Arial"/>
                <w:sz w:val="14"/>
                <w:szCs w:val="14"/>
                <w:b w:val="1"/>
                <w:bCs w:val="1"/>
                <w:color w:val="auto"/>
              </w:rPr>
              <w:t>transferred</w:t>
            </w:r>
          </w:p>
        </w:tc>
        <w:tc>
          <w:tcPr>
            <w:tcW w:w="260" w:type="dxa"/>
            <w:vAlign w:val="bottom"/>
            <w:shd w:val="clear" w:color="auto" w:fill="98B0CF"/>
          </w:tcPr>
          <w:p>
            <w:pPr>
              <w:spacing w:after="0"/>
              <w:rPr>
                <w:sz w:val="14"/>
                <w:szCs w:val="14"/>
                <w:color w:val="auto"/>
              </w:rPr>
            </w:pPr>
          </w:p>
        </w:tc>
        <w:tc>
          <w:tcPr>
            <w:tcW w:w="112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at a point</w:t>
            </w:r>
          </w:p>
        </w:tc>
        <w:tc>
          <w:tcPr>
            <w:tcW w:w="360" w:type="dxa"/>
            <w:vAlign w:val="bottom"/>
            <w:shd w:val="clear" w:color="auto" w:fill="98B0CF"/>
          </w:tcPr>
          <w:p>
            <w:pPr>
              <w:spacing w:after="0"/>
              <w:rPr>
                <w:sz w:val="14"/>
                <w:szCs w:val="14"/>
                <w:color w:val="auto"/>
              </w:rPr>
            </w:pPr>
          </w:p>
        </w:tc>
        <w:tc>
          <w:tcPr>
            <w:tcW w:w="1060" w:type="dxa"/>
            <w:vAlign w:val="bottom"/>
            <w:shd w:val="clear" w:color="auto" w:fill="98B0CF"/>
          </w:tcPr>
          <w:p>
            <w:pPr>
              <w:spacing w:after="0"/>
              <w:rPr>
                <w:sz w:val="14"/>
                <w:szCs w:val="14"/>
                <w:color w:val="auto"/>
              </w:rPr>
            </w:pPr>
          </w:p>
        </w:tc>
      </w:tr>
      <w:tr>
        <w:trPr>
          <w:trHeight w:val="171"/>
        </w:trPr>
        <w:tc>
          <w:tcPr>
            <w:tcW w:w="270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140" w:type="dxa"/>
            <w:vAlign w:val="bottom"/>
            <w:tcBorders>
              <w:bottom w:val="single" w:sz="8" w:color="auto"/>
            </w:tcBorders>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w w:val="99"/>
              </w:rPr>
              <w:t>over time</w:t>
            </w:r>
          </w:p>
        </w:tc>
        <w:tc>
          <w:tcPr>
            <w:tcW w:w="320" w:type="dxa"/>
            <w:vAlign w:val="bottom"/>
            <w:tcBorders>
              <w:bottom w:val="single" w:sz="8" w:color="auto"/>
            </w:tcBorders>
            <w:shd w:val="clear" w:color="auto" w:fill="98B0CF"/>
          </w:tcPr>
          <w:p>
            <w:pPr>
              <w:spacing w:after="0"/>
              <w:rPr>
                <w:sz w:val="14"/>
                <w:szCs w:val="14"/>
                <w:color w:val="auto"/>
              </w:rPr>
            </w:pPr>
          </w:p>
        </w:tc>
        <w:tc>
          <w:tcPr>
            <w:tcW w:w="1180" w:type="dxa"/>
            <w:vAlign w:val="bottom"/>
            <w:tcBorders>
              <w:bottom w:val="single" w:sz="8" w:color="auto"/>
            </w:tcBorders>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in time</w:t>
            </w:r>
          </w:p>
        </w:tc>
        <w:tc>
          <w:tcPr>
            <w:tcW w:w="200" w:type="dxa"/>
            <w:vAlign w:val="bottom"/>
            <w:tcBorders>
              <w:bottom w:val="single" w:sz="8" w:color="auto"/>
            </w:tcBorders>
            <w:shd w:val="clear" w:color="auto" w:fill="98B0CF"/>
          </w:tcPr>
          <w:p>
            <w:pPr>
              <w:spacing w:after="0"/>
              <w:rPr>
                <w:sz w:val="14"/>
                <w:szCs w:val="14"/>
                <w:color w:val="auto"/>
              </w:rPr>
            </w:pPr>
          </w:p>
        </w:tc>
        <w:tc>
          <w:tcPr>
            <w:tcW w:w="1360" w:type="dxa"/>
            <w:vAlign w:val="bottom"/>
            <w:tcBorders>
              <w:bottom w:val="single" w:sz="8" w:color="auto"/>
            </w:tcBorders>
            <w:shd w:val="clear" w:color="auto" w:fill="98B0CF"/>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060" w:type="dxa"/>
            <w:vAlign w:val="bottom"/>
            <w:tcBorders>
              <w:bottom w:val="single" w:sz="8" w:color="auto"/>
            </w:tcBorders>
            <w:shd w:val="clear" w:color="auto" w:fill="98B0CF"/>
          </w:tcPr>
          <w:p>
            <w:pPr>
              <w:jc w:val="center"/>
              <w:ind w:right="148"/>
              <w:spacing w:after="0"/>
              <w:rPr>
                <w:sz w:val="20"/>
                <w:szCs w:val="20"/>
                <w:color w:val="auto"/>
              </w:rPr>
            </w:pPr>
            <w:r>
              <w:rPr>
                <w:rFonts w:ascii="Arial" w:cs="Arial" w:eastAsia="Arial" w:hAnsi="Arial"/>
                <w:sz w:val="14"/>
                <w:szCs w:val="14"/>
                <w:b w:val="1"/>
                <w:bCs w:val="1"/>
                <w:color w:val="auto"/>
              </w:rPr>
              <w:t>over time</w:t>
            </w:r>
          </w:p>
        </w:tc>
        <w:tc>
          <w:tcPr>
            <w:tcW w:w="260" w:type="dxa"/>
            <w:vAlign w:val="bottom"/>
            <w:tcBorders>
              <w:bottom w:val="single" w:sz="8" w:color="auto"/>
            </w:tcBorders>
            <w:shd w:val="clear" w:color="auto" w:fill="98B0CF"/>
          </w:tcPr>
          <w:p>
            <w:pPr>
              <w:spacing w:after="0"/>
              <w:rPr>
                <w:sz w:val="14"/>
                <w:szCs w:val="14"/>
                <w:color w:val="auto"/>
              </w:rPr>
            </w:pPr>
          </w:p>
        </w:tc>
        <w:tc>
          <w:tcPr>
            <w:tcW w:w="1120" w:type="dxa"/>
            <w:vAlign w:val="bottom"/>
            <w:tcBorders>
              <w:bottom w:val="single" w:sz="8" w:color="auto"/>
            </w:tcBorders>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in time</w:t>
            </w:r>
          </w:p>
        </w:tc>
        <w:tc>
          <w:tcPr>
            <w:tcW w:w="360" w:type="dxa"/>
            <w:vAlign w:val="bottom"/>
            <w:tcBorders>
              <w:bottom w:val="single" w:sz="8" w:color="auto"/>
            </w:tcBorders>
            <w:shd w:val="clear" w:color="auto" w:fill="98B0CF"/>
          </w:tcPr>
          <w:p>
            <w:pPr>
              <w:spacing w:after="0"/>
              <w:rPr>
                <w:sz w:val="14"/>
                <w:szCs w:val="14"/>
                <w:color w:val="auto"/>
              </w:rPr>
            </w:pPr>
          </w:p>
        </w:tc>
        <w:tc>
          <w:tcPr>
            <w:tcW w:w="1060" w:type="dxa"/>
            <w:vAlign w:val="bottom"/>
            <w:tcBorders>
              <w:bottom w:val="single" w:sz="8" w:color="auto"/>
            </w:tcBorders>
            <w:shd w:val="clear" w:color="auto" w:fill="98B0CF"/>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96"/>
        </w:trPr>
        <w:tc>
          <w:tcPr>
            <w:tcW w:w="2700" w:type="dxa"/>
            <w:vAlign w:val="bottom"/>
            <w:shd w:val="clear" w:color="auto" w:fill="E2E8F1"/>
          </w:tcPr>
          <w:p>
            <w:pPr>
              <w:ind w:left="40"/>
              <w:spacing w:after="0"/>
              <w:rPr>
                <w:sz w:val="20"/>
                <w:szCs w:val="20"/>
                <w:color w:val="auto"/>
              </w:rPr>
            </w:pPr>
            <w:r>
              <w:rPr>
                <w:rFonts w:ascii="Arial" w:cs="Arial" w:eastAsia="Arial" w:hAnsi="Arial"/>
                <w:sz w:val="14"/>
                <w:szCs w:val="14"/>
                <w:color w:val="auto"/>
              </w:rPr>
              <w:t>Americas:</w:t>
            </w: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320" w:type="dxa"/>
            <w:vAlign w:val="bottom"/>
            <w:shd w:val="clear" w:color="auto" w:fill="E2E8F1"/>
          </w:tcPr>
          <w:p>
            <w:pPr>
              <w:spacing w:after="0"/>
              <w:rPr>
                <w:sz w:val="17"/>
                <w:szCs w:val="17"/>
                <w:color w:val="auto"/>
              </w:rPr>
            </w:pPr>
          </w:p>
        </w:tc>
        <w:tc>
          <w:tcPr>
            <w:tcW w:w="118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3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c>
          <w:tcPr>
            <w:tcW w:w="260" w:type="dxa"/>
            <w:vAlign w:val="bottom"/>
            <w:shd w:val="clear" w:color="auto" w:fill="E2E8F1"/>
          </w:tcPr>
          <w:p>
            <w:pPr>
              <w:spacing w:after="0"/>
              <w:rPr>
                <w:sz w:val="17"/>
                <w:szCs w:val="17"/>
                <w:color w:val="auto"/>
              </w:rPr>
            </w:pPr>
          </w:p>
        </w:tc>
        <w:tc>
          <w:tcPr>
            <w:tcW w:w="1120" w:type="dxa"/>
            <w:vAlign w:val="bottom"/>
            <w:shd w:val="clear" w:color="auto" w:fill="E2E8F1"/>
          </w:tcPr>
          <w:p>
            <w:pPr>
              <w:spacing w:after="0"/>
              <w:rPr>
                <w:sz w:val="17"/>
                <w:szCs w:val="17"/>
                <w:color w:val="auto"/>
              </w:rPr>
            </w:pPr>
          </w:p>
        </w:tc>
        <w:tc>
          <w:tcPr>
            <w:tcW w:w="36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r>
      <w:tr>
        <w:trPr>
          <w:trHeight w:val="203"/>
        </w:trPr>
        <w:tc>
          <w:tcPr>
            <w:tcW w:w="2700" w:type="dxa"/>
            <w:vAlign w:val="bottom"/>
          </w:tcPr>
          <w:p>
            <w:pPr>
              <w:ind w:left="60"/>
              <w:spacing w:after="0"/>
              <w:rPr>
                <w:sz w:val="20"/>
                <w:szCs w:val="20"/>
                <w:color w:val="auto"/>
              </w:rPr>
            </w:pPr>
            <w:r>
              <w:rPr>
                <w:rFonts w:ascii="Arial" w:cs="Arial" w:eastAsia="Arial" w:hAnsi="Arial"/>
                <w:sz w:val="14"/>
                <w:szCs w:val="14"/>
                <w:color w:val="auto"/>
              </w:rPr>
              <w:t>United States</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2,055.3</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2,098.0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2,010.4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2,053.7</w:t>
            </w:r>
          </w:p>
        </w:tc>
      </w:tr>
      <w:tr>
        <w:trPr>
          <w:trHeight w:val="203"/>
        </w:trPr>
        <w:tc>
          <w:tcPr>
            <w:tcW w:w="2700" w:type="dxa"/>
            <w:vAlign w:val="bottom"/>
            <w:tcBorders>
              <w:bottom w:val="single" w:sz="8" w:color="231F20"/>
            </w:tcBorders>
            <w:shd w:val="clear" w:color="auto" w:fill="E2E8F1"/>
          </w:tcPr>
          <w:p>
            <w:pPr>
              <w:ind w:left="60"/>
              <w:spacing w:after="0"/>
              <w:rPr>
                <w:sz w:val="20"/>
                <w:szCs w:val="20"/>
                <w:color w:val="auto"/>
              </w:rPr>
            </w:pPr>
            <w:r>
              <w:rPr>
                <w:rFonts w:ascii="Arial" w:cs="Arial" w:eastAsia="Arial" w:hAnsi="Arial"/>
                <w:sz w:val="14"/>
                <w:szCs w:val="14"/>
                <w:color w:val="auto"/>
              </w:rPr>
              <w:t>Other Americas</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88"/>
              <w:spacing w:after="0"/>
              <w:rPr>
                <w:sz w:val="20"/>
                <w:szCs w:val="20"/>
                <w:color w:val="auto"/>
              </w:rPr>
            </w:pPr>
            <w:r>
              <w:rPr>
                <w:rFonts w:ascii="Arial" w:cs="Arial" w:eastAsia="Arial" w:hAnsi="Arial"/>
                <w:sz w:val="14"/>
                <w:szCs w:val="14"/>
                <w:color w:val="auto"/>
              </w:rPr>
              <w:t>1,454.2</w:t>
            </w:r>
          </w:p>
        </w:tc>
        <w:tc>
          <w:tcPr>
            <w:tcW w:w="32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22.4</w:t>
            </w:r>
          </w:p>
        </w:tc>
        <w:tc>
          <w:tcPr>
            <w:tcW w:w="200" w:type="dxa"/>
            <w:vAlign w:val="bottom"/>
            <w:tcBorders>
              <w:bottom w:val="single" w:sz="8" w:color="231F20"/>
            </w:tcBorders>
            <w:shd w:val="clear" w:color="auto" w:fill="E2E8F1"/>
          </w:tcPr>
          <w:p>
            <w:pPr>
              <w:spacing w:after="0"/>
              <w:rPr>
                <w:sz w:val="17"/>
                <w:szCs w:val="17"/>
                <w:color w:val="auto"/>
              </w:rPr>
            </w:pPr>
          </w:p>
        </w:tc>
        <w:tc>
          <w:tcPr>
            <w:tcW w:w="13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1,476.6</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1,147.1</w:t>
            </w: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14.6</w:t>
            </w: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1,161.7</w:t>
            </w:r>
          </w:p>
        </w:tc>
      </w:tr>
      <w:tr>
        <w:trPr>
          <w:trHeight w:val="196"/>
        </w:trPr>
        <w:tc>
          <w:tcPr>
            <w:tcW w:w="27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88"/>
              <w:spacing w:after="0"/>
              <w:rPr>
                <w:sz w:val="20"/>
                <w:szCs w:val="20"/>
                <w:color w:val="auto"/>
              </w:rPr>
            </w:pPr>
            <w:r>
              <w:rPr>
                <w:rFonts w:ascii="Arial" w:cs="Arial" w:eastAsia="Arial" w:hAnsi="Arial"/>
                <w:sz w:val="14"/>
                <w:szCs w:val="14"/>
                <w:color w:val="auto"/>
              </w:rPr>
              <w:t>3,509.5</w:t>
            </w:r>
          </w:p>
        </w:tc>
        <w:tc>
          <w:tcPr>
            <w:tcW w:w="32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65.1</w:t>
            </w:r>
          </w:p>
        </w:tc>
        <w:tc>
          <w:tcPr>
            <w:tcW w:w="20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3,574.6</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3,157.5</w:t>
            </w: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57.9</w:t>
            </w:r>
          </w:p>
        </w:tc>
        <w:tc>
          <w:tcPr>
            <w:tcW w:w="3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3,215.4</w:t>
            </w:r>
          </w:p>
        </w:tc>
      </w:tr>
      <w:tr>
        <w:trPr>
          <w:trHeight w:val="196"/>
        </w:trPr>
        <w:tc>
          <w:tcPr>
            <w:tcW w:w="2700" w:type="dxa"/>
            <w:vAlign w:val="bottom"/>
            <w:shd w:val="clear" w:color="auto" w:fill="E2E8F1"/>
          </w:tcPr>
          <w:p>
            <w:pPr>
              <w:ind w:left="40"/>
              <w:spacing w:after="0"/>
              <w:rPr>
                <w:sz w:val="20"/>
                <w:szCs w:val="20"/>
                <w:color w:val="auto"/>
              </w:rPr>
            </w:pPr>
            <w:r>
              <w:rPr>
                <w:rFonts w:ascii="Arial" w:cs="Arial" w:eastAsia="Arial" w:hAnsi="Arial"/>
                <w:sz w:val="14"/>
                <w:szCs w:val="14"/>
                <w:color w:val="auto"/>
              </w:rPr>
              <w:t>Southern Europe:</w:t>
            </w: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320" w:type="dxa"/>
            <w:vAlign w:val="bottom"/>
            <w:shd w:val="clear" w:color="auto" w:fill="E2E8F1"/>
          </w:tcPr>
          <w:p>
            <w:pPr>
              <w:spacing w:after="0"/>
              <w:rPr>
                <w:sz w:val="17"/>
                <w:szCs w:val="17"/>
                <w:color w:val="auto"/>
              </w:rPr>
            </w:pPr>
          </w:p>
        </w:tc>
        <w:tc>
          <w:tcPr>
            <w:tcW w:w="118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3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c>
          <w:tcPr>
            <w:tcW w:w="260" w:type="dxa"/>
            <w:vAlign w:val="bottom"/>
            <w:shd w:val="clear" w:color="auto" w:fill="E2E8F1"/>
          </w:tcPr>
          <w:p>
            <w:pPr>
              <w:spacing w:after="0"/>
              <w:rPr>
                <w:sz w:val="17"/>
                <w:szCs w:val="17"/>
                <w:color w:val="auto"/>
              </w:rPr>
            </w:pPr>
          </w:p>
        </w:tc>
        <w:tc>
          <w:tcPr>
            <w:tcW w:w="1120" w:type="dxa"/>
            <w:vAlign w:val="bottom"/>
            <w:shd w:val="clear" w:color="auto" w:fill="E2E8F1"/>
          </w:tcPr>
          <w:p>
            <w:pPr>
              <w:spacing w:after="0"/>
              <w:rPr>
                <w:sz w:val="17"/>
                <w:szCs w:val="17"/>
                <w:color w:val="auto"/>
              </w:rPr>
            </w:pPr>
          </w:p>
        </w:tc>
        <w:tc>
          <w:tcPr>
            <w:tcW w:w="36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r>
      <w:tr>
        <w:trPr>
          <w:trHeight w:val="203"/>
        </w:trPr>
        <w:tc>
          <w:tcPr>
            <w:tcW w:w="2700" w:type="dxa"/>
            <w:vAlign w:val="bottom"/>
          </w:tcPr>
          <w:p>
            <w:pPr>
              <w:ind w:left="60"/>
              <w:spacing w:after="0"/>
              <w:rPr>
                <w:sz w:val="20"/>
                <w:szCs w:val="20"/>
                <w:color w:val="auto"/>
              </w:rPr>
            </w:pPr>
            <w:r>
              <w:rPr>
                <w:rFonts w:ascii="Arial" w:cs="Arial" w:eastAsia="Arial" w:hAnsi="Arial"/>
                <w:sz w:val="14"/>
                <w:szCs w:val="14"/>
                <w:color w:val="auto"/>
              </w:rPr>
              <w:t>France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3,351.8</w:t>
            </w:r>
          </w:p>
        </w:tc>
        <w:tc>
          <w:tcPr>
            <w:tcW w:w="3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27.3</w:t>
            </w:r>
          </w:p>
        </w:tc>
        <w:tc>
          <w:tcPr>
            <w:tcW w:w="200" w:type="dxa"/>
            <w:vAlign w:val="bottom"/>
          </w:tcPr>
          <w:p>
            <w:pPr>
              <w:spacing w:after="0"/>
              <w:rPr>
                <w:sz w:val="17"/>
                <w:szCs w:val="17"/>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3,379.1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3,258.5</w:t>
            </w: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36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3,288.5</w:t>
            </w:r>
          </w:p>
        </w:tc>
      </w:tr>
      <w:tr>
        <w:trPr>
          <w:trHeight w:val="203"/>
        </w:trPr>
        <w:tc>
          <w:tcPr>
            <w:tcW w:w="2700" w:type="dxa"/>
            <w:vAlign w:val="bottom"/>
            <w:shd w:val="clear" w:color="auto" w:fill="E2E8F1"/>
          </w:tcPr>
          <w:p>
            <w:pPr>
              <w:ind w:left="60"/>
              <w:spacing w:after="0"/>
              <w:rPr>
                <w:sz w:val="20"/>
                <w:szCs w:val="20"/>
                <w:color w:val="auto"/>
              </w:rPr>
            </w:pPr>
            <w:r>
              <w:rPr>
                <w:rFonts w:ascii="Arial" w:cs="Arial" w:eastAsia="Arial" w:hAnsi="Arial"/>
                <w:sz w:val="14"/>
                <w:szCs w:val="14"/>
                <w:color w:val="auto"/>
              </w:rPr>
              <w:t>Italy</w:t>
            </w: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140" w:type="dxa"/>
            <w:vAlign w:val="bottom"/>
            <w:shd w:val="clear" w:color="auto" w:fill="E2E8F1"/>
          </w:tcPr>
          <w:p>
            <w:pPr>
              <w:jc w:val="right"/>
              <w:ind w:right="88"/>
              <w:spacing w:after="0"/>
              <w:rPr>
                <w:sz w:val="20"/>
                <w:szCs w:val="20"/>
                <w:color w:val="auto"/>
              </w:rPr>
            </w:pPr>
            <w:r>
              <w:rPr>
                <w:rFonts w:ascii="Arial" w:cs="Arial" w:eastAsia="Arial" w:hAnsi="Arial"/>
                <w:sz w:val="14"/>
                <w:szCs w:val="14"/>
                <w:color w:val="auto"/>
              </w:rPr>
              <w:t>1,443.9</w:t>
            </w:r>
          </w:p>
        </w:tc>
        <w:tc>
          <w:tcPr>
            <w:tcW w:w="320" w:type="dxa"/>
            <w:vAlign w:val="bottom"/>
            <w:shd w:val="clear" w:color="auto" w:fill="E2E8F1"/>
          </w:tcPr>
          <w:p>
            <w:pPr>
              <w:spacing w:after="0"/>
              <w:rPr>
                <w:sz w:val="17"/>
                <w:szCs w:val="17"/>
                <w:color w:val="auto"/>
              </w:rPr>
            </w:pPr>
          </w:p>
        </w:tc>
        <w:tc>
          <w:tcPr>
            <w:tcW w:w="118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35.8</w:t>
            </w:r>
          </w:p>
        </w:tc>
        <w:tc>
          <w:tcPr>
            <w:tcW w:w="200" w:type="dxa"/>
            <w:vAlign w:val="bottom"/>
            <w:shd w:val="clear" w:color="auto" w:fill="E2E8F1"/>
          </w:tcPr>
          <w:p>
            <w:pPr>
              <w:spacing w:after="0"/>
              <w:rPr>
                <w:sz w:val="17"/>
                <w:szCs w:val="17"/>
                <w:color w:val="auto"/>
              </w:rPr>
            </w:pPr>
          </w:p>
        </w:tc>
        <w:tc>
          <w:tcPr>
            <w:tcW w:w="13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1,479.7</w:t>
            </w: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0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1,302.7</w:t>
            </w:r>
          </w:p>
        </w:tc>
        <w:tc>
          <w:tcPr>
            <w:tcW w:w="260" w:type="dxa"/>
            <w:vAlign w:val="bottom"/>
            <w:shd w:val="clear" w:color="auto" w:fill="E2E8F1"/>
          </w:tcPr>
          <w:p>
            <w:pPr>
              <w:spacing w:after="0"/>
              <w:rPr>
                <w:sz w:val="17"/>
                <w:szCs w:val="17"/>
                <w:color w:val="auto"/>
              </w:rPr>
            </w:pPr>
          </w:p>
        </w:tc>
        <w:tc>
          <w:tcPr>
            <w:tcW w:w="112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33.5</w:t>
            </w:r>
          </w:p>
        </w:tc>
        <w:tc>
          <w:tcPr>
            <w:tcW w:w="360" w:type="dxa"/>
            <w:vAlign w:val="bottom"/>
            <w:shd w:val="clear" w:color="auto" w:fill="E2E8F1"/>
          </w:tcPr>
          <w:p>
            <w:pPr>
              <w:spacing w:after="0"/>
              <w:rPr>
                <w:sz w:val="17"/>
                <w:szCs w:val="17"/>
                <w:color w:val="auto"/>
              </w:rPr>
            </w:pPr>
          </w:p>
        </w:tc>
        <w:tc>
          <w:tcPr>
            <w:tcW w:w="10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1,336.2</w:t>
            </w:r>
          </w:p>
        </w:tc>
      </w:tr>
      <w:tr>
        <w:trPr>
          <w:trHeight w:val="203"/>
        </w:trPr>
        <w:tc>
          <w:tcPr>
            <w:tcW w:w="2700" w:type="dxa"/>
            <w:vAlign w:val="bottom"/>
            <w:tcBorders>
              <w:bottom w:val="single" w:sz="8" w:color="231F20"/>
            </w:tcBorders>
          </w:tcPr>
          <w:p>
            <w:pPr>
              <w:ind w:left="60"/>
              <w:spacing w:after="0"/>
              <w:rPr>
                <w:sz w:val="20"/>
                <w:szCs w:val="20"/>
                <w:color w:val="auto"/>
              </w:rPr>
            </w:pPr>
            <w:r>
              <w:rPr>
                <w:rFonts w:ascii="Arial" w:cs="Arial" w:eastAsia="Arial" w:hAnsi="Arial"/>
                <w:sz w:val="14"/>
                <w:szCs w:val="14"/>
                <w:color w:val="auto"/>
              </w:rPr>
              <w:t>Other Southern Europe</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88"/>
              <w:spacing w:after="0"/>
              <w:rPr>
                <w:sz w:val="20"/>
                <w:szCs w:val="20"/>
                <w:color w:val="auto"/>
              </w:rPr>
            </w:pPr>
            <w:r>
              <w:rPr>
                <w:rFonts w:ascii="Arial" w:cs="Arial" w:eastAsia="Arial" w:hAnsi="Arial"/>
                <w:sz w:val="14"/>
                <w:szCs w:val="14"/>
                <w:color w:val="auto"/>
              </w:rPr>
              <w:t>1,739.9</w:t>
            </w:r>
          </w:p>
        </w:tc>
        <w:tc>
          <w:tcPr>
            <w:tcW w:w="32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39.2</w:t>
            </w:r>
          </w:p>
        </w:tc>
        <w:tc>
          <w:tcPr>
            <w:tcW w:w="20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1,779.1</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1,531.6</w:t>
            </w: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32.5</w:t>
            </w:r>
          </w:p>
        </w:tc>
        <w:tc>
          <w:tcPr>
            <w:tcW w:w="3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1,564.1</w:t>
            </w:r>
          </w:p>
        </w:tc>
      </w:tr>
      <w:tr>
        <w:trPr>
          <w:trHeight w:val="196"/>
        </w:trPr>
        <w:tc>
          <w:tcPr>
            <w:tcW w:w="270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88"/>
              <w:spacing w:after="0"/>
              <w:rPr>
                <w:sz w:val="20"/>
                <w:szCs w:val="20"/>
                <w:color w:val="auto"/>
              </w:rPr>
            </w:pPr>
            <w:r>
              <w:rPr>
                <w:rFonts w:ascii="Arial" w:cs="Arial" w:eastAsia="Arial" w:hAnsi="Arial"/>
                <w:sz w:val="14"/>
                <w:szCs w:val="14"/>
                <w:color w:val="auto"/>
              </w:rPr>
              <w:t>6,535.6</w:t>
            </w:r>
          </w:p>
        </w:tc>
        <w:tc>
          <w:tcPr>
            <w:tcW w:w="32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102.3</w:t>
            </w:r>
          </w:p>
        </w:tc>
        <w:tc>
          <w:tcPr>
            <w:tcW w:w="200" w:type="dxa"/>
            <w:vAlign w:val="bottom"/>
            <w:tcBorders>
              <w:bottom w:val="single" w:sz="8" w:color="231F20"/>
            </w:tcBorders>
            <w:shd w:val="clear" w:color="auto" w:fill="E2E8F1"/>
          </w:tcPr>
          <w:p>
            <w:pPr>
              <w:spacing w:after="0"/>
              <w:rPr>
                <w:sz w:val="17"/>
                <w:szCs w:val="17"/>
                <w:color w:val="auto"/>
              </w:rPr>
            </w:pPr>
          </w:p>
        </w:tc>
        <w:tc>
          <w:tcPr>
            <w:tcW w:w="13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6,637.9</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6,092.8</w:t>
            </w: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96.0</w:t>
            </w: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6,188.8</w:t>
            </w:r>
          </w:p>
        </w:tc>
      </w:tr>
      <w:tr>
        <w:trPr>
          <w:trHeight w:val="196"/>
        </w:trPr>
        <w:tc>
          <w:tcPr>
            <w:tcW w:w="2700" w:type="dxa"/>
            <w:vAlign w:val="bottom"/>
          </w:tcPr>
          <w:p>
            <w:pPr>
              <w:ind w:left="40"/>
              <w:spacing w:after="0"/>
              <w:rPr>
                <w:sz w:val="20"/>
                <w:szCs w:val="20"/>
                <w:color w:val="auto"/>
              </w:rPr>
            </w:pPr>
            <w:r>
              <w:rPr>
                <w:rFonts w:ascii="Arial" w:cs="Arial" w:eastAsia="Arial" w:hAnsi="Arial"/>
                <w:sz w:val="14"/>
                <w:szCs w:val="14"/>
                <w:color w:val="auto"/>
              </w:rPr>
              <w:t>Northern Europe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2,427.0</w:t>
            </w:r>
          </w:p>
        </w:tc>
        <w:tc>
          <w:tcPr>
            <w:tcW w:w="3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49.2</w:t>
            </w:r>
          </w:p>
        </w:tc>
        <w:tc>
          <w:tcPr>
            <w:tcW w:w="200" w:type="dxa"/>
            <w:vAlign w:val="bottom"/>
          </w:tcPr>
          <w:p>
            <w:pPr>
              <w:spacing w:after="0"/>
              <w:rPr>
                <w:sz w:val="17"/>
                <w:szCs w:val="17"/>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2,476.2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2,283.3</w:t>
            </w: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58.7</w:t>
            </w:r>
          </w:p>
        </w:tc>
        <w:tc>
          <w:tcPr>
            <w:tcW w:w="36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2,342.0</w:t>
            </w:r>
          </w:p>
        </w:tc>
      </w:tr>
      <w:tr>
        <w:trPr>
          <w:trHeight w:val="203"/>
        </w:trPr>
        <w:tc>
          <w:tcPr>
            <w:tcW w:w="2700" w:type="dxa"/>
            <w:vAlign w:val="bottom"/>
            <w:tcBorders>
              <w:bottom w:val="single" w:sz="8" w:color="231F20"/>
            </w:tcBorders>
            <w:shd w:val="clear" w:color="auto" w:fill="E2E8F1"/>
          </w:tcPr>
          <w:p>
            <w:pPr>
              <w:ind w:left="40"/>
              <w:spacing w:after="0"/>
              <w:rPr>
                <w:sz w:val="20"/>
                <w:szCs w:val="20"/>
                <w:color w:val="auto"/>
              </w:rPr>
            </w:pPr>
            <w:r>
              <w:rPr>
                <w:rFonts w:ascii="Arial" w:cs="Arial" w:eastAsia="Arial" w:hAnsi="Arial"/>
                <w:sz w:val="14"/>
                <w:szCs w:val="14"/>
                <w:color w:val="auto"/>
              </w:rPr>
              <w:t>APME</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88"/>
              <w:spacing w:after="0"/>
              <w:rPr>
                <w:sz w:val="20"/>
                <w:szCs w:val="20"/>
                <w:color w:val="auto"/>
              </w:rPr>
            </w:pPr>
            <w:r>
              <w:rPr>
                <w:rFonts w:ascii="Arial" w:cs="Arial" w:eastAsia="Arial" w:hAnsi="Arial"/>
                <w:sz w:val="14"/>
                <w:szCs w:val="14"/>
                <w:color w:val="auto"/>
              </w:rPr>
              <w:t>1,512.8</w:t>
            </w:r>
          </w:p>
        </w:tc>
        <w:tc>
          <w:tcPr>
            <w:tcW w:w="32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31.3</w:t>
            </w:r>
          </w:p>
        </w:tc>
        <w:tc>
          <w:tcPr>
            <w:tcW w:w="200" w:type="dxa"/>
            <w:vAlign w:val="bottom"/>
            <w:tcBorders>
              <w:bottom w:val="single" w:sz="8" w:color="231F20"/>
            </w:tcBorders>
            <w:shd w:val="clear" w:color="auto" w:fill="E2E8F1"/>
          </w:tcPr>
          <w:p>
            <w:pPr>
              <w:spacing w:after="0"/>
              <w:rPr>
                <w:sz w:val="17"/>
                <w:szCs w:val="17"/>
                <w:color w:val="auto"/>
              </w:rPr>
            </w:pPr>
          </w:p>
        </w:tc>
        <w:tc>
          <w:tcPr>
            <w:tcW w:w="13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1,544.1</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1,489.5</w:t>
            </w: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32.7</w:t>
            </w: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1,522.2</w:t>
            </w:r>
          </w:p>
        </w:tc>
      </w:tr>
      <w:tr>
        <w:trPr>
          <w:trHeight w:val="196"/>
        </w:trPr>
        <w:tc>
          <w:tcPr>
            <w:tcW w:w="27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88"/>
              <w:spacing w:after="0"/>
              <w:rPr>
                <w:sz w:val="20"/>
                <w:szCs w:val="20"/>
                <w:color w:val="auto"/>
              </w:rPr>
            </w:pPr>
            <w:r>
              <w:rPr>
                <w:rFonts w:ascii="Arial" w:cs="Arial" w:eastAsia="Arial" w:hAnsi="Arial"/>
                <w:sz w:val="14"/>
                <w:szCs w:val="14"/>
                <w:color w:val="auto"/>
              </w:rPr>
              <w:t>13,984.9</w:t>
            </w:r>
          </w:p>
        </w:tc>
        <w:tc>
          <w:tcPr>
            <w:tcW w:w="32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247.9</w:t>
            </w:r>
          </w:p>
        </w:tc>
        <w:tc>
          <w:tcPr>
            <w:tcW w:w="20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14,232.8</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13,023.1</w:t>
            </w: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245.3</w:t>
            </w:r>
          </w:p>
        </w:tc>
        <w:tc>
          <w:tcPr>
            <w:tcW w:w="3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13,268.4</w:t>
            </w:r>
          </w:p>
        </w:tc>
      </w:tr>
      <w:tr>
        <w:trPr>
          <w:trHeight w:val="196"/>
        </w:trPr>
        <w:tc>
          <w:tcPr>
            <w:tcW w:w="2700" w:type="dxa"/>
            <w:vAlign w:val="bottom"/>
            <w:tcBorders>
              <w:bottom w:val="single" w:sz="8" w:color="231F20"/>
            </w:tcBorders>
            <w:shd w:val="clear" w:color="auto" w:fill="E2E8F1"/>
          </w:tcPr>
          <w:p>
            <w:pPr>
              <w:ind w:left="40"/>
              <w:spacing w:after="0"/>
              <w:rPr>
                <w:sz w:val="20"/>
                <w:szCs w:val="20"/>
                <w:color w:val="auto"/>
              </w:rPr>
            </w:pPr>
            <w:r>
              <w:rPr>
                <w:rFonts w:ascii="Arial" w:cs="Arial" w:eastAsia="Arial" w:hAnsi="Arial"/>
                <w:sz w:val="14"/>
                <w:szCs w:val="14"/>
                <w:color w:val="auto"/>
              </w:rPr>
              <w:t>Intercompany Eliminations</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spacing w:after="0"/>
              <w:rPr>
                <w:sz w:val="17"/>
                <w:szCs w:val="17"/>
                <w:color w:val="auto"/>
              </w:rPr>
            </w:pPr>
          </w:p>
        </w:tc>
        <w:tc>
          <w:tcPr>
            <w:tcW w:w="32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3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spacing w:after="0"/>
              <w:rPr>
                <w:sz w:val="17"/>
                <w:szCs w:val="17"/>
                <w:color w:val="auto"/>
              </w:rPr>
            </w:pP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spacing w:after="0"/>
              <w:rPr>
                <w:sz w:val="17"/>
                <w:szCs w:val="17"/>
                <w:color w:val="auto"/>
              </w:rPr>
            </w:pP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(24.4)</w:t>
            </w:r>
          </w:p>
        </w:tc>
      </w:tr>
      <w:tr>
        <w:trPr>
          <w:trHeight w:val="183"/>
        </w:trPr>
        <w:tc>
          <w:tcPr>
            <w:tcW w:w="2700" w:type="dxa"/>
            <w:vAlign w:val="bottom"/>
            <w:tcBorders>
              <w:bottom w:val="single" w:sz="8" w:color="231F20"/>
            </w:tcBorders>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231F20"/>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18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14,210.6</w:t>
            </w:r>
          </w:p>
        </w:tc>
        <w:tc>
          <w:tcPr>
            <w:tcW w:w="120" w:type="dxa"/>
            <w:vAlign w:val="bottom"/>
            <w:tcBorders>
              <w:bottom w:val="single" w:sz="8" w:color="231F20"/>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spacing w:after="0"/>
              <w:rPr>
                <w:sz w:val="15"/>
                <w:szCs w:val="15"/>
                <w:color w:val="auto"/>
              </w:rPr>
            </w:pPr>
          </w:p>
        </w:tc>
        <w:tc>
          <w:tcPr>
            <w:tcW w:w="360" w:type="dxa"/>
            <w:vAlign w:val="bottom"/>
            <w:tcBorders>
              <w:bottom w:val="single" w:sz="8" w:color="231F20"/>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13,244.0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-2339340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8"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Share-Based Compensation Plans</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months ended September 30, 2026 and 2025, we recognized share-based compensation expense of $7.3 and $4.9, respectively, and $20.9 and $20.2 for the nine months ended September 30, 2026 and 2025, respectively. The expense relates to deferred stock units, restricted stock units, performance share units and a savings-related share option scheme in the United Kingdom. We recognize share-based compensation expense in selling and administrative expenses on a straight-line basis over the service period of each award. There was no consideration received from share-based awards for both the nine months ended September 30, 2026 and 2025.</w:t>
      </w:r>
    </w:p>
    <w:p>
      <w:pPr>
        <w:spacing w:after="0" w:line="67"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Acquisitions and Dispositions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From time to time, we acquire and invest in companies throughout the world, including franchises. Total cash consideration paid for acquisitions, net of cash acquired, was $0.8 and $2.3 for the nine months ended September 30, 2026 and 2025, respectively.</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Occasionally, we dispose of parts of our operations based on risk considerations and to optimize our global strategic and geographic footprint as well as improve our overall efficiency.</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30, 2026, we liquidated our previously discontinued Venezuela operations within our Americas segment. As a result, we recognized a one-time net loss of $5.5 in interest and other expenses in the Consolidated Statements of Operations for the nine months ended September 30, 2026.</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April 30, 2026, we sold our Jefferson Wells U.S. business, a non-core finance and accounting business in the United States, which was part of our Americas segment, for a transaction value of $100.0. Net cash proceeds were $87.5 after working capital adjustments and other items. In connection with the disposition, we recognized a one-time net gain of $28.3 in selling and administrative expenses in the Consolidated Statements of Operations for the nine months ended September 30, 2026. The net gain included $30.0 recognized in the second quarter of 2026, partially offset by a $1.7 reduction recognized in the third quarter of 2026 related to final working capital adjustments.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Restructuring Costs</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nine months ended September 30, 2026, we recorded $30.6 in restructuring costs, of which $8.0 was recorded during the three months ended September 30, 2026. During the three and nine months ended September 30, 2025, we recorded restructuring costs of $21.4 and $51.6, respectively. Payments made from the restructuring reserve were $14.2 and $46.2 during the three and nine months ended September 30, 2026, respectively. We use our restructuring reserve for severance, office closures, office consolidations, and professional and other fees related to restructuring in multiple countries and territories. We expect a majority of the remaining $19.0 reserve will be paid by the end of 2026.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Borders>
              <w:top w:val="single" w:sz="8" w:color="auto"/>
            </w:tcBorders>
            <w:shd w:val="clear" w:color="auto" w:fill="98B0CF"/>
          </w:tcPr>
          <w:p>
            <w:pPr>
              <w:spacing w:after="0"/>
              <w:rPr>
                <w:sz w:val="15"/>
                <w:szCs w:val="15"/>
                <w:color w:val="auto"/>
              </w:rPr>
            </w:pPr>
          </w:p>
        </w:tc>
        <w:tc>
          <w:tcPr>
            <w:tcW w:w="900" w:type="dxa"/>
            <w:vAlign w:val="bottom"/>
            <w:tcBorders>
              <w:top w:val="single" w:sz="8" w:color="auto"/>
            </w:tcBorders>
            <w:shd w:val="clear" w:color="auto" w:fill="98B0CF"/>
          </w:tcPr>
          <w:p>
            <w:pPr>
              <w:spacing w:after="0"/>
              <w:rPr>
                <w:sz w:val="15"/>
                <w:szCs w:val="15"/>
                <w:color w:val="auto"/>
              </w:rPr>
            </w:pPr>
          </w:p>
        </w:tc>
        <w:tc>
          <w:tcPr>
            <w:tcW w:w="1060" w:type="dxa"/>
            <w:vAlign w:val="bottom"/>
            <w:tcBorders>
              <w:top w:val="single" w:sz="8" w:color="auto"/>
            </w:tcBorders>
            <w:vMerge w:val="restart"/>
            <w:shd w:val="clear" w:color="auto" w:fill="98B0CF"/>
          </w:tcPr>
          <w:p>
            <w:pPr>
              <w:jc w:val="right"/>
              <w:ind w:right="200"/>
              <w:spacing w:after="0"/>
              <w:rPr>
                <w:sz w:val="20"/>
                <w:szCs w:val="20"/>
                <w:color w:val="auto"/>
              </w:rPr>
            </w:pPr>
            <w:r>
              <w:rPr>
                <w:rFonts w:ascii="Arial" w:cs="Arial" w:eastAsia="Arial" w:hAnsi="Arial"/>
                <w:sz w:val="14"/>
                <w:szCs w:val="14"/>
                <w:b w:val="1"/>
                <w:bCs w:val="1"/>
                <w:color w:val="auto"/>
                <w:w w:val="96"/>
              </w:rPr>
              <w:t>Americas</w:t>
            </w:r>
            <w:r>
              <w:rPr>
                <w:rFonts w:ascii="Arial" w:cs="Arial" w:eastAsia="Arial" w:hAnsi="Arial"/>
                <w:sz w:val="19"/>
                <w:szCs w:val="19"/>
                <w:b w:val="1"/>
                <w:bCs w:val="1"/>
                <w:color w:val="auto"/>
                <w:w w:val="96"/>
                <w:vertAlign w:val="superscript"/>
              </w:rPr>
              <w:t>(a)</w:t>
            </w:r>
          </w:p>
        </w:tc>
        <w:tc>
          <w:tcPr>
            <w:tcW w:w="220" w:type="dxa"/>
            <w:vAlign w:val="bottom"/>
            <w:tcBorders>
              <w:top w:val="single" w:sz="8" w:color="auto"/>
            </w:tcBorders>
            <w:shd w:val="clear" w:color="auto" w:fill="98B0CF"/>
          </w:tcPr>
          <w:p>
            <w:pPr>
              <w:spacing w:after="0"/>
              <w:rPr>
                <w:sz w:val="15"/>
                <w:szCs w:val="15"/>
                <w:color w:val="auto"/>
              </w:rPr>
            </w:pPr>
          </w:p>
        </w:tc>
        <w:tc>
          <w:tcPr>
            <w:tcW w:w="1040" w:type="dxa"/>
            <w:vAlign w:val="bottom"/>
            <w:tcBorders>
              <w:top w:val="single" w:sz="8" w:color="auto"/>
            </w:tcBorders>
            <w:shd w:val="clear" w:color="auto" w:fill="98B0CF"/>
          </w:tcPr>
          <w:p>
            <w:pPr>
              <w:jc w:val="right"/>
              <w:ind w:right="281"/>
              <w:spacing w:after="0"/>
              <w:rPr>
                <w:sz w:val="20"/>
                <w:szCs w:val="20"/>
                <w:color w:val="auto"/>
              </w:rPr>
            </w:pPr>
            <w:r>
              <w:rPr>
                <w:rFonts w:ascii="Arial" w:cs="Arial" w:eastAsia="Arial" w:hAnsi="Arial"/>
                <w:sz w:val="14"/>
                <w:szCs w:val="14"/>
                <w:b w:val="1"/>
                <w:bCs w:val="1"/>
                <w:color w:val="auto"/>
              </w:rPr>
              <w:t>Southern</w:t>
            </w:r>
          </w:p>
        </w:tc>
        <w:tc>
          <w:tcPr>
            <w:tcW w:w="220" w:type="dxa"/>
            <w:vAlign w:val="bottom"/>
            <w:tcBorders>
              <w:top w:val="single" w:sz="8" w:color="auto"/>
            </w:tcBorders>
            <w:shd w:val="clear" w:color="auto" w:fill="98B0CF"/>
          </w:tcPr>
          <w:p>
            <w:pPr>
              <w:spacing w:after="0"/>
              <w:rPr>
                <w:sz w:val="15"/>
                <w:szCs w:val="15"/>
                <w:color w:val="auto"/>
              </w:rPr>
            </w:pPr>
          </w:p>
        </w:tc>
        <w:tc>
          <w:tcPr>
            <w:tcW w:w="1020" w:type="dxa"/>
            <w:vAlign w:val="bottom"/>
            <w:tcBorders>
              <w:top w:val="single" w:sz="8" w:color="auto"/>
            </w:tcBorders>
            <w:shd w:val="clear" w:color="auto" w:fill="98B0CF"/>
          </w:tcPr>
          <w:p>
            <w:pPr>
              <w:jc w:val="right"/>
              <w:ind w:right="281"/>
              <w:spacing w:after="0"/>
              <w:rPr>
                <w:sz w:val="20"/>
                <w:szCs w:val="20"/>
                <w:color w:val="auto"/>
              </w:rPr>
            </w:pPr>
            <w:r>
              <w:rPr>
                <w:rFonts w:ascii="Arial" w:cs="Arial" w:eastAsia="Arial" w:hAnsi="Arial"/>
                <w:sz w:val="14"/>
                <w:szCs w:val="14"/>
                <w:b w:val="1"/>
                <w:bCs w:val="1"/>
                <w:color w:val="auto"/>
              </w:rPr>
              <w:t>Northern</w:t>
            </w:r>
          </w:p>
        </w:tc>
        <w:tc>
          <w:tcPr>
            <w:tcW w:w="280" w:type="dxa"/>
            <w:vAlign w:val="bottom"/>
            <w:tcBorders>
              <w:top w:val="single" w:sz="8" w:color="auto"/>
            </w:tcBorders>
            <w:shd w:val="clear" w:color="auto" w:fill="98B0CF"/>
          </w:tcPr>
          <w:p>
            <w:pPr>
              <w:spacing w:after="0"/>
              <w:rPr>
                <w:sz w:val="15"/>
                <w:szCs w:val="15"/>
                <w:color w:val="auto"/>
              </w:rPr>
            </w:pPr>
          </w:p>
        </w:tc>
        <w:tc>
          <w:tcPr>
            <w:tcW w:w="980" w:type="dxa"/>
            <w:vAlign w:val="bottom"/>
            <w:tcBorders>
              <w:top w:val="single" w:sz="8" w:color="auto"/>
            </w:tcBorders>
            <w:shd w:val="clear" w:color="auto" w:fill="98B0CF"/>
          </w:tcPr>
          <w:p>
            <w:pPr>
              <w:spacing w:after="0"/>
              <w:rPr>
                <w:sz w:val="15"/>
                <w:szCs w:val="15"/>
                <w:color w:val="auto"/>
              </w:rPr>
            </w:pPr>
          </w:p>
        </w:tc>
        <w:tc>
          <w:tcPr>
            <w:tcW w:w="220" w:type="dxa"/>
            <w:vAlign w:val="bottom"/>
            <w:tcBorders>
              <w:top w:val="single" w:sz="8" w:color="auto"/>
            </w:tcBorders>
            <w:shd w:val="clear" w:color="auto" w:fill="98B0CF"/>
          </w:tcPr>
          <w:p>
            <w:pPr>
              <w:spacing w:after="0"/>
              <w:rPr>
                <w:sz w:val="15"/>
                <w:szCs w:val="15"/>
                <w:color w:val="auto"/>
              </w:rPr>
            </w:pPr>
          </w:p>
        </w:tc>
        <w:tc>
          <w:tcPr>
            <w:tcW w:w="1000" w:type="dxa"/>
            <w:vAlign w:val="bottom"/>
            <w:tcBorders>
              <w:top w:val="single" w:sz="8" w:color="auto"/>
            </w:tcBorders>
            <w:shd w:val="clear" w:color="auto" w:fill="98B0CF"/>
          </w:tcPr>
          <w:p>
            <w:pPr>
              <w:spacing w:after="0"/>
              <w:rPr>
                <w:sz w:val="15"/>
                <w:szCs w:val="15"/>
                <w:color w:val="auto"/>
              </w:rPr>
            </w:pPr>
          </w:p>
        </w:tc>
        <w:tc>
          <w:tcPr>
            <w:tcW w:w="340" w:type="dxa"/>
            <w:vAlign w:val="bottom"/>
            <w:tcBorders>
              <w:top w:val="single" w:sz="8" w:color="auto"/>
            </w:tcBorders>
            <w:shd w:val="clear" w:color="auto" w:fill="98B0CF"/>
          </w:tcPr>
          <w:p>
            <w:pPr>
              <w:spacing w:after="0"/>
              <w:rPr>
                <w:sz w:val="15"/>
                <w:szCs w:val="15"/>
                <w:color w:val="auto"/>
              </w:rPr>
            </w:pPr>
          </w:p>
        </w:tc>
        <w:tc>
          <w:tcPr>
            <w:tcW w:w="980" w:type="dxa"/>
            <w:vAlign w:val="bottom"/>
            <w:tcBorders>
              <w:top w:val="single" w:sz="8" w:color="auto"/>
            </w:tcBorders>
            <w:shd w:val="clear" w:color="auto" w:fill="98B0C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80" w:type="dxa"/>
            <w:vAlign w:val="bottom"/>
            <w:tcBorders>
              <w:bottom w:val="single" w:sz="8" w:color="auto"/>
            </w:tcBorders>
            <w:shd w:val="clear" w:color="auto" w:fill="98B0CF"/>
          </w:tcPr>
          <w:p>
            <w:pPr>
              <w:spacing w:after="0"/>
              <w:rPr>
                <w:sz w:val="16"/>
                <w:szCs w:val="16"/>
                <w:color w:val="auto"/>
              </w:rPr>
            </w:pPr>
          </w:p>
        </w:tc>
        <w:tc>
          <w:tcPr>
            <w:tcW w:w="900" w:type="dxa"/>
            <w:vAlign w:val="bottom"/>
            <w:tcBorders>
              <w:bottom w:val="single" w:sz="8" w:color="auto"/>
            </w:tcBorders>
            <w:shd w:val="clear" w:color="auto" w:fill="98B0CF"/>
          </w:tcPr>
          <w:p>
            <w:pPr>
              <w:spacing w:after="0"/>
              <w:rPr>
                <w:sz w:val="16"/>
                <w:szCs w:val="16"/>
                <w:color w:val="auto"/>
              </w:rPr>
            </w:pPr>
          </w:p>
        </w:tc>
        <w:tc>
          <w:tcPr>
            <w:tcW w:w="1060" w:type="dxa"/>
            <w:vAlign w:val="bottom"/>
            <w:tcBorders>
              <w:bottom w:val="single" w:sz="8" w:color="auto"/>
            </w:tcBorders>
            <w:vMerge w:val="continue"/>
            <w:shd w:val="clear" w:color="auto" w:fill="98B0CF"/>
          </w:tcPr>
          <w:p>
            <w:pPr>
              <w:spacing w:after="0"/>
              <w:rPr>
                <w:sz w:val="16"/>
                <w:szCs w:val="16"/>
                <w:color w:val="auto"/>
              </w:rPr>
            </w:pPr>
          </w:p>
        </w:tc>
        <w:tc>
          <w:tcPr>
            <w:tcW w:w="220" w:type="dxa"/>
            <w:vAlign w:val="bottom"/>
            <w:tcBorders>
              <w:bottom w:val="single" w:sz="8" w:color="auto"/>
            </w:tcBorders>
            <w:shd w:val="clear" w:color="auto" w:fill="98B0CF"/>
          </w:tcPr>
          <w:p>
            <w:pPr>
              <w:spacing w:after="0"/>
              <w:rPr>
                <w:sz w:val="16"/>
                <w:szCs w:val="16"/>
                <w:color w:val="auto"/>
              </w:rPr>
            </w:pPr>
          </w:p>
        </w:tc>
        <w:tc>
          <w:tcPr>
            <w:tcW w:w="1040" w:type="dxa"/>
            <w:vAlign w:val="bottom"/>
            <w:tcBorders>
              <w:bottom w:val="single" w:sz="8" w:color="auto"/>
            </w:tcBorders>
            <w:shd w:val="clear" w:color="auto" w:fill="98B0CF"/>
          </w:tcPr>
          <w:p>
            <w:pPr>
              <w:jc w:val="right"/>
              <w:ind w:right="281"/>
              <w:spacing w:after="0" w:line="189" w:lineRule="exact"/>
              <w:rPr>
                <w:sz w:val="20"/>
                <w:szCs w:val="20"/>
                <w:color w:val="auto"/>
              </w:rPr>
            </w:pPr>
            <w:r>
              <w:rPr>
                <w:rFonts w:ascii="Arial" w:cs="Arial" w:eastAsia="Arial" w:hAnsi="Arial"/>
                <w:sz w:val="14"/>
                <w:szCs w:val="14"/>
                <w:b w:val="1"/>
                <w:bCs w:val="1"/>
                <w:color w:val="auto"/>
              </w:rPr>
              <w:t>Europe</w:t>
            </w:r>
            <w:r>
              <w:rPr>
                <w:rFonts w:ascii="Arial" w:cs="Arial" w:eastAsia="Arial" w:hAnsi="Arial"/>
                <w:sz w:val="19"/>
                <w:szCs w:val="19"/>
                <w:b w:val="1"/>
                <w:bCs w:val="1"/>
                <w:color w:val="auto"/>
                <w:vertAlign w:val="superscript"/>
              </w:rPr>
              <w:t>(b)</w:t>
            </w:r>
          </w:p>
        </w:tc>
        <w:tc>
          <w:tcPr>
            <w:tcW w:w="220" w:type="dxa"/>
            <w:vAlign w:val="bottom"/>
            <w:tcBorders>
              <w:bottom w:val="single" w:sz="8" w:color="auto"/>
            </w:tcBorders>
            <w:shd w:val="clear" w:color="auto" w:fill="98B0CF"/>
          </w:tcPr>
          <w:p>
            <w:pPr>
              <w:spacing w:after="0"/>
              <w:rPr>
                <w:sz w:val="16"/>
                <w:szCs w:val="16"/>
                <w:color w:val="auto"/>
              </w:rPr>
            </w:pPr>
          </w:p>
        </w:tc>
        <w:tc>
          <w:tcPr>
            <w:tcW w:w="1020" w:type="dxa"/>
            <w:vAlign w:val="bottom"/>
            <w:tcBorders>
              <w:bottom w:val="single" w:sz="8" w:color="auto"/>
            </w:tcBorders>
            <w:shd w:val="clear" w:color="auto" w:fill="98B0CF"/>
          </w:tcPr>
          <w:p>
            <w:pPr>
              <w:jc w:val="right"/>
              <w:ind w:right="321"/>
              <w:spacing w:after="0"/>
              <w:rPr>
                <w:sz w:val="20"/>
                <w:szCs w:val="20"/>
                <w:color w:val="auto"/>
              </w:rPr>
            </w:pPr>
            <w:r>
              <w:rPr>
                <w:rFonts w:ascii="Arial" w:cs="Arial" w:eastAsia="Arial" w:hAnsi="Arial"/>
                <w:sz w:val="14"/>
                <w:szCs w:val="14"/>
                <w:b w:val="1"/>
                <w:bCs w:val="1"/>
                <w:color w:val="auto"/>
              </w:rPr>
              <w:t>Europe</w:t>
            </w:r>
          </w:p>
        </w:tc>
        <w:tc>
          <w:tcPr>
            <w:tcW w:w="280" w:type="dxa"/>
            <w:vAlign w:val="bottom"/>
            <w:tcBorders>
              <w:bottom w:val="single" w:sz="8" w:color="auto"/>
            </w:tcBorders>
            <w:shd w:val="clear" w:color="auto" w:fill="98B0CF"/>
          </w:tcPr>
          <w:p>
            <w:pPr>
              <w:spacing w:after="0"/>
              <w:rPr>
                <w:sz w:val="16"/>
                <w:szCs w:val="16"/>
                <w:color w:val="auto"/>
              </w:rPr>
            </w:pPr>
          </w:p>
        </w:tc>
        <w:tc>
          <w:tcPr>
            <w:tcW w:w="980" w:type="dxa"/>
            <w:vAlign w:val="bottom"/>
            <w:tcBorders>
              <w:bottom w:val="single" w:sz="8" w:color="auto"/>
            </w:tcBorders>
            <w:shd w:val="clear" w:color="auto" w:fill="98B0CF"/>
          </w:tcPr>
          <w:p>
            <w:pPr>
              <w:jc w:val="right"/>
              <w:ind w:right="380"/>
              <w:spacing w:after="0"/>
              <w:rPr>
                <w:sz w:val="20"/>
                <w:szCs w:val="20"/>
                <w:color w:val="auto"/>
              </w:rPr>
            </w:pPr>
            <w:r>
              <w:rPr>
                <w:rFonts w:ascii="Arial" w:cs="Arial" w:eastAsia="Arial" w:hAnsi="Arial"/>
                <w:sz w:val="14"/>
                <w:szCs w:val="14"/>
                <w:b w:val="1"/>
                <w:bCs w:val="1"/>
                <w:color w:val="auto"/>
              </w:rPr>
              <w:t>APME</w:t>
            </w:r>
          </w:p>
        </w:tc>
        <w:tc>
          <w:tcPr>
            <w:tcW w:w="220" w:type="dxa"/>
            <w:vAlign w:val="bottom"/>
            <w:tcBorders>
              <w:bottom w:val="single" w:sz="8" w:color="auto"/>
            </w:tcBorders>
            <w:shd w:val="clear" w:color="auto" w:fill="98B0CF"/>
          </w:tcPr>
          <w:p>
            <w:pPr>
              <w:spacing w:after="0"/>
              <w:rPr>
                <w:sz w:val="16"/>
                <w:szCs w:val="16"/>
                <w:color w:val="auto"/>
              </w:rPr>
            </w:pPr>
          </w:p>
        </w:tc>
        <w:tc>
          <w:tcPr>
            <w:tcW w:w="1000" w:type="dxa"/>
            <w:vAlign w:val="bottom"/>
            <w:tcBorders>
              <w:bottom w:val="single" w:sz="8" w:color="auto"/>
            </w:tcBorders>
            <w:shd w:val="clear" w:color="auto" w:fill="98B0CF"/>
          </w:tcPr>
          <w:p>
            <w:pPr>
              <w:ind w:left="40"/>
              <w:spacing w:after="0"/>
              <w:rPr>
                <w:sz w:val="20"/>
                <w:szCs w:val="20"/>
                <w:color w:val="auto"/>
              </w:rPr>
            </w:pPr>
            <w:r>
              <w:rPr>
                <w:rFonts w:ascii="Arial" w:cs="Arial" w:eastAsia="Arial" w:hAnsi="Arial"/>
                <w:sz w:val="14"/>
                <w:szCs w:val="14"/>
                <w:b w:val="1"/>
                <w:bCs w:val="1"/>
                <w:color w:val="auto"/>
              </w:rPr>
              <w:t>Corporate</w:t>
            </w:r>
          </w:p>
        </w:tc>
        <w:tc>
          <w:tcPr>
            <w:tcW w:w="340" w:type="dxa"/>
            <w:vAlign w:val="bottom"/>
            <w:tcBorders>
              <w:bottom w:val="single" w:sz="8" w:color="auto"/>
            </w:tcBorders>
            <w:shd w:val="clear" w:color="auto" w:fill="98B0CF"/>
          </w:tcPr>
          <w:p>
            <w:pPr>
              <w:spacing w:after="0"/>
              <w:rPr>
                <w:sz w:val="16"/>
                <w:szCs w:val="16"/>
                <w:color w:val="auto"/>
              </w:rPr>
            </w:pPr>
          </w:p>
        </w:tc>
        <w:tc>
          <w:tcPr>
            <w:tcW w:w="980" w:type="dxa"/>
            <w:vAlign w:val="bottom"/>
            <w:tcBorders>
              <w:bottom w:val="single" w:sz="8" w:color="auto"/>
            </w:tcBorders>
            <w:shd w:val="clear" w:color="auto" w:fill="98B0CF"/>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80" w:type="dxa"/>
            <w:vAlign w:val="bottom"/>
            <w:shd w:val="clear" w:color="auto" w:fill="E2E8F1"/>
          </w:tcPr>
          <w:p>
            <w:pPr>
              <w:ind w:left="40"/>
              <w:spacing w:after="0" w:line="183" w:lineRule="exact"/>
              <w:rPr>
                <w:sz w:val="20"/>
                <w:szCs w:val="20"/>
                <w:color w:val="auto"/>
              </w:rPr>
            </w:pPr>
            <w:r>
              <w:rPr>
                <w:rFonts w:ascii="Arial" w:cs="Arial" w:eastAsia="Arial" w:hAnsi="Arial"/>
                <w:sz w:val="16"/>
                <w:szCs w:val="16"/>
                <w:color w:val="auto"/>
              </w:rPr>
              <w:t>Balance, December 31, 2025</w:t>
            </w:r>
          </w:p>
        </w:tc>
        <w:tc>
          <w:tcPr>
            <w:tcW w:w="9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2.7</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8.0</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24.2</w:t>
            </w:r>
          </w:p>
        </w:tc>
        <w:tc>
          <w:tcPr>
            <w:tcW w:w="28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0.2</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ind w:left="720"/>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189"/>
        </w:trPr>
        <w:tc>
          <w:tcPr>
            <w:tcW w:w="2980" w:type="dxa"/>
            <w:vAlign w:val="bottom"/>
          </w:tcPr>
          <w:p>
            <w:pPr>
              <w:ind w:left="80"/>
              <w:spacing w:after="0"/>
              <w:rPr>
                <w:sz w:val="20"/>
                <w:szCs w:val="20"/>
                <w:color w:val="auto"/>
              </w:rPr>
            </w:pPr>
            <w:r>
              <w:rPr>
                <w:rFonts w:ascii="Arial" w:cs="Arial" w:eastAsia="Arial" w:hAnsi="Arial"/>
                <w:sz w:val="16"/>
                <w:szCs w:val="16"/>
                <w:color w:val="auto"/>
              </w:rPr>
              <w:t>Severance costs</w:t>
            </w:r>
          </w:p>
        </w:tc>
        <w:tc>
          <w:tcPr>
            <w:tcW w:w="90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6"/>
                <w:szCs w:val="16"/>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3"/>
        </w:trPr>
        <w:tc>
          <w:tcPr>
            <w:tcW w:w="2980" w:type="dxa"/>
            <w:vAlign w:val="bottom"/>
            <w:shd w:val="clear" w:color="auto" w:fill="E2E8F1"/>
          </w:tcPr>
          <w:p>
            <w:pPr>
              <w:ind w:left="80"/>
              <w:spacing w:after="0" w:line="203" w:lineRule="exact"/>
              <w:rPr>
                <w:sz w:val="20"/>
                <w:szCs w:val="20"/>
                <w:color w:val="auto"/>
              </w:rPr>
            </w:pPr>
            <w:r>
              <w:rPr>
                <w:rFonts w:ascii="Arial" w:cs="Arial" w:eastAsia="Arial" w:hAnsi="Arial"/>
                <w:sz w:val="16"/>
                <w:szCs w:val="16"/>
                <w:color w:val="auto"/>
              </w:rPr>
              <w:t>Lease costs</w:t>
            </w:r>
            <w:r>
              <w:rPr>
                <w:rFonts w:ascii="Arial" w:cs="Arial" w:eastAsia="Arial" w:hAnsi="Arial"/>
                <w:sz w:val="21"/>
                <w:szCs w:val="21"/>
                <w:color w:val="auto"/>
                <w:vertAlign w:val="superscript"/>
              </w:rPr>
              <w:t>(c)</w:t>
            </w:r>
          </w:p>
        </w:tc>
        <w:tc>
          <w:tcPr>
            <w:tcW w:w="900" w:type="dxa"/>
            <w:vAlign w:val="bottom"/>
            <w:shd w:val="clear" w:color="auto" w:fill="E2E8F1"/>
          </w:tcPr>
          <w:p>
            <w:pPr>
              <w:spacing w:after="0"/>
              <w:rPr>
                <w:sz w:val="17"/>
                <w:szCs w:val="17"/>
                <w:color w:val="auto"/>
              </w:rPr>
            </w:pPr>
          </w:p>
        </w:tc>
        <w:tc>
          <w:tcPr>
            <w:tcW w:w="106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0.5</w:t>
            </w:r>
          </w:p>
        </w:tc>
        <w:tc>
          <w:tcPr>
            <w:tcW w:w="220" w:type="dxa"/>
            <w:vAlign w:val="bottom"/>
            <w:shd w:val="clear" w:color="auto" w:fill="E2E8F1"/>
          </w:tcPr>
          <w:p>
            <w:pPr>
              <w:spacing w:after="0"/>
              <w:rPr>
                <w:sz w:val="17"/>
                <w:szCs w:val="17"/>
                <w:color w:val="auto"/>
              </w:rPr>
            </w:pPr>
          </w:p>
        </w:tc>
        <w:tc>
          <w:tcPr>
            <w:tcW w:w="1040" w:type="dxa"/>
            <w:vAlign w:val="bottom"/>
            <w:shd w:val="clear" w:color="auto" w:fill="E2E8F1"/>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shd w:val="clear" w:color="auto" w:fill="E2E8F1"/>
          </w:tcPr>
          <w:p>
            <w:pPr>
              <w:spacing w:after="0"/>
              <w:rPr>
                <w:sz w:val="17"/>
                <w:szCs w:val="17"/>
                <w:color w:val="auto"/>
              </w:rPr>
            </w:pPr>
          </w:p>
        </w:tc>
        <w:tc>
          <w:tcPr>
            <w:tcW w:w="102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2E8F1"/>
          </w:tcPr>
          <w:p>
            <w:pPr>
              <w:spacing w:after="0"/>
              <w:rPr>
                <w:sz w:val="17"/>
                <w:szCs w:val="17"/>
                <w:color w:val="auto"/>
              </w:rPr>
            </w:pPr>
          </w:p>
        </w:tc>
        <w:tc>
          <w:tcPr>
            <w:tcW w:w="98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2E8F1"/>
          </w:tcPr>
          <w:p>
            <w:pPr>
              <w:spacing w:after="0"/>
              <w:rPr>
                <w:sz w:val="17"/>
                <w:szCs w:val="17"/>
                <w:color w:val="auto"/>
              </w:rPr>
            </w:pPr>
          </w:p>
        </w:tc>
        <w:tc>
          <w:tcPr>
            <w:tcW w:w="1000" w:type="dxa"/>
            <w:vAlign w:val="bottom"/>
            <w:shd w:val="clear" w:color="auto" w:fill="E2E8F1"/>
          </w:tcPr>
          <w:p>
            <w:pPr>
              <w:ind w:left="720"/>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8F1"/>
          </w:tcPr>
          <w:p>
            <w:pPr>
              <w:spacing w:after="0"/>
              <w:rPr>
                <w:sz w:val="17"/>
                <w:szCs w:val="17"/>
                <w:color w:val="auto"/>
              </w:rPr>
            </w:pPr>
          </w:p>
        </w:tc>
        <w:tc>
          <w:tcPr>
            <w:tcW w:w="98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9"/>
        </w:trPr>
        <w:tc>
          <w:tcPr>
            <w:tcW w:w="2980" w:type="dxa"/>
            <w:vAlign w:val="bottom"/>
          </w:tcPr>
          <w:p>
            <w:pPr>
              <w:ind w:left="80"/>
              <w:spacing w:after="0"/>
              <w:rPr>
                <w:sz w:val="20"/>
                <w:szCs w:val="20"/>
                <w:color w:val="auto"/>
              </w:rPr>
            </w:pPr>
            <w:r>
              <w:rPr>
                <w:rFonts w:ascii="Arial" w:cs="Arial" w:eastAsia="Arial" w:hAnsi="Arial"/>
                <w:sz w:val="16"/>
                <w:szCs w:val="16"/>
                <w:color w:val="auto"/>
              </w:rPr>
              <w:t>Non-cash charges</w:t>
            </w:r>
          </w:p>
        </w:tc>
        <w:tc>
          <w:tcPr>
            <w:tcW w:w="9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9"/>
        </w:trPr>
        <w:tc>
          <w:tcPr>
            <w:tcW w:w="298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6"/>
                <w:szCs w:val="16"/>
                <w:color w:val="auto"/>
              </w:rPr>
              <w:t>Costs paid</w:t>
            </w:r>
          </w:p>
        </w:tc>
        <w:tc>
          <w:tcPr>
            <w:tcW w:w="900" w:type="dxa"/>
            <w:vAlign w:val="bottom"/>
            <w:tcBorders>
              <w:bottom w:val="single" w:sz="8" w:color="auto"/>
            </w:tcBorders>
            <w:shd w:val="clear" w:color="auto" w:fill="E2E8F1"/>
          </w:tcPr>
          <w:p>
            <w:pPr>
              <w:spacing w:after="0"/>
              <w:rPr>
                <w:sz w:val="16"/>
                <w:szCs w:val="16"/>
                <w:color w:val="auto"/>
              </w:rPr>
            </w:pPr>
          </w:p>
        </w:tc>
        <w:tc>
          <w:tcPr>
            <w:tcW w:w="10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auto"/>
            </w:tcBorders>
            <w:shd w:val="clear" w:color="auto" w:fill="E2E8F1"/>
          </w:tcPr>
          <w:p>
            <w:pPr>
              <w:spacing w:after="0"/>
              <w:rPr>
                <w:sz w:val="16"/>
                <w:szCs w:val="16"/>
                <w:color w:val="auto"/>
              </w:rPr>
            </w:pPr>
          </w:p>
        </w:tc>
        <w:tc>
          <w:tcPr>
            <w:tcW w:w="104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(14.5)</w:t>
            </w:r>
          </w:p>
        </w:tc>
        <w:tc>
          <w:tcPr>
            <w:tcW w:w="22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(24.2)</w:t>
            </w:r>
          </w:p>
        </w:tc>
        <w:tc>
          <w:tcPr>
            <w:tcW w:w="28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(0.5)</w:t>
            </w:r>
          </w:p>
        </w:tc>
        <w:tc>
          <w:tcPr>
            <w:tcW w:w="22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ind w:left="7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Balance, September 30, 2026</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7.9</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6.2</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4.8</w:t>
            </w:r>
          </w:p>
        </w:tc>
        <w:tc>
          <w:tcPr>
            <w:tcW w:w="2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0.1</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720"/>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Balances related to the United States were $0.6 and $4.9 as of December 31, 2025 and September 30, 2026, respectively.</w:t>
      </w:r>
    </w:p>
    <w:p>
      <w:pPr>
        <w:spacing w:after="0" w:line="15" w:lineRule="exact"/>
        <w:rPr>
          <w:rFonts w:ascii="Arial" w:cs="Arial" w:eastAsia="Arial" w:hAnsi="Arial"/>
          <w:sz w:val="14"/>
          <w:szCs w:val="14"/>
          <w:color w:val="auto"/>
        </w:rPr>
      </w:pPr>
    </w:p>
    <w:p>
      <w:pPr>
        <w:ind w:left="520" w:right="20" w:hanging="512"/>
        <w:spacing w:after="0" w:line="24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Balances related to France were $3.1 and $4.5 as of December 31, 2025 and September 30, 2026, respectively. Balances related to Italy were $0.6 and $1.1 as of December 31, 2025 and September 30, 2026, respectively.</w:t>
      </w:r>
    </w:p>
    <w:p>
      <w:pPr>
        <w:ind w:left="520" w:hanging="512"/>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Liabilities related to exited leased facilities are recorded within our short-term and long-term operating lease liabilities within our Consolidated Balance Sheets.</w:t>
      </w:r>
    </w:p>
    <w:p>
      <w:pPr>
        <w:spacing w:after="0" w:line="111"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Income Taxes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recorded income tax expense at an effective rate of 49.8% for the three months ended September 30, 2026, as compared to an effective tax rate of 66.0% for the three months ended September 30, 2025. The 2026 rate as compared to the 2025 rate was favorably impacted by the higher level and overall mix of earnings due in part to fewer restructuring costs recorded in the quarter as compared to the amount recorded in 2025. The 49.8% effective tax rate for the three months ended September 30, 2026 was higher than the United States Federal statutory rate of 21% primarily due to the overall mix of earnings, tax losses in certain countries for which we did not recognize a corresponding tax benefit due to valuation allowances, the French exceptional corporate income tax surcharge, and the French business tax.</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recorded income tax expense at an effective rate of 48.7% for the nine months ended September 30, 2026, as compared to an effective tax rate of 256.2% for the nine months ended September 30, 2025. The 2026 rate was favorably impacted by the overall mix of earnings and the gain on the sale of our Jefferson Wells U.S. business recorded in the second quarter. The 2025 rate was unfavorably impacted by the goodwill and indefinite-lived intangible asset impairment charges recorded in Switzerland and the United Kingdom and losses on the disposals of South Africa and New Caledonia, all of which are non-deductible. The 48.7% effective tax rate for the nine months ended September 30, 2026 was higher than the United States Federal statutory rate of 21% primarily due to the overall mix of earnings, tax losses in certain countries for which we did not recognize a corresponding tax benefit due to valuation allowances, the French exceptional corporate income tax surcharge, and the French business tax.</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gross unrecognized tax benefits related to various tax jurisdictions, including interest and penalties, of $41.6 as of September 30, 2026. If recognized, the entire amount would favorably affect the effective tax rate except for $3.9. As of December 31, 2025, we had gross unrecognized tax benefits related to various tax jurisdictions, including interest and penalties, of $41.4.</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2019 through 2026 for our major operations in France, Italy, the United Kingdom and the United States. As of September 30, 2026, we were subject to tax audits in Belgium, Germany, India, Mexico, Spain, Switzerland, and the United States.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Net Earnings (Loss)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Borders>
              <w:top w:val="single" w:sz="8" w:color="auto"/>
            </w:tcBorders>
            <w:shd w:val="clear" w:color="auto" w:fill="98B0CF"/>
          </w:tcPr>
          <w:p>
            <w:pPr>
              <w:spacing w:after="0"/>
              <w:rPr>
                <w:sz w:val="15"/>
                <w:szCs w:val="15"/>
                <w:color w:val="auto"/>
              </w:rPr>
            </w:pPr>
          </w:p>
        </w:tc>
        <w:tc>
          <w:tcPr>
            <w:tcW w:w="240" w:type="dxa"/>
            <w:vAlign w:val="bottom"/>
            <w:tcBorders>
              <w:top w:val="single" w:sz="8" w:color="auto"/>
            </w:tcBorders>
            <w:shd w:val="clear" w:color="auto" w:fill="98B0CF"/>
          </w:tcPr>
          <w:p>
            <w:pPr>
              <w:spacing w:after="0"/>
              <w:rPr>
                <w:sz w:val="15"/>
                <w:szCs w:val="15"/>
                <w:color w:val="auto"/>
              </w:rPr>
            </w:pPr>
          </w:p>
        </w:tc>
        <w:tc>
          <w:tcPr>
            <w:tcW w:w="180" w:type="dxa"/>
            <w:vAlign w:val="bottom"/>
            <w:tcBorders>
              <w:top w:val="single" w:sz="8" w:color="auto"/>
            </w:tcBorders>
            <w:shd w:val="clear" w:color="auto" w:fill="98B0CF"/>
          </w:tcPr>
          <w:p>
            <w:pPr>
              <w:spacing w:after="0"/>
              <w:rPr>
                <w:sz w:val="15"/>
                <w:szCs w:val="15"/>
                <w:color w:val="auto"/>
              </w:rPr>
            </w:pPr>
          </w:p>
        </w:tc>
        <w:tc>
          <w:tcPr>
            <w:tcW w:w="1900" w:type="dxa"/>
            <w:vAlign w:val="bottom"/>
            <w:tcBorders>
              <w:top w:val="single" w:sz="8" w:color="auto"/>
            </w:tcBorders>
            <w:gridSpan w:val="3"/>
            <w:shd w:val="clear" w:color="auto" w:fill="98B0CF"/>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top w:val="single" w:sz="8" w:color="auto"/>
            </w:tcBorders>
            <w:shd w:val="clear" w:color="auto" w:fill="98B0CF"/>
          </w:tcPr>
          <w:p>
            <w:pPr>
              <w:spacing w:after="0"/>
              <w:rPr>
                <w:sz w:val="15"/>
                <w:szCs w:val="15"/>
                <w:color w:val="auto"/>
              </w:rPr>
            </w:pPr>
          </w:p>
        </w:tc>
        <w:tc>
          <w:tcPr>
            <w:tcW w:w="1820" w:type="dxa"/>
            <w:vAlign w:val="bottom"/>
            <w:tcBorders>
              <w:top w:val="single" w:sz="8" w:color="auto"/>
            </w:tcBorders>
            <w:gridSpan w:val="3"/>
            <w:shd w:val="clear" w:color="auto" w:fill="98B0CF"/>
          </w:tcPr>
          <w:p>
            <w:pPr>
              <w:jc w:val="right"/>
              <w:ind w:right="30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6860" w:type="dxa"/>
            <w:vAlign w:val="bottom"/>
            <w:tcBorders>
              <w:bottom w:val="single" w:sz="8" w:color="98B0CF"/>
            </w:tcBorders>
            <w:shd w:val="clear" w:color="auto" w:fill="98B0CF"/>
          </w:tcPr>
          <w:p>
            <w:pPr>
              <w:spacing w:after="0"/>
              <w:rPr>
                <w:sz w:val="14"/>
                <w:szCs w:val="14"/>
                <w:color w:val="auto"/>
              </w:rPr>
            </w:pPr>
          </w:p>
        </w:tc>
        <w:tc>
          <w:tcPr>
            <w:tcW w:w="240" w:type="dxa"/>
            <w:vAlign w:val="bottom"/>
            <w:tcBorders>
              <w:bottom w:val="single" w:sz="8" w:color="98B0CF"/>
            </w:tcBorders>
            <w:shd w:val="clear" w:color="auto" w:fill="98B0CF"/>
          </w:tcPr>
          <w:p>
            <w:pPr>
              <w:spacing w:after="0"/>
              <w:rPr>
                <w:sz w:val="14"/>
                <w:szCs w:val="14"/>
                <w:color w:val="auto"/>
              </w:rPr>
            </w:pPr>
          </w:p>
        </w:tc>
        <w:tc>
          <w:tcPr>
            <w:tcW w:w="180" w:type="dxa"/>
            <w:vAlign w:val="bottom"/>
            <w:tcBorders>
              <w:bottom w:val="single" w:sz="8" w:color="auto"/>
            </w:tcBorders>
            <w:shd w:val="clear" w:color="auto" w:fill="98B0CF"/>
          </w:tcPr>
          <w:p>
            <w:pPr>
              <w:spacing w:after="0"/>
              <w:rPr>
                <w:sz w:val="14"/>
                <w:szCs w:val="14"/>
                <w:color w:val="auto"/>
              </w:rPr>
            </w:pPr>
          </w:p>
        </w:tc>
        <w:tc>
          <w:tcPr>
            <w:tcW w:w="1900" w:type="dxa"/>
            <w:vAlign w:val="bottom"/>
            <w:tcBorders>
              <w:bottom w:val="single" w:sz="8" w:color="auto"/>
            </w:tcBorders>
            <w:gridSpan w:val="3"/>
            <w:shd w:val="clear" w:color="auto" w:fill="98B0CF"/>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shd w:val="clear" w:color="auto" w:fill="98B0CF"/>
          </w:tcPr>
          <w:p>
            <w:pPr>
              <w:spacing w:after="0"/>
              <w:rPr>
                <w:sz w:val="14"/>
                <w:szCs w:val="14"/>
                <w:color w:val="auto"/>
              </w:rPr>
            </w:pPr>
          </w:p>
        </w:tc>
        <w:tc>
          <w:tcPr>
            <w:tcW w:w="1820" w:type="dxa"/>
            <w:vAlign w:val="bottom"/>
            <w:tcBorders>
              <w:bottom w:val="single" w:sz="8" w:color="auto"/>
            </w:tcBorders>
            <w:gridSpan w:val="3"/>
            <w:shd w:val="clear" w:color="auto" w:fill="98B0CF"/>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6860" w:type="dxa"/>
            <w:vAlign w:val="bottom"/>
            <w:tcBorders>
              <w:bottom w:val="single" w:sz="8" w:color="auto"/>
            </w:tcBorders>
            <w:shd w:val="clear" w:color="auto" w:fill="98B0CF"/>
          </w:tcPr>
          <w:p>
            <w:pPr>
              <w:spacing w:after="0"/>
              <w:rPr>
                <w:sz w:val="13"/>
                <w:szCs w:val="13"/>
                <w:color w:val="auto"/>
              </w:rPr>
            </w:pPr>
          </w:p>
        </w:tc>
        <w:tc>
          <w:tcPr>
            <w:tcW w:w="240" w:type="dxa"/>
            <w:vAlign w:val="bottom"/>
            <w:tcBorders>
              <w:bottom w:val="single" w:sz="8" w:color="auto"/>
            </w:tcBorders>
            <w:shd w:val="clear" w:color="auto" w:fill="98B0CF"/>
          </w:tcPr>
          <w:p>
            <w:pPr>
              <w:spacing w:after="0"/>
              <w:rPr>
                <w:sz w:val="13"/>
                <w:szCs w:val="13"/>
                <w:color w:val="auto"/>
              </w:rPr>
            </w:pPr>
          </w:p>
        </w:tc>
        <w:tc>
          <w:tcPr>
            <w:tcW w:w="180" w:type="dxa"/>
            <w:vAlign w:val="bottom"/>
            <w:tcBorders>
              <w:bottom w:val="single" w:sz="8" w:color="auto"/>
            </w:tcBorders>
            <w:shd w:val="clear" w:color="auto" w:fill="98B0CF"/>
          </w:tcPr>
          <w:p>
            <w:pPr>
              <w:spacing w:after="0"/>
              <w:rPr>
                <w:sz w:val="13"/>
                <w:szCs w:val="13"/>
                <w:color w:val="auto"/>
              </w:rPr>
            </w:pPr>
          </w:p>
        </w:tc>
        <w:tc>
          <w:tcPr>
            <w:tcW w:w="840" w:type="dxa"/>
            <w:vAlign w:val="bottom"/>
            <w:tcBorders>
              <w:bottom w:val="single" w:sz="8" w:color="auto"/>
            </w:tcBorders>
            <w:shd w:val="clear" w:color="auto" w:fill="98B0CF"/>
          </w:tcPr>
          <w:p>
            <w:pPr>
              <w:jc w:val="right"/>
              <w:ind w:right="342"/>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shd w:val="clear" w:color="auto" w:fill="98B0CF"/>
          </w:tcPr>
          <w:p>
            <w:pPr>
              <w:jc w:val="right"/>
              <w:ind w:right="260"/>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shd w:val="clear" w:color="auto" w:fill="98B0CF"/>
          </w:tcPr>
          <w:p>
            <w:pPr>
              <w:jc w:val="right"/>
              <w:ind w:right="262"/>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Borders>
              <w:bottom w:val="single" w:sz="8" w:color="auto"/>
            </w:tcBorders>
            <w:shd w:val="clear" w:color="auto" w:fill="98B0CF"/>
          </w:tcPr>
          <w:p>
            <w:pPr>
              <w:spacing w:after="0"/>
              <w:rPr>
                <w:sz w:val="13"/>
                <w:szCs w:val="13"/>
                <w:color w:val="auto"/>
              </w:rPr>
            </w:pPr>
          </w:p>
        </w:tc>
        <w:tc>
          <w:tcPr>
            <w:tcW w:w="820" w:type="dxa"/>
            <w:vAlign w:val="bottom"/>
            <w:tcBorders>
              <w:bottom w:val="single" w:sz="8" w:color="auto"/>
            </w:tcBorders>
            <w:shd w:val="clear" w:color="auto" w:fill="98B0CF"/>
          </w:tcPr>
          <w:p>
            <w:pPr>
              <w:jc w:val="right"/>
              <w:ind w:right="320"/>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686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Net earnings (loss)</w:t>
            </w:r>
          </w:p>
        </w:tc>
        <w:tc>
          <w:tcPr>
            <w:tcW w:w="24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shd w:val="clear" w:color="auto" w:fill="E2E8F1"/>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E2E8F1"/>
          </w:tcPr>
          <w:p>
            <w:pPr>
              <w:jc w:val="right"/>
              <w:ind w:right="42"/>
              <w:spacing w:after="0" w:line="183" w:lineRule="exact"/>
              <w:rPr>
                <w:sz w:val="20"/>
                <w:szCs w:val="20"/>
                <w:color w:val="auto"/>
              </w:rPr>
            </w:pPr>
            <w:r>
              <w:rPr>
                <w:rFonts w:ascii="Arial" w:cs="Arial" w:eastAsia="Arial" w:hAnsi="Arial"/>
                <w:sz w:val="16"/>
                <w:szCs w:val="16"/>
                <w:color w:val="auto"/>
              </w:rPr>
              <w:t>34.1</w:t>
            </w:r>
          </w:p>
        </w:tc>
        <w:tc>
          <w:tcPr>
            <w:tcW w:w="30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18.0</w:t>
            </w:r>
          </w:p>
        </w:tc>
        <w:tc>
          <w:tcPr>
            <w:tcW w:w="2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90.1</w:t>
            </w:r>
          </w:p>
        </w:tc>
        <w:tc>
          <w:tcPr>
            <w:tcW w:w="2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(43.5)</w:t>
            </w:r>
          </w:p>
        </w:tc>
      </w:tr>
      <w:tr>
        <w:trPr>
          <w:trHeight w:val="183"/>
        </w:trPr>
        <w:tc>
          <w:tcPr>
            <w:tcW w:w="6860" w:type="dxa"/>
            <w:vAlign w:val="bottom"/>
          </w:tcPr>
          <w:p>
            <w:pPr>
              <w:ind w:left="80"/>
              <w:spacing w:after="0" w:line="183" w:lineRule="exact"/>
              <w:rPr>
                <w:sz w:val="20"/>
                <w:szCs w:val="20"/>
                <w:color w:val="auto"/>
              </w:rPr>
            </w:pPr>
            <w:r>
              <w:rPr>
                <w:rFonts w:ascii="Arial" w:cs="Arial" w:eastAsia="Arial" w:hAnsi="Arial"/>
                <w:sz w:val="16"/>
                <w:szCs w:val="16"/>
                <w:color w:val="auto"/>
              </w:rPr>
              <w:t>Weighted-average common shares outstanding (in millions)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6860" w:type="dxa"/>
            <w:vAlign w:val="bottom"/>
            <w:shd w:val="clear" w:color="auto" w:fill="E2E8F1"/>
          </w:tcPr>
          <w:p>
            <w:pPr>
              <w:ind w:left="200"/>
              <w:spacing w:after="0"/>
              <w:rPr>
                <w:sz w:val="20"/>
                <w:szCs w:val="20"/>
                <w:color w:val="auto"/>
              </w:rPr>
            </w:pPr>
            <w:r>
              <w:rPr>
                <w:rFonts w:ascii="Arial" w:cs="Arial" w:eastAsia="Arial" w:hAnsi="Arial"/>
                <w:sz w:val="16"/>
                <w:szCs w:val="16"/>
                <w:color w:val="auto"/>
              </w:rPr>
              <w:t>Weighted-average common shares outstanding - basic</w:t>
            </w:r>
          </w:p>
        </w:tc>
        <w:tc>
          <w:tcPr>
            <w:tcW w:w="24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42"/>
              <w:spacing w:after="0"/>
              <w:rPr>
                <w:sz w:val="20"/>
                <w:szCs w:val="20"/>
                <w:color w:val="auto"/>
              </w:rPr>
            </w:pPr>
            <w:r>
              <w:rPr>
                <w:rFonts w:ascii="Arial" w:cs="Arial" w:eastAsia="Arial" w:hAnsi="Arial"/>
                <w:sz w:val="16"/>
                <w:szCs w:val="16"/>
                <w:color w:val="auto"/>
              </w:rPr>
              <w:t>46.9</w:t>
            </w:r>
          </w:p>
        </w:tc>
        <w:tc>
          <w:tcPr>
            <w:tcW w:w="300" w:type="dxa"/>
            <w:vAlign w:val="bottom"/>
            <w:shd w:val="clear" w:color="auto" w:fill="E2E8F1"/>
          </w:tcPr>
          <w:p>
            <w:pPr>
              <w:spacing w:after="0"/>
              <w:rPr>
                <w:sz w:val="16"/>
                <w:szCs w:val="16"/>
                <w:color w:val="auto"/>
              </w:rPr>
            </w:pPr>
          </w:p>
        </w:tc>
        <w:tc>
          <w:tcPr>
            <w:tcW w:w="7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46.5</w:t>
            </w:r>
          </w:p>
        </w:tc>
        <w:tc>
          <w:tcPr>
            <w:tcW w:w="240" w:type="dxa"/>
            <w:vAlign w:val="bottom"/>
            <w:shd w:val="clear" w:color="auto" w:fill="E2E8F1"/>
          </w:tcPr>
          <w:p>
            <w:pPr>
              <w:spacing w:after="0"/>
              <w:rPr>
                <w:sz w:val="16"/>
                <w:szCs w:val="16"/>
                <w:color w:val="auto"/>
              </w:rPr>
            </w:pPr>
          </w:p>
        </w:tc>
        <w:tc>
          <w:tcPr>
            <w:tcW w:w="7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46.8</w:t>
            </w:r>
          </w:p>
        </w:tc>
        <w:tc>
          <w:tcPr>
            <w:tcW w:w="240" w:type="dxa"/>
            <w:vAlign w:val="bottom"/>
            <w:shd w:val="clear" w:color="auto" w:fill="E2E8F1"/>
          </w:tcPr>
          <w:p>
            <w:pPr>
              <w:spacing w:after="0"/>
              <w:rPr>
                <w:sz w:val="16"/>
                <w:szCs w:val="16"/>
                <w:color w:val="auto"/>
              </w:rPr>
            </w:pPr>
          </w:p>
        </w:tc>
        <w:tc>
          <w:tcPr>
            <w:tcW w:w="82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46.6</w:t>
            </w:r>
          </w:p>
        </w:tc>
      </w:tr>
      <w:tr>
        <w:trPr>
          <w:trHeight w:val="189"/>
        </w:trPr>
        <w:tc>
          <w:tcPr>
            <w:tcW w:w="68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Effect of dilutive securities - share-based awards</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183"/>
        </w:trPr>
        <w:tc>
          <w:tcPr>
            <w:tcW w:w="686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Weighted-average common shares outstanding - diluted</w:t>
            </w:r>
          </w:p>
        </w:tc>
        <w:tc>
          <w:tcPr>
            <w:tcW w:w="24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shd w:val="clear" w:color="auto" w:fill="E2E8F1"/>
          </w:tcPr>
          <w:p>
            <w:pPr>
              <w:spacing w:after="0"/>
              <w:rPr>
                <w:sz w:val="15"/>
                <w:szCs w:val="15"/>
                <w:color w:val="auto"/>
              </w:rPr>
            </w:pPr>
          </w:p>
        </w:tc>
        <w:tc>
          <w:tcPr>
            <w:tcW w:w="840" w:type="dxa"/>
            <w:vAlign w:val="bottom"/>
            <w:tcBorders>
              <w:bottom w:val="single" w:sz="8" w:color="auto"/>
            </w:tcBorders>
            <w:shd w:val="clear" w:color="auto" w:fill="E2E8F1"/>
          </w:tcPr>
          <w:p>
            <w:pPr>
              <w:jc w:val="right"/>
              <w:ind w:right="42"/>
              <w:spacing w:after="0" w:line="183" w:lineRule="exact"/>
              <w:rPr>
                <w:sz w:val="20"/>
                <w:szCs w:val="20"/>
                <w:color w:val="auto"/>
              </w:rPr>
            </w:pPr>
            <w:r>
              <w:rPr>
                <w:rFonts w:ascii="Arial" w:cs="Arial" w:eastAsia="Arial" w:hAnsi="Arial"/>
                <w:sz w:val="16"/>
                <w:szCs w:val="16"/>
                <w:color w:val="auto"/>
              </w:rPr>
              <w:t>48.1</w:t>
            </w:r>
          </w:p>
        </w:tc>
        <w:tc>
          <w:tcPr>
            <w:tcW w:w="300" w:type="dxa"/>
            <w:vAlign w:val="bottom"/>
            <w:tcBorders>
              <w:bottom w:val="single" w:sz="8" w:color="auto"/>
            </w:tcBorders>
            <w:shd w:val="clear" w:color="auto" w:fill="E2E8F1"/>
          </w:tcPr>
          <w:p>
            <w:pPr>
              <w:spacing w:after="0"/>
              <w:rPr>
                <w:sz w:val="15"/>
                <w:szCs w:val="15"/>
                <w:color w:val="auto"/>
              </w:rPr>
            </w:pPr>
          </w:p>
        </w:tc>
        <w:tc>
          <w:tcPr>
            <w:tcW w:w="7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46.9</w:t>
            </w:r>
          </w:p>
        </w:tc>
        <w:tc>
          <w:tcPr>
            <w:tcW w:w="240" w:type="dxa"/>
            <w:vAlign w:val="bottom"/>
            <w:tcBorders>
              <w:bottom w:val="single" w:sz="8" w:color="auto"/>
            </w:tcBorders>
            <w:shd w:val="clear" w:color="auto" w:fill="E2E8F1"/>
          </w:tcPr>
          <w:p>
            <w:pPr>
              <w:spacing w:after="0"/>
              <w:rPr>
                <w:sz w:val="15"/>
                <w:szCs w:val="15"/>
                <w:color w:val="auto"/>
              </w:rPr>
            </w:pPr>
          </w:p>
        </w:tc>
        <w:tc>
          <w:tcPr>
            <w:tcW w:w="7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47.6</w:t>
            </w:r>
          </w:p>
        </w:tc>
        <w:tc>
          <w:tcPr>
            <w:tcW w:w="240" w:type="dxa"/>
            <w:vAlign w:val="bottom"/>
            <w:tcBorders>
              <w:bottom w:val="single" w:sz="8" w:color="auto"/>
            </w:tcBorders>
            <w:shd w:val="clear" w:color="auto" w:fill="E2E8F1"/>
          </w:tcPr>
          <w:p>
            <w:pPr>
              <w:spacing w:after="0"/>
              <w:rPr>
                <w:sz w:val="15"/>
                <w:szCs w:val="15"/>
                <w:color w:val="auto"/>
              </w:rPr>
            </w:pPr>
          </w:p>
        </w:tc>
        <w:tc>
          <w:tcPr>
            <w:tcW w:w="82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46.6</w:t>
            </w:r>
          </w:p>
        </w:tc>
      </w:tr>
      <w:tr>
        <w:trPr>
          <w:trHeight w:val="183"/>
        </w:trPr>
        <w:tc>
          <w:tcPr>
            <w:tcW w:w="686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Net earnings (loss) per share - basic</w:t>
            </w:r>
          </w:p>
        </w:tc>
        <w:tc>
          <w:tcPr>
            <w:tcW w:w="420" w:type="dxa"/>
            <w:vAlign w:val="bottom"/>
            <w:tcBorders>
              <w:bottom w:val="single" w:sz="8" w:color="auto"/>
            </w:tcBorders>
            <w:gridSpan w:val="2"/>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0.73</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0.39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1.93</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(0.93)</w:t>
            </w:r>
          </w:p>
        </w:tc>
      </w:tr>
      <w:tr>
        <w:trPr>
          <w:trHeight w:val="183"/>
        </w:trPr>
        <w:tc>
          <w:tcPr>
            <w:tcW w:w="686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Net earnings (loss) per share - diluted</w:t>
            </w:r>
          </w:p>
        </w:tc>
        <w:tc>
          <w:tcPr>
            <w:tcW w:w="420" w:type="dxa"/>
            <w:vAlign w:val="bottom"/>
            <w:tcBorders>
              <w:bottom w:val="single" w:sz="8" w:color="auto"/>
            </w:tcBorders>
            <w:gridSpan w:val="2"/>
            <w:shd w:val="clear" w:color="auto" w:fill="E2E8F1"/>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2E8F1"/>
          </w:tcPr>
          <w:p>
            <w:pPr>
              <w:jc w:val="right"/>
              <w:ind w:right="42"/>
              <w:spacing w:after="0" w:line="183" w:lineRule="exact"/>
              <w:rPr>
                <w:sz w:val="20"/>
                <w:szCs w:val="20"/>
                <w:color w:val="auto"/>
              </w:rPr>
            </w:pPr>
            <w:r>
              <w:rPr>
                <w:rFonts w:ascii="Arial" w:cs="Arial" w:eastAsia="Arial" w:hAnsi="Arial"/>
                <w:sz w:val="16"/>
                <w:szCs w:val="16"/>
                <w:color w:val="auto"/>
              </w:rPr>
              <w:t>0.71</w:t>
            </w:r>
          </w:p>
        </w:tc>
        <w:tc>
          <w:tcPr>
            <w:tcW w:w="30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0.38</w:t>
            </w:r>
          </w:p>
        </w:tc>
        <w:tc>
          <w:tcPr>
            <w:tcW w:w="2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1.89</w:t>
            </w:r>
          </w:p>
        </w:tc>
        <w:tc>
          <w:tcPr>
            <w:tcW w:w="2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(0.93)</w:t>
            </w:r>
          </w:p>
        </w:tc>
      </w:tr>
    </w:tbl>
    <w:p>
      <w:pPr>
        <w:spacing w:after="0" w:line="10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were 0.6 million and 0.7 million share-based awards excluded from the calculation of net earnings (loss) per share - diluted for the three months ended September 30, 2026 and 2025, respectively, because their impact was anti-dilutive. There were 0.6 million and 1.1 million share-based awards excluded from the calculation of net earnings (loss) per share - diluted for the nine months ended September 30, 2026 and 2025, respectively, because their impact was anti-dilutive.</w:t>
      </w:r>
    </w:p>
    <w:p>
      <w:pPr>
        <w:spacing w:after="0" w:line="6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Borders>
              <w:top w:val="single" w:sz="8" w:color="auto"/>
              <w:bottom w:val="single" w:sz="8" w:color="98B0CF"/>
            </w:tcBorders>
            <w:shd w:val="clear" w:color="auto" w:fill="98B0CF"/>
          </w:tcPr>
          <w:p>
            <w:pPr>
              <w:spacing w:after="0"/>
              <w:rPr>
                <w:sz w:val="15"/>
                <w:szCs w:val="15"/>
                <w:color w:val="auto"/>
              </w:rPr>
            </w:pPr>
          </w:p>
        </w:tc>
        <w:tc>
          <w:tcPr>
            <w:tcW w:w="140" w:type="dxa"/>
            <w:vAlign w:val="bottom"/>
            <w:tcBorders>
              <w:top w:val="single" w:sz="8" w:color="auto"/>
              <w:bottom w:val="single" w:sz="8" w:color="98B0CF"/>
            </w:tcBorders>
            <w:shd w:val="clear" w:color="auto" w:fill="98B0CF"/>
          </w:tcPr>
          <w:p>
            <w:pPr>
              <w:spacing w:after="0"/>
              <w:rPr>
                <w:sz w:val="15"/>
                <w:szCs w:val="15"/>
                <w:color w:val="auto"/>
              </w:rPr>
            </w:pPr>
          </w:p>
        </w:tc>
        <w:tc>
          <w:tcPr>
            <w:tcW w:w="240" w:type="dxa"/>
            <w:vAlign w:val="bottom"/>
            <w:tcBorders>
              <w:top w:val="single" w:sz="8" w:color="auto"/>
              <w:bottom w:val="single" w:sz="8" w:color="auto"/>
            </w:tcBorders>
            <w:shd w:val="clear" w:color="auto" w:fill="98B0CF"/>
          </w:tcPr>
          <w:p>
            <w:pPr>
              <w:spacing w:after="0"/>
              <w:rPr>
                <w:sz w:val="15"/>
                <w:szCs w:val="15"/>
                <w:color w:val="auto"/>
              </w:rPr>
            </w:pPr>
          </w:p>
        </w:tc>
        <w:tc>
          <w:tcPr>
            <w:tcW w:w="1040" w:type="dxa"/>
            <w:vAlign w:val="bottom"/>
            <w:tcBorders>
              <w:top w:val="single" w:sz="8" w:color="auto"/>
              <w:bottom w:val="single" w:sz="8" w:color="auto"/>
            </w:tcBorders>
            <w:shd w:val="clear" w:color="auto" w:fill="98B0CF"/>
          </w:tcPr>
          <w:p>
            <w:pPr>
              <w:spacing w:after="0"/>
              <w:rPr>
                <w:sz w:val="15"/>
                <w:szCs w:val="15"/>
                <w:color w:val="auto"/>
              </w:rPr>
            </w:pPr>
          </w:p>
        </w:tc>
        <w:tc>
          <w:tcPr>
            <w:tcW w:w="1540" w:type="dxa"/>
            <w:vAlign w:val="bottom"/>
            <w:tcBorders>
              <w:top w:val="single" w:sz="8" w:color="auto"/>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September 30, 2026</w:t>
            </w:r>
          </w:p>
        </w:tc>
        <w:tc>
          <w:tcPr>
            <w:tcW w:w="380" w:type="dxa"/>
            <w:vAlign w:val="bottom"/>
            <w:tcBorders>
              <w:top w:val="single" w:sz="8" w:color="auto"/>
              <w:bottom w:val="single" w:sz="8" w:color="auto"/>
            </w:tcBorders>
            <w:shd w:val="clear" w:color="auto" w:fill="98B0CF"/>
          </w:tcPr>
          <w:p>
            <w:pPr>
              <w:spacing w:after="0"/>
              <w:rPr>
                <w:sz w:val="15"/>
                <w:szCs w:val="15"/>
                <w:color w:val="auto"/>
              </w:rPr>
            </w:pPr>
          </w:p>
        </w:tc>
        <w:tc>
          <w:tcPr>
            <w:tcW w:w="980" w:type="dxa"/>
            <w:vAlign w:val="bottom"/>
            <w:tcBorders>
              <w:top w:val="single" w:sz="8" w:color="auto"/>
              <w:bottom w:val="single" w:sz="8" w:color="auto"/>
            </w:tcBorders>
            <w:shd w:val="clear" w:color="auto" w:fill="98B0CF"/>
          </w:tcPr>
          <w:p>
            <w:pPr>
              <w:spacing w:after="0"/>
              <w:rPr>
                <w:sz w:val="15"/>
                <w:szCs w:val="15"/>
                <w:color w:val="auto"/>
              </w:rPr>
            </w:pPr>
          </w:p>
        </w:tc>
        <w:tc>
          <w:tcPr>
            <w:tcW w:w="140" w:type="dxa"/>
            <w:vAlign w:val="bottom"/>
            <w:tcBorders>
              <w:top w:val="single" w:sz="8" w:color="auto"/>
              <w:bottom w:val="single" w:sz="8" w:color="98B0CF"/>
            </w:tcBorders>
            <w:shd w:val="clear" w:color="auto" w:fill="98B0CF"/>
          </w:tcPr>
          <w:p>
            <w:pPr>
              <w:spacing w:after="0"/>
              <w:rPr>
                <w:sz w:val="15"/>
                <w:szCs w:val="15"/>
                <w:color w:val="auto"/>
              </w:rPr>
            </w:pPr>
          </w:p>
        </w:tc>
        <w:tc>
          <w:tcPr>
            <w:tcW w:w="240" w:type="dxa"/>
            <w:vAlign w:val="bottom"/>
            <w:tcBorders>
              <w:top w:val="single" w:sz="8" w:color="auto"/>
              <w:bottom w:val="single" w:sz="8" w:color="auto"/>
            </w:tcBorders>
            <w:shd w:val="clear" w:color="auto" w:fill="98B0CF"/>
          </w:tcPr>
          <w:p>
            <w:pPr>
              <w:spacing w:after="0"/>
              <w:rPr>
                <w:sz w:val="15"/>
                <w:szCs w:val="15"/>
                <w:color w:val="auto"/>
              </w:rPr>
            </w:pPr>
          </w:p>
        </w:tc>
        <w:tc>
          <w:tcPr>
            <w:tcW w:w="1020" w:type="dxa"/>
            <w:vAlign w:val="bottom"/>
            <w:tcBorders>
              <w:top w:val="single" w:sz="8" w:color="auto"/>
              <w:bottom w:val="single" w:sz="8" w:color="auto"/>
            </w:tcBorders>
            <w:shd w:val="clear" w:color="auto" w:fill="98B0CF"/>
          </w:tcPr>
          <w:p>
            <w:pPr>
              <w:spacing w:after="0"/>
              <w:rPr>
                <w:sz w:val="15"/>
                <w:szCs w:val="15"/>
                <w:color w:val="auto"/>
              </w:rPr>
            </w:pPr>
          </w:p>
        </w:tc>
        <w:tc>
          <w:tcPr>
            <w:tcW w:w="1460" w:type="dxa"/>
            <w:vAlign w:val="bottom"/>
            <w:tcBorders>
              <w:top w:val="single" w:sz="8" w:color="auto"/>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December 31, 2025</w:t>
            </w:r>
          </w:p>
        </w:tc>
        <w:tc>
          <w:tcPr>
            <w:tcW w:w="360" w:type="dxa"/>
            <w:vAlign w:val="bottom"/>
            <w:tcBorders>
              <w:top w:val="single" w:sz="8" w:color="auto"/>
              <w:bottom w:val="single" w:sz="8" w:color="auto"/>
            </w:tcBorders>
            <w:shd w:val="clear" w:color="auto" w:fill="98B0CF"/>
          </w:tcPr>
          <w:p>
            <w:pPr>
              <w:spacing w:after="0"/>
              <w:rPr>
                <w:sz w:val="15"/>
                <w:szCs w:val="15"/>
                <w:color w:val="auto"/>
              </w:rPr>
            </w:pPr>
          </w:p>
        </w:tc>
        <w:tc>
          <w:tcPr>
            <w:tcW w:w="1000" w:type="dxa"/>
            <w:vAlign w:val="bottom"/>
            <w:tcBorders>
              <w:top w:val="single" w:sz="8" w:color="auto"/>
              <w:bottom w:val="single" w:sz="8" w:color="auto"/>
            </w:tcBorders>
            <w:shd w:val="clear" w:color="auto" w:fill="98B0CF"/>
          </w:tcPr>
          <w:p>
            <w:pPr>
              <w:spacing w:after="0"/>
              <w:rPr>
                <w:sz w:val="15"/>
                <w:szCs w:val="15"/>
                <w:color w:val="auto"/>
              </w:rPr>
            </w:pPr>
          </w:p>
        </w:tc>
      </w:tr>
      <w:tr>
        <w:trPr>
          <w:trHeight w:val="146"/>
        </w:trPr>
        <w:tc>
          <w:tcPr>
            <w:tcW w:w="270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04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1240" w:type="dxa"/>
            <w:vAlign w:val="bottom"/>
            <w:shd w:val="clear" w:color="auto" w:fill="98B0CF"/>
          </w:tcPr>
          <w:p>
            <w:pPr>
              <w:jc w:val="center"/>
              <w:ind w:right="221"/>
              <w:spacing w:after="0" w:line="147" w:lineRule="exact"/>
              <w:rPr>
                <w:sz w:val="20"/>
                <w:szCs w:val="20"/>
                <w:color w:val="auto"/>
              </w:rPr>
            </w:pPr>
            <w:r>
              <w:rPr>
                <w:rFonts w:ascii="Arial" w:cs="Arial" w:eastAsia="Arial" w:hAnsi="Arial"/>
                <w:sz w:val="14"/>
                <w:szCs w:val="14"/>
                <w:b w:val="1"/>
                <w:bCs w:val="1"/>
                <w:color w:val="auto"/>
              </w:rPr>
              <w:t>Accumulated</w:t>
            </w:r>
          </w:p>
        </w:tc>
        <w:tc>
          <w:tcPr>
            <w:tcW w:w="380" w:type="dxa"/>
            <w:vAlign w:val="bottom"/>
            <w:shd w:val="clear" w:color="auto" w:fill="98B0CF"/>
          </w:tcPr>
          <w:p>
            <w:pPr>
              <w:spacing w:after="0"/>
              <w:rPr>
                <w:sz w:val="12"/>
                <w:szCs w:val="12"/>
                <w:color w:val="auto"/>
              </w:rPr>
            </w:pPr>
          </w:p>
        </w:tc>
        <w:tc>
          <w:tcPr>
            <w:tcW w:w="98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02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200" w:type="dxa"/>
            <w:vAlign w:val="bottom"/>
            <w:shd w:val="clear" w:color="auto" w:fill="98B0CF"/>
          </w:tcPr>
          <w:p>
            <w:pPr>
              <w:jc w:val="center"/>
              <w:ind w:right="181"/>
              <w:spacing w:after="0" w:line="147" w:lineRule="exact"/>
              <w:rPr>
                <w:sz w:val="20"/>
                <w:szCs w:val="20"/>
                <w:color w:val="auto"/>
              </w:rPr>
            </w:pPr>
            <w:r>
              <w:rPr>
                <w:rFonts w:ascii="Arial" w:cs="Arial" w:eastAsia="Arial" w:hAnsi="Arial"/>
                <w:sz w:val="14"/>
                <w:szCs w:val="14"/>
                <w:b w:val="1"/>
                <w:bCs w:val="1"/>
                <w:color w:val="auto"/>
              </w:rPr>
              <w:t>Accumulated</w:t>
            </w:r>
          </w:p>
        </w:tc>
        <w:tc>
          <w:tcPr>
            <w:tcW w:w="360" w:type="dxa"/>
            <w:vAlign w:val="bottom"/>
            <w:shd w:val="clear" w:color="auto" w:fill="98B0CF"/>
          </w:tcPr>
          <w:p>
            <w:pPr>
              <w:spacing w:after="0"/>
              <w:rPr>
                <w:sz w:val="12"/>
                <w:szCs w:val="12"/>
                <w:color w:val="auto"/>
              </w:rPr>
            </w:pPr>
          </w:p>
        </w:tc>
        <w:tc>
          <w:tcPr>
            <w:tcW w:w="1000" w:type="dxa"/>
            <w:vAlign w:val="bottom"/>
            <w:shd w:val="clear" w:color="auto" w:fill="98B0CF"/>
          </w:tcPr>
          <w:p>
            <w:pPr>
              <w:spacing w:after="0"/>
              <w:rPr>
                <w:sz w:val="12"/>
                <w:szCs w:val="12"/>
                <w:color w:val="auto"/>
              </w:rPr>
            </w:pPr>
          </w:p>
        </w:tc>
      </w:tr>
      <w:tr>
        <w:trPr>
          <w:trHeight w:val="171"/>
        </w:trPr>
        <w:tc>
          <w:tcPr>
            <w:tcW w:w="2700" w:type="dxa"/>
            <w:vAlign w:val="bottom"/>
            <w:tcBorders>
              <w:bottom w:val="single" w:sz="8" w:color="auto"/>
            </w:tcBorders>
            <w:shd w:val="clear" w:color="auto" w:fill="98B0CF"/>
          </w:tcPr>
          <w:p>
            <w:pPr>
              <w:spacing w:after="0"/>
              <w:rPr>
                <w:sz w:val="14"/>
                <w:szCs w:val="14"/>
                <w:color w:val="auto"/>
              </w:rPr>
            </w:pPr>
          </w:p>
        </w:tc>
        <w:tc>
          <w:tcPr>
            <w:tcW w:w="1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040" w:type="dxa"/>
            <w:vAlign w:val="bottom"/>
            <w:tcBorders>
              <w:bottom w:val="single" w:sz="8" w:color="auto"/>
            </w:tcBorders>
            <w:shd w:val="clear" w:color="auto" w:fill="98B0CF"/>
          </w:tcPr>
          <w:p>
            <w:pPr>
              <w:jc w:val="right"/>
              <w:ind w:right="400"/>
              <w:spacing w:after="0"/>
              <w:rPr>
                <w:sz w:val="20"/>
                <w:szCs w:val="20"/>
                <w:color w:val="auto"/>
              </w:rPr>
            </w:pPr>
            <w:r>
              <w:rPr>
                <w:rFonts w:ascii="Arial" w:cs="Arial" w:eastAsia="Arial" w:hAnsi="Arial"/>
                <w:sz w:val="14"/>
                <w:szCs w:val="14"/>
                <w:b w:val="1"/>
                <w:bCs w:val="1"/>
                <w:color w:val="auto"/>
              </w:rPr>
              <w:t>Gross</w:t>
            </w:r>
          </w:p>
        </w:tc>
        <w:tc>
          <w:tcPr>
            <w:tcW w:w="300" w:type="dxa"/>
            <w:vAlign w:val="bottom"/>
            <w:tcBorders>
              <w:bottom w:val="single" w:sz="8" w:color="auto"/>
            </w:tcBorders>
            <w:shd w:val="clear" w:color="auto" w:fill="98B0CF"/>
          </w:tcPr>
          <w:p>
            <w:pPr>
              <w:spacing w:after="0"/>
              <w:rPr>
                <w:sz w:val="14"/>
                <w:szCs w:val="14"/>
                <w:color w:val="auto"/>
              </w:rPr>
            </w:pPr>
          </w:p>
        </w:tc>
        <w:tc>
          <w:tcPr>
            <w:tcW w:w="1240" w:type="dxa"/>
            <w:vAlign w:val="bottom"/>
            <w:tcBorders>
              <w:bottom w:val="single" w:sz="8" w:color="auto"/>
            </w:tcBorders>
            <w:shd w:val="clear" w:color="auto" w:fill="98B0CF"/>
          </w:tcPr>
          <w:p>
            <w:pPr>
              <w:jc w:val="center"/>
              <w:ind w:right="201"/>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shd w:val="clear" w:color="auto" w:fill="98B0CF"/>
          </w:tcPr>
          <w:p>
            <w:pPr>
              <w:spacing w:after="0"/>
              <w:rPr>
                <w:sz w:val="14"/>
                <w:szCs w:val="14"/>
                <w:color w:val="auto"/>
              </w:rPr>
            </w:pPr>
          </w:p>
        </w:tc>
        <w:tc>
          <w:tcPr>
            <w:tcW w:w="980" w:type="dxa"/>
            <w:vAlign w:val="bottom"/>
            <w:tcBorders>
              <w:bottom w:val="single" w:sz="8" w:color="auto"/>
            </w:tcBorders>
            <w:shd w:val="clear" w:color="auto" w:fill="98B0CF"/>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1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jc w:val="right"/>
              <w:ind w:right="380"/>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shd w:val="clear" w:color="auto" w:fill="98B0CF"/>
          </w:tcPr>
          <w:p>
            <w:pPr>
              <w:spacing w:after="0"/>
              <w:rPr>
                <w:sz w:val="14"/>
                <w:szCs w:val="14"/>
                <w:color w:val="auto"/>
              </w:rPr>
            </w:pPr>
          </w:p>
        </w:tc>
        <w:tc>
          <w:tcPr>
            <w:tcW w:w="1200" w:type="dxa"/>
            <w:vAlign w:val="bottom"/>
            <w:tcBorders>
              <w:bottom w:val="single" w:sz="8" w:color="auto"/>
            </w:tcBorders>
            <w:shd w:val="clear" w:color="auto" w:fill="98B0CF"/>
          </w:tcPr>
          <w:p>
            <w:pPr>
              <w:jc w:val="center"/>
              <w:ind w:right="201"/>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Borders>
              <w:bottom w:val="single" w:sz="8" w:color="auto"/>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jc w:val="right"/>
              <w:ind w:right="500"/>
              <w:spacing w:after="0"/>
              <w:rPr>
                <w:sz w:val="20"/>
                <w:szCs w:val="20"/>
                <w:color w:val="auto"/>
              </w:rPr>
            </w:pPr>
            <w:r>
              <w:rPr>
                <w:rFonts w:ascii="Arial" w:cs="Arial" w:eastAsia="Arial" w:hAnsi="Arial"/>
                <w:sz w:val="14"/>
                <w:szCs w:val="14"/>
                <w:b w:val="1"/>
                <w:bCs w:val="1"/>
                <w:color w:val="auto"/>
              </w:rPr>
              <w:t>Net</w:t>
            </w:r>
          </w:p>
        </w:tc>
      </w:tr>
      <w:tr>
        <w:trPr>
          <w:trHeight w:val="196"/>
        </w:trPr>
        <w:tc>
          <w:tcPr>
            <w:tcW w:w="2700" w:type="dxa"/>
            <w:vAlign w:val="bottom"/>
            <w:tcBorders>
              <w:bottom w:val="single" w:sz="8" w:color="auto"/>
            </w:tcBorders>
            <w:shd w:val="clear" w:color="auto" w:fill="E2E8F1"/>
          </w:tcPr>
          <w:p>
            <w:pPr>
              <w:ind w:left="40"/>
              <w:spacing w:after="0" w:line="196" w:lineRule="exact"/>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(a)</w:t>
            </w:r>
          </w:p>
        </w:tc>
        <w:tc>
          <w:tcPr>
            <w:tcW w:w="380" w:type="dxa"/>
            <w:vAlign w:val="bottom"/>
            <w:tcBorders>
              <w:bottom w:val="single" w:sz="8" w:color="auto"/>
            </w:tcBorders>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1,481.7</w:t>
            </w:r>
          </w:p>
        </w:tc>
        <w:tc>
          <w:tcPr>
            <w:tcW w:w="3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2E8F1"/>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E2E8F1"/>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1,481.7</w:t>
            </w:r>
          </w:p>
        </w:tc>
        <w:tc>
          <w:tcPr>
            <w:tcW w:w="380" w:type="dxa"/>
            <w:vAlign w:val="bottom"/>
            <w:tcBorders>
              <w:bottom w:val="single" w:sz="8" w:color="auto"/>
            </w:tcBorders>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1,544.6</w:t>
            </w:r>
          </w:p>
        </w:tc>
        <w:tc>
          <w:tcPr>
            <w:tcW w:w="2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2E8F1"/>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1,544.6</w:t>
            </w:r>
          </w:p>
        </w:tc>
      </w:tr>
      <w:tr>
        <w:trPr>
          <w:trHeight w:val="183"/>
        </w:trPr>
        <w:tc>
          <w:tcPr>
            <w:tcW w:w="2700" w:type="dxa"/>
            <w:vAlign w:val="bottom"/>
          </w:tcPr>
          <w:p>
            <w:pPr>
              <w:ind w:left="40"/>
              <w:spacing w:after="0" w:line="183" w:lineRule="exact"/>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2700" w:type="dxa"/>
            <w:vAlign w:val="bottom"/>
            <w:shd w:val="clear" w:color="auto" w:fill="E2E8F1"/>
          </w:tcPr>
          <w:p>
            <w:pPr>
              <w:ind w:left="80"/>
              <w:spacing w:after="0"/>
              <w:rPr>
                <w:sz w:val="20"/>
                <w:szCs w:val="20"/>
                <w:color w:val="auto"/>
              </w:rPr>
            </w:pPr>
            <w:r>
              <w:rPr>
                <w:rFonts w:ascii="Arial" w:cs="Arial" w:eastAsia="Arial" w:hAnsi="Arial"/>
                <w:sz w:val="16"/>
                <w:szCs w:val="16"/>
                <w:color w:val="auto"/>
              </w:rPr>
              <w:t>Finite-lived:</w:t>
            </w: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24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00" w:type="dxa"/>
            <w:vAlign w:val="bottom"/>
            <w:shd w:val="clear" w:color="auto" w:fill="E2E8F1"/>
          </w:tcPr>
          <w:p>
            <w:pPr>
              <w:spacing w:after="0"/>
              <w:rPr>
                <w:sz w:val="16"/>
                <w:szCs w:val="16"/>
                <w:color w:val="auto"/>
              </w:rPr>
            </w:pPr>
          </w:p>
        </w:tc>
        <w:tc>
          <w:tcPr>
            <w:tcW w:w="36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r>
      <w:tr>
        <w:trPr>
          <w:trHeight w:val="189"/>
        </w:trPr>
        <w:tc>
          <w:tcPr>
            <w:tcW w:w="270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827.1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571.3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255.8</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833.2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556.1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277.1</w:t>
            </w:r>
          </w:p>
        </w:tc>
      </w:tr>
      <w:tr>
        <w:trPr>
          <w:trHeight w:val="189"/>
        </w:trPr>
        <w:tc>
          <w:tcPr>
            <w:tcW w:w="2700" w:type="dxa"/>
            <w:vAlign w:val="bottom"/>
            <w:tcBorders>
              <w:bottom w:val="single" w:sz="8" w:color="auto"/>
            </w:tcBorders>
            <w:shd w:val="clear" w:color="auto" w:fill="E2E8F1"/>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25.1</w:t>
            </w:r>
          </w:p>
        </w:tc>
        <w:tc>
          <w:tcPr>
            <w:tcW w:w="300" w:type="dxa"/>
            <w:vAlign w:val="bottom"/>
            <w:tcBorders>
              <w:bottom w:val="single" w:sz="8" w:color="auto"/>
            </w:tcBorders>
            <w:shd w:val="clear" w:color="auto" w:fill="E2E8F1"/>
          </w:tcPr>
          <w:p>
            <w:pPr>
              <w:spacing w:after="0"/>
              <w:rPr>
                <w:sz w:val="16"/>
                <w:szCs w:val="16"/>
                <w:color w:val="auto"/>
              </w:rPr>
            </w:pPr>
          </w:p>
        </w:tc>
        <w:tc>
          <w:tcPr>
            <w:tcW w:w="1240" w:type="dxa"/>
            <w:vAlign w:val="bottom"/>
            <w:tcBorders>
              <w:bottom w:val="single" w:sz="8" w:color="auto"/>
            </w:tcBorders>
            <w:shd w:val="clear" w:color="auto" w:fill="E2E8F1"/>
          </w:tcPr>
          <w:p>
            <w:pPr>
              <w:jc w:val="right"/>
              <w:ind w:right="101"/>
              <w:spacing w:after="0"/>
              <w:rPr>
                <w:sz w:val="20"/>
                <w:szCs w:val="20"/>
                <w:color w:val="auto"/>
              </w:rPr>
            </w:pPr>
            <w:r>
              <w:rPr>
                <w:rFonts w:ascii="Arial" w:cs="Arial" w:eastAsia="Arial" w:hAnsi="Arial"/>
                <w:sz w:val="16"/>
                <w:szCs w:val="16"/>
                <w:color w:val="auto"/>
              </w:rPr>
              <w:t>23.1</w:t>
            </w:r>
          </w:p>
        </w:tc>
        <w:tc>
          <w:tcPr>
            <w:tcW w:w="38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25.3</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23.0</w:t>
            </w:r>
          </w:p>
        </w:tc>
        <w:tc>
          <w:tcPr>
            <w:tcW w:w="36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2.3</w:t>
            </w:r>
          </w:p>
        </w:tc>
      </w:tr>
      <w:tr>
        <w:trPr>
          <w:trHeight w:val="183"/>
        </w:trPr>
        <w:tc>
          <w:tcPr>
            <w:tcW w:w="2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852.2</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594.4</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257.8</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858.5</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579.1</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279.4</w:t>
            </w:r>
          </w:p>
        </w:tc>
      </w:tr>
      <w:tr>
        <w:trPr>
          <w:trHeight w:val="183"/>
        </w:trPr>
        <w:tc>
          <w:tcPr>
            <w:tcW w:w="27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Indefinite-lived:</w:t>
            </w: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4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1240" w:type="dxa"/>
            <w:vAlign w:val="bottom"/>
            <w:shd w:val="clear" w:color="auto" w:fill="E2E8F1"/>
          </w:tcPr>
          <w:p>
            <w:pPr>
              <w:spacing w:after="0"/>
              <w:rPr>
                <w:sz w:val="15"/>
                <w:szCs w:val="15"/>
                <w:color w:val="auto"/>
              </w:rPr>
            </w:pPr>
          </w:p>
        </w:tc>
        <w:tc>
          <w:tcPr>
            <w:tcW w:w="380" w:type="dxa"/>
            <w:vAlign w:val="bottom"/>
            <w:shd w:val="clear" w:color="auto" w:fill="E2E8F1"/>
          </w:tcPr>
          <w:p>
            <w:pPr>
              <w:spacing w:after="0"/>
              <w:rPr>
                <w:sz w:val="15"/>
                <w:szCs w:val="15"/>
                <w:color w:val="auto"/>
              </w:rPr>
            </w:pPr>
          </w:p>
        </w:tc>
        <w:tc>
          <w:tcPr>
            <w:tcW w:w="98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2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1200" w:type="dxa"/>
            <w:vAlign w:val="bottom"/>
            <w:shd w:val="clear" w:color="auto" w:fill="E2E8F1"/>
          </w:tcPr>
          <w:p>
            <w:pPr>
              <w:spacing w:after="0"/>
              <w:rPr>
                <w:sz w:val="15"/>
                <w:szCs w:val="15"/>
                <w:color w:val="auto"/>
              </w:rPr>
            </w:pPr>
          </w:p>
        </w:tc>
        <w:tc>
          <w:tcPr>
            <w:tcW w:w="36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r>
      <w:tr>
        <w:trPr>
          <w:trHeight w:val="203"/>
        </w:trPr>
        <w:tc>
          <w:tcPr>
            <w:tcW w:w="2700" w:type="dxa"/>
            <w:vAlign w:val="bottom"/>
          </w:tcPr>
          <w:p>
            <w:pPr>
              <w:ind w:left="140"/>
              <w:spacing w:after="0" w:line="203" w:lineRule="exact"/>
              <w:rPr>
                <w:sz w:val="20"/>
                <w:szCs w:val="20"/>
                <w:color w:val="auto"/>
              </w:rPr>
            </w:pPr>
            <w:r>
              <w:rPr>
                <w:rFonts w:ascii="Arial" w:cs="Arial" w:eastAsia="Arial" w:hAnsi="Arial"/>
                <w:sz w:val="16"/>
                <w:szCs w:val="16"/>
                <w:color w:val="auto"/>
              </w:rPr>
              <w:t>Tradenames</w:t>
            </w:r>
            <w:r>
              <w:rPr>
                <w:rFonts w:ascii="Arial" w:cs="Arial" w:eastAsia="Arial" w:hAnsi="Arial"/>
                <w:sz w:val="21"/>
                <w:szCs w:val="21"/>
                <w:color w:val="auto"/>
                <w:vertAlign w:val="superscript"/>
              </w:rPr>
              <w:t>(b)</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52.0</w:t>
            </w:r>
          </w:p>
        </w:tc>
        <w:tc>
          <w:tcPr>
            <w:tcW w:w="300" w:type="dxa"/>
            <w:vAlign w:val="bottom"/>
          </w:tcPr>
          <w:p>
            <w:pPr>
              <w:spacing w:after="0"/>
              <w:rPr>
                <w:sz w:val="17"/>
                <w:szCs w:val="17"/>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260" w:type="dxa"/>
            <w:vAlign w:val="bottom"/>
          </w:tcPr>
          <w:p>
            <w:pPr>
              <w:spacing w:after="0"/>
              <w:rPr>
                <w:sz w:val="17"/>
                <w:szCs w:val="17"/>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52.0</w:t>
            </w:r>
          </w:p>
        </w:tc>
      </w:tr>
      <w:tr>
        <w:trPr>
          <w:trHeight w:val="203"/>
        </w:trPr>
        <w:tc>
          <w:tcPr>
            <w:tcW w:w="2700" w:type="dxa"/>
            <w:vAlign w:val="bottom"/>
            <w:tcBorders>
              <w:bottom w:val="single" w:sz="8" w:color="auto"/>
            </w:tcBorders>
            <w:shd w:val="clear" w:color="auto" w:fill="E2E8F1"/>
          </w:tcPr>
          <w:p>
            <w:pPr>
              <w:ind w:left="140"/>
              <w:spacing w:after="0" w:line="203" w:lineRule="exact"/>
              <w:rPr>
                <w:sz w:val="20"/>
                <w:szCs w:val="20"/>
                <w:color w:val="auto"/>
              </w:rPr>
            </w:pPr>
            <w:r>
              <w:rPr>
                <w:rFonts w:ascii="Arial" w:cs="Arial" w:eastAsia="Arial" w:hAnsi="Arial"/>
                <w:sz w:val="16"/>
                <w:szCs w:val="16"/>
                <w:color w:val="auto"/>
              </w:rPr>
              <w:t>Reacquired franchise rights</w:t>
            </w:r>
            <w:r>
              <w:rPr>
                <w:rFonts w:ascii="Arial" w:cs="Arial" w:eastAsia="Arial" w:hAnsi="Arial"/>
                <w:sz w:val="21"/>
                <w:szCs w:val="21"/>
                <w:color w:val="auto"/>
                <w:vertAlign w:val="superscript"/>
              </w:rPr>
              <w:t>(c)</w:t>
            </w:r>
          </w:p>
        </w:tc>
        <w:tc>
          <w:tcPr>
            <w:tcW w:w="140" w:type="dxa"/>
            <w:vAlign w:val="bottom"/>
            <w:tcBorders>
              <w:bottom w:val="single" w:sz="8" w:color="auto"/>
            </w:tcBorders>
            <w:shd w:val="clear" w:color="auto" w:fill="E2E8F1"/>
          </w:tcPr>
          <w:p>
            <w:pPr>
              <w:spacing w:after="0"/>
              <w:rPr>
                <w:sz w:val="17"/>
                <w:szCs w:val="17"/>
                <w:color w:val="auto"/>
              </w:rPr>
            </w:pPr>
          </w:p>
        </w:tc>
        <w:tc>
          <w:tcPr>
            <w:tcW w:w="240" w:type="dxa"/>
            <w:vAlign w:val="bottom"/>
            <w:tcBorders>
              <w:bottom w:val="single" w:sz="8" w:color="auto"/>
            </w:tcBorders>
            <w:shd w:val="clear" w:color="auto" w:fill="E2E8F1"/>
          </w:tcPr>
          <w:p>
            <w:pPr>
              <w:spacing w:after="0"/>
              <w:rPr>
                <w:sz w:val="17"/>
                <w:szCs w:val="17"/>
                <w:color w:val="auto"/>
              </w:rPr>
            </w:pPr>
          </w:p>
        </w:tc>
        <w:tc>
          <w:tcPr>
            <w:tcW w:w="10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98.5</w:t>
            </w:r>
          </w:p>
        </w:tc>
        <w:tc>
          <w:tcPr>
            <w:tcW w:w="300" w:type="dxa"/>
            <w:vAlign w:val="bottom"/>
            <w:tcBorders>
              <w:bottom w:val="single" w:sz="8" w:color="auto"/>
            </w:tcBorders>
            <w:shd w:val="clear" w:color="auto" w:fill="E2E8F1"/>
          </w:tcPr>
          <w:p>
            <w:pPr>
              <w:spacing w:after="0"/>
              <w:rPr>
                <w:sz w:val="17"/>
                <w:szCs w:val="17"/>
                <w:color w:val="auto"/>
              </w:rPr>
            </w:pPr>
          </w:p>
        </w:tc>
        <w:tc>
          <w:tcPr>
            <w:tcW w:w="1240" w:type="dxa"/>
            <w:vAlign w:val="bottom"/>
            <w:tcBorders>
              <w:bottom w:val="single" w:sz="8" w:color="auto"/>
            </w:tcBorders>
            <w:shd w:val="clear" w:color="auto" w:fill="E2E8F1"/>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E2E8F1"/>
          </w:tcPr>
          <w:p>
            <w:pPr>
              <w:spacing w:after="0"/>
              <w:rPr>
                <w:sz w:val="17"/>
                <w:szCs w:val="17"/>
                <w:color w:val="auto"/>
              </w:rPr>
            </w:pPr>
          </w:p>
        </w:tc>
        <w:tc>
          <w:tcPr>
            <w:tcW w:w="98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98.5</w:t>
            </w:r>
          </w:p>
        </w:tc>
        <w:tc>
          <w:tcPr>
            <w:tcW w:w="140" w:type="dxa"/>
            <w:vAlign w:val="bottom"/>
            <w:tcBorders>
              <w:bottom w:val="single" w:sz="8" w:color="auto"/>
            </w:tcBorders>
            <w:shd w:val="clear" w:color="auto" w:fill="E2E8F1"/>
          </w:tcPr>
          <w:p>
            <w:pPr>
              <w:spacing w:after="0"/>
              <w:rPr>
                <w:sz w:val="17"/>
                <w:szCs w:val="17"/>
                <w:color w:val="auto"/>
              </w:rPr>
            </w:pPr>
          </w:p>
        </w:tc>
        <w:tc>
          <w:tcPr>
            <w:tcW w:w="240" w:type="dxa"/>
            <w:vAlign w:val="bottom"/>
            <w:tcBorders>
              <w:bottom w:val="single" w:sz="8" w:color="auto"/>
            </w:tcBorders>
            <w:shd w:val="clear" w:color="auto" w:fill="E2E8F1"/>
          </w:tcPr>
          <w:p>
            <w:pPr>
              <w:spacing w:after="0"/>
              <w:rPr>
                <w:sz w:val="17"/>
                <w:szCs w:val="17"/>
                <w:color w:val="auto"/>
              </w:rPr>
            </w:pPr>
          </w:p>
        </w:tc>
        <w:tc>
          <w:tcPr>
            <w:tcW w:w="102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98.7</w:t>
            </w:r>
          </w:p>
        </w:tc>
        <w:tc>
          <w:tcPr>
            <w:tcW w:w="260" w:type="dxa"/>
            <w:vAlign w:val="bottom"/>
            <w:tcBorders>
              <w:bottom w:val="single" w:sz="8" w:color="auto"/>
            </w:tcBorders>
            <w:shd w:val="clear" w:color="auto" w:fill="E2E8F1"/>
          </w:tcPr>
          <w:p>
            <w:pPr>
              <w:spacing w:after="0"/>
              <w:rPr>
                <w:sz w:val="17"/>
                <w:szCs w:val="17"/>
                <w:color w:val="auto"/>
              </w:rPr>
            </w:pPr>
          </w:p>
        </w:tc>
        <w:tc>
          <w:tcPr>
            <w:tcW w:w="120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2E8F1"/>
          </w:tcPr>
          <w:p>
            <w:pPr>
              <w:spacing w:after="0"/>
              <w:rPr>
                <w:sz w:val="17"/>
                <w:szCs w:val="17"/>
                <w:color w:val="auto"/>
              </w:rPr>
            </w:pPr>
          </w:p>
        </w:tc>
        <w:tc>
          <w:tcPr>
            <w:tcW w:w="100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98.7</w:t>
            </w:r>
          </w:p>
        </w:tc>
      </w:tr>
      <w:tr>
        <w:trPr>
          <w:trHeight w:val="183"/>
        </w:trPr>
        <w:tc>
          <w:tcPr>
            <w:tcW w:w="2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150.5</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150.5</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150.7</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150.7</w:t>
            </w:r>
          </w:p>
        </w:tc>
      </w:tr>
      <w:tr>
        <w:trPr>
          <w:trHeight w:val="183"/>
        </w:trPr>
        <w:tc>
          <w:tcPr>
            <w:tcW w:w="270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Total intangible assets</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1,002.7</w:t>
            </w:r>
          </w:p>
        </w:tc>
        <w:tc>
          <w:tcPr>
            <w:tcW w:w="30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2E8F1"/>
          </w:tcPr>
          <w:p>
            <w:pPr>
              <w:jc w:val="right"/>
              <w:ind w:right="101"/>
              <w:spacing w:after="0" w:line="183" w:lineRule="exact"/>
              <w:rPr>
                <w:sz w:val="20"/>
                <w:szCs w:val="20"/>
                <w:color w:val="auto"/>
              </w:rPr>
            </w:pPr>
            <w:r>
              <w:rPr>
                <w:rFonts w:ascii="Arial" w:cs="Arial" w:eastAsia="Arial" w:hAnsi="Arial"/>
                <w:sz w:val="16"/>
                <w:szCs w:val="16"/>
                <w:color w:val="auto"/>
              </w:rPr>
              <w:t>594.4</w:t>
            </w:r>
          </w:p>
        </w:tc>
        <w:tc>
          <w:tcPr>
            <w:tcW w:w="380" w:type="dxa"/>
            <w:vAlign w:val="bottom"/>
            <w:tcBorders>
              <w:bottom w:val="single" w:sz="8" w:color="auto"/>
            </w:tcBorders>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408.3</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1,009.2</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579.1</w:t>
            </w:r>
          </w:p>
        </w:tc>
        <w:tc>
          <w:tcPr>
            <w:tcW w:w="360" w:type="dxa"/>
            <w:vAlign w:val="bottom"/>
            <w:tcBorders>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430.1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-1619250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$807.4 as of both September 30, 2026 and December 31, 2025.</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$139.5 as of both September 30, 2026 and December 31, 2025.</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$30.6 as of both September 30, 2026 and December 31, 2025.</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Total consolidated amortization expense related to intangible assets for the remainder of 2026 is expected to be $6.9 and in each of the next five years as follows: 2027 - $27.0, 2028 - $27.1, 2029 - $26.6, 2030 - $26.2 and 2031 - $26.0.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Borders>
              <w:top w:val="single" w:sz="8" w:color="auto"/>
            </w:tcBorders>
            <w:shd w:val="clear" w:color="auto" w:fill="98B0CF"/>
          </w:tcPr>
          <w:p>
            <w:pPr>
              <w:spacing w:after="0"/>
              <w:rPr>
                <w:sz w:val="15"/>
                <w:szCs w:val="15"/>
                <w:color w:val="auto"/>
              </w:rPr>
            </w:pPr>
          </w:p>
        </w:tc>
        <w:tc>
          <w:tcPr>
            <w:tcW w:w="2260" w:type="dxa"/>
            <w:vAlign w:val="bottom"/>
            <w:tcBorders>
              <w:top w:val="single" w:sz="8" w:color="auto"/>
            </w:tcBorders>
            <w:gridSpan w:val="2"/>
            <w:vMerge w:val="restart"/>
            <w:shd w:val="clear" w:color="auto" w:fill="98B0CF"/>
          </w:tcPr>
          <w:p>
            <w:pPr>
              <w:jc w:val="right"/>
              <w:ind w:right="159"/>
              <w:spacing w:after="0"/>
              <w:rPr>
                <w:sz w:val="20"/>
                <w:szCs w:val="20"/>
                <w:color w:val="auto"/>
              </w:rPr>
            </w:pPr>
            <w:r>
              <w:rPr>
                <w:rFonts w:ascii="Arial" w:cs="Arial" w:eastAsia="Arial" w:hAnsi="Arial"/>
                <w:sz w:val="14"/>
                <w:szCs w:val="14"/>
                <w:b w:val="1"/>
                <w:bCs w:val="1"/>
                <w:color w:val="auto"/>
              </w:rPr>
              <w:t>Americas</w:t>
            </w:r>
            <w:r>
              <w:rPr>
                <w:rFonts w:ascii="Arial" w:cs="Arial" w:eastAsia="Arial" w:hAnsi="Arial"/>
                <w:sz w:val="19"/>
                <w:szCs w:val="19"/>
                <w:b w:val="1"/>
                <w:bCs w:val="1"/>
                <w:color w:val="auto"/>
                <w:vertAlign w:val="superscript"/>
              </w:rPr>
              <w:t>(a)</w:t>
            </w:r>
          </w:p>
        </w:tc>
        <w:tc>
          <w:tcPr>
            <w:tcW w:w="220" w:type="dxa"/>
            <w:vAlign w:val="bottom"/>
            <w:tcBorders>
              <w:top w:val="single" w:sz="8" w:color="auto"/>
            </w:tcBorders>
            <w:shd w:val="clear" w:color="auto" w:fill="98B0CF"/>
          </w:tcPr>
          <w:p>
            <w:pPr>
              <w:spacing w:after="0"/>
              <w:rPr>
                <w:sz w:val="15"/>
                <w:szCs w:val="15"/>
                <w:color w:val="auto"/>
              </w:rPr>
            </w:pPr>
          </w:p>
        </w:tc>
        <w:tc>
          <w:tcPr>
            <w:tcW w:w="960" w:type="dxa"/>
            <w:vAlign w:val="bottom"/>
            <w:tcBorders>
              <w:top w:val="single" w:sz="8" w:color="auto"/>
            </w:tcBorders>
            <w:shd w:val="clear" w:color="auto" w:fill="98B0CF"/>
          </w:tcPr>
          <w:p>
            <w:pPr>
              <w:jc w:val="right"/>
              <w:ind w:right="222"/>
              <w:spacing w:after="0"/>
              <w:rPr>
                <w:sz w:val="20"/>
                <w:szCs w:val="20"/>
                <w:color w:val="auto"/>
              </w:rPr>
            </w:pPr>
            <w:r>
              <w:rPr>
                <w:rFonts w:ascii="Arial" w:cs="Arial" w:eastAsia="Arial" w:hAnsi="Arial"/>
                <w:sz w:val="14"/>
                <w:szCs w:val="14"/>
                <w:b w:val="1"/>
                <w:bCs w:val="1"/>
                <w:color w:val="auto"/>
              </w:rPr>
              <w:t>Southern</w:t>
            </w:r>
          </w:p>
        </w:tc>
        <w:tc>
          <w:tcPr>
            <w:tcW w:w="200" w:type="dxa"/>
            <w:vAlign w:val="bottom"/>
            <w:tcBorders>
              <w:top w:val="single" w:sz="8" w:color="auto"/>
            </w:tcBorders>
            <w:shd w:val="clear" w:color="auto" w:fill="98B0CF"/>
          </w:tcPr>
          <w:p>
            <w:pPr>
              <w:spacing w:after="0"/>
              <w:rPr>
                <w:sz w:val="15"/>
                <w:szCs w:val="15"/>
                <w:color w:val="auto"/>
              </w:rPr>
            </w:pPr>
          </w:p>
        </w:tc>
        <w:tc>
          <w:tcPr>
            <w:tcW w:w="940" w:type="dxa"/>
            <w:vAlign w:val="bottom"/>
            <w:tcBorders>
              <w:top w:val="single" w:sz="8" w:color="auto"/>
            </w:tcBorders>
            <w:shd w:val="clear" w:color="auto" w:fill="98B0CF"/>
          </w:tcPr>
          <w:p>
            <w:pPr>
              <w:jc w:val="right"/>
              <w:ind w:right="222"/>
              <w:spacing w:after="0"/>
              <w:rPr>
                <w:sz w:val="20"/>
                <w:szCs w:val="20"/>
                <w:color w:val="auto"/>
              </w:rPr>
            </w:pPr>
            <w:r>
              <w:rPr>
                <w:rFonts w:ascii="Arial" w:cs="Arial" w:eastAsia="Arial" w:hAnsi="Arial"/>
                <w:sz w:val="14"/>
                <w:szCs w:val="14"/>
                <w:b w:val="1"/>
                <w:bCs w:val="1"/>
                <w:color w:val="auto"/>
              </w:rPr>
              <w:t>Northern</w:t>
            </w:r>
          </w:p>
        </w:tc>
        <w:tc>
          <w:tcPr>
            <w:tcW w:w="240" w:type="dxa"/>
            <w:vAlign w:val="bottom"/>
            <w:tcBorders>
              <w:top w:val="single" w:sz="8" w:color="auto"/>
            </w:tcBorders>
            <w:shd w:val="clear" w:color="auto" w:fill="98B0CF"/>
          </w:tcPr>
          <w:p>
            <w:pPr>
              <w:spacing w:after="0"/>
              <w:rPr>
                <w:sz w:val="15"/>
                <w:szCs w:val="15"/>
                <w:color w:val="auto"/>
              </w:rPr>
            </w:pPr>
          </w:p>
        </w:tc>
        <w:tc>
          <w:tcPr>
            <w:tcW w:w="880" w:type="dxa"/>
            <w:vAlign w:val="bottom"/>
            <w:tcBorders>
              <w:top w:val="single" w:sz="8" w:color="auto"/>
            </w:tcBorders>
            <w:shd w:val="clear" w:color="auto" w:fill="98B0CF"/>
          </w:tcPr>
          <w:p>
            <w:pPr>
              <w:spacing w:after="0"/>
              <w:rPr>
                <w:sz w:val="15"/>
                <w:szCs w:val="15"/>
                <w:color w:val="auto"/>
              </w:rPr>
            </w:pPr>
          </w:p>
        </w:tc>
        <w:tc>
          <w:tcPr>
            <w:tcW w:w="180" w:type="dxa"/>
            <w:vAlign w:val="bottom"/>
            <w:tcBorders>
              <w:top w:val="single" w:sz="8" w:color="auto"/>
            </w:tcBorders>
            <w:shd w:val="clear" w:color="auto" w:fill="98B0CF"/>
          </w:tcPr>
          <w:p>
            <w:pPr>
              <w:spacing w:after="0"/>
              <w:rPr>
                <w:sz w:val="15"/>
                <w:szCs w:val="15"/>
                <w:color w:val="auto"/>
              </w:rPr>
            </w:pPr>
          </w:p>
        </w:tc>
        <w:tc>
          <w:tcPr>
            <w:tcW w:w="940" w:type="dxa"/>
            <w:vAlign w:val="bottom"/>
            <w:tcBorders>
              <w:top w:val="single" w:sz="8" w:color="auto"/>
            </w:tcBorders>
            <w:shd w:val="clear" w:color="auto" w:fill="98B0CF"/>
          </w:tcPr>
          <w:p>
            <w:pPr>
              <w:spacing w:after="0"/>
              <w:rPr>
                <w:sz w:val="15"/>
                <w:szCs w:val="15"/>
                <w:color w:val="auto"/>
              </w:rPr>
            </w:pPr>
          </w:p>
        </w:tc>
        <w:tc>
          <w:tcPr>
            <w:tcW w:w="260" w:type="dxa"/>
            <w:vAlign w:val="bottom"/>
            <w:tcBorders>
              <w:top w:val="single" w:sz="8" w:color="auto"/>
            </w:tcBorders>
            <w:shd w:val="clear" w:color="auto" w:fill="98B0CF"/>
          </w:tcPr>
          <w:p>
            <w:pPr>
              <w:spacing w:after="0"/>
              <w:rPr>
                <w:sz w:val="15"/>
                <w:szCs w:val="15"/>
                <w:color w:val="auto"/>
              </w:rPr>
            </w:pPr>
          </w:p>
        </w:tc>
        <w:tc>
          <w:tcPr>
            <w:tcW w:w="800" w:type="dxa"/>
            <w:vAlign w:val="bottom"/>
            <w:tcBorders>
              <w:top w:val="single" w:sz="8" w:color="auto"/>
            </w:tcBorders>
            <w:shd w:val="clear" w:color="auto" w:fill="98B0C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shd w:val="clear" w:color="auto" w:fill="98B0CF"/>
          </w:tcPr>
          <w:p>
            <w:pPr>
              <w:spacing w:after="0"/>
              <w:rPr>
                <w:sz w:val="16"/>
                <w:szCs w:val="16"/>
                <w:color w:val="auto"/>
              </w:rPr>
            </w:pPr>
          </w:p>
        </w:tc>
        <w:tc>
          <w:tcPr>
            <w:tcW w:w="2260" w:type="dxa"/>
            <w:vAlign w:val="bottom"/>
            <w:tcBorders>
              <w:bottom w:val="single" w:sz="8" w:color="auto"/>
            </w:tcBorders>
            <w:gridSpan w:val="2"/>
            <w:vMerge w:val="continue"/>
            <w:shd w:val="clear" w:color="auto" w:fill="98B0CF"/>
          </w:tcPr>
          <w:p>
            <w:pPr>
              <w:spacing w:after="0"/>
              <w:rPr>
                <w:sz w:val="16"/>
                <w:szCs w:val="16"/>
                <w:color w:val="auto"/>
              </w:rPr>
            </w:pPr>
          </w:p>
        </w:tc>
        <w:tc>
          <w:tcPr>
            <w:tcW w:w="220" w:type="dxa"/>
            <w:vAlign w:val="bottom"/>
            <w:tcBorders>
              <w:bottom w:val="single" w:sz="8" w:color="auto"/>
            </w:tcBorders>
            <w:shd w:val="clear" w:color="auto" w:fill="98B0CF"/>
          </w:tcPr>
          <w:p>
            <w:pPr>
              <w:spacing w:after="0"/>
              <w:rPr>
                <w:sz w:val="16"/>
                <w:szCs w:val="16"/>
                <w:color w:val="auto"/>
              </w:rPr>
            </w:pPr>
          </w:p>
        </w:tc>
        <w:tc>
          <w:tcPr>
            <w:tcW w:w="960" w:type="dxa"/>
            <w:vAlign w:val="bottom"/>
            <w:tcBorders>
              <w:bottom w:val="single" w:sz="8" w:color="auto"/>
            </w:tcBorders>
            <w:shd w:val="clear" w:color="auto" w:fill="98B0CF"/>
          </w:tcPr>
          <w:p>
            <w:pPr>
              <w:jc w:val="right"/>
              <w:ind w:right="242"/>
              <w:spacing w:after="0" w:line="189" w:lineRule="exact"/>
              <w:rPr>
                <w:sz w:val="20"/>
                <w:szCs w:val="20"/>
                <w:color w:val="auto"/>
              </w:rPr>
            </w:pPr>
            <w:r>
              <w:rPr>
                <w:rFonts w:ascii="Arial" w:cs="Arial" w:eastAsia="Arial" w:hAnsi="Arial"/>
                <w:sz w:val="14"/>
                <w:szCs w:val="14"/>
                <w:b w:val="1"/>
                <w:bCs w:val="1"/>
                <w:color w:val="auto"/>
                <w:w w:val="96"/>
              </w:rPr>
              <w:t>Europe</w:t>
            </w:r>
            <w:r>
              <w:rPr>
                <w:rFonts w:ascii="Arial" w:cs="Arial" w:eastAsia="Arial" w:hAnsi="Arial"/>
                <w:sz w:val="19"/>
                <w:szCs w:val="19"/>
                <w:b w:val="1"/>
                <w:bCs w:val="1"/>
                <w:color w:val="auto"/>
                <w:w w:val="96"/>
                <w:vertAlign w:val="superscript"/>
              </w:rPr>
              <w:t>(b)</w:t>
            </w:r>
          </w:p>
        </w:tc>
        <w:tc>
          <w:tcPr>
            <w:tcW w:w="200" w:type="dxa"/>
            <w:vAlign w:val="bottom"/>
            <w:tcBorders>
              <w:bottom w:val="single" w:sz="8" w:color="auto"/>
            </w:tcBorders>
            <w:shd w:val="clear" w:color="auto" w:fill="98B0CF"/>
          </w:tcPr>
          <w:p>
            <w:pPr>
              <w:spacing w:after="0"/>
              <w:rPr>
                <w:sz w:val="16"/>
                <w:szCs w:val="16"/>
                <w:color w:val="auto"/>
              </w:rPr>
            </w:pPr>
          </w:p>
        </w:tc>
        <w:tc>
          <w:tcPr>
            <w:tcW w:w="940" w:type="dxa"/>
            <w:vAlign w:val="bottom"/>
            <w:tcBorders>
              <w:bottom w:val="single" w:sz="8" w:color="auto"/>
            </w:tcBorders>
            <w:shd w:val="clear" w:color="auto" w:fill="98B0CF"/>
          </w:tcPr>
          <w:p>
            <w:pPr>
              <w:jc w:val="right"/>
              <w:ind w:right="282"/>
              <w:spacing w:after="0"/>
              <w:rPr>
                <w:sz w:val="20"/>
                <w:szCs w:val="20"/>
                <w:color w:val="auto"/>
              </w:rPr>
            </w:pPr>
            <w:r>
              <w:rPr>
                <w:rFonts w:ascii="Arial" w:cs="Arial" w:eastAsia="Arial" w:hAnsi="Arial"/>
                <w:sz w:val="14"/>
                <w:szCs w:val="14"/>
                <w:b w:val="1"/>
                <w:bCs w:val="1"/>
                <w:color w:val="auto"/>
              </w:rPr>
              <w:t>Europe</w:t>
            </w:r>
          </w:p>
        </w:tc>
        <w:tc>
          <w:tcPr>
            <w:tcW w:w="240" w:type="dxa"/>
            <w:vAlign w:val="bottom"/>
            <w:tcBorders>
              <w:bottom w:val="single" w:sz="8" w:color="auto"/>
            </w:tcBorders>
            <w:shd w:val="clear" w:color="auto" w:fill="98B0CF"/>
          </w:tcPr>
          <w:p>
            <w:pPr>
              <w:spacing w:after="0"/>
              <w:rPr>
                <w:sz w:val="16"/>
                <w:szCs w:val="16"/>
                <w:color w:val="auto"/>
              </w:rPr>
            </w:pPr>
          </w:p>
        </w:tc>
        <w:tc>
          <w:tcPr>
            <w:tcW w:w="880" w:type="dxa"/>
            <w:vAlign w:val="bottom"/>
            <w:tcBorders>
              <w:bottom w:val="single" w:sz="8" w:color="auto"/>
            </w:tcBorders>
            <w:shd w:val="clear" w:color="auto" w:fill="98B0CF"/>
          </w:tcPr>
          <w:p>
            <w:pPr>
              <w:jc w:val="right"/>
              <w:ind w:right="301"/>
              <w:spacing w:after="0"/>
              <w:rPr>
                <w:sz w:val="20"/>
                <w:szCs w:val="20"/>
                <w:color w:val="auto"/>
              </w:rPr>
            </w:pPr>
            <w:r>
              <w:rPr>
                <w:rFonts w:ascii="Arial" w:cs="Arial" w:eastAsia="Arial" w:hAnsi="Arial"/>
                <w:sz w:val="14"/>
                <w:szCs w:val="14"/>
                <w:b w:val="1"/>
                <w:bCs w:val="1"/>
                <w:color w:val="auto"/>
              </w:rPr>
              <w:t>APME</w:t>
            </w:r>
          </w:p>
        </w:tc>
        <w:tc>
          <w:tcPr>
            <w:tcW w:w="180" w:type="dxa"/>
            <w:vAlign w:val="bottom"/>
            <w:tcBorders>
              <w:bottom w:val="single" w:sz="8" w:color="auto"/>
            </w:tcBorders>
            <w:shd w:val="clear" w:color="auto" w:fill="98B0CF"/>
          </w:tcPr>
          <w:p>
            <w:pPr>
              <w:spacing w:after="0"/>
              <w:rPr>
                <w:sz w:val="16"/>
                <w:szCs w:val="16"/>
                <w:color w:val="auto"/>
              </w:rPr>
            </w:pPr>
          </w:p>
        </w:tc>
        <w:tc>
          <w:tcPr>
            <w:tcW w:w="940" w:type="dxa"/>
            <w:vAlign w:val="bottom"/>
            <w:tcBorders>
              <w:bottom w:val="single" w:sz="8" w:color="auto"/>
            </w:tcBorders>
            <w:shd w:val="clear" w:color="auto" w:fill="98B0CF"/>
          </w:tcPr>
          <w:p>
            <w:pPr>
              <w:jc w:val="right"/>
              <w:ind w:right="161"/>
              <w:spacing w:after="0"/>
              <w:rPr>
                <w:sz w:val="20"/>
                <w:szCs w:val="20"/>
                <w:color w:val="auto"/>
              </w:rPr>
            </w:pPr>
            <w:r>
              <w:rPr>
                <w:rFonts w:ascii="Arial" w:cs="Arial" w:eastAsia="Arial" w:hAnsi="Arial"/>
                <w:sz w:val="14"/>
                <w:szCs w:val="14"/>
                <w:b w:val="1"/>
                <w:bCs w:val="1"/>
                <w:color w:val="auto"/>
              </w:rPr>
              <w:t>Corporate</w:t>
            </w:r>
          </w:p>
        </w:tc>
        <w:tc>
          <w:tcPr>
            <w:tcW w:w="260" w:type="dxa"/>
            <w:vAlign w:val="bottom"/>
            <w:tcBorders>
              <w:bottom w:val="single" w:sz="8" w:color="auto"/>
            </w:tcBorders>
            <w:shd w:val="clear" w:color="auto" w:fill="98B0CF"/>
          </w:tcPr>
          <w:p>
            <w:pPr>
              <w:spacing w:after="0"/>
              <w:rPr>
                <w:sz w:val="16"/>
                <w:szCs w:val="16"/>
                <w:color w:val="auto"/>
              </w:rPr>
            </w:pPr>
          </w:p>
        </w:tc>
        <w:tc>
          <w:tcPr>
            <w:tcW w:w="800" w:type="dxa"/>
            <w:vAlign w:val="bottom"/>
            <w:tcBorders>
              <w:bottom w:val="single" w:sz="8" w:color="auto"/>
            </w:tcBorders>
            <w:shd w:val="clear" w:color="auto" w:fill="98B0CF"/>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360" w:type="dxa"/>
            <w:vAlign w:val="bottom"/>
            <w:shd w:val="clear" w:color="auto" w:fill="E2E8F1"/>
          </w:tcPr>
          <w:p>
            <w:pPr>
              <w:ind w:left="40"/>
              <w:spacing w:after="0" w:line="183" w:lineRule="exact"/>
              <w:rPr>
                <w:sz w:val="20"/>
                <w:szCs w:val="20"/>
                <w:color w:val="auto"/>
              </w:rPr>
            </w:pPr>
            <w:r>
              <w:rPr>
                <w:rFonts w:ascii="Arial" w:cs="Arial" w:eastAsia="Arial" w:hAnsi="Arial"/>
                <w:sz w:val="16"/>
                <w:szCs w:val="16"/>
                <w:color w:val="auto"/>
              </w:rPr>
              <w:t>Balance, December 31, 2025</w:t>
            </w:r>
          </w:p>
        </w:tc>
        <w:tc>
          <w:tcPr>
            <w:tcW w:w="1420" w:type="dxa"/>
            <w:vAlign w:val="bottom"/>
            <w:shd w:val="clear" w:color="auto" w:fill="E2E8F1"/>
          </w:tcPr>
          <w:p>
            <w:pPr>
              <w:jc w:val="right"/>
              <w:ind w:right="82"/>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1,050.4</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E2E8F1"/>
          </w:tcPr>
          <w:p>
            <w:pPr>
              <w:jc w:val="right"/>
              <w:ind w:right="82"/>
              <w:spacing w:after="0" w:line="183" w:lineRule="exact"/>
              <w:rPr>
                <w:sz w:val="20"/>
                <w:szCs w:val="20"/>
                <w:color w:val="auto"/>
              </w:rPr>
            </w:pPr>
            <w:r>
              <w:rPr>
                <w:rFonts w:ascii="Arial" w:cs="Arial" w:eastAsia="Arial" w:hAnsi="Arial"/>
                <w:sz w:val="16"/>
                <w:szCs w:val="16"/>
                <w:color w:val="auto"/>
              </w:rPr>
              <w:t>139.9</w:t>
            </w:r>
          </w:p>
        </w:tc>
        <w:tc>
          <w:tcPr>
            <w:tcW w:w="2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2E8F1"/>
          </w:tcPr>
          <w:p>
            <w:pPr>
              <w:jc w:val="right"/>
              <w:ind w:right="82"/>
              <w:spacing w:after="0" w:line="183" w:lineRule="exact"/>
              <w:rPr>
                <w:sz w:val="20"/>
                <w:szCs w:val="20"/>
                <w:color w:val="auto"/>
              </w:rPr>
            </w:pPr>
            <w:r>
              <w:rPr>
                <w:rFonts w:ascii="Arial" w:cs="Arial" w:eastAsia="Arial" w:hAnsi="Arial"/>
                <w:sz w:val="16"/>
                <w:szCs w:val="16"/>
                <w:color w:val="auto"/>
              </w:rPr>
              <w:t>164.7</w:t>
            </w:r>
          </w:p>
        </w:tc>
        <w:tc>
          <w:tcPr>
            <w:tcW w:w="2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64.1</w:t>
            </w:r>
          </w:p>
        </w:tc>
        <w:tc>
          <w:tcPr>
            <w:tcW w:w="1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125.5</w:t>
            </w:r>
          </w:p>
        </w:tc>
        <w:tc>
          <w:tcPr>
            <w:tcW w:w="2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1,544.6</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line="203" w:lineRule="exact"/>
              <w:rPr>
                <w:sz w:val="20"/>
                <w:szCs w:val="20"/>
                <w:color w:val="auto"/>
              </w:rPr>
            </w:pPr>
            <w:r>
              <w:rPr>
                <w:rFonts w:ascii="Arial" w:cs="Arial" w:eastAsia="Arial" w:hAnsi="Arial"/>
                <w:sz w:val="16"/>
                <w:szCs w:val="16"/>
                <w:color w:val="auto"/>
              </w:rPr>
              <w:t>Disposition</w:t>
            </w:r>
            <w:r>
              <w:rPr>
                <w:rFonts w:ascii="Arial" w:cs="Arial" w:eastAsia="Arial" w:hAnsi="Arial"/>
                <w:sz w:val="21"/>
                <w:szCs w:val="21"/>
                <w:color w:val="auto"/>
                <w:vertAlign w:val="superscript"/>
              </w:rPr>
              <w:t>(c)</w:t>
            </w:r>
          </w:p>
        </w:tc>
        <w:tc>
          <w:tcPr>
            <w:tcW w:w="14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220" w:type="dxa"/>
            <w:vAlign w:val="bottom"/>
          </w:tcPr>
          <w:p>
            <w:pPr>
              <w:spacing w:after="0"/>
              <w:rPr>
                <w:sz w:val="17"/>
                <w:szCs w:val="17"/>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89"/>
        </w:trPr>
        <w:tc>
          <w:tcPr>
            <w:tcW w:w="3360" w:type="dxa"/>
            <w:vAlign w:val="bottom"/>
            <w:shd w:val="clear" w:color="auto" w:fill="E2E8F1"/>
          </w:tcPr>
          <w:p>
            <w:pPr>
              <w:ind w:left="120"/>
              <w:spacing w:after="0"/>
              <w:rPr>
                <w:sz w:val="20"/>
                <w:szCs w:val="20"/>
                <w:color w:val="auto"/>
              </w:rPr>
            </w:pPr>
            <w:r>
              <w:rPr>
                <w:rFonts w:ascii="Arial" w:cs="Arial" w:eastAsia="Arial" w:hAnsi="Arial"/>
                <w:sz w:val="16"/>
                <w:szCs w:val="16"/>
                <w:color w:val="auto"/>
              </w:rPr>
              <w:t>Transfers</w:t>
            </w:r>
          </w:p>
        </w:tc>
        <w:tc>
          <w:tcPr>
            <w:tcW w:w="142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117.6</w:t>
            </w:r>
          </w:p>
        </w:tc>
        <w:tc>
          <w:tcPr>
            <w:tcW w:w="22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82"/>
              <w:spacing w:after="0"/>
              <w:rPr>
                <w:sz w:val="20"/>
                <w:szCs w:val="20"/>
                <w:color w:val="auto"/>
              </w:rPr>
            </w:pPr>
            <w:r>
              <w:rPr>
                <w:rFonts w:ascii="Arial" w:cs="Arial" w:eastAsia="Arial" w:hAnsi="Arial"/>
                <w:sz w:val="16"/>
                <w:szCs w:val="16"/>
                <w:color w:val="auto"/>
              </w:rPr>
              <w:t>—</w:t>
            </w:r>
          </w:p>
        </w:tc>
        <w:tc>
          <w:tcPr>
            <w:tcW w:w="200" w:type="dxa"/>
            <w:vAlign w:val="bottom"/>
            <w:shd w:val="clear" w:color="auto" w:fill="E2E8F1"/>
          </w:tcPr>
          <w:p>
            <w:pPr>
              <w:spacing w:after="0"/>
              <w:rPr>
                <w:sz w:val="16"/>
                <w:szCs w:val="16"/>
                <w:color w:val="auto"/>
              </w:rPr>
            </w:pPr>
          </w:p>
        </w:tc>
        <w:tc>
          <w:tcPr>
            <w:tcW w:w="940" w:type="dxa"/>
            <w:vAlign w:val="bottom"/>
            <w:shd w:val="clear" w:color="auto" w:fill="E2E8F1"/>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shd w:val="clear" w:color="auto" w:fill="E2E8F1"/>
          </w:tcPr>
          <w:p>
            <w:pPr>
              <w:spacing w:after="0"/>
              <w:rPr>
                <w:sz w:val="16"/>
                <w:szCs w:val="16"/>
                <w:color w:val="auto"/>
              </w:rPr>
            </w:pPr>
          </w:p>
        </w:tc>
        <w:tc>
          <w:tcPr>
            <w:tcW w:w="940" w:type="dxa"/>
            <w:vAlign w:val="bottom"/>
            <w:shd w:val="clear" w:color="auto" w:fill="E2E8F1"/>
          </w:tcPr>
          <w:p>
            <w:pPr>
              <w:jc w:val="right"/>
              <w:ind w:right="1"/>
              <w:spacing w:after="0"/>
              <w:rPr>
                <w:sz w:val="20"/>
                <w:szCs w:val="20"/>
                <w:color w:val="auto"/>
              </w:rPr>
            </w:pPr>
            <w:r>
              <w:rPr>
                <w:rFonts w:ascii="Arial" w:cs="Arial" w:eastAsia="Arial" w:hAnsi="Arial"/>
                <w:sz w:val="16"/>
                <w:szCs w:val="16"/>
                <w:color w:val="auto"/>
              </w:rPr>
              <w:t>(117.6)</w:t>
            </w:r>
          </w:p>
        </w:tc>
        <w:tc>
          <w:tcPr>
            <w:tcW w:w="260" w:type="dxa"/>
            <w:vAlign w:val="bottom"/>
            <w:shd w:val="clear" w:color="auto" w:fill="E2E8F1"/>
          </w:tcPr>
          <w:p>
            <w:pPr>
              <w:spacing w:after="0"/>
              <w:rPr>
                <w:sz w:val="16"/>
                <w:szCs w:val="16"/>
                <w:color w:val="auto"/>
              </w:rPr>
            </w:pPr>
          </w:p>
        </w:tc>
        <w:tc>
          <w:tcPr>
            <w:tcW w:w="8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Currency impact</w:t>
            </w:r>
          </w:p>
        </w:tc>
        <w:tc>
          <w:tcPr>
            <w:tcW w:w="1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Balance, September 30, 2026</w:t>
            </w:r>
          </w:p>
        </w:tc>
        <w:tc>
          <w:tcPr>
            <w:tcW w:w="1420" w:type="dxa"/>
            <w:vAlign w:val="bottom"/>
            <w:tcBorders>
              <w:bottom w:val="single" w:sz="8" w:color="auto"/>
            </w:tcBorders>
            <w:shd w:val="clear" w:color="auto" w:fill="E2E8F1"/>
          </w:tcPr>
          <w:p>
            <w:pPr>
              <w:jc w:val="right"/>
              <w:ind w:right="82"/>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1,113.2</w:t>
            </w:r>
          </w:p>
        </w:tc>
        <w:tc>
          <w:tcPr>
            <w:tcW w:w="22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2E8F1"/>
          </w:tcPr>
          <w:p>
            <w:pPr>
              <w:jc w:val="right"/>
              <w:ind w:right="82"/>
              <w:spacing w:after="0" w:line="183" w:lineRule="exact"/>
              <w:rPr>
                <w:sz w:val="20"/>
                <w:szCs w:val="20"/>
                <w:color w:val="auto"/>
              </w:rPr>
            </w:pPr>
            <w:r>
              <w:rPr>
                <w:rFonts w:ascii="Arial" w:cs="Arial" w:eastAsia="Arial" w:hAnsi="Arial"/>
                <w:sz w:val="16"/>
                <w:szCs w:val="16"/>
                <w:color w:val="auto"/>
              </w:rPr>
              <w:t>135.5</w:t>
            </w:r>
          </w:p>
        </w:tc>
        <w:tc>
          <w:tcPr>
            <w:tcW w:w="20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2E8F1"/>
          </w:tcPr>
          <w:p>
            <w:pPr>
              <w:jc w:val="right"/>
              <w:ind w:right="82"/>
              <w:spacing w:after="0" w:line="183" w:lineRule="exact"/>
              <w:rPr>
                <w:sz w:val="20"/>
                <w:szCs w:val="20"/>
                <w:color w:val="auto"/>
              </w:rPr>
            </w:pPr>
            <w:r>
              <w:rPr>
                <w:rFonts w:ascii="Arial" w:cs="Arial" w:eastAsia="Arial" w:hAnsi="Arial"/>
                <w:sz w:val="16"/>
                <w:szCs w:val="16"/>
                <w:color w:val="auto"/>
              </w:rPr>
              <w:t>161.9</w:t>
            </w:r>
          </w:p>
        </w:tc>
        <w:tc>
          <w:tcPr>
            <w:tcW w:w="2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63.2</w:t>
            </w:r>
          </w:p>
        </w:tc>
        <w:tc>
          <w:tcPr>
            <w:tcW w:w="18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7.9</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1,481.7</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520" w:hanging="512"/>
        <w:spacing w:after="0" w:line="248"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Balances related to the United States were $1,007.2 and $1,071.7 as of December 31, 2025 and September 30, 2026, respectively. The increase in 2026 was due to the transfer of goodwill associated with the acquisitions of Right Management and Jefferson Wells U.S. from Corporate to the United States. The goodwill was reassigned to better align with the reporting unit that manages and benefits from the underlying operations.</w:t>
      </w:r>
    </w:p>
    <w:p>
      <w:pPr>
        <w:ind w:left="520" w:right="20" w:hanging="512"/>
        <w:spacing w:after="0" w:line="241"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Balances related to France were $80.5 and $77.6 as of December 31, 2025 and September 30, 2026, respectively. Balances related to Italy were $4.0 and $3.9 as of December 31, 2025 and September 30, 2026, respectively.</w:t>
      </w:r>
    </w:p>
    <w:p>
      <w:pPr>
        <w:ind w:left="520" w:hanging="512"/>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 5 to the Consolidated Financial Statements for further information on the disposition of our Jefferson Wells U.S.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Retirement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retirement plans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740" w:type="dxa"/>
            <w:vAlign w:val="bottom"/>
            <w:tcBorders>
              <w:top w:val="single" w:sz="8" w:color="auto"/>
              <w:bottom w:val="single" w:sz="8" w:color="auto"/>
            </w:tcBorders>
            <w:shd w:val="clear" w:color="auto" w:fill="98B0CF"/>
          </w:tcPr>
          <w:p>
            <w:pPr>
              <w:spacing w:after="0"/>
              <w:rPr>
                <w:sz w:val="15"/>
                <w:szCs w:val="15"/>
                <w:color w:val="auto"/>
              </w:rPr>
            </w:pPr>
          </w:p>
        </w:tc>
        <w:tc>
          <w:tcPr>
            <w:tcW w:w="540" w:type="dxa"/>
            <w:vAlign w:val="bottom"/>
            <w:tcBorders>
              <w:top w:val="single" w:sz="8" w:color="auto"/>
              <w:bottom w:val="single" w:sz="8" w:color="auto"/>
            </w:tcBorders>
            <w:shd w:val="clear" w:color="auto" w:fill="98B0CF"/>
          </w:tcPr>
          <w:p>
            <w:pPr>
              <w:spacing w:after="0"/>
              <w:rPr>
                <w:sz w:val="15"/>
                <w:szCs w:val="15"/>
                <w:color w:val="auto"/>
              </w:rPr>
            </w:pPr>
          </w:p>
        </w:tc>
        <w:tc>
          <w:tcPr>
            <w:tcW w:w="2780" w:type="dxa"/>
            <w:vAlign w:val="bottom"/>
            <w:tcBorders>
              <w:top w:val="single" w:sz="8" w:color="auto"/>
              <w:bottom w:val="single" w:sz="8" w:color="auto"/>
            </w:tcBorders>
            <w:gridSpan w:val="5"/>
            <w:shd w:val="clear" w:color="auto" w:fill="98B0CF"/>
          </w:tcPr>
          <w:p>
            <w:pPr>
              <w:jc w:val="right"/>
              <w:ind w:right="323"/>
              <w:spacing w:after="0"/>
              <w:rPr>
                <w:sz w:val="20"/>
                <w:szCs w:val="20"/>
                <w:color w:val="auto"/>
              </w:rPr>
            </w:pPr>
            <w:r>
              <w:rPr>
                <w:rFonts w:ascii="Arial" w:cs="Arial" w:eastAsia="Arial" w:hAnsi="Arial"/>
                <w:sz w:val="14"/>
                <w:szCs w:val="14"/>
                <w:b w:val="1"/>
                <w:bCs w:val="1"/>
                <w:color w:val="auto"/>
              </w:rPr>
              <w:t>Defined Benefit Pension Plan</w:t>
            </w:r>
          </w:p>
        </w:tc>
        <w:tc>
          <w:tcPr>
            <w:tcW w:w="500" w:type="dxa"/>
            <w:vAlign w:val="bottom"/>
            <w:tcBorders>
              <w:top w:val="single" w:sz="8" w:color="auto"/>
              <w:bottom w:val="single" w:sz="8" w:color="auto"/>
            </w:tcBorders>
            <w:shd w:val="clear" w:color="auto" w:fill="98B0CF"/>
          </w:tcPr>
          <w:p>
            <w:pPr>
              <w:spacing w:after="0"/>
              <w:rPr>
                <w:sz w:val="15"/>
                <w:szCs w:val="15"/>
                <w:color w:val="auto"/>
              </w:rPr>
            </w:pPr>
          </w:p>
        </w:tc>
        <w:tc>
          <w:tcPr>
            <w:tcW w:w="860" w:type="dxa"/>
            <w:vAlign w:val="bottom"/>
            <w:tcBorders>
              <w:top w:val="single" w:sz="8" w:color="auto"/>
              <w:bottom w:val="single" w:sz="8" w:color="auto"/>
            </w:tcBorders>
            <w:shd w:val="clear" w:color="auto" w:fill="98B0CF"/>
          </w:tcPr>
          <w:p>
            <w:pPr>
              <w:spacing w:after="0"/>
              <w:rPr>
                <w:sz w:val="15"/>
                <w:szCs w:val="15"/>
                <w:color w:val="auto"/>
              </w:rPr>
            </w:pPr>
          </w:p>
        </w:tc>
      </w:tr>
      <w:tr>
        <w:trPr>
          <w:trHeight w:val="156"/>
        </w:trPr>
        <w:tc>
          <w:tcPr>
            <w:tcW w:w="5700" w:type="dxa"/>
            <w:vAlign w:val="bottom"/>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2180" w:type="dxa"/>
            <w:vAlign w:val="bottom"/>
            <w:gridSpan w:val="3"/>
            <w:shd w:val="clear" w:color="auto" w:fill="98B0CF"/>
          </w:tcPr>
          <w:p>
            <w:pPr>
              <w:jc w:val="center"/>
              <w:ind w:left="285"/>
              <w:spacing w:after="0" w:line="155" w:lineRule="exact"/>
              <w:rPr>
                <w:sz w:val="20"/>
                <w:szCs w:val="20"/>
                <w:color w:val="auto"/>
              </w:rPr>
            </w:pPr>
            <w:r>
              <w:rPr>
                <w:rFonts w:ascii="Arial" w:cs="Arial" w:eastAsia="Arial" w:hAnsi="Arial"/>
                <w:sz w:val="14"/>
                <w:szCs w:val="14"/>
                <w:b w:val="1"/>
                <w:bCs w:val="1"/>
                <w:color w:val="auto"/>
              </w:rPr>
              <w:t>Three Months Ended</w:t>
            </w:r>
          </w:p>
        </w:tc>
        <w:tc>
          <w:tcPr>
            <w:tcW w:w="460" w:type="dxa"/>
            <w:vAlign w:val="bottom"/>
            <w:shd w:val="clear" w:color="auto" w:fill="98B0CF"/>
          </w:tcPr>
          <w:p>
            <w:pPr>
              <w:spacing w:after="0"/>
              <w:rPr>
                <w:sz w:val="13"/>
                <w:szCs w:val="13"/>
                <w:color w:val="auto"/>
              </w:rPr>
            </w:pPr>
          </w:p>
        </w:tc>
        <w:tc>
          <w:tcPr>
            <w:tcW w:w="140" w:type="dxa"/>
            <w:vAlign w:val="bottom"/>
            <w:shd w:val="clear" w:color="auto" w:fill="98B0CF"/>
          </w:tcPr>
          <w:p>
            <w:pPr>
              <w:spacing w:after="0"/>
              <w:rPr>
                <w:sz w:val="13"/>
                <w:szCs w:val="13"/>
                <w:color w:val="auto"/>
              </w:rPr>
            </w:pPr>
          </w:p>
        </w:tc>
        <w:tc>
          <w:tcPr>
            <w:tcW w:w="240" w:type="dxa"/>
            <w:vAlign w:val="bottom"/>
            <w:shd w:val="clear" w:color="auto" w:fill="98B0CF"/>
          </w:tcPr>
          <w:p>
            <w:pPr>
              <w:spacing w:after="0"/>
              <w:rPr>
                <w:sz w:val="13"/>
                <w:szCs w:val="13"/>
                <w:color w:val="auto"/>
              </w:rPr>
            </w:pPr>
          </w:p>
        </w:tc>
        <w:tc>
          <w:tcPr>
            <w:tcW w:w="2400" w:type="dxa"/>
            <w:vAlign w:val="bottom"/>
            <w:gridSpan w:val="3"/>
            <w:shd w:val="clear" w:color="auto" w:fill="98B0CF"/>
          </w:tcPr>
          <w:p>
            <w:pPr>
              <w:jc w:val="center"/>
              <w:ind w:right="301"/>
              <w:spacing w:after="0" w:line="155" w:lineRule="exact"/>
              <w:rPr>
                <w:sz w:val="20"/>
                <w:szCs w:val="20"/>
                <w:color w:val="auto"/>
              </w:rPr>
            </w:pPr>
            <w:r>
              <w:rPr>
                <w:rFonts w:ascii="Arial" w:cs="Arial" w:eastAsia="Arial" w:hAnsi="Arial"/>
                <w:sz w:val="14"/>
                <w:szCs w:val="14"/>
                <w:b w:val="1"/>
                <w:bCs w:val="1"/>
                <w:color w:val="auto"/>
              </w:rPr>
              <w:t>Nine Months Ended</w:t>
            </w:r>
          </w:p>
        </w:tc>
      </w:tr>
      <w:tr>
        <w:trPr>
          <w:trHeight w:val="162"/>
        </w:trPr>
        <w:tc>
          <w:tcPr>
            <w:tcW w:w="570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740" w:type="dxa"/>
            <w:vAlign w:val="bottom"/>
            <w:tcBorders>
              <w:bottom w:val="single" w:sz="8" w:color="auto"/>
            </w:tcBorders>
            <w:shd w:val="clear" w:color="auto" w:fill="98B0CF"/>
          </w:tcPr>
          <w:p>
            <w:pPr>
              <w:spacing w:after="0"/>
              <w:rPr>
                <w:sz w:val="14"/>
                <w:szCs w:val="14"/>
                <w:color w:val="auto"/>
              </w:rPr>
            </w:pPr>
          </w:p>
        </w:tc>
        <w:tc>
          <w:tcPr>
            <w:tcW w:w="1440" w:type="dxa"/>
            <w:vAlign w:val="bottom"/>
            <w:tcBorders>
              <w:bottom w:val="single" w:sz="8" w:color="auto"/>
            </w:tcBorders>
            <w:gridSpan w:val="2"/>
            <w:shd w:val="clear" w:color="auto" w:fill="98B0CF"/>
          </w:tcPr>
          <w:p>
            <w:pPr>
              <w:jc w:val="center"/>
              <w:ind w:right="304"/>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shd w:val="clear" w:color="auto" w:fill="98B0CF"/>
          </w:tcPr>
          <w:p>
            <w:pPr>
              <w:spacing w:after="0"/>
              <w:rPr>
                <w:sz w:val="14"/>
                <w:szCs w:val="14"/>
                <w:color w:val="auto"/>
              </w:rPr>
            </w:pPr>
          </w:p>
        </w:tc>
        <w:tc>
          <w:tcPr>
            <w:tcW w:w="140" w:type="dxa"/>
            <w:vAlign w:val="bottom"/>
            <w:tcBorders>
              <w:bottom w:val="single" w:sz="8" w:color="98B0CF"/>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540" w:type="dxa"/>
            <w:vAlign w:val="bottom"/>
            <w:tcBorders>
              <w:bottom w:val="single" w:sz="8" w:color="auto"/>
            </w:tcBorders>
            <w:gridSpan w:val="2"/>
            <w:shd w:val="clear" w:color="auto" w:fill="98B0CF"/>
          </w:tcPr>
          <w:p>
            <w:pPr>
              <w:jc w:val="center"/>
              <w:ind w:left="403"/>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shd w:val="clear" w:color="auto" w:fill="98B0CF"/>
          </w:tcPr>
          <w:p>
            <w:pPr>
              <w:spacing w:after="0"/>
              <w:rPr>
                <w:sz w:val="14"/>
                <w:szCs w:val="14"/>
                <w:color w:val="auto"/>
              </w:rPr>
            </w:pPr>
          </w:p>
        </w:tc>
      </w:tr>
      <w:tr>
        <w:trPr>
          <w:trHeight w:val="156"/>
        </w:trPr>
        <w:tc>
          <w:tcPr>
            <w:tcW w:w="570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74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shd w:val="clear" w:color="auto" w:fill="98B0CF"/>
          </w:tcPr>
          <w:p>
            <w:pPr>
              <w:spacing w:after="0"/>
              <w:rPr>
                <w:sz w:val="13"/>
                <w:szCs w:val="13"/>
                <w:color w:val="auto"/>
              </w:rPr>
            </w:pPr>
          </w:p>
        </w:tc>
        <w:tc>
          <w:tcPr>
            <w:tcW w:w="90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240" w:type="dxa"/>
            <w:vAlign w:val="bottom"/>
            <w:tcBorders>
              <w:bottom w:val="single" w:sz="8" w:color="auto"/>
            </w:tcBorders>
            <w:shd w:val="clear" w:color="auto" w:fill="98B0CF"/>
          </w:tcPr>
          <w:p>
            <w:pPr>
              <w:spacing w:after="0"/>
              <w:rPr>
                <w:sz w:val="13"/>
                <w:szCs w:val="13"/>
                <w:color w:val="auto"/>
              </w:rPr>
            </w:pPr>
          </w:p>
        </w:tc>
        <w:tc>
          <w:tcPr>
            <w:tcW w:w="1040" w:type="dxa"/>
            <w:vAlign w:val="bottom"/>
            <w:tcBorders>
              <w:bottom w:val="single" w:sz="8" w:color="auto"/>
            </w:tcBorders>
            <w:shd w:val="clear" w:color="auto" w:fill="98B0CF"/>
          </w:tcPr>
          <w:p>
            <w:pPr>
              <w:jc w:val="right"/>
              <w:ind w:right="483"/>
              <w:spacing w:after="0" w:line="155" w:lineRule="exact"/>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jc w:val="right"/>
              <w:ind w:right="441"/>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570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Service cost</w:t>
            </w:r>
          </w:p>
        </w:tc>
        <w:tc>
          <w:tcPr>
            <w:tcW w:w="120" w:type="dxa"/>
            <w:vAlign w:val="bottom"/>
            <w:shd w:val="clear" w:color="auto" w:fill="E2E8F1"/>
          </w:tcPr>
          <w:p>
            <w:pPr>
              <w:spacing w:after="0"/>
              <w:rPr>
                <w:sz w:val="15"/>
                <w:szCs w:val="15"/>
                <w:color w:val="auto"/>
              </w:rPr>
            </w:pPr>
          </w:p>
        </w:tc>
        <w:tc>
          <w:tcPr>
            <w:tcW w:w="740" w:type="dxa"/>
            <w:vAlign w:val="bottom"/>
            <w:shd w:val="clear" w:color="auto" w:fill="E2E8F1"/>
          </w:tcPr>
          <w:p>
            <w:pPr>
              <w:jc w:val="right"/>
              <w:ind w:right="565"/>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3.5</w:t>
            </w:r>
          </w:p>
        </w:tc>
        <w:tc>
          <w:tcPr>
            <w:tcW w:w="900" w:type="dxa"/>
            <w:vAlign w:val="bottom"/>
            <w:shd w:val="clear" w:color="auto" w:fill="E2E8F1"/>
          </w:tcPr>
          <w:p>
            <w:pPr>
              <w:jc w:val="right"/>
              <w:ind w:right="624"/>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4.0</w:t>
            </w:r>
          </w:p>
        </w:tc>
        <w:tc>
          <w:tcPr>
            <w:tcW w:w="380" w:type="dxa"/>
            <w:vAlign w:val="bottom"/>
            <w:gridSpan w:val="2"/>
            <w:shd w:val="clear" w:color="auto" w:fill="E2E8F1"/>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E2E8F1"/>
          </w:tcPr>
          <w:p>
            <w:pPr>
              <w:jc w:val="right"/>
              <w:ind w:right="83"/>
              <w:spacing w:after="0" w:line="183" w:lineRule="exact"/>
              <w:rPr>
                <w:sz w:val="20"/>
                <w:szCs w:val="20"/>
                <w:color w:val="auto"/>
              </w:rPr>
            </w:pPr>
            <w:r>
              <w:rPr>
                <w:rFonts w:ascii="Arial" w:cs="Arial" w:eastAsia="Arial" w:hAnsi="Arial"/>
                <w:sz w:val="16"/>
                <w:szCs w:val="16"/>
                <w:color w:val="auto"/>
              </w:rPr>
              <w:t>10.6</w:t>
            </w:r>
          </w:p>
        </w:tc>
        <w:tc>
          <w:tcPr>
            <w:tcW w:w="500" w:type="dxa"/>
            <w:vAlign w:val="bottom"/>
            <w:shd w:val="clear" w:color="auto" w:fill="E2E8F1"/>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11.4</w:t>
            </w: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ind w:right="81"/>
              <w:spacing w:after="0"/>
              <w:rPr>
                <w:sz w:val="20"/>
                <w:szCs w:val="20"/>
                <w:color w:val="auto"/>
              </w:rPr>
            </w:pPr>
            <w:r>
              <w:rPr>
                <w:rFonts w:ascii="Arial" w:cs="Arial" w:eastAsia="Arial" w:hAnsi="Arial"/>
                <w:sz w:val="16"/>
                <w:szCs w:val="16"/>
                <w:color w:val="auto"/>
              </w:rPr>
              <w:t>5.5</w:t>
            </w:r>
          </w:p>
        </w:tc>
        <w:tc>
          <w:tcPr>
            <w:tcW w:w="9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16.8</w:t>
            </w:r>
          </w:p>
        </w:tc>
        <w:tc>
          <w:tcPr>
            <w:tcW w:w="500" w:type="dxa"/>
            <w:vAlign w:val="bottom"/>
          </w:tcPr>
          <w:p>
            <w:pPr>
              <w:spacing w:after="0"/>
              <w:rPr>
                <w:sz w:val="16"/>
                <w:szCs w:val="16"/>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14.9</w:t>
            </w:r>
          </w:p>
        </w:tc>
      </w:tr>
      <w:tr>
        <w:trPr>
          <w:trHeight w:val="189"/>
        </w:trPr>
        <w:tc>
          <w:tcPr>
            <w:tcW w:w="5700" w:type="dxa"/>
            <w:vAlign w:val="bottom"/>
            <w:shd w:val="clear" w:color="auto" w:fill="E2E8F1"/>
          </w:tcPr>
          <w:p>
            <w:pPr>
              <w:ind w:left="60"/>
              <w:spacing w:after="0"/>
              <w:rPr>
                <w:sz w:val="20"/>
                <w:szCs w:val="20"/>
                <w:color w:val="auto"/>
              </w:rPr>
            </w:pPr>
            <w:r>
              <w:rPr>
                <w:rFonts w:ascii="Arial" w:cs="Arial" w:eastAsia="Arial" w:hAnsi="Arial"/>
                <w:sz w:val="16"/>
                <w:szCs w:val="16"/>
                <w:color w:val="auto"/>
              </w:rPr>
              <w:t>Expected return on assets</w:t>
            </w: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1"/>
              <w:spacing w:after="0"/>
              <w:rPr>
                <w:sz w:val="20"/>
                <w:szCs w:val="20"/>
                <w:color w:val="auto"/>
              </w:rPr>
            </w:pPr>
            <w:r>
              <w:rPr>
                <w:rFonts w:ascii="Arial" w:cs="Arial" w:eastAsia="Arial" w:hAnsi="Arial"/>
                <w:sz w:val="16"/>
                <w:szCs w:val="16"/>
                <w:color w:val="auto"/>
              </w:rPr>
              <w:t>(5.2)</w:t>
            </w:r>
          </w:p>
        </w:tc>
        <w:tc>
          <w:tcPr>
            <w:tcW w:w="900" w:type="dxa"/>
            <w:vAlign w:val="bottom"/>
            <w:shd w:val="clear" w:color="auto" w:fill="E2E8F1"/>
          </w:tcPr>
          <w:p>
            <w:pPr>
              <w:spacing w:after="0"/>
              <w:rPr>
                <w:sz w:val="16"/>
                <w:szCs w:val="16"/>
                <w:color w:val="auto"/>
              </w:rPr>
            </w:pPr>
          </w:p>
        </w:tc>
        <w:tc>
          <w:tcPr>
            <w:tcW w:w="4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3"/>
              <w:spacing w:after="0"/>
              <w:rPr>
                <w:sz w:val="20"/>
                <w:szCs w:val="20"/>
                <w:color w:val="auto"/>
              </w:rPr>
            </w:pPr>
            <w:r>
              <w:rPr>
                <w:rFonts w:ascii="Arial" w:cs="Arial" w:eastAsia="Arial" w:hAnsi="Arial"/>
                <w:sz w:val="16"/>
                <w:szCs w:val="16"/>
                <w:color w:val="auto"/>
              </w:rPr>
              <w:t>(15.8)</w:t>
            </w:r>
          </w:p>
        </w:tc>
        <w:tc>
          <w:tcPr>
            <w:tcW w:w="500" w:type="dxa"/>
            <w:vAlign w:val="bottom"/>
            <w:shd w:val="clear" w:color="auto" w:fill="E2E8F1"/>
          </w:tcPr>
          <w:p>
            <w:pPr>
              <w:spacing w:after="0"/>
              <w:rPr>
                <w:sz w:val="16"/>
                <w:szCs w:val="16"/>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(15.4)</w:t>
            </w: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Net (gain) loss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9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(0.5)</w:t>
            </w:r>
          </w:p>
        </w:tc>
        <w:tc>
          <w:tcPr>
            <w:tcW w:w="500" w:type="dxa"/>
            <w:vAlign w:val="bottom"/>
          </w:tcPr>
          <w:p>
            <w:pPr>
              <w:spacing w:after="0"/>
              <w:rPr>
                <w:sz w:val="16"/>
                <w:szCs w:val="16"/>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0.2</w:t>
            </w:r>
          </w:p>
        </w:tc>
      </w:tr>
      <w:tr>
        <w:trPr>
          <w:trHeight w:val="189"/>
        </w:trPr>
        <w:tc>
          <w:tcPr>
            <w:tcW w:w="570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Prior service cost</w:t>
            </w:r>
          </w:p>
        </w:tc>
        <w:tc>
          <w:tcPr>
            <w:tcW w:w="120" w:type="dxa"/>
            <w:vAlign w:val="bottom"/>
            <w:tcBorders>
              <w:bottom w:val="single" w:sz="8" w:color="auto"/>
            </w:tcBorders>
            <w:shd w:val="clear" w:color="auto" w:fill="E2E8F1"/>
          </w:tcPr>
          <w:p>
            <w:pPr>
              <w:spacing w:after="0"/>
              <w:rPr>
                <w:sz w:val="16"/>
                <w:szCs w:val="16"/>
                <w:color w:val="auto"/>
              </w:rPr>
            </w:pPr>
          </w:p>
        </w:tc>
        <w:tc>
          <w:tcPr>
            <w:tcW w:w="740" w:type="dxa"/>
            <w:vAlign w:val="bottom"/>
            <w:tcBorders>
              <w:bottom w:val="single" w:sz="8" w:color="auto"/>
            </w:tcBorders>
            <w:shd w:val="clear" w:color="auto" w:fill="E2E8F1"/>
          </w:tcPr>
          <w:p>
            <w:pPr>
              <w:spacing w:after="0"/>
              <w:rPr>
                <w:sz w:val="16"/>
                <w:szCs w:val="16"/>
                <w:color w:val="auto"/>
              </w:rPr>
            </w:pPr>
          </w:p>
        </w:tc>
        <w:tc>
          <w:tcPr>
            <w:tcW w:w="54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0.2</w:t>
            </w:r>
          </w:p>
        </w:tc>
        <w:tc>
          <w:tcPr>
            <w:tcW w:w="900" w:type="dxa"/>
            <w:vAlign w:val="bottom"/>
            <w:tcBorders>
              <w:bottom w:val="single" w:sz="8" w:color="auto"/>
            </w:tcBorders>
            <w:shd w:val="clear" w:color="auto" w:fill="E2E8F1"/>
          </w:tcPr>
          <w:p>
            <w:pPr>
              <w:spacing w:after="0"/>
              <w:rPr>
                <w:sz w:val="16"/>
                <w:szCs w:val="16"/>
                <w:color w:val="auto"/>
              </w:rPr>
            </w:pPr>
          </w:p>
        </w:tc>
        <w:tc>
          <w:tcPr>
            <w:tcW w:w="460" w:type="dxa"/>
            <w:vAlign w:val="bottom"/>
            <w:tcBorders>
              <w:bottom w:val="single" w:sz="8" w:color="auto"/>
            </w:tcBorders>
            <w:shd w:val="clear" w:color="auto" w:fill="E2E8F1"/>
          </w:tcPr>
          <w:p>
            <w:pPr>
              <w:jc w:val="right"/>
              <w:ind w:right="39"/>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40" w:type="dxa"/>
            <w:vAlign w:val="bottom"/>
            <w:tcBorders>
              <w:bottom w:val="single" w:sz="8" w:color="auto"/>
            </w:tcBorders>
            <w:shd w:val="clear" w:color="auto" w:fill="E2E8F1"/>
          </w:tcPr>
          <w:p>
            <w:pPr>
              <w:jc w:val="right"/>
              <w:ind w:right="83"/>
              <w:spacing w:after="0"/>
              <w:rPr>
                <w:sz w:val="20"/>
                <w:szCs w:val="20"/>
                <w:color w:val="auto"/>
              </w:rPr>
            </w:pPr>
            <w:r>
              <w:rPr>
                <w:rFonts w:ascii="Arial" w:cs="Arial" w:eastAsia="Arial" w:hAnsi="Arial"/>
                <w:sz w:val="16"/>
                <w:szCs w:val="16"/>
                <w:color w:val="auto"/>
              </w:rPr>
              <w:t>0.5</w:t>
            </w:r>
          </w:p>
        </w:tc>
        <w:tc>
          <w:tcPr>
            <w:tcW w:w="500" w:type="dxa"/>
            <w:vAlign w:val="bottom"/>
            <w:tcBorders>
              <w:bottom w:val="single" w:sz="8" w:color="auto"/>
            </w:tcBorders>
            <w:shd w:val="clear" w:color="auto" w:fill="E2E8F1"/>
          </w:tcPr>
          <w:p>
            <w:pPr>
              <w:spacing w:after="0"/>
              <w:rPr>
                <w:sz w:val="16"/>
                <w:szCs w:val="16"/>
                <w:color w:val="auto"/>
              </w:rPr>
            </w:pPr>
          </w:p>
        </w:tc>
        <w:tc>
          <w:tcPr>
            <w:tcW w:w="86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0.5</w:t>
            </w:r>
          </w:p>
        </w:tc>
      </w:tr>
      <w:tr>
        <w:trPr>
          <w:trHeight w:val="183"/>
        </w:trPr>
        <w:tc>
          <w:tcPr>
            <w:tcW w:w="570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6"/>
                <w:szCs w:val="16"/>
                <w:color w:val="auto"/>
              </w:rPr>
              <w:t>Total benefit cost</w:t>
            </w:r>
          </w:p>
        </w:tc>
        <w:tc>
          <w:tcPr>
            <w:tcW w:w="860" w:type="dxa"/>
            <w:vAlign w:val="bottom"/>
            <w:tcBorders>
              <w:bottom w:val="single" w:sz="8" w:color="auto"/>
            </w:tcBorders>
            <w:gridSpan w:val="2"/>
          </w:tcPr>
          <w:p>
            <w:pPr>
              <w:jc w:val="right"/>
              <w:ind w:right="565"/>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3.8</w:t>
            </w:r>
          </w:p>
        </w:tc>
        <w:tc>
          <w:tcPr>
            <w:tcW w:w="900" w:type="dxa"/>
            <w:vAlign w:val="bottom"/>
            <w:tcBorders>
              <w:bottom w:val="single" w:sz="8" w:color="auto"/>
            </w:tcBorders>
          </w:tcPr>
          <w:p>
            <w:pPr>
              <w:jc w:val="right"/>
              <w:ind w:right="624"/>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4.0</w:t>
            </w:r>
          </w:p>
        </w:tc>
        <w:tc>
          <w:tcPr>
            <w:tcW w:w="380" w:type="dxa"/>
            <w:vAlign w:val="bottom"/>
            <w:tcBorders>
              <w:bottom w:val="single" w:sz="8" w:color="auto"/>
            </w:tcBorders>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3"/>
              <w:spacing w:after="0" w:line="183" w:lineRule="exact"/>
              <w:rPr>
                <w:sz w:val="20"/>
                <w:szCs w:val="20"/>
                <w:color w:val="auto"/>
              </w:rPr>
            </w:pPr>
            <w:r>
              <w:rPr>
                <w:rFonts w:ascii="Arial" w:cs="Arial" w:eastAsia="Arial" w:hAnsi="Arial"/>
                <w:sz w:val="16"/>
                <w:szCs w:val="16"/>
                <w:color w:val="auto"/>
              </w:rPr>
              <w:t>11.6</w:t>
            </w:r>
          </w:p>
        </w:tc>
        <w:tc>
          <w:tcPr>
            <w:tcW w:w="5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11.6</w:t>
            </w:r>
          </w:p>
        </w:tc>
      </w:tr>
      <w:tr>
        <w:trPr>
          <w:trHeight w:val="196"/>
        </w:trPr>
        <w:tc>
          <w:tcPr>
            <w:tcW w:w="5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56"/>
        </w:trPr>
        <w:tc>
          <w:tcPr>
            <w:tcW w:w="57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740" w:type="dxa"/>
            <w:vAlign w:val="bottom"/>
            <w:tcBorders>
              <w:bottom w:val="single" w:sz="8" w:color="auto"/>
            </w:tcBorders>
            <w:shd w:val="clear" w:color="auto" w:fill="98B0CF"/>
          </w:tcPr>
          <w:p>
            <w:pPr>
              <w:spacing w:after="0"/>
              <w:rPr>
                <w:sz w:val="13"/>
                <w:szCs w:val="13"/>
                <w:color w:val="auto"/>
              </w:rPr>
            </w:pPr>
          </w:p>
        </w:tc>
        <w:tc>
          <w:tcPr>
            <w:tcW w:w="540" w:type="dxa"/>
            <w:vAlign w:val="bottom"/>
            <w:tcBorders>
              <w:bottom w:val="single" w:sz="8" w:color="auto"/>
            </w:tcBorders>
            <w:shd w:val="clear" w:color="auto" w:fill="98B0CF"/>
          </w:tcPr>
          <w:p>
            <w:pPr>
              <w:spacing w:after="0"/>
              <w:rPr>
                <w:sz w:val="13"/>
                <w:szCs w:val="13"/>
                <w:color w:val="auto"/>
              </w:rPr>
            </w:pPr>
          </w:p>
        </w:tc>
        <w:tc>
          <w:tcPr>
            <w:tcW w:w="2780" w:type="dxa"/>
            <w:vAlign w:val="bottom"/>
            <w:tcBorders>
              <w:bottom w:val="single" w:sz="8" w:color="auto"/>
            </w:tcBorders>
            <w:gridSpan w:val="5"/>
            <w:shd w:val="clear" w:color="auto" w:fill="98B0CF"/>
          </w:tcPr>
          <w:p>
            <w:pPr>
              <w:jc w:val="right"/>
              <w:ind w:right="503"/>
              <w:spacing w:after="0" w:line="155" w:lineRule="exact"/>
              <w:rPr>
                <w:sz w:val="20"/>
                <w:szCs w:val="20"/>
                <w:color w:val="auto"/>
              </w:rPr>
            </w:pPr>
            <w:r>
              <w:rPr>
                <w:rFonts w:ascii="Arial" w:cs="Arial" w:eastAsia="Arial" w:hAnsi="Arial"/>
                <w:sz w:val="14"/>
                <w:szCs w:val="14"/>
                <w:b w:val="1"/>
                <w:bCs w:val="1"/>
                <w:color w:val="auto"/>
              </w:rPr>
              <w:t>Retiree Health Care Plan</w:t>
            </w:r>
          </w:p>
        </w:tc>
        <w:tc>
          <w:tcPr>
            <w:tcW w:w="50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spacing w:after="0"/>
              <w:rPr>
                <w:sz w:val="13"/>
                <w:szCs w:val="13"/>
                <w:color w:val="auto"/>
              </w:rPr>
            </w:pPr>
          </w:p>
        </w:tc>
      </w:tr>
      <w:tr>
        <w:trPr>
          <w:trHeight w:val="155"/>
        </w:trPr>
        <w:tc>
          <w:tcPr>
            <w:tcW w:w="5700" w:type="dxa"/>
            <w:vAlign w:val="bottom"/>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2180" w:type="dxa"/>
            <w:vAlign w:val="bottom"/>
            <w:gridSpan w:val="3"/>
            <w:shd w:val="clear" w:color="auto" w:fill="98B0CF"/>
          </w:tcPr>
          <w:p>
            <w:pPr>
              <w:jc w:val="center"/>
              <w:ind w:left="285"/>
              <w:spacing w:after="0" w:line="155" w:lineRule="exact"/>
              <w:rPr>
                <w:sz w:val="20"/>
                <w:szCs w:val="20"/>
                <w:color w:val="auto"/>
              </w:rPr>
            </w:pPr>
            <w:r>
              <w:rPr>
                <w:rFonts w:ascii="Arial" w:cs="Arial" w:eastAsia="Arial" w:hAnsi="Arial"/>
                <w:sz w:val="14"/>
                <w:szCs w:val="14"/>
                <w:b w:val="1"/>
                <w:bCs w:val="1"/>
                <w:color w:val="auto"/>
              </w:rPr>
              <w:t>Three Months Ended</w:t>
            </w:r>
          </w:p>
        </w:tc>
        <w:tc>
          <w:tcPr>
            <w:tcW w:w="460" w:type="dxa"/>
            <w:vAlign w:val="bottom"/>
            <w:shd w:val="clear" w:color="auto" w:fill="98B0CF"/>
          </w:tcPr>
          <w:p>
            <w:pPr>
              <w:spacing w:after="0"/>
              <w:rPr>
                <w:sz w:val="13"/>
                <w:szCs w:val="13"/>
                <w:color w:val="auto"/>
              </w:rPr>
            </w:pPr>
          </w:p>
        </w:tc>
        <w:tc>
          <w:tcPr>
            <w:tcW w:w="140" w:type="dxa"/>
            <w:vAlign w:val="bottom"/>
            <w:shd w:val="clear" w:color="auto" w:fill="98B0CF"/>
          </w:tcPr>
          <w:p>
            <w:pPr>
              <w:spacing w:after="0"/>
              <w:rPr>
                <w:sz w:val="13"/>
                <w:szCs w:val="13"/>
                <w:color w:val="auto"/>
              </w:rPr>
            </w:pPr>
          </w:p>
        </w:tc>
        <w:tc>
          <w:tcPr>
            <w:tcW w:w="240" w:type="dxa"/>
            <w:vAlign w:val="bottom"/>
            <w:shd w:val="clear" w:color="auto" w:fill="98B0CF"/>
          </w:tcPr>
          <w:p>
            <w:pPr>
              <w:spacing w:after="0"/>
              <w:rPr>
                <w:sz w:val="13"/>
                <w:szCs w:val="13"/>
                <w:color w:val="auto"/>
              </w:rPr>
            </w:pPr>
          </w:p>
        </w:tc>
        <w:tc>
          <w:tcPr>
            <w:tcW w:w="2400" w:type="dxa"/>
            <w:vAlign w:val="bottom"/>
            <w:gridSpan w:val="3"/>
            <w:shd w:val="clear" w:color="auto" w:fill="98B0CF"/>
          </w:tcPr>
          <w:p>
            <w:pPr>
              <w:jc w:val="center"/>
              <w:ind w:right="301"/>
              <w:spacing w:after="0" w:line="155" w:lineRule="exact"/>
              <w:rPr>
                <w:sz w:val="20"/>
                <w:szCs w:val="20"/>
                <w:color w:val="auto"/>
              </w:rPr>
            </w:pPr>
            <w:r>
              <w:rPr>
                <w:rFonts w:ascii="Arial" w:cs="Arial" w:eastAsia="Arial" w:hAnsi="Arial"/>
                <w:sz w:val="14"/>
                <w:szCs w:val="14"/>
                <w:b w:val="1"/>
                <w:bCs w:val="1"/>
                <w:color w:val="auto"/>
              </w:rPr>
              <w:t>Nine Months Ended</w:t>
            </w:r>
          </w:p>
        </w:tc>
      </w:tr>
      <w:tr>
        <w:trPr>
          <w:trHeight w:val="162"/>
        </w:trPr>
        <w:tc>
          <w:tcPr>
            <w:tcW w:w="570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740" w:type="dxa"/>
            <w:vAlign w:val="bottom"/>
            <w:tcBorders>
              <w:bottom w:val="single" w:sz="8" w:color="auto"/>
            </w:tcBorders>
            <w:shd w:val="clear" w:color="auto" w:fill="98B0CF"/>
          </w:tcPr>
          <w:p>
            <w:pPr>
              <w:spacing w:after="0"/>
              <w:rPr>
                <w:sz w:val="14"/>
                <w:szCs w:val="14"/>
                <w:color w:val="auto"/>
              </w:rPr>
            </w:pPr>
          </w:p>
        </w:tc>
        <w:tc>
          <w:tcPr>
            <w:tcW w:w="1440" w:type="dxa"/>
            <w:vAlign w:val="bottom"/>
            <w:tcBorders>
              <w:bottom w:val="single" w:sz="8" w:color="auto"/>
            </w:tcBorders>
            <w:gridSpan w:val="2"/>
            <w:shd w:val="clear" w:color="auto" w:fill="98B0CF"/>
          </w:tcPr>
          <w:p>
            <w:pPr>
              <w:jc w:val="center"/>
              <w:ind w:right="304"/>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shd w:val="clear" w:color="auto" w:fill="98B0CF"/>
          </w:tcPr>
          <w:p>
            <w:pPr>
              <w:spacing w:after="0"/>
              <w:rPr>
                <w:sz w:val="14"/>
                <w:szCs w:val="14"/>
                <w:color w:val="auto"/>
              </w:rPr>
            </w:pPr>
          </w:p>
        </w:tc>
        <w:tc>
          <w:tcPr>
            <w:tcW w:w="140" w:type="dxa"/>
            <w:vAlign w:val="bottom"/>
            <w:tcBorders>
              <w:bottom w:val="single" w:sz="8" w:color="98B0CF"/>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540" w:type="dxa"/>
            <w:vAlign w:val="bottom"/>
            <w:tcBorders>
              <w:bottom w:val="single" w:sz="8" w:color="auto"/>
            </w:tcBorders>
            <w:gridSpan w:val="2"/>
            <w:shd w:val="clear" w:color="auto" w:fill="98B0CF"/>
          </w:tcPr>
          <w:p>
            <w:pPr>
              <w:jc w:val="center"/>
              <w:ind w:left="403"/>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shd w:val="clear" w:color="auto" w:fill="98B0CF"/>
          </w:tcPr>
          <w:p>
            <w:pPr>
              <w:spacing w:after="0"/>
              <w:rPr>
                <w:sz w:val="14"/>
                <w:szCs w:val="14"/>
                <w:color w:val="auto"/>
              </w:rPr>
            </w:pPr>
          </w:p>
        </w:tc>
      </w:tr>
      <w:tr>
        <w:trPr>
          <w:trHeight w:val="155"/>
        </w:trPr>
        <w:tc>
          <w:tcPr>
            <w:tcW w:w="570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74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shd w:val="clear" w:color="auto" w:fill="98B0CF"/>
          </w:tcPr>
          <w:p>
            <w:pPr>
              <w:spacing w:after="0"/>
              <w:rPr>
                <w:sz w:val="13"/>
                <w:szCs w:val="13"/>
                <w:color w:val="auto"/>
              </w:rPr>
            </w:pPr>
          </w:p>
        </w:tc>
        <w:tc>
          <w:tcPr>
            <w:tcW w:w="90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240" w:type="dxa"/>
            <w:vAlign w:val="bottom"/>
            <w:tcBorders>
              <w:bottom w:val="single" w:sz="8" w:color="auto"/>
            </w:tcBorders>
            <w:shd w:val="clear" w:color="auto" w:fill="98B0CF"/>
          </w:tcPr>
          <w:p>
            <w:pPr>
              <w:spacing w:after="0"/>
              <w:rPr>
                <w:sz w:val="13"/>
                <w:szCs w:val="13"/>
                <w:color w:val="auto"/>
              </w:rPr>
            </w:pPr>
          </w:p>
        </w:tc>
        <w:tc>
          <w:tcPr>
            <w:tcW w:w="1040" w:type="dxa"/>
            <w:vAlign w:val="bottom"/>
            <w:tcBorders>
              <w:bottom w:val="single" w:sz="8" w:color="auto"/>
            </w:tcBorders>
            <w:shd w:val="clear" w:color="auto" w:fill="98B0CF"/>
          </w:tcPr>
          <w:p>
            <w:pPr>
              <w:jc w:val="right"/>
              <w:ind w:right="483"/>
              <w:spacing w:after="0" w:line="155" w:lineRule="exact"/>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jc w:val="right"/>
              <w:ind w:right="441"/>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570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Interest cost</w:t>
            </w:r>
          </w:p>
        </w:tc>
        <w:tc>
          <w:tcPr>
            <w:tcW w:w="120" w:type="dxa"/>
            <w:vAlign w:val="bottom"/>
            <w:shd w:val="clear" w:color="auto" w:fill="E2E8F1"/>
          </w:tcPr>
          <w:p>
            <w:pPr>
              <w:spacing w:after="0"/>
              <w:rPr>
                <w:sz w:val="15"/>
                <w:szCs w:val="15"/>
                <w:color w:val="auto"/>
              </w:rPr>
            </w:pPr>
          </w:p>
        </w:tc>
        <w:tc>
          <w:tcPr>
            <w:tcW w:w="740" w:type="dxa"/>
            <w:vAlign w:val="bottom"/>
            <w:shd w:val="clear" w:color="auto" w:fill="E2E8F1"/>
          </w:tcPr>
          <w:p>
            <w:pPr>
              <w:jc w:val="right"/>
              <w:ind w:right="565"/>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0.1</w:t>
            </w:r>
          </w:p>
        </w:tc>
        <w:tc>
          <w:tcPr>
            <w:tcW w:w="900" w:type="dxa"/>
            <w:vAlign w:val="bottom"/>
            <w:shd w:val="clear" w:color="auto" w:fill="E2E8F1"/>
          </w:tcPr>
          <w:p>
            <w:pPr>
              <w:jc w:val="right"/>
              <w:ind w:right="624"/>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0.1</w:t>
            </w:r>
          </w:p>
        </w:tc>
        <w:tc>
          <w:tcPr>
            <w:tcW w:w="380" w:type="dxa"/>
            <w:vAlign w:val="bottom"/>
            <w:gridSpan w:val="2"/>
            <w:shd w:val="clear" w:color="auto" w:fill="E2E8F1"/>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E2E8F1"/>
          </w:tcPr>
          <w:p>
            <w:pPr>
              <w:jc w:val="right"/>
              <w:ind w:right="83"/>
              <w:spacing w:after="0" w:line="183" w:lineRule="exact"/>
              <w:rPr>
                <w:sz w:val="20"/>
                <w:szCs w:val="20"/>
                <w:color w:val="auto"/>
              </w:rPr>
            </w:pPr>
            <w:r>
              <w:rPr>
                <w:rFonts w:ascii="Arial" w:cs="Arial" w:eastAsia="Arial" w:hAnsi="Arial"/>
                <w:sz w:val="16"/>
                <w:szCs w:val="16"/>
                <w:color w:val="auto"/>
              </w:rPr>
              <w:t>0.3</w:t>
            </w:r>
          </w:p>
        </w:tc>
        <w:tc>
          <w:tcPr>
            <w:tcW w:w="500" w:type="dxa"/>
            <w:vAlign w:val="bottom"/>
            <w:shd w:val="clear" w:color="auto" w:fill="E2E8F1"/>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0.3</w:t>
            </w:r>
          </w:p>
        </w:tc>
      </w:tr>
      <w:tr>
        <w:trPr>
          <w:trHeight w:val="189"/>
        </w:trPr>
        <w:tc>
          <w:tcPr>
            <w:tcW w:w="57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Prior service credit</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w:t>
            </w: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(0.6)</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183"/>
        </w:trPr>
        <w:tc>
          <w:tcPr>
            <w:tcW w:w="5700" w:type="dxa"/>
            <w:vAlign w:val="bottom"/>
            <w:tcBorders>
              <w:bottom w:val="single" w:sz="8" w:color="auto"/>
            </w:tcBorders>
            <w:shd w:val="clear" w:color="auto" w:fill="E2E8F1"/>
          </w:tcPr>
          <w:p>
            <w:pPr>
              <w:ind w:left="160"/>
              <w:spacing w:after="0" w:line="183" w:lineRule="exact"/>
              <w:rPr>
                <w:sz w:val="20"/>
                <w:szCs w:val="20"/>
                <w:color w:val="auto"/>
              </w:rPr>
            </w:pPr>
            <w:r>
              <w:rPr>
                <w:rFonts w:ascii="Arial" w:cs="Arial" w:eastAsia="Arial" w:hAnsi="Arial"/>
                <w:sz w:val="16"/>
                <w:szCs w:val="16"/>
                <w:color w:val="auto"/>
              </w:rPr>
              <w:t>Total benefit credit</w:t>
            </w:r>
          </w:p>
        </w:tc>
        <w:tc>
          <w:tcPr>
            <w:tcW w:w="860" w:type="dxa"/>
            <w:vAlign w:val="bottom"/>
            <w:tcBorders>
              <w:bottom w:val="single" w:sz="8" w:color="auto"/>
            </w:tcBorders>
            <w:gridSpan w:val="2"/>
            <w:shd w:val="clear" w:color="auto" w:fill="E2E8F1"/>
          </w:tcPr>
          <w:p>
            <w:pPr>
              <w:jc w:val="right"/>
              <w:ind w:right="565"/>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(0.1)</w:t>
            </w:r>
          </w:p>
        </w:tc>
        <w:tc>
          <w:tcPr>
            <w:tcW w:w="900" w:type="dxa"/>
            <w:vAlign w:val="bottom"/>
            <w:tcBorders>
              <w:bottom w:val="single" w:sz="8" w:color="auto"/>
            </w:tcBorders>
            <w:shd w:val="clear" w:color="auto" w:fill="E2E8F1"/>
          </w:tcPr>
          <w:p>
            <w:pPr>
              <w:jc w:val="right"/>
              <w:ind w:right="624"/>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gridSpan w:val="2"/>
            <w:shd w:val="clear" w:color="auto" w:fill="E2E8F1"/>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2E8F1"/>
          </w:tcPr>
          <w:p>
            <w:pPr>
              <w:jc w:val="right"/>
              <w:ind w:right="3"/>
              <w:spacing w:after="0" w:line="183" w:lineRule="exact"/>
              <w:rPr>
                <w:sz w:val="20"/>
                <w:szCs w:val="20"/>
                <w:color w:val="auto"/>
              </w:rPr>
            </w:pPr>
            <w:r>
              <w:rPr>
                <w:rFonts w:ascii="Arial" w:cs="Arial" w:eastAsia="Arial" w:hAnsi="Arial"/>
                <w:sz w:val="16"/>
                <w:szCs w:val="16"/>
                <w:color w:val="auto"/>
              </w:rPr>
              <w:t>(0.3)</w:t>
            </w:r>
          </w:p>
        </w:tc>
        <w:tc>
          <w:tcPr>
            <w:tcW w:w="500" w:type="dxa"/>
            <w:vAlign w:val="bottom"/>
            <w:tcBorders>
              <w:bottom w:val="single" w:sz="8" w:color="auto"/>
            </w:tcBorders>
            <w:shd w:val="clear" w:color="auto" w:fill="E2E8F1"/>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-1807845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-496570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and nine months ended September 30, 2026, contributions made to our pension plans were $4.4 and $13.4, respectively, and contributions made to our retiree health care plan were $0.3 and $0.8, respectively. During 2026, we expect to make total contributions of approximately $21.0 to our pension plans and to fund our retiree health care payments as incurred.</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(11) </w:t>
      </w:r>
      <w:r>
        <w:rPr>
          <w:rFonts w:ascii="Arial" w:cs="Arial" w:eastAsia="Arial" w:hAnsi="Arial"/>
          <w:sz w:val="25"/>
          <w:szCs w:val="25"/>
          <w:b w:val="1"/>
          <w:bCs w:val="1"/>
          <w:i w:val="1"/>
          <w:iCs w:val="1"/>
          <w:u w:val="single" w:color="auto"/>
          <w:color w:val="5B89B4"/>
        </w:rPr>
        <w:t>Shareholders’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tcBorders>
              <w:top w:val="single" w:sz="8" w:color="auto"/>
            </w:tcBorders>
            <w:shd w:val="clear" w:color="auto" w:fill="98B0CF"/>
          </w:tcPr>
          <w:p>
            <w:pPr>
              <w:spacing w:after="0"/>
              <w:rPr>
                <w:sz w:val="15"/>
                <w:szCs w:val="15"/>
                <w:color w:val="auto"/>
              </w:rPr>
            </w:pPr>
          </w:p>
        </w:tc>
        <w:tc>
          <w:tcPr>
            <w:tcW w:w="260" w:type="dxa"/>
            <w:vAlign w:val="bottom"/>
            <w:tcBorders>
              <w:top w:val="single" w:sz="8" w:color="auto"/>
            </w:tcBorders>
            <w:shd w:val="clear" w:color="auto" w:fill="98B0CF"/>
          </w:tcPr>
          <w:p>
            <w:pPr>
              <w:spacing w:after="0"/>
              <w:rPr>
                <w:sz w:val="15"/>
                <w:szCs w:val="15"/>
                <w:color w:val="auto"/>
              </w:rPr>
            </w:pPr>
          </w:p>
        </w:tc>
        <w:tc>
          <w:tcPr>
            <w:tcW w:w="1320" w:type="dxa"/>
            <w:vAlign w:val="bottom"/>
            <w:tcBorders>
              <w:top w:val="single" w:sz="8" w:color="auto"/>
            </w:tcBorders>
            <w:shd w:val="clear" w:color="auto" w:fill="98B0CF"/>
          </w:tcPr>
          <w:p>
            <w:pPr>
              <w:jc w:val="right"/>
              <w:ind w:right="221"/>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top w:val="single" w:sz="8" w:color="auto"/>
            </w:tcBorders>
            <w:shd w:val="clear" w:color="auto" w:fill="98B0CF"/>
          </w:tcPr>
          <w:p>
            <w:pPr>
              <w:spacing w:after="0"/>
              <w:rPr>
                <w:sz w:val="15"/>
                <w:szCs w:val="15"/>
                <w:color w:val="auto"/>
              </w:rPr>
            </w:pPr>
          </w:p>
        </w:tc>
        <w:tc>
          <w:tcPr>
            <w:tcW w:w="1340" w:type="dxa"/>
            <w:vAlign w:val="bottom"/>
            <w:tcBorders>
              <w:top w:val="single" w:sz="8" w:color="auto"/>
            </w:tcBorders>
            <w:shd w:val="clear" w:color="auto" w:fill="98B0CF"/>
          </w:tcPr>
          <w:p>
            <w:pPr>
              <w:jc w:val="right"/>
              <w:ind w:right="26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8060" w:type="dxa"/>
            <w:vAlign w:val="bottom"/>
            <w:tcBorders>
              <w:bottom w:val="single" w:sz="8" w:color="auto"/>
            </w:tcBorders>
            <w:shd w:val="clear" w:color="auto" w:fill="98B0CF"/>
          </w:tcPr>
          <w:p>
            <w:pPr>
              <w:spacing w:after="0"/>
              <w:rPr>
                <w:sz w:val="14"/>
                <w:szCs w:val="14"/>
                <w:color w:val="auto"/>
              </w:rPr>
            </w:pPr>
          </w:p>
        </w:tc>
        <w:tc>
          <w:tcPr>
            <w:tcW w:w="260" w:type="dxa"/>
            <w:vAlign w:val="bottom"/>
            <w:tcBorders>
              <w:bottom w:val="single" w:sz="8" w:color="auto"/>
            </w:tcBorders>
            <w:shd w:val="clear" w:color="auto" w:fill="98B0CF"/>
          </w:tcPr>
          <w:p>
            <w:pPr>
              <w:spacing w:after="0"/>
              <w:rPr>
                <w:sz w:val="14"/>
                <w:szCs w:val="14"/>
                <w:color w:val="auto"/>
              </w:rPr>
            </w:pPr>
          </w:p>
        </w:tc>
        <w:tc>
          <w:tcPr>
            <w:tcW w:w="1320" w:type="dxa"/>
            <w:vAlign w:val="bottom"/>
            <w:tcBorders>
              <w:bottom w:val="single" w:sz="8" w:color="auto"/>
            </w:tcBorders>
            <w:shd w:val="clear" w:color="auto" w:fill="98B0CF"/>
          </w:tcPr>
          <w:p>
            <w:pPr>
              <w:jc w:val="right"/>
              <w:ind w:right="561"/>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shd w:val="clear" w:color="auto" w:fill="98B0CF"/>
          </w:tcPr>
          <w:p>
            <w:pPr>
              <w:spacing w:after="0"/>
              <w:rPr>
                <w:sz w:val="14"/>
                <w:szCs w:val="14"/>
                <w:color w:val="auto"/>
              </w:rPr>
            </w:pPr>
          </w:p>
        </w:tc>
        <w:tc>
          <w:tcPr>
            <w:tcW w:w="1340" w:type="dxa"/>
            <w:vAlign w:val="bottom"/>
            <w:tcBorders>
              <w:bottom w:val="single" w:sz="8" w:color="auto"/>
            </w:tcBorders>
            <w:shd w:val="clear" w:color="auto" w:fill="98B0CF"/>
          </w:tcPr>
          <w:p>
            <w:pPr>
              <w:jc w:val="right"/>
              <w:ind w:right="561"/>
              <w:spacing w:after="0"/>
              <w:rPr>
                <w:sz w:val="20"/>
                <w:szCs w:val="20"/>
                <w:color w:val="auto"/>
              </w:rPr>
            </w:pPr>
            <w:r>
              <w:rPr>
                <w:rFonts w:ascii="Arial" w:cs="Arial" w:eastAsia="Arial" w:hAnsi="Arial"/>
                <w:sz w:val="14"/>
                <w:szCs w:val="14"/>
                <w:b w:val="1"/>
                <w:bCs w:val="1"/>
                <w:color w:val="auto"/>
              </w:rPr>
              <w:t>2025</w:t>
            </w:r>
          </w:p>
        </w:tc>
      </w:tr>
      <w:tr>
        <w:trPr>
          <w:trHeight w:val="183"/>
        </w:trPr>
        <w:tc>
          <w:tcPr>
            <w:tcW w:w="806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Foreign currency translation</w:t>
            </w:r>
          </w:p>
        </w:tc>
        <w:tc>
          <w:tcPr>
            <w:tcW w:w="2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(312.9)</w:t>
            </w:r>
          </w:p>
        </w:tc>
        <w:tc>
          <w:tcPr>
            <w:tcW w:w="2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(249.7)</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Translation loss on long-term intercompany loans, net of income taxes of $19.2 on both dates</w:t>
            </w:r>
          </w:p>
        </w:tc>
        <w:tc>
          <w:tcPr>
            <w:tcW w:w="260" w:type="dxa"/>
            <w:vAlign w:val="bottom"/>
          </w:tcPr>
          <w:p>
            <w:pPr>
              <w:spacing w:after="0"/>
              <w:rPr>
                <w:sz w:val="16"/>
                <w:szCs w:val="16"/>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(133.6)</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(133.6)</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Gain (loss) on derivative instruments, net of income tax benefit of $(10.0) and $(21.4), respectively</w:t>
            </w:r>
          </w:p>
        </w:tc>
        <w:tc>
          <w:tcPr>
            <w:tcW w:w="260" w:type="dxa"/>
            <w:vAlign w:val="bottom"/>
            <w:shd w:val="clear" w:color="auto" w:fill="E2E8F1"/>
          </w:tcPr>
          <w:p>
            <w:pPr>
              <w:spacing w:after="0"/>
              <w:rPr>
                <w:sz w:val="16"/>
                <w:szCs w:val="16"/>
                <w:color w:val="auto"/>
              </w:rPr>
            </w:pPr>
          </w:p>
        </w:tc>
        <w:tc>
          <w:tcPr>
            <w:tcW w:w="1320" w:type="dxa"/>
            <w:vAlign w:val="bottom"/>
            <w:shd w:val="clear" w:color="auto" w:fill="E2E8F1"/>
          </w:tcPr>
          <w:p>
            <w:pPr>
              <w:jc w:val="right"/>
              <w:ind w:right="81"/>
              <w:spacing w:after="0"/>
              <w:rPr>
                <w:sz w:val="20"/>
                <w:szCs w:val="20"/>
                <w:color w:val="auto"/>
              </w:rPr>
            </w:pPr>
            <w:r>
              <w:rPr>
                <w:rFonts w:ascii="Arial" w:cs="Arial" w:eastAsia="Arial" w:hAnsi="Arial"/>
                <w:sz w:val="16"/>
                <w:szCs w:val="16"/>
                <w:color w:val="auto"/>
              </w:rPr>
              <w:t>16.5</w:t>
            </w:r>
          </w:p>
        </w:tc>
        <w:tc>
          <w:tcPr>
            <w:tcW w:w="260" w:type="dxa"/>
            <w:vAlign w:val="bottom"/>
            <w:shd w:val="clear" w:color="auto" w:fill="E2E8F1"/>
          </w:tcPr>
          <w:p>
            <w:pPr>
              <w:spacing w:after="0"/>
              <w:rPr>
                <w:sz w:val="16"/>
                <w:szCs w:val="16"/>
                <w:color w:val="auto"/>
              </w:rPr>
            </w:pPr>
          </w:p>
        </w:tc>
        <w:tc>
          <w:tcPr>
            <w:tcW w:w="13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(53.9)</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Gain on interest rate swap, net of income taxes of $0.1 on both dates</w:t>
            </w:r>
          </w:p>
        </w:tc>
        <w:tc>
          <w:tcPr>
            <w:tcW w:w="260" w:type="dxa"/>
            <w:vAlign w:val="bottom"/>
          </w:tcPr>
          <w:p>
            <w:pPr>
              <w:spacing w:after="0"/>
              <w:rPr>
                <w:sz w:val="16"/>
                <w:szCs w:val="16"/>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6"/>
                <w:szCs w:val="16"/>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0.5</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Defined benefit pension plans, net of income tax benefit of $(16.0) and $(16.4), respectively</w:t>
            </w:r>
          </w:p>
        </w:tc>
        <w:tc>
          <w:tcPr>
            <w:tcW w:w="260" w:type="dxa"/>
            <w:vAlign w:val="bottom"/>
            <w:shd w:val="clear" w:color="auto" w:fill="E2E8F1"/>
          </w:tcPr>
          <w:p>
            <w:pPr>
              <w:spacing w:after="0"/>
              <w:rPr>
                <w:sz w:val="16"/>
                <w:szCs w:val="16"/>
                <w:color w:val="auto"/>
              </w:rPr>
            </w:pPr>
          </w:p>
        </w:tc>
        <w:tc>
          <w:tcPr>
            <w:tcW w:w="1320" w:type="dxa"/>
            <w:vAlign w:val="bottom"/>
            <w:shd w:val="clear" w:color="auto" w:fill="E2E8F1"/>
          </w:tcPr>
          <w:p>
            <w:pPr>
              <w:jc w:val="right"/>
              <w:ind w:right="81"/>
              <w:spacing w:after="0"/>
              <w:rPr>
                <w:sz w:val="20"/>
                <w:szCs w:val="20"/>
                <w:color w:val="auto"/>
              </w:rPr>
            </w:pPr>
            <w:r>
              <w:rPr>
                <w:rFonts w:ascii="Arial" w:cs="Arial" w:eastAsia="Arial" w:hAnsi="Arial"/>
                <w:sz w:val="16"/>
                <w:szCs w:val="16"/>
                <w:color w:val="auto"/>
              </w:rPr>
              <w:t>23.6</w:t>
            </w:r>
          </w:p>
        </w:tc>
        <w:tc>
          <w:tcPr>
            <w:tcW w:w="260" w:type="dxa"/>
            <w:vAlign w:val="bottom"/>
            <w:shd w:val="clear" w:color="auto" w:fill="E2E8F1"/>
          </w:tcPr>
          <w:p>
            <w:pPr>
              <w:spacing w:after="0"/>
              <w:rPr>
                <w:sz w:val="16"/>
                <w:szCs w:val="16"/>
                <w:color w:val="auto"/>
              </w:rPr>
            </w:pPr>
          </w:p>
        </w:tc>
        <w:tc>
          <w:tcPr>
            <w:tcW w:w="134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24.0</w:t>
            </w:r>
          </w:p>
        </w:tc>
      </w:tr>
      <w:tr>
        <w:trPr>
          <w:trHeight w:val="189"/>
        </w:trPr>
        <w:tc>
          <w:tcPr>
            <w:tcW w:w="8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Retiree health care plan, net of income taxes of $1.7 and $1.8, respectively</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0.6</w:t>
            </w:r>
          </w:p>
        </w:tc>
      </w:tr>
      <w:tr>
        <w:trPr>
          <w:trHeight w:val="183"/>
        </w:trPr>
        <w:tc>
          <w:tcPr>
            <w:tcW w:w="8060" w:type="dxa"/>
            <w:vAlign w:val="bottom"/>
            <w:tcBorders>
              <w:bottom w:val="single" w:sz="8" w:color="auto"/>
            </w:tcBorders>
            <w:shd w:val="clear" w:color="auto" w:fill="E2E8F1"/>
          </w:tcPr>
          <w:p>
            <w:pPr>
              <w:ind w:left="240"/>
              <w:spacing w:after="0" w:line="183" w:lineRule="exact"/>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(406.1)</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(412.1)</w:t>
            </w:r>
          </w:p>
        </w:tc>
      </w:tr>
    </w:tbl>
    <w:p>
      <w:pPr>
        <w:spacing w:after="0" w:line="1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no income or expense during the three months ended September 30, 2026 and income of $0.2 during the three months ended September 30, 2025. During the nine months ended September 30, 2026 and 2025, we recorded income of $0.5 and $0.3, respectively.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declared a semi-annual dividend of $0.72 per share on May 8, 2026 and May 2, 2025, respectively. The 2026 dividends were paid on June 15, 2026 to shareholders of record as of June 1, 2026. The 2025 dividends were paid on June 16, 2025 to shareholders of record as of June 2, 2025.</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During the nine months ended September 30, 2026, we did not repurchase any shares under the 2023 authorization. During the nine months ended September 30, 2025, we repurchased 0.7 million shares under the 2023 authorization at a cost of $37.0. As of September 30, 2026, there were 1.9 million shares remaining authorized for repurchase under the 2023 authorization.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(12) </w:t>
      </w:r>
      <w:r>
        <w:rPr>
          <w:rFonts w:ascii="Arial" w:cs="Arial" w:eastAsia="Arial" w:hAnsi="Arial"/>
          <w:sz w:val="25"/>
          <w:szCs w:val="25"/>
          <w:b w:val="1"/>
          <w:bCs w:val="1"/>
          <w:i w:val="1"/>
          <w:iCs w:val="1"/>
          <w:u w:val="single" w:color="auto"/>
          <w:color w:val="5B89B4"/>
        </w:rPr>
        <w:t>Interest and Other Expenses, Net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net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80" w:type="dxa"/>
            <w:vAlign w:val="bottom"/>
            <w:tcBorders>
              <w:top w:val="single" w:sz="8" w:color="auto"/>
            </w:tcBorders>
            <w:shd w:val="clear" w:color="auto" w:fill="98B0CF"/>
          </w:tcPr>
          <w:p>
            <w:pPr>
              <w:spacing w:after="0"/>
              <w:rPr>
                <w:sz w:val="15"/>
                <w:szCs w:val="15"/>
                <w:color w:val="auto"/>
              </w:rPr>
            </w:pPr>
          </w:p>
        </w:tc>
        <w:tc>
          <w:tcPr>
            <w:tcW w:w="160" w:type="dxa"/>
            <w:vAlign w:val="bottom"/>
            <w:tcBorders>
              <w:top w:val="single" w:sz="8" w:color="auto"/>
            </w:tcBorders>
            <w:shd w:val="clear" w:color="auto" w:fill="98B0CF"/>
          </w:tcPr>
          <w:p>
            <w:pPr>
              <w:spacing w:after="0"/>
              <w:rPr>
                <w:sz w:val="15"/>
                <w:szCs w:val="15"/>
                <w:color w:val="auto"/>
              </w:rPr>
            </w:pPr>
          </w:p>
        </w:tc>
        <w:tc>
          <w:tcPr>
            <w:tcW w:w="200" w:type="dxa"/>
            <w:vAlign w:val="bottom"/>
            <w:tcBorders>
              <w:top w:val="single" w:sz="8" w:color="auto"/>
            </w:tcBorders>
            <w:shd w:val="clear" w:color="auto" w:fill="98B0CF"/>
          </w:tcPr>
          <w:p>
            <w:pPr>
              <w:spacing w:after="0"/>
              <w:rPr>
                <w:sz w:val="15"/>
                <w:szCs w:val="15"/>
                <w:color w:val="auto"/>
              </w:rPr>
            </w:pPr>
          </w:p>
        </w:tc>
        <w:tc>
          <w:tcPr>
            <w:tcW w:w="2040" w:type="dxa"/>
            <w:vAlign w:val="bottom"/>
            <w:tcBorders>
              <w:top w:val="single" w:sz="8" w:color="auto"/>
            </w:tcBorders>
            <w:gridSpan w:val="3"/>
            <w:shd w:val="clear" w:color="auto" w:fill="98B0CF"/>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shd w:val="clear" w:color="auto" w:fill="98B0CF"/>
          </w:tcPr>
          <w:p>
            <w:pPr>
              <w:spacing w:after="0"/>
              <w:rPr>
                <w:sz w:val="15"/>
                <w:szCs w:val="15"/>
                <w:color w:val="auto"/>
              </w:rPr>
            </w:pPr>
          </w:p>
        </w:tc>
        <w:tc>
          <w:tcPr>
            <w:tcW w:w="200" w:type="dxa"/>
            <w:vAlign w:val="bottom"/>
            <w:tcBorders>
              <w:top w:val="single" w:sz="8" w:color="auto"/>
            </w:tcBorders>
            <w:shd w:val="clear" w:color="auto" w:fill="98B0CF"/>
          </w:tcPr>
          <w:p>
            <w:pPr>
              <w:spacing w:after="0"/>
              <w:rPr>
                <w:sz w:val="15"/>
                <w:szCs w:val="15"/>
                <w:color w:val="auto"/>
              </w:rPr>
            </w:pPr>
          </w:p>
        </w:tc>
        <w:tc>
          <w:tcPr>
            <w:tcW w:w="2100" w:type="dxa"/>
            <w:vAlign w:val="bottom"/>
            <w:tcBorders>
              <w:top w:val="single" w:sz="8" w:color="auto"/>
            </w:tcBorders>
            <w:gridSpan w:val="3"/>
            <w:shd w:val="clear" w:color="auto" w:fill="98B0CF"/>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6380" w:type="dxa"/>
            <w:vAlign w:val="bottom"/>
            <w:tcBorders>
              <w:bottom w:val="single" w:sz="8" w:color="98B0CF"/>
            </w:tcBorders>
            <w:shd w:val="clear" w:color="auto" w:fill="98B0CF"/>
          </w:tcPr>
          <w:p>
            <w:pPr>
              <w:spacing w:after="0"/>
              <w:rPr>
                <w:sz w:val="14"/>
                <w:szCs w:val="14"/>
                <w:color w:val="auto"/>
              </w:rPr>
            </w:pPr>
          </w:p>
        </w:tc>
        <w:tc>
          <w:tcPr>
            <w:tcW w:w="160" w:type="dxa"/>
            <w:vAlign w:val="bottom"/>
            <w:tcBorders>
              <w:bottom w:val="single" w:sz="8" w:color="98B0CF"/>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2040" w:type="dxa"/>
            <w:vAlign w:val="bottom"/>
            <w:tcBorders>
              <w:bottom w:val="single" w:sz="8" w:color="auto"/>
            </w:tcBorders>
            <w:gridSpan w:val="3"/>
            <w:shd w:val="clear" w:color="auto" w:fill="98B0CF"/>
          </w:tcPr>
          <w:p>
            <w:pPr>
              <w:jc w:val="right"/>
              <w:ind w:right="60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98B0CF"/>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2100" w:type="dxa"/>
            <w:vAlign w:val="bottom"/>
            <w:tcBorders>
              <w:bottom w:val="single" w:sz="8" w:color="auto"/>
            </w:tcBorders>
            <w:gridSpan w:val="3"/>
            <w:shd w:val="clear" w:color="auto" w:fill="98B0CF"/>
          </w:tcPr>
          <w:p>
            <w:pPr>
              <w:jc w:val="right"/>
              <w:ind w:right="641"/>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638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200" w:type="dxa"/>
            <w:vAlign w:val="bottom"/>
            <w:tcBorders>
              <w:bottom w:val="single" w:sz="8" w:color="auto"/>
            </w:tcBorders>
            <w:shd w:val="clear" w:color="auto" w:fill="98B0CF"/>
          </w:tcPr>
          <w:p>
            <w:pPr>
              <w:spacing w:after="0"/>
              <w:rPr>
                <w:sz w:val="13"/>
                <w:szCs w:val="13"/>
                <w:color w:val="auto"/>
              </w:rPr>
            </w:pPr>
          </w:p>
        </w:tc>
        <w:tc>
          <w:tcPr>
            <w:tcW w:w="900" w:type="dxa"/>
            <w:vAlign w:val="bottom"/>
            <w:tcBorders>
              <w:bottom w:val="single" w:sz="8" w:color="auto"/>
            </w:tcBorders>
            <w:shd w:val="clear" w:color="auto" w:fill="98B0CF"/>
          </w:tcPr>
          <w:p>
            <w:pPr>
              <w:jc w:val="right"/>
              <w:ind w:right="402"/>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shd w:val="clear" w:color="auto" w:fill="98B0CF"/>
          </w:tcPr>
          <w:p>
            <w:pPr>
              <w:spacing w:after="0"/>
              <w:rPr>
                <w:sz w:val="13"/>
                <w:szCs w:val="13"/>
                <w:color w:val="auto"/>
              </w:rPr>
            </w:pPr>
          </w:p>
        </w:tc>
        <w:tc>
          <w:tcPr>
            <w:tcW w:w="840" w:type="dxa"/>
            <w:vAlign w:val="bottom"/>
            <w:tcBorders>
              <w:bottom w:val="single" w:sz="8" w:color="auto"/>
            </w:tcBorders>
            <w:shd w:val="clear" w:color="auto" w:fill="98B0CF"/>
          </w:tcPr>
          <w:p>
            <w:pPr>
              <w:jc w:val="right"/>
              <w:ind w:right="341"/>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shd w:val="clear" w:color="auto" w:fill="98B0CF"/>
          </w:tcPr>
          <w:p>
            <w:pPr>
              <w:spacing w:after="0"/>
              <w:rPr>
                <w:sz w:val="13"/>
                <w:szCs w:val="13"/>
                <w:color w:val="auto"/>
              </w:rPr>
            </w:pPr>
          </w:p>
        </w:tc>
        <w:tc>
          <w:tcPr>
            <w:tcW w:w="200" w:type="dxa"/>
            <w:vAlign w:val="bottom"/>
            <w:tcBorders>
              <w:bottom w:val="single" w:sz="8" w:color="auto"/>
            </w:tcBorders>
            <w:shd w:val="clear" w:color="auto" w:fill="98B0CF"/>
          </w:tcPr>
          <w:p>
            <w:pPr>
              <w:spacing w:after="0"/>
              <w:rPr>
                <w:sz w:val="13"/>
                <w:szCs w:val="13"/>
                <w:color w:val="auto"/>
              </w:rPr>
            </w:pPr>
          </w:p>
        </w:tc>
        <w:tc>
          <w:tcPr>
            <w:tcW w:w="920" w:type="dxa"/>
            <w:vAlign w:val="bottom"/>
            <w:tcBorders>
              <w:bottom w:val="single" w:sz="8" w:color="auto"/>
            </w:tcBorders>
            <w:shd w:val="clear" w:color="auto" w:fill="98B0CF"/>
          </w:tcPr>
          <w:p>
            <w:pPr>
              <w:jc w:val="right"/>
              <w:ind w:right="402"/>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shd w:val="clear" w:color="auto" w:fill="98B0CF"/>
          </w:tcPr>
          <w:p>
            <w:pPr>
              <w:spacing w:after="0"/>
              <w:rPr>
                <w:sz w:val="13"/>
                <w:szCs w:val="13"/>
                <w:color w:val="auto"/>
              </w:rPr>
            </w:pPr>
          </w:p>
        </w:tc>
        <w:tc>
          <w:tcPr>
            <w:tcW w:w="880" w:type="dxa"/>
            <w:vAlign w:val="bottom"/>
            <w:tcBorders>
              <w:bottom w:val="single" w:sz="8" w:color="auto"/>
            </w:tcBorders>
            <w:shd w:val="clear" w:color="auto" w:fill="98B0CF"/>
          </w:tcPr>
          <w:p>
            <w:pPr>
              <w:jc w:val="right"/>
              <w:ind w:right="361"/>
              <w:spacing w:after="0" w:line="155" w:lineRule="exact"/>
              <w:rPr>
                <w:sz w:val="20"/>
                <w:szCs w:val="20"/>
                <w:color w:val="auto"/>
              </w:rPr>
            </w:pPr>
            <w:r>
              <w:rPr>
                <w:rFonts w:ascii="Arial" w:cs="Arial" w:eastAsia="Arial" w:hAnsi="Arial"/>
                <w:sz w:val="14"/>
                <w:szCs w:val="14"/>
                <w:b w:val="1"/>
                <w:bCs w:val="1"/>
                <w:color w:val="auto"/>
              </w:rPr>
              <w:t>2025</w:t>
            </w:r>
          </w:p>
        </w:tc>
      </w:tr>
      <w:tr>
        <w:trPr>
          <w:trHeight w:val="182"/>
        </w:trPr>
        <w:tc>
          <w:tcPr>
            <w:tcW w:w="638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Interest expense</w:t>
            </w:r>
          </w:p>
        </w:tc>
        <w:tc>
          <w:tcPr>
            <w:tcW w:w="160" w:type="dxa"/>
            <w:vAlign w:val="bottom"/>
            <w:shd w:val="clear" w:color="auto" w:fill="E2E8F1"/>
          </w:tcPr>
          <w:p>
            <w:pPr>
              <w:spacing w:after="0"/>
              <w:rPr>
                <w:sz w:val="15"/>
                <w:szCs w:val="15"/>
                <w:color w:val="auto"/>
              </w:rPr>
            </w:pPr>
          </w:p>
        </w:tc>
        <w:tc>
          <w:tcPr>
            <w:tcW w:w="2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28.0</w:t>
            </w:r>
          </w:p>
        </w:tc>
        <w:tc>
          <w:tcPr>
            <w:tcW w:w="3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24.0</w:t>
            </w:r>
          </w:p>
        </w:tc>
        <w:tc>
          <w:tcPr>
            <w:tcW w:w="360" w:type="dxa"/>
            <w:vAlign w:val="bottom"/>
            <w:gridSpan w:val="2"/>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77.5</w:t>
            </w:r>
          </w:p>
        </w:tc>
        <w:tc>
          <w:tcPr>
            <w:tcW w:w="3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72.5</w:t>
            </w:r>
          </w:p>
        </w:tc>
      </w:tr>
      <w:tr>
        <w:trPr>
          <w:trHeight w:val="189"/>
        </w:trPr>
        <w:tc>
          <w:tcPr>
            <w:tcW w:w="6380" w:type="dxa"/>
            <w:vAlign w:val="bottom"/>
          </w:tcPr>
          <w:p>
            <w:pPr>
              <w:ind w:left="6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(7.8)</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(18.7)</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189"/>
        </w:trPr>
        <w:tc>
          <w:tcPr>
            <w:tcW w:w="6380" w:type="dxa"/>
            <w:vAlign w:val="bottom"/>
            <w:shd w:val="clear" w:color="auto" w:fill="E2E8F1"/>
          </w:tcPr>
          <w:p>
            <w:pPr>
              <w:ind w:left="60"/>
              <w:spacing w:after="0"/>
              <w:rPr>
                <w:sz w:val="20"/>
                <w:szCs w:val="20"/>
                <w:color w:val="auto"/>
              </w:rPr>
            </w:pPr>
            <w:r>
              <w:rPr>
                <w:rFonts w:ascii="Arial" w:cs="Arial" w:eastAsia="Arial" w:hAnsi="Arial"/>
                <w:sz w:val="16"/>
                <w:szCs w:val="16"/>
                <w:color w:val="auto"/>
              </w:rPr>
              <w:t>Foreign exchange loss</w:t>
            </w:r>
          </w:p>
        </w:tc>
        <w:tc>
          <w:tcPr>
            <w:tcW w:w="16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102"/>
              <w:spacing w:after="0"/>
              <w:rPr>
                <w:sz w:val="20"/>
                <w:szCs w:val="20"/>
                <w:color w:val="auto"/>
              </w:rPr>
            </w:pPr>
            <w:r>
              <w:rPr>
                <w:rFonts w:ascii="Arial" w:cs="Arial" w:eastAsia="Arial" w:hAnsi="Arial"/>
                <w:sz w:val="16"/>
                <w:szCs w:val="16"/>
                <w:color w:val="auto"/>
              </w:rPr>
              <w:t>1.3</w:t>
            </w:r>
          </w:p>
        </w:tc>
        <w:tc>
          <w:tcPr>
            <w:tcW w:w="30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2.4</w:t>
            </w:r>
          </w:p>
        </w:tc>
        <w:tc>
          <w:tcPr>
            <w:tcW w:w="16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02"/>
              <w:spacing w:after="0"/>
              <w:rPr>
                <w:sz w:val="20"/>
                <w:szCs w:val="20"/>
                <w:color w:val="auto"/>
              </w:rPr>
            </w:pPr>
            <w:r>
              <w:rPr>
                <w:rFonts w:ascii="Arial" w:cs="Arial" w:eastAsia="Arial" w:hAnsi="Arial"/>
                <w:sz w:val="16"/>
                <w:szCs w:val="16"/>
                <w:color w:val="auto"/>
              </w:rPr>
              <w:t>3.6</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4.6</w:t>
            </w:r>
          </w:p>
        </w:tc>
      </w:tr>
      <w:tr>
        <w:trPr>
          <w:trHeight w:val="189"/>
        </w:trPr>
        <w:tc>
          <w:tcPr>
            <w:tcW w:w="6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Miscellaneous income, net</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(7.2)</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(15.6)</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183"/>
        </w:trPr>
        <w:tc>
          <w:tcPr>
            <w:tcW w:w="6380" w:type="dxa"/>
            <w:vAlign w:val="bottom"/>
            <w:tcBorders>
              <w:bottom w:val="single" w:sz="8" w:color="auto"/>
            </w:tcBorders>
            <w:shd w:val="clear" w:color="auto" w:fill="E2E8F1"/>
          </w:tcPr>
          <w:p>
            <w:pPr>
              <w:ind w:left="180"/>
              <w:spacing w:after="0" w:line="183" w:lineRule="exact"/>
              <w:rPr>
                <w:sz w:val="20"/>
                <w:szCs w:val="20"/>
                <w:color w:val="auto"/>
              </w:rPr>
            </w:pPr>
            <w:r>
              <w:rPr>
                <w:rFonts w:ascii="Arial" w:cs="Arial" w:eastAsia="Arial" w:hAnsi="Arial"/>
                <w:sz w:val="16"/>
                <w:szCs w:val="16"/>
                <w:color w:val="auto"/>
              </w:rPr>
              <w:t>Interest and other expenses, net</w:t>
            </w:r>
          </w:p>
        </w:tc>
        <w:tc>
          <w:tcPr>
            <w:tcW w:w="360" w:type="dxa"/>
            <w:vAlign w:val="bottom"/>
            <w:tcBorders>
              <w:bottom w:val="single" w:sz="8" w:color="auto"/>
            </w:tcBorders>
            <w:gridSpan w:val="2"/>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14.3</w:t>
            </w:r>
          </w:p>
        </w:tc>
        <w:tc>
          <w:tcPr>
            <w:tcW w:w="3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13.7</w:t>
            </w:r>
          </w:p>
        </w:tc>
        <w:tc>
          <w:tcPr>
            <w:tcW w:w="360" w:type="dxa"/>
            <w:vAlign w:val="bottom"/>
            <w:tcBorders>
              <w:bottom w:val="single" w:sz="8" w:color="auto"/>
            </w:tcBorders>
            <w:gridSpan w:val="2"/>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46.8</w:t>
            </w:r>
          </w:p>
        </w:tc>
        <w:tc>
          <w:tcPr>
            <w:tcW w:w="3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-736600</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16"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Derivative Financial Instruments and Fair Value Measurements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Derivative Financial Instruments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Net Investment Hedges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also recorded in foreign currency translation.</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€400.0 ($452.5) notes due June 2027 and the €500.0 ($562.7) notes due December 2030 were designated as a hedge of our net investment in our foreign subsidiaries with a Euro-functional currency as of September 30, 2026.</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September 10, 2025, we de-designated our previous cross-currency swap and entered into a new agreement under which we pay fixed-rate Swiss franc (“CHF”) and receive fixed-rate United States dollar (“USD”) payments. The new swap, designated as a net investment hedge of our foreign subsidiary with a CHF functional currency, includes modified terms such as a reset of the USD fixed rate and an extension of maturity. The notional amount of the swap was $413.8 and consisted of three tranches, each representing one-third of the total notional amount, with staggered maturities on September 10, 2026, September 10, 2027 and September 11, 2028. The swap contains a significant financing component. Accordingly, future cash settlements related to the swap will be classified within financing activities in the Consolidated Statements of Cash Flows.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new swap was designated as a net investment hedge under the spot method. At the time of de-designation, the total mark-to-market loss on the original swap was $99.6, of which $82.2 was related to currency effects and was recorded in foreign currency translation within AOCL. The remaining $17.4 represents the excluded component, which is being amortized into interest expense over the life of the new swap.</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August 28, 2026, we de-designated the tranche maturing September 10, 2026 and entered into a new cross-currency swap designated as a net investment hedge of our foreign subsidiary with a CHF functional currency. The new swap is economically similar to the de-designated tranche but includes modified terms such as a reset of the USD fixed rate and an extension of maturity. The replacement swap has a notional amount of $137.9, and matures on September 10, 2029. The swap contains a significant financing component. Accordingly, future cash settlements related to the swap will be classified within financing activities in the Consolidated Statements of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the time of de-designation, the total mark-to-market loss on the de-designated tranche was $30.5, of which $27.0 was related to currency effects and was recorded in foreign currency translation within AOCL. The remaining $3.5 represents the excluded component, which is being amortized into interest expense over the life of the new swap.</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AOCL for the three and nine months ended September 30, 2026 and 2025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300" w:type="dxa"/>
            <w:vAlign w:val="bottom"/>
            <w:tcBorders>
              <w:top w:val="single" w:sz="8" w:color="auto"/>
              <w:bottom w:val="single" w:sz="8" w:color="auto"/>
            </w:tcBorders>
            <w:shd w:val="clear" w:color="auto" w:fill="98B0CF"/>
          </w:tcPr>
          <w:p>
            <w:pPr>
              <w:spacing w:after="0"/>
              <w:rPr>
                <w:sz w:val="15"/>
                <w:szCs w:val="15"/>
                <w:color w:val="auto"/>
              </w:rPr>
            </w:pPr>
          </w:p>
        </w:tc>
        <w:tc>
          <w:tcPr>
            <w:tcW w:w="4400" w:type="dxa"/>
            <w:vAlign w:val="bottom"/>
            <w:tcBorders>
              <w:top w:val="single" w:sz="8" w:color="auto"/>
              <w:bottom w:val="single" w:sz="8" w:color="auto"/>
            </w:tcBorders>
            <w:gridSpan w:val="7"/>
            <w:shd w:val="clear" w:color="auto" w:fill="98B0CF"/>
          </w:tcPr>
          <w:p>
            <w:pPr>
              <w:jc w:val="right"/>
              <w:spacing w:after="0"/>
              <w:rPr>
                <w:sz w:val="20"/>
                <w:szCs w:val="20"/>
                <w:color w:val="auto"/>
              </w:rPr>
            </w:pPr>
            <w:r>
              <w:rPr>
                <w:rFonts w:ascii="Arial" w:cs="Arial" w:eastAsia="Arial" w:hAnsi="Arial"/>
                <w:sz w:val="14"/>
                <w:szCs w:val="14"/>
                <w:b w:val="1"/>
                <w:bCs w:val="1"/>
                <w:color w:val="auto"/>
              </w:rPr>
              <w:t>Gain (Loss) Recognized in Other Comprehensive Income</w:t>
            </w:r>
          </w:p>
        </w:tc>
        <w:tc>
          <w:tcPr>
            <w:tcW w:w="900" w:type="dxa"/>
            <w:vAlign w:val="bottom"/>
            <w:tcBorders>
              <w:top w:val="single" w:sz="8" w:color="auto"/>
              <w:bottom w:val="single" w:sz="8" w:color="auto"/>
            </w:tcBorders>
            <w:shd w:val="clear" w:color="auto" w:fill="98B0C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20" w:type="dxa"/>
            <w:vAlign w:val="bottom"/>
            <w:tcBorders>
              <w:bottom w:val="single" w:sz="8" w:color="98B0CF"/>
            </w:tcBorders>
            <w:vMerge w:val="restart"/>
            <w:shd w:val="clear" w:color="auto" w:fill="98B0CF"/>
          </w:tcPr>
          <w:p>
            <w:pPr>
              <w:ind w:left="2380"/>
              <w:spacing w:after="0"/>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98B0CF"/>
            </w:tcBorders>
            <w:shd w:val="clear" w:color="auto" w:fill="98B0CF"/>
          </w:tcPr>
          <w:p>
            <w:pPr>
              <w:spacing w:after="0"/>
              <w:rPr>
                <w:sz w:val="13"/>
                <w:szCs w:val="13"/>
                <w:color w:val="auto"/>
              </w:rPr>
            </w:pPr>
          </w:p>
        </w:tc>
        <w:tc>
          <w:tcPr>
            <w:tcW w:w="2760" w:type="dxa"/>
            <w:vAlign w:val="bottom"/>
            <w:tcBorders>
              <w:bottom w:val="single" w:sz="8" w:color="auto"/>
            </w:tcBorders>
            <w:gridSpan w:val="4"/>
            <w:shd w:val="clear" w:color="auto" w:fill="98B0CF"/>
          </w:tcPr>
          <w:p>
            <w:pPr>
              <w:jc w:val="right"/>
              <w:ind w:right="136"/>
              <w:spacing w:after="0" w:line="155" w:lineRule="exact"/>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98B0CF"/>
            </w:tcBorders>
            <w:shd w:val="clear" w:color="auto" w:fill="98B0CF"/>
          </w:tcPr>
          <w:p>
            <w:pPr>
              <w:spacing w:after="0"/>
              <w:rPr>
                <w:sz w:val="13"/>
                <w:szCs w:val="13"/>
                <w:color w:val="auto"/>
              </w:rPr>
            </w:pPr>
          </w:p>
        </w:tc>
        <w:tc>
          <w:tcPr>
            <w:tcW w:w="2640" w:type="dxa"/>
            <w:vAlign w:val="bottom"/>
            <w:tcBorders>
              <w:bottom w:val="single" w:sz="8" w:color="auto"/>
            </w:tcBorders>
            <w:gridSpan w:val="4"/>
            <w:shd w:val="clear" w:color="auto" w:fill="98B0CF"/>
          </w:tcPr>
          <w:p>
            <w:pPr>
              <w:jc w:val="right"/>
              <w:ind w:right="116"/>
              <w:spacing w:after="0" w:line="155" w:lineRule="exact"/>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520" w:type="dxa"/>
            <w:vAlign w:val="bottom"/>
            <w:tcBorders>
              <w:bottom w:val="single" w:sz="8" w:color="auto"/>
            </w:tcBorders>
            <w:vMerge w:val="continue"/>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300" w:type="dxa"/>
            <w:vAlign w:val="bottom"/>
            <w:tcBorders>
              <w:bottom w:val="single" w:sz="8" w:color="auto"/>
            </w:tcBorders>
            <w:shd w:val="clear" w:color="auto" w:fill="98B0CF"/>
          </w:tcPr>
          <w:p>
            <w:pPr>
              <w:spacing w:after="0"/>
              <w:rPr>
                <w:sz w:val="13"/>
                <w:szCs w:val="13"/>
                <w:color w:val="auto"/>
              </w:rPr>
            </w:pPr>
          </w:p>
        </w:tc>
        <w:tc>
          <w:tcPr>
            <w:tcW w:w="1140" w:type="dxa"/>
            <w:vAlign w:val="bottom"/>
            <w:tcBorders>
              <w:bottom w:val="single" w:sz="8" w:color="auto"/>
            </w:tcBorders>
            <w:shd w:val="clear" w:color="auto" w:fill="98B0CF"/>
          </w:tcPr>
          <w:p>
            <w:pPr>
              <w:jc w:val="right"/>
              <w:ind w:right="539"/>
              <w:spacing w:after="0" w:line="155" w:lineRule="exact"/>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jc w:val="right"/>
              <w:ind w:right="416"/>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shd w:val="clear" w:color="auto" w:fill="98B0CF"/>
          </w:tcPr>
          <w:p>
            <w:pPr>
              <w:spacing w:after="0"/>
              <w:rPr>
                <w:sz w:val="13"/>
                <w:szCs w:val="13"/>
                <w:color w:val="auto"/>
              </w:rPr>
            </w:pPr>
          </w:p>
        </w:tc>
        <w:tc>
          <w:tcPr>
            <w:tcW w:w="240" w:type="dxa"/>
            <w:vAlign w:val="bottom"/>
            <w:tcBorders>
              <w:bottom w:val="single" w:sz="8" w:color="auto"/>
            </w:tcBorders>
            <w:shd w:val="clear" w:color="auto" w:fill="98B0CF"/>
          </w:tcPr>
          <w:p>
            <w:pPr>
              <w:spacing w:after="0"/>
              <w:rPr>
                <w:sz w:val="13"/>
                <w:szCs w:val="13"/>
                <w:color w:val="auto"/>
              </w:rPr>
            </w:pPr>
          </w:p>
        </w:tc>
        <w:tc>
          <w:tcPr>
            <w:tcW w:w="920" w:type="dxa"/>
            <w:vAlign w:val="bottom"/>
            <w:tcBorders>
              <w:bottom w:val="single" w:sz="8" w:color="auto"/>
            </w:tcBorders>
            <w:shd w:val="clear" w:color="auto" w:fill="98B0CF"/>
          </w:tcPr>
          <w:p>
            <w:pPr>
              <w:jc w:val="right"/>
              <w:ind w:right="396"/>
              <w:spacing w:after="0" w:line="155" w:lineRule="exact"/>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shd w:val="clear" w:color="auto" w:fill="98B0CF"/>
          </w:tcPr>
          <w:p>
            <w:pPr>
              <w:spacing w:after="0"/>
              <w:rPr>
                <w:sz w:val="13"/>
                <w:szCs w:val="13"/>
                <w:color w:val="auto"/>
              </w:rPr>
            </w:pPr>
          </w:p>
        </w:tc>
        <w:tc>
          <w:tcPr>
            <w:tcW w:w="900" w:type="dxa"/>
            <w:vAlign w:val="bottom"/>
            <w:tcBorders>
              <w:bottom w:val="single" w:sz="8" w:color="auto"/>
            </w:tcBorders>
            <w:shd w:val="clear" w:color="auto" w:fill="98B0CF"/>
          </w:tcPr>
          <w:p>
            <w:pPr>
              <w:jc w:val="right"/>
              <w:ind w:right="496"/>
              <w:spacing w:after="0" w:line="155" w:lineRule="exact"/>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r>
        <w:trPr>
          <w:trHeight w:val="196"/>
        </w:trPr>
        <w:tc>
          <w:tcPr>
            <w:tcW w:w="5520" w:type="dxa"/>
            <w:vAlign w:val="bottom"/>
            <w:shd w:val="clear" w:color="auto" w:fill="E2E8F1"/>
          </w:tcPr>
          <w:p>
            <w:pPr>
              <w:ind w:left="80"/>
              <w:spacing w:after="0" w:line="196" w:lineRule="exact"/>
              <w:rPr>
                <w:sz w:val="20"/>
                <w:szCs w:val="20"/>
                <w:color w:val="auto"/>
              </w:rPr>
            </w:pPr>
            <w:r>
              <w:rPr>
                <w:rFonts w:ascii="Arial" w:cs="Arial" w:eastAsia="Arial" w:hAnsi="Arial"/>
                <w:sz w:val="18"/>
                <w:szCs w:val="18"/>
                <w:color w:val="auto"/>
              </w:rPr>
              <w:t>Euro Notes</w:t>
            </w:r>
          </w:p>
        </w:tc>
        <w:tc>
          <w:tcPr>
            <w:tcW w:w="120" w:type="dxa"/>
            <w:vAlign w:val="bottom"/>
            <w:shd w:val="clear" w:color="auto" w:fill="E2E8F1"/>
          </w:tcPr>
          <w:p>
            <w:pPr>
              <w:spacing w:after="0"/>
              <w:rPr>
                <w:sz w:val="17"/>
                <w:szCs w:val="17"/>
                <w:color w:val="auto"/>
              </w:rPr>
            </w:pPr>
          </w:p>
        </w:tc>
        <w:tc>
          <w:tcPr>
            <w:tcW w:w="300" w:type="dxa"/>
            <w:vAlign w:val="bottom"/>
            <w:shd w:val="clear" w:color="auto" w:fill="E2E8F1"/>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2E8F1"/>
          </w:tcPr>
          <w:p>
            <w:pPr>
              <w:jc w:val="right"/>
              <w:ind w:right="19"/>
              <w:spacing w:after="0" w:line="196" w:lineRule="exact"/>
              <w:rPr>
                <w:sz w:val="20"/>
                <w:szCs w:val="20"/>
                <w:color w:val="auto"/>
              </w:rPr>
            </w:pPr>
            <w:r>
              <w:rPr>
                <w:rFonts w:ascii="Arial" w:cs="Arial" w:eastAsia="Arial" w:hAnsi="Arial"/>
                <w:sz w:val="18"/>
                <w:szCs w:val="18"/>
                <w:color w:val="auto"/>
              </w:rPr>
              <w:t>8.2</w:t>
            </w:r>
          </w:p>
        </w:tc>
        <w:tc>
          <w:tcPr>
            <w:tcW w:w="360" w:type="dxa"/>
            <w:vAlign w:val="bottom"/>
            <w:shd w:val="clear" w:color="auto" w:fill="E2E8F1"/>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E2E8F1"/>
          </w:tcPr>
          <w:p>
            <w:pPr>
              <w:jc w:val="right"/>
              <w:ind w:right="36"/>
              <w:spacing w:after="0" w:line="196" w:lineRule="exact"/>
              <w:rPr>
                <w:sz w:val="20"/>
                <w:szCs w:val="20"/>
                <w:color w:val="auto"/>
              </w:rPr>
            </w:pPr>
            <w:r>
              <w:rPr>
                <w:rFonts w:ascii="Arial" w:cs="Arial" w:eastAsia="Arial" w:hAnsi="Arial"/>
                <w:sz w:val="18"/>
                <w:szCs w:val="18"/>
                <w:color w:val="auto"/>
              </w:rPr>
              <w:t>4.8</w:t>
            </w:r>
          </w:p>
        </w:tc>
        <w:tc>
          <w:tcPr>
            <w:tcW w:w="440" w:type="dxa"/>
            <w:vAlign w:val="bottom"/>
            <w:gridSpan w:val="2"/>
            <w:shd w:val="clear" w:color="auto" w:fill="E2E8F1"/>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E2E8F1"/>
          </w:tcPr>
          <w:p>
            <w:pPr>
              <w:jc w:val="right"/>
              <w:ind w:right="36"/>
              <w:spacing w:after="0" w:line="196" w:lineRule="exact"/>
              <w:rPr>
                <w:sz w:val="20"/>
                <w:szCs w:val="20"/>
                <w:color w:val="auto"/>
              </w:rPr>
            </w:pPr>
            <w:r>
              <w:rPr>
                <w:rFonts w:ascii="Arial" w:cs="Arial" w:eastAsia="Arial" w:hAnsi="Arial"/>
                <w:sz w:val="18"/>
                <w:szCs w:val="18"/>
                <w:color w:val="auto"/>
              </w:rPr>
              <w:t>37.0</w:t>
            </w:r>
          </w:p>
        </w:tc>
        <w:tc>
          <w:tcPr>
            <w:tcW w:w="580" w:type="dxa"/>
            <w:vAlign w:val="bottom"/>
            <w:shd w:val="clear" w:color="auto" w:fill="E2E8F1"/>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E2E8F1"/>
          </w:tcPr>
          <w:p>
            <w:pPr>
              <w:jc w:val="right"/>
              <w:spacing w:after="0" w:line="196" w:lineRule="exact"/>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03"/>
        </w:trPr>
        <w:tc>
          <w:tcPr>
            <w:tcW w:w="552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Cross-currency swaps</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
              <w:spacing w:after="0" w:line="202" w:lineRule="exact"/>
              <w:rPr>
                <w:sz w:val="20"/>
                <w:szCs w:val="20"/>
                <w:color w:val="auto"/>
              </w:rPr>
            </w:pPr>
            <w:r>
              <w:rPr>
                <w:rFonts w:ascii="Arial" w:cs="Arial" w:eastAsia="Arial" w:hAnsi="Arial"/>
                <w:sz w:val="18"/>
                <w:szCs w:val="18"/>
                <w:color w:val="auto"/>
              </w:rPr>
              <w:t>39.1</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80.9</w:t>
            </w: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43.5</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-385445</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Cash Flow Hedges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AOCL and reclassified into earnings when the underlying operating expense is recognized in earnings.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AOCL and is being amortized over the term of the notes as an offset to interest expense.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AOCL and earnings for the three and nine months ended September 30, 2026 and 2025:</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4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2100" w:type="dxa"/>
            <w:vAlign w:val="bottom"/>
            <w:tcBorders>
              <w:top w:val="single" w:sz="8" w:color="auto"/>
            </w:tcBorders>
            <w:gridSpan w:val="3"/>
            <w:shd w:val="clear" w:color="auto" w:fill="98B0CF"/>
          </w:tcPr>
          <w:p>
            <w:pPr>
              <w:jc w:val="center"/>
              <w:ind w:right="179"/>
              <w:spacing w:after="0"/>
              <w:rPr>
                <w:sz w:val="20"/>
                <w:szCs w:val="20"/>
                <w:color w:val="auto"/>
              </w:rPr>
            </w:pPr>
            <w:r>
              <w:rPr>
                <w:rFonts w:ascii="Arial" w:cs="Arial" w:eastAsia="Arial" w:hAnsi="Arial"/>
                <w:sz w:val="14"/>
                <w:szCs w:val="14"/>
                <w:b w:val="1"/>
                <w:bCs w:val="1"/>
                <w:color w:val="auto"/>
              </w:rPr>
              <w:t>Gain (Loss) Recognized in</w:t>
            </w:r>
          </w:p>
        </w:tc>
        <w:tc>
          <w:tcPr>
            <w:tcW w:w="3300" w:type="dxa"/>
            <w:vAlign w:val="bottom"/>
            <w:tcBorders>
              <w:top w:val="single" w:sz="8" w:color="auto"/>
            </w:tcBorders>
            <w:shd w:val="clear" w:color="auto" w:fill="98B0CF"/>
          </w:tcPr>
          <w:p>
            <w:pPr>
              <w:spacing w:after="0"/>
              <w:rPr>
                <w:sz w:val="14"/>
                <w:szCs w:val="14"/>
                <w:color w:val="auto"/>
              </w:rPr>
            </w:pPr>
          </w:p>
        </w:tc>
        <w:tc>
          <w:tcPr>
            <w:tcW w:w="280" w:type="dxa"/>
            <w:vAlign w:val="bottom"/>
            <w:tcBorders>
              <w:top w:val="single" w:sz="8" w:color="auto"/>
            </w:tcBorders>
            <w:shd w:val="clear" w:color="auto" w:fill="98B0CF"/>
          </w:tcPr>
          <w:p>
            <w:pPr>
              <w:spacing w:after="0"/>
              <w:rPr>
                <w:sz w:val="14"/>
                <w:szCs w:val="14"/>
                <w:color w:val="auto"/>
              </w:rPr>
            </w:pPr>
          </w:p>
        </w:tc>
        <w:tc>
          <w:tcPr>
            <w:tcW w:w="2220" w:type="dxa"/>
            <w:vAlign w:val="bottom"/>
            <w:tcBorders>
              <w:top w:val="single" w:sz="8" w:color="auto"/>
            </w:tcBorders>
            <w:gridSpan w:val="4"/>
            <w:shd w:val="clear" w:color="auto" w:fill="98B0CF"/>
          </w:tcPr>
          <w:p>
            <w:pPr>
              <w:jc w:val="center"/>
              <w:ind w:right="70"/>
              <w:spacing w:after="0"/>
              <w:rPr>
                <w:sz w:val="20"/>
                <w:szCs w:val="20"/>
                <w:color w:val="auto"/>
              </w:rPr>
            </w:pPr>
            <w:r>
              <w:rPr>
                <w:rFonts w:ascii="Arial" w:cs="Arial" w:eastAsia="Arial" w:hAnsi="Arial"/>
                <w:sz w:val="14"/>
                <w:szCs w:val="14"/>
                <w:b w:val="1"/>
                <w:bCs w:val="1"/>
                <w:color w:val="auto"/>
              </w:rPr>
              <w:t>Gain (Loss) Reclassified from</w:t>
            </w:r>
          </w:p>
        </w:tc>
      </w:tr>
      <w:tr>
        <w:trPr>
          <w:trHeight w:val="171"/>
        </w:trPr>
        <w:tc>
          <w:tcPr>
            <w:tcW w:w="3040" w:type="dxa"/>
            <w:vAlign w:val="bottom"/>
            <w:tcBorders>
              <w:bottom w:val="single" w:sz="8" w:color="98B0CF"/>
            </w:tcBorders>
            <w:shd w:val="clear" w:color="auto" w:fill="98B0CF"/>
          </w:tcPr>
          <w:p>
            <w:pPr>
              <w:spacing w:after="0"/>
              <w:rPr>
                <w:sz w:val="14"/>
                <w:szCs w:val="14"/>
                <w:color w:val="auto"/>
              </w:rPr>
            </w:pPr>
          </w:p>
        </w:tc>
        <w:tc>
          <w:tcPr>
            <w:tcW w:w="20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240" w:type="dxa"/>
            <w:vAlign w:val="bottom"/>
            <w:tcBorders>
              <w:bottom w:val="single" w:sz="8" w:color="auto"/>
            </w:tcBorders>
            <w:gridSpan w:val="2"/>
            <w:shd w:val="clear" w:color="auto" w:fill="98B0CF"/>
          </w:tcPr>
          <w:p>
            <w:pPr>
              <w:jc w:val="center"/>
              <w:ind w:left="545"/>
              <w:spacing w:after="0"/>
              <w:rPr>
                <w:sz w:val="20"/>
                <w:szCs w:val="20"/>
                <w:color w:val="auto"/>
              </w:rPr>
            </w:pPr>
            <w:r>
              <w:rPr>
                <w:rFonts w:ascii="Arial" w:cs="Arial" w:eastAsia="Arial" w:hAnsi="Arial"/>
                <w:sz w:val="14"/>
                <w:szCs w:val="14"/>
                <w:b w:val="1"/>
                <w:bCs w:val="1"/>
                <w:color w:val="auto"/>
              </w:rPr>
              <w:t>OCI</w:t>
            </w:r>
          </w:p>
        </w:tc>
        <w:tc>
          <w:tcPr>
            <w:tcW w:w="860" w:type="dxa"/>
            <w:vAlign w:val="bottom"/>
            <w:tcBorders>
              <w:bottom w:val="single" w:sz="8" w:color="auto"/>
            </w:tcBorders>
            <w:shd w:val="clear" w:color="auto" w:fill="98B0CF"/>
          </w:tcPr>
          <w:p>
            <w:pPr>
              <w:spacing w:after="0"/>
              <w:rPr>
                <w:sz w:val="14"/>
                <w:szCs w:val="14"/>
                <w:color w:val="auto"/>
              </w:rPr>
            </w:pPr>
          </w:p>
        </w:tc>
        <w:tc>
          <w:tcPr>
            <w:tcW w:w="3300" w:type="dxa"/>
            <w:vAlign w:val="bottom"/>
            <w:tcBorders>
              <w:bottom w:val="single" w:sz="8" w:color="98B0CF"/>
            </w:tcBorders>
            <w:shd w:val="clear" w:color="auto" w:fill="98B0CF"/>
          </w:tcPr>
          <w:p>
            <w:pPr>
              <w:spacing w:after="0"/>
              <w:rPr>
                <w:sz w:val="14"/>
                <w:szCs w:val="14"/>
                <w:color w:val="auto"/>
              </w:rPr>
            </w:pPr>
          </w:p>
        </w:tc>
        <w:tc>
          <w:tcPr>
            <w:tcW w:w="280" w:type="dxa"/>
            <w:vAlign w:val="bottom"/>
            <w:tcBorders>
              <w:bottom w:val="single" w:sz="8" w:color="98B0CF"/>
            </w:tcBorders>
            <w:shd w:val="clear" w:color="auto" w:fill="98B0CF"/>
          </w:tcPr>
          <w:p>
            <w:pPr>
              <w:spacing w:after="0"/>
              <w:rPr>
                <w:sz w:val="14"/>
                <w:szCs w:val="14"/>
                <w:color w:val="auto"/>
              </w:rPr>
            </w:pPr>
          </w:p>
        </w:tc>
        <w:tc>
          <w:tcPr>
            <w:tcW w:w="1820" w:type="dxa"/>
            <w:vAlign w:val="bottom"/>
            <w:tcBorders>
              <w:bottom w:val="single" w:sz="8" w:color="auto"/>
            </w:tcBorders>
            <w:gridSpan w:val="3"/>
            <w:shd w:val="clear" w:color="auto" w:fill="98B0CF"/>
          </w:tcPr>
          <w:p>
            <w:pPr>
              <w:jc w:val="center"/>
              <w:ind w:left="208"/>
              <w:spacing w:after="0"/>
              <w:rPr>
                <w:sz w:val="20"/>
                <w:szCs w:val="20"/>
                <w:color w:val="auto"/>
              </w:rPr>
            </w:pPr>
            <w:r>
              <w:rPr>
                <w:rFonts w:ascii="Arial" w:cs="Arial" w:eastAsia="Arial" w:hAnsi="Arial"/>
                <w:sz w:val="14"/>
                <w:szCs w:val="14"/>
                <w:b w:val="1"/>
                <w:bCs w:val="1"/>
                <w:color w:val="auto"/>
              </w:rPr>
              <w:t>AOCL into Income</w:t>
            </w:r>
          </w:p>
        </w:tc>
        <w:tc>
          <w:tcPr>
            <w:tcW w:w="400" w:type="dxa"/>
            <w:vAlign w:val="bottom"/>
            <w:tcBorders>
              <w:bottom w:val="single" w:sz="8" w:color="auto"/>
            </w:tcBorders>
            <w:shd w:val="clear" w:color="auto" w:fill="98B0CF"/>
          </w:tcPr>
          <w:p>
            <w:pPr>
              <w:spacing w:after="0"/>
              <w:rPr>
                <w:sz w:val="14"/>
                <w:szCs w:val="14"/>
                <w:color w:val="auto"/>
              </w:rPr>
            </w:pPr>
          </w:p>
        </w:tc>
      </w:tr>
      <w:tr>
        <w:trPr>
          <w:trHeight w:val="146"/>
        </w:trPr>
        <w:tc>
          <w:tcPr>
            <w:tcW w:w="304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2100" w:type="dxa"/>
            <w:vAlign w:val="bottom"/>
            <w:gridSpan w:val="3"/>
            <w:shd w:val="clear" w:color="auto" w:fill="98B0CF"/>
          </w:tcPr>
          <w:p>
            <w:pPr>
              <w:jc w:val="center"/>
              <w:ind w:right="199"/>
              <w:spacing w:after="0" w:line="147" w:lineRule="exact"/>
              <w:rPr>
                <w:sz w:val="20"/>
                <w:szCs w:val="20"/>
                <w:color w:val="auto"/>
              </w:rPr>
            </w:pPr>
            <w:r>
              <w:rPr>
                <w:rFonts w:ascii="Arial" w:cs="Arial" w:eastAsia="Arial" w:hAnsi="Arial"/>
                <w:sz w:val="14"/>
                <w:szCs w:val="14"/>
                <w:b w:val="1"/>
                <w:bCs w:val="1"/>
                <w:color w:val="auto"/>
              </w:rPr>
              <w:t>Three Months Ended</w:t>
            </w:r>
          </w:p>
        </w:tc>
        <w:tc>
          <w:tcPr>
            <w:tcW w:w="330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820" w:type="dxa"/>
            <w:vAlign w:val="bottom"/>
            <w:gridSpan w:val="3"/>
            <w:shd w:val="clear" w:color="auto" w:fill="98B0CF"/>
          </w:tcPr>
          <w:p>
            <w:pPr>
              <w:jc w:val="center"/>
              <w:ind w:left="168"/>
              <w:spacing w:after="0" w:line="147" w:lineRule="exact"/>
              <w:rPr>
                <w:sz w:val="20"/>
                <w:szCs w:val="20"/>
                <w:color w:val="auto"/>
              </w:rPr>
            </w:pPr>
            <w:r>
              <w:rPr>
                <w:rFonts w:ascii="Arial" w:cs="Arial" w:eastAsia="Arial" w:hAnsi="Arial"/>
                <w:sz w:val="14"/>
                <w:szCs w:val="14"/>
                <w:b w:val="1"/>
                <w:bCs w:val="1"/>
                <w:color w:val="auto"/>
              </w:rPr>
              <w:t>Three Months Ended</w:t>
            </w:r>
          </w:p>
        </w:tc>
        <w:tc>
          <w:tcPr>
            <w:tcW w:w="400" w:type="dxa"/>
            <w:vAlign w:val="bottom"/>
            <w:shd w:val="clear" w:color="auto" w:fill="98B0CF"/>
          </w:tcPr>
          <w:p>
            <w:pPr>
              <w:spacing w:after="0"/>
              <w:rPr>
                <w:sz w:val="12"/>
                <w:szCs w:val="12"/>
                <w:color w:val="auto"/>
              </w:rPr>
            </w:pPr>
          </w:p>
        </w:tc>
      </w:tr>
      <w:tr>
        <w:trPr>
          <w:trHeight w:val="171"/>
        </w:trPr>
        <w:tc>
          <w:tcPr>
            <w:tcW w:w="3040" w:type="dxa"/>
            <w:vAlign w:val="bottom"/>
            <w:tcBorders>
              <w:bottom w:val="single" w:sz="8" w:color="98B0CF"/>
            </w:tcBorders>
            <w:shd w:val="clear" w:color="auto" w:fill="98B0CF"/>
          </w:tcPr>
          <w:p>
            <w:pPr>
              <w:spacing w:after="0"/>
              <w:rPr>
                <w:sz w:val="14"/>
                <w:szCs w:val="14"/>
                <w:color w:val="auto"/>
              </w:rPr>
            </w:pPr>
          </w:p>
        </w:tc>
        <w:tc>
          <w:tcPr>
            <w:tcW w:w="20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2100" w:type="dxa"/>
            <w:vAlign w:val="bottom"/>
            <w:tcBorders>
              <w:bottom w:val="single" w:sz="8" w:color="auto"/>
            </w:tcBorders>
            <w:gridSpan w:val="3"/>
            <w:shd w:val="clear" w:color="auto" w:fill="98B0CF"/>
          </w:tcPr>
          <w:p>
            <w:pPr>
              <w:jc w:val="center"/>
              <w:ind w:right="159"/>
              <w:spacing w:after="0"/>
              <w:rPr>
                <w:sz w:val="20"/>
                <w:szCs w:val="20"/>
                <w:color w:val="auto"/>
              </w:rPr>
            </w:pPr>
            <w:r>
              <w:rPr>
                <w:rFonts w:ascii="Arial" w:cs="Arial" w:eastAsia="Arial" w:hAnsi="Arial"/>
                <w:sz w:val="14"/>
                <w:szCs w:val="14"/>
                <w:b w:val="1"/>
                <w:bCs w:val="1"/>
                <w:color w:val="auto"/>
              </w:rPr>
              <w:t>September 30,</w:t>
            </w:r>
          </w:p>
        </w:tc>
        <w:tc>
          <w:tcPr>
            <w:tcW w:w="3300" w:type="dxa"/>
            <w:vAlign w:val="bottom"/>
            <w:tcBorders>
              <w:bottom w:val="single" w:sz="8" w:color="98B0CF"/>
            </w:tcBorders>
            <w:shd w:val="clear" w:color="auto" w:fill="98B0CF"/>
          </w:tcPr>
          <w:p>
            <w:pPr>
              <w:jc w:val="center"/>
              <w:ind w:left="182"/>
              <w:spacing w:after="0"/>
              <w:rPr>
                <w:sz w:val="20"/>
                <w:szCs w:val="20"/>
                <w:color w:val="auto"/>
              </w:rPr>
            </w:pPr>
            <w:r>
              <w:rPr>
                <w:rFonts w:ascii="Arial" w:cs="Arial" w:eastAsia="Arial" w:hAnsi="Arial"/>
                <w:sz w:val="14"/>
                <w:szCs w:val="14"/>
                <w:b w:val="1"/>
                <w:bCs w:val="1"/>
                <w:color w:val="auto"/>
              </w:rPr>
              <w:t>Location of Gain (Loss) Reclassified</w:t>
            </w:r>
          </w:p>
        </w:tc>
        <w:tc>
          <w:tcPr>
            <w:tcW w:w="280" w:type="dxa"/>
            <w:vAlign w:val="bottom"/>
            <w:tcBorders>
              <w:bottom w:val="single" w:sz="8" w:color="98B0CF"/>
            </w:tcBorders>
            <w:shd w:val="clear" w:color="auto" w:fill="98B0CF"/>
          </w:tcPr>
          <w:p>
            <w:pPr>
              <w:spacing w:after="0"/>
              <w:rPr>
                <w:sz w:val="14"/>
                <w:szCs w:val="14"/>
                <w:color w:val="auto"/>
              </w:rPr>
            </w:pPr>
          </w:p>
        </w:tc>
        <w:tc>
          <w:tcPr>
            <w:tcW w:w="1820" w:type="dxa"/>
            <w:vAlign w:val="bottom"/>
            <w:tcBorders>
              <w:bottom w:val="single" w:sz="8" w:color="auto"/>
            </w:tcBorders>
            <w:gridSpan w:val="3"/>
            <w:shd w:val="clear" w:color="auto" w:fill="98B0CF"/>
          </w:tcPr>
          <w:p>
            <w:pPr>
              <w:jc w:val="center"/>
              <w:ind w:left="20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shd w:val="clear" w:color="auto" w:fill="98B0CF"/>
          </w:tcPr>
          <w:p>
            <w:pPr>
              <w:spacing w:after="0"/>
              <w:rPr>
                <w:sz w:val="14"/>
                <w:szCs w:val="14"/>
                <w:color w:val="auto"/>
              </w:rPr>
            </w:pPr>
          </w:p>
        </w:tc>
      </w:tr>
      <w:tr>
        <w:trPr>
          <w:trHeight w:val="156"/>
        </w:trPr>
        <w:tc>
          <w:tcPr>
            <w:tcW w:w="3040" w:type="dxa"/>
            <w:vAlign w:val="bottom"/>
            <w:tcBorders>
              <w:bottom w:val="single" w:sz="8" w:color="auto"/>
            </w:tcBorders>
            <w:shd w:val="clear" w:color="auto" w:fill="98B0CF"/>
          </w:tcPr>
          <w:p>
            <w:pPr>
              <w:ind w:left="1140"/>
              <w:spacing w:after="0" w:line="155" w:lineRule="exact"/>
              <w:rPr>
                <w:sz w:val="20"/>
                <w:szCs w:val="20"/>
                <w:color w:val="auto"/>
              </w:rPr>
            </w:pPr>
            <w:r>
              <w:rPr>
                <w:rFonts w:ascii="Arial" w:cs="Arial" w:eastAsia="Arial" w:hAnsi="Arial"/>
                <w:sz w:val="14"/>
                <w:szCs w:val="14"/>
                <w:b w:val="1"/>
                <w:bCs w:val="1"/>
                <w:color w:val="auto"/>
              </w:rPr>
              <w:t>Instrument</w:t>
            </w:r>
          </w:p>
        </w:tc>
        <w:tc>
          <w:tcPr>
            <w:tcW w:w="2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920" w:type="dxa"/>
            <w:vAlign w:val="bottom"/>
            <w:tcBorders>
              <w:bottom w:val="single" w:sz="8" w:color="auto"/>
            </w:tcBorders>
            <w:shd w:val="clear" w:color="auto" w:fill="98B0CF"/>
          </w:tcPr>
          <w:p>
            <w:pPr>
              <w:jc w:val="right"/>
              <w:ind w:right="325"/>
              <w:spacing w:after="0" w:line="155" w:lineRule="exact"/>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jc w:val="right"/>
              <w:ind w:right="359"/>
              <w:spacing w:after="0" w:line="155" w:lineRule="exact"/>
              <w:rPr>
                <w:sz w:val="20"/>
                <w:szCs w:val="20"/>
                <w:color w:val="auto"/>
              </w:rPr>
            </w:pPr>
            <w:r>
              <w:rPr>
                <w:rFonts w:ascii="Arial" w:cs="Arial" w:eastAsia="Arial" w:hAnsi="Arial"/>
                <w:sz w:val="14"/>
                <w:szCs w:val="14"/>
                <w:b w:val="1"/>
                <w:bCs w:val="1"/>
                <w:color w:val="auto"/>
              </w:rPr>
              <w:t>2025</w:t>
            </w:r>
          </w:p>
        </w:tc>
        <w:tc>
          <w:tcPr>
            <w:tcW w:w="3300" w:type="dxa"/>
            <w:vAlign w:val="bottom"/>
            <w:tcBorders>
              <w:bottom w:val="single" w:sz="8" w:color="auto"/>
            </w:tcBorders>
            <w:shd w:val="clear" w:color="auto" w:fill="98B0CF"/>
          </w:tcPr>
          <w:p>
            <w:pPr>
              <w:jc w:val="center"/>
              <w:ind w:left="182"/>
              <w:spacing w:after="0" w:line="155" w:lineRule="exact"/>
              <w:rPr>
                <w:sz w:val="20"/>
                <w:szCs w:val="20"/>
                <w:color w:val="auto"/>
              </w:rPr>
            </w:pPr>
            <w:r>
              <w:rPr>
                <w:rFonts w:ascii="Arial" w:cs="Arial" w:eastAsia="Arial" w:hAnsi="Arial"/>
                <w:sz w:val="14"/>
                <w:szCs w:val="14"/>
                <w:b w:val="1"/>
                <w:bCs w:val="1"/>
                <w:color w:val="auto"/>
              </w:rPr>
              <w:t>from AOCL into Income</w:t>
            </w:r>
          </w:p>
        </w:tc>
        <w:tc>
          <w:tcPr>
            <w:tcW w:w="940" w:type="dxa"/>
            <w:vAlign w:val="bottom"/>
            <w:tcBorders>
              <w:bottom w:val="single" w:sz="8" w:color="auto"/>
            </w:tcBorders>
            <w:gridSpan w:val="2"/>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shd w:val="clear" w:color="auto" w:fill="98B0CF"/>
          </w:tcPr>
          <w:p>
            <w:pPr>
              <w:spacing w:after="0"/>
              <w:rPr>
                <w:sz w:val="13"/>
                <w:szCs w:val="13"/>
                <w:color w:val="auto"/>
              </w:rPr>
            </w:pPr>
          </w:p>
        </w:tc>
      </w:tr>
      <w:tr>
        <w:trPr>
          <w:trHeight w:val="196"/>
        </w:trPr>
        <w:tc>
          <w:tcPr>
            <w:tcW w:w="3040" w:type="dxa"/>
            <w:vAlign w:val="bottom"/>
            <w:tcBorders>
              <w:bottom w:val="single" w:sz="8" w:color="auto"/>
            </w:tcBorders>
            <w:shd w:val="clear" w:color="auto" w:fill="E2E8F1"/>
          </w:tcPr>
          <w:p>
            <w:pPr>
              <w:ind w:left="40"/>
              <w:spacing w:after="0" w:line="196" w:lineRule="exact"/>
              <w:rPr>
                <w:sz w:val="20"/>
                <w:szCs w:val="20"/>
                <w:color w:val="auto"/>
              </w:rPr>
            </w:pPr>
            <w:r>
              <w:rPr>
                <w:rFonts w:ascii="Arial" w:cs="Arial" w:eastAsia="Arial" w:hAnsi="Arial"/>
                <w:sz w:val="18"/>
                <w:szCs w:val="18"/>
                <w:color w:val="auto"/>
              </w:rPr>
              <w:t>Forward starting interest swap</w:t>
            </w:r>
          </w:p>
        </w:tc>
        <w:tc>
          <w:tcPr>
            <w:tcW w:w="200" w:type="dxa"/>
            <w:vAlign w:val="bottom"/>
            <w:tcBorders>
              <w:bottom w:val="single" w:sz="8" w:color="auto"/>
            </w:tcBorders>
            <w:shd w:val="clear" w:color="auto" w:fill="E2E8F1"/>
          </w:tcPr>
          <w:p>
            <w:pPr>
              <w:spacing w:after="0"/>
              <w:rPr>
                <w:sz w:val="17"/>
                <w:szCs w:val="17"/>
                <w:color w:val="auto"/>
              </w:rPr>
            </w:pPr>
          </w:p>
        </w:tc>
        <w:tc>
          <w:tcPr>
            <w:tcW w:w="100" w:type="dxa"/>
            <w:vAlign w:val="bottom"/>
            <w:tcBorders>
              <w:bottom w:val="single" w:sz="8" w:color="auto"/>
            </w:tcBorders>
            <w:shd w:val="clear" w:color="auto" w:fill="E2E8F1"/>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2E8F1"/>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2E8F1"/>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2E8F1"/>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3300" w:type="dxa"/>
            <w:vAlign w:val="bottom"/>
            <w:tcBorders>
              <w:bottom w:val="single" w:sz="8" w:color="auto"/>
            </w:tcBorders>
            <w:shd w:val="clear" w:color="auto" w:fill="E2E8F1"/>
          </w:tcPr>
          <w:p>
            <w:pPr>
              <w:ind w:left="140"/>
              <w:spacing w:after="0" w:line="196" w:lineRule="exact"/>
              <w:rPr>
                <w:sz w:val="20"/>
                <w:szCs w:val="20"/>
                <w:color w:val="auto"/>
              </w:rPr>
            </w:pPr>
            <w:r>
              <w:rPr>
                <w:rFonts w:ascii="Arial" w:cs="Arial" w:eastAsia="Arial" w:hAnsi="Arial"/>
                <w:sz w:val="18"/>
                <w:szCs w:val="18"/>
                <w:color w:val="auto"/>
              </w:rPr>
              <w:t>Interest and other expenses, net</w:t>
            </w:r>
          </w:p>
        </w:tc>
        <w:tc>
          <w:tcPr>
            <w:tcW w:w="940" w:type="dxa"/>
            <w:vAlign w:val="bottom"/>
            <w:tcBorders>
              <w:bottom w:val="single" w:sz="8" w:color="auto"/>
            </w:tcBorders>
            <w:gridSpan w:val="2"/>
            <w:shd w:val="clear" w:color="auto" w:fill="E2E8F1"/>
          </w:tcPr>
          <w:p>
            <w:pPr>
              <w:jc w:val="right"/>
              <w:ind w:right="488"/>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2E8F1"/>
          </w:tcPr>
          <w:p>
            <w:pPr>
              <w:jc w:val="right"/>
              <w:ind w:right="10"/>
              <w:spacing w:after="0" w:line="196" w:lineRule="exact"/>
              <w:rPr>
                <w:sz w:val="20"/>
                <w:szCs w:val="20"/>
                <w:color w:val="auto"/>
              </w:rPr>
            </w:pPr>
            <w:r>
              <w:rPr>
                <w:rFonts w:ascii="Arial" w:cs="Arial" w:eastAsia="Arial" w:hAnsi="Arial"/>
                <w:sz w:val="18"/>
                <w:szCs w:val="18"/>
                <w:color w:val="auto"/>
              </w:rPr>
              <w:t>0.1</w:t>
            </w:r>
          </w:p>
        </w:tc>
        <w:tc>
          <w:tcPr>
            <w:tcW w:w="760" w:type="dxa"/>
            <w:vAlign w:val="bottom"/>
            <w:tcBorders>
              <w:bottom w:val="single" w:sz="8" w:color="auto"/>
            </w:tcBorders>
            <w:shd w:val="clear" w:color="auto" w:fill="E2E8F1"/>
          </w:tcPr>
          <w:p>
            <w:pPr>
              <w:jc w:val="right"/>
              <w:ind w:right="459"/>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2E8F1"/>
          </w:tcPr>
          <w:p>
            <w:pPr>
              <w:jc w:val="right"/>
              <w:ind w:right="30"/>
              <w:spacing w:after="0" w:line="196" w:lineRule="exact"/>
              <w:rPr>
                <w:sz w:val="20"/>
                <w:szCs w:val="20"/>
                <w:color w:val="auto"/>
              </w:rPr>
            </w:pPr>
            <w:r>
              <w:rPr>
                <w:rFonts w:ascii="Arial" w:cs="Arial" w:eastAsia="Arial" w:hAnsi="Arial"/>
                <w:sz w:val="18"/>
                <w:szCs w:val="18"/>
                <w:color w:val="auto"/>
              </w:rPr>
              <w:t>0.1</w:t>
            </w:r>
          </w:p>
        </w:tc>
      </w:tr>
      <w:tr>
        <w:trPr>
          <w:trHeight w:val="196"/>
        </w:trPr>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spacing w:after="0"/>
              <w:rPr>
                <w:sz w:val="17"/>
                <w:szCs w:val="17"/>
                <w:color w:val="auto"/>
              </w:rPr>
            </w:pPr>
          </w:p>
        </w:tc>
      </w:tr>
      <w:tr>
        <w:trPr>
          <w:trHeight w:val="146"/>
        </w:trPr>
        <w:tc>
          <w:tcPr>
            <w:tcW w:w="304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2100" w:type="dxa"/>
            <w:vAlign w:val="bottom"/>
            <w:gridSpan w:val="3"/>
            <w:shd w:val="clear" w:color="auto" w:fill="98B0CF"/>
          </w:tcPr>
          <w:p>
            <w:pPr>
              <w:jc w:val="center"/>
              <w:ind w:right="179"/>
              <w:spacing w:after="0" w:line="147" w:lineRule="exact"/>
              <w:rPr>
                <w:sz w:val="20"/>
                <w:szCs w:val="20"/>
                <w:color w:val="auto"/>
              </w:rPr>
            </w:pPr>
            <w:r>
              <w:rPr>
                <w:rFonts w:ascii="Arial" w:cs="Arial" w:eastAsia="Arial" w:hAnsi="Arial"/>
                <w:sz w:val="14"/>
                <w:szCs w:val="14"/>
                <w:b w:val="1"/>
                <w:bCs w:val="1"/>
                <w:color w:val="auto"/>
              </w:rPr>
              <w:t>Gain (Loss) Recognized in</w:t>
            </w:r>
          </w:p>
        </w:tc>
        <w:tc>
          <w:tcPr>
            <w:tcW w:w="330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2220" w:type="dxa"/>
            <w:vAlign w:val="bottom"/>
            <w:gridSpan w:val="4"/>
            <w:shd w:val="clear" w:color="auto" w:fill="98B0CF"/>
          </w:tcPr>
          <w:p>
            <w:pPr>
              <w:jc w:val="center"/>
              <w:ind w:right="70"/>
              <w:spacing w:after="0" w:line="147" w:lineRule="exact"/>
              <w:rPr>
                <w:sz w:val="20"/>
                <w:szCs w:val="20"/>
                <w:color w:val="auto"/>
              </w:rPr>
            </w:pPr>
            <w:r>
              <w:rPr>
                <w:rFonts w:ascii="Arial" w:cs="Arial" w:eastAsia="Arial" w:hAnsi="Arial"/>
                <w:sz w:val="14"/>
                <w:szCs w:val="14"/>
                <w:b w:val="1"/>
                <w:bCs w:val="1"/>
                <w:color w:val="auto"/>
              </w:rPr>
              <w:t>Gain (Loss) Reclassified from</w:t>
            </w:r>
          </w:p>
        </w:tc>
      </w:tr>
      <w:tr>
        <w:trPr>
          <w:trHeight w:val="171"/>
        </w:trPr>
        <w:tc>
          <w:tcPr>
            <w:tcW w:w="3040" w:type="dxa"/>
            <w:vAlign w:val="bottom"/>
            <w:tcBorders>
              <w:bottom w:val="single" w:sz="8" w:color="98B0CF"/>
            </w:tcBorders>
            <w:shd w:val="clear" w:color="auto" w:fill="98B0CF"/>
          </w:tcPr>
          <w:p>
            <w:pPr>
              <w:spacing w:after="0"/>
              <w:rPr>
                <w:sz w:val="14"/>
                <w:szCs w:val="14"/>
                <w:color w:val="auto"/>
              </w:rPr>
            </w:pPr>
          </w:p>
        </w:tc>
        <w:tc>
          <w:tcPr>
            <w:tcW w:w="20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240" w:type="dxa"/>
            <w:vAlign w:val="bottom"/>
            <w:tcBorders>
              <w:bottom w:val="single" w:sz="8" w:color="auto"/>
            </w:tcBorders>
            <w:gridSpan w:val="2"/>
            <w:shd w:val="clear" w:color="auto" w:fill="98B0CF"/>
          </w:tcPr>
          <w:p>
            <w:pPr>
              <w:jc w:val="center"/>
              <w:ind w:left="545"/>
              <w:spacing w:after="0"/>
              <w:rPr>
                <w:sz w:val="20"/>
                <w:szCs w:val="20"/>
                <w:color w:val="auto"/>
              </w:rPr>
            </w:pPr>
            <w:r>
              <w:rPr>
                <w:rFonts w:ascii="Arial" w:cs="Arial" w:eastAsia="Arial" w:hAnsi="Arial"/>
                <w:sz w:val="14"/>
                <w:szCs w:val="14"/>
                <w:b w:val="1"/>
                <w:bCs w:val="1"/>
                <w:color w:val="auto"/>
              </w:rPr>
              <w:t>OCI</w:t>
            </w:r>
          </w:p>
        </w:tc>
        <w:tc>
          <w:tcPr>
            <w:tcW w:w="860" w:type="dxa"/>
            <w:vAlign w:val="bottom"/>
            <w:tcBorders>
              <w:bottom w:val="single" w:sz="8" w:color="auto"/>
            </w:tcBorders>
            <w:shd w:val="clear" w:color="auto" w:fill="98B0CF"/>
          </w:tcPr>
          <w:p>
            <w:pPr>
              <w:spacing w:after="0"/>
              <w:rPr>
                <w:sz w:val="14"/>
                <w:szCs w:val="14"/>
                <w:color w:val="auto"/>
              </w:rPr>
            </w:pPr>
          </w:p>
        </w:tc>
        <w:tc>
          <w:tcPr>
            <w:tcW w:w="3300" w:type="dxa"/>
            <w:vAlign w:val="bottom"/>
            <w:tcBorders>
              <w:bottom w:val="single" w:sz="8" w:color="98B0CF"/>
            </w:tcBorders>
            <w:shd w:val="clear" w:color="auto" w:fill="98B0CF"/>
          </w:tcPr>
          <w:p>
            <w:pPr>
              <w:spacing w:after="0"/>
              <w:rPr>
                <w:sz w:val="14"/>
                <w:szCs w:val="14"/>
                <w:color w:val="auto"/>
              </w:rPr>
            </w:pPr>
          </w:p>
        </w:tc>
        <w:tc>
          <w:tcPr>
            <w:tcW w:w="280" w:type="dxa"/>
            <w:vAlign w:val="bottom"/>
            <w:tcBorders>
              <w:bottom w:val="single" w:sz="8" w:color="98B0CF"/>
            </w:tcBorders>
            <w:shd w:val="clear" w:color="auto" w:fill="98B0CF"/>
          </w:tcPr>
          <w:p>
            <w:pPr>
              <w:spacing w:after="0"/>
              <w:rPr>
                <w:sz w:val="14"/>
                <w:szCs w:val="14"/>
                <w:color w:val="auto"/>
              </w:rPr>
            </w:pPr>
          </w:p>
        </w:tc>
        <w:tc>
          <w:tcPr>
            <w:tcW w:w="1820" w:type="dxa"/>
            <w:vAlign w:val="bottom"/>
            <w:tcBorders>
              <w:bottom w:val="single" w:sz="8" w:color="auto"/>
            </w:tcBorders>
            <w:gridSpan w:val="3"/>
            <w:shd w:val="clear" w:color="auto" w:fill="98B0CF"/>
          </w:tcPr>
          <w:p>
            <w:pPr>
              <w:jc w:val="center"/>
              <w:ind w:left="208"/>
              <w:spacing w:after="0"/>
              <w:rPr>
                <w:sz w:val="20"/>
                <w:szCs w:val="20"/>
                <w:color w:val="auto"/>
              </w:rPr>
            </w:pPr>
            <w:r>
              <w:rPr>
                <w:rFonts w:ascii="Arial" w:cs="Arial" w:eastAsia="Arial" w:hAnsi="Arial"/>
                <w:sz w:val="14"/>
                <w:szCs w:val="14"/>
                <w:b w:val="1"/>
                <w:bCs w:val="1"/>
                <w:color w:val="auto"/>
              </w:rPr>
              <w:t>AOCL into Income</w:t>
            </w:r>
          </w:p>
        </w:tc>
        <w:tc>
          <w:tcPr>
            <w:tcW w:w="400" w:type="dxa"/>
            <w:vAlign w:val="bottom"/>
            <w:tcBorders>
              <w:bottom w:val="single" w:sz="8" w:color="auto"/>
            </w:tcBorders>
            <w:shd w:val="clear" w:color="auto" w:fill="98B0CF"/>
          </w:tcPr>
          <w:p>
            <w:pPr>
              <w:spacing w:after="0"/>
              <w:rPr>
                <w:sz w:val="14"/>
                <w:szCs w:val="14"/>
                <w:color w:val="auto"/>
              </w:rPr>
            </w:pPr>
          </w:p>
        </w:tc>
      </w:tr>
      <w:tr>
        <w:trPr>
          <w:trHeight w:val="146"/>
        </w:trPr>
        <w:tc>
          <w:tcPr>
            <w:tcW w:w="304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2100" w:type="dxa"/>
            <w:vAlign w:val="bottom"/>
            <w:gridSpan w:val="3"/>
            <w:shd w:val="clear" w:color="auto" w:fill="98B0CF"/>
          </w:tcPr>
          <w:p>
            <w:pPr>
              <w:jc w:val="center"/>
              <w:ind w:right="199"/>
              <w:spacing w:after="0" w:line="147" w:lineRule="exact"/>
              <w:rPr>
                <w:sz w:val="20"/>
                <w:szCs w:val="20"/>
                <w:color w:val="auto"/>
              </w:rPr>
            </w:pPr>
            <w:r>
              <w:rPr>
                <w:rFonts w:ascii="Arial" w:cs="Arial" w:eastAsia="Arial" w:hAnsi="Arial"/>
                <w:sz w:val="14"/>
                <w:szCs w:val="14"/>
                <w:b w:val="1"/>
                <w:bCs w:val="1"/>
                <w:color w:val="auto"/>
              </w:rPr>
              <w:t>Nine Months Ended</w:t>
            </w:r>
          </w:p>
        </w:tc>
        <w:tc>
          <w:tcPr>
            <w:tcW w:w="330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820" w:type="dxa"/>
            <w:vAlign w:val="bottom"/>
            <w:gridSpan w:val="3"/>
            <w:shd w:val="clear" w:color="auto" w:fill="98B0CF"/>
          </w:tcPr>
          <w:p>
            <w:pPr>
              <w:jc w:val="center"/>
              <w:ind w:left="168"/>
              <w:spacing w:after="0" w:line="147" w:lineRule="exact"/>
              <w:rPr>
                <w:sz w:val="20"/>
                <w:szCs w:val="20"/>
                <w:color w:val="auto"/>
              </w:rPr>
            </w:pPr>
            <w:r>
              <w:rPr>
                <w:rFonts w:ascii="Arial" w:cs="Arial" w:eastAsia="Arial" w:hAnsi="Arial"/>
                <w:sz w:val="14"/>
                <w:szCs w:val="14"/>
                <w:b w:val="1"/>
                <w:bCs w:val="1"/>
                <w:color w:val="auto"/>
              </w:rPr>
              <w:t>Nine Months Ended</w:t>
            </w:r>
          </w:p>
        </w:tc>
        <w:tc>
          <w:tcPr>
            <w:tcW w:w="400" w:type="dxa"/>
            <w:vAlign w:val="bottom"/>
            <w:shd w:val="clear" w:color="auto" w:fill="98B0CF"/>
          </w:tcPr>
          <w:p>
            <w:pPr>
              <w:spacing w:after="0"/>
              <w:rPr>
                <w:sz w:val="12"/>
                <w:szCs w:val="12"/>
                <w:color w:val="auto"/>
              </w:rPr>
            </w:pPr>
          </w:p>
        </w:tc>
      </w:tr>
      <w:tr>
        <w:trPr>
          <w:trHeight w:val="171"/>
        </w:trPr>
        <w:tc>
          <w:tcPr>
            <w:tcW w:w="3040" w:type="dxa"/>
            <w:vAlign w:val="bottom"/>
            <w:tcBorders>
              <w:bottom w:val="single" w:sz="8" w:color="98B0CF"/>
            </w:tcBorders>
            <w:shd w:val="clear" w:color="auto" w:fill="98B0CF"/>
          </w:tcPr>
          <w:p>
            <w:pPr>
              <w:spacing w:after="0"/>
              <w:rPr>
                <w:sz w:val="14"/>
                <w:szCs w:val="14"/>
                <w:color w:val="auto"/>
              </w:rPr>
            </w:pPr>
          </w:p>
        </w:tc>
        <w:tc>
          <w:tcPr>
            <w:tcW w:w="20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2100" w:type="dxa"/>
            <w:vAlign w:val="bottom"/>
            <w:tcBorders>
              <w:bottom w:val="single" w:sz="8" w:color="auto"/>
            </w:tcBorders>
            <w:gridSpan w:val="3"/>
            <w:shd w:val="clear" w:color="auto" w:fill="98B0CF"/>
          </w:tcPr>
          <w:p>
            <w:pPr>
              <w:jc w:val="center"/>
              <w:ind w:right="159"/>
              <w:spacing w:after="0"/>
              <w:rPr>
                <w:sz w:val="20"/>
                <w:szCs w:val="20"/>
                <w:color w:val="auto"/>
              </w:rPr>
            </w:pPr>
            <w:r>
              <w:rPr>
                <w:rFonts w:ascii="Arial" w:cs="Arial" w:eastAsia="Arial" w:hAnsi="Arial"/>
                <w:sz w:val="14"/>
                <w:szCs w:val="14"/>
                <w:b w:val="1"/>
                <w:bCs w:val="1"/>
                <w:color w:val="auto"/>
              </w:rPr>
              <w:t>September 30,</w:t>
            </w:r>
          </w:p>
        </w:tc>
        <w:tc>
          <w:tcPr>
            <w:tcW w:w="3300" w:type="dxa"/>
            <w:vAlign w:val="bottom"/>
            <w:tcBorders>
              <w:bottom w:val="single" w:sz="8" w:color="98B0CF"/>
            </w:tcBorders>
            <w:shd w:val="clear" w:color="auto" w:fill="98B0CF"/>
          </w:tcPr>
          <w:p>
            <w:pPr>
              <w:jc w:val="center"/>
              <w:ind w:left="182"/>
              <w:spacing w:after="0"/>
              <w:rPr>
                <w:sz w:val="20"/>
                <w:szCs w:val="20"/>
                <w:color w:val="auto"/>
              </w:rPr>
            </w:pPr>
            <w:r>
              <w:rPr>
                <w:rFonts w:ascii="Arial" w:cs="Arial" w:eastAsia="Arial" w:hAnsi="Arial"/>
                <w:sz w:val="14"/>
                <w:szCs w:val="14"/>
                <w:b w:val="1"/>
                <w:bCs w:val="1"/>
                <w:color w:val="auto"/>
              </w:rPr>
              <w:t>Location of Gain (Loss) Reclassified</w:t>
            </w:r>
          </w:p>
        </w:tc>
        <w:tc>
          <w:tcPr>
            <w:tcW w:w="280" w:type="dxa"/>
            <w:vAlign w:val="bottom"/>
            <w:tcBorders>
              <w:bottom w:val="single" w:sz="8" w:color="98B0CF"/>
            </w:tcBorders>
            <w:shd w:val="clear" w:color="auto" w:fill="98B0CF"/>
          </w:tcPr>
          <w:p>
            <w:pPr>
              <w:spacing w:after="0"/>
              <w:rPr>
                <w:sz w:val="14"/>
                <w:szCs w:val="14"/>
                <w:color w:val="auto"/>
              </w:rPr>
            </w:pPr>
          </w:p>
        </w:tc>
        <w:tc>
          <w:tcPr>
            <w:tcW w:w="1820" w:type="dxa"/>
            <w:vAlign w:val="bottom"/>
            <w:tcBorders>
              <w:bottom w:val="single" w:sz="8" w:color="auto"/>
            </w:tcBorders>
            <w:gridSpan w:val="3"/>
            <w:shd w:val="clear" w:color="auto" w:fill="98B0CF"/>
          </w:tcPr>
          <w:p>
            <w:pPr>
              <w:jc w:val="center"/>
              <w:ind w:left="20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shd w:val="clear" w:color="auto" w:fill="98B0CF"/>
          </w:tcPr>
          <w:p>
            <w:pPr>
              <w:spacing w:after="0"/>
              <w:rPr>
                <w:sz w:val="14"/>
                <w:szCs w:val="14"/>
                <w:color w:val="auto"/>
              </w:rPr>
            </w:pPr>
          </w:p>
        </w:tc>
      </w:tr>
      <w:tr>
        <w:trPr>
          <w:trHeight w:val="155"/>
        </w:trPr>
        <w:tc>
          <w:tcPr>
            <w:tcW w:w="3040" w:type="dxa"/>
            <w:vAlign w:val="bottom"/>
            <w:tcBorders>
              <w:bottom w:val="single" w:sz="8" w:color="auto"/>
            </w:tcBorders>
            <w:shd w:val="clear" w:color="auto" w:fill="98B0CF"/>
          </w:tcPr>
          <w:p>
            <w:pPr>
              <w:ind w:left="1140"/>
              <w:spacing w:after="0" w:line="155" w:lineRule="exact"/>
              <w:rPr>
                <w:sz w:val="20"/>
                <w:szCs w:val="20"/>
                <w:color w:val="auto"/>
              </w:rPr>
            </w:pPr>
            <w:r>
              <w:rPr>
                <w:rFonts w:ascii="Arial" w:cs="Arial" w:eastAsia="Arial" w:hAnsi="Arial"/>
                <w:sz w:val="14"/>
                <w:szCs w:val="14"/>
                <w:b w:val="1"/>
                <w:bCs w:val="1"/>
                <w:color w:val="auto"/>
              </w:rPr>
              <w:t>Instrument</w:t>
            </w:r>
          </w:p>
        </w:tc>
        <w:tc>
          <w:tcPr>
            <w:tcW w:w="2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920" w:type="dxa"/>
            <w:vAlign w:val="bottom"/>
            <w:tcBorders>
              <w:bottom w:val="single" w:sz="8" w:color="auto"/>
            </w:tcBorders>
            <w:shd w:val="clear" w:color="auto" w:fill="98B0CF"/>
          </w:tcPr>
          <w:p>
            <w:pPr>
              <w:jc w:val="right"/>
              <w:ind w:right="325"/>
              <w:spacing w:after="0" w:line="155" w:lineRule="exact"/>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jc w:val="right"/>
              <w:ind w:right="359"/>
              <w:spacing w:after="0" w:line="155" w:lineRule="exact"/>
              <w:rPr>
                <w:sz w:val="20"/>
                <w:szCs w:val="20"/>
                <w:color w:val="auto"/>
              </w:rPr>
            </w:pPr>
            <w:r>
              <w:rPr>
                <w:rFonts w:ascii="Arial" w:cs="Arial" w:eastAsia="Arial" w:hAnsi="Arial"/>
                <w:sz w:val="14"/>
                <w:szCs w:val="14"/>
                <w:b w:val="1"/>
                <w:bCs w:val="1"/>
                <w:color w:val="auto"/>
              </w:rPr>
              <w:t>2025</w:t>
            </w:r>
          </w:p>
        </w:tc>
        <w:tc>
          <w:tcPr>
            <w:tcW w:w="3300" w:type="dxa"/>
            <w:vAlign w:val="bottom"/>
            <w:tcBorders>
              <w:bottom w:val="single" w:sz="8" w:color="auto"/>
            </w:tcBorders>
            <w:shd w:val="clear" w:color="auto" w:fill="98B0CF"/>
          </w:tcPr>
          <w:p>
            <w:pPr>
              <w:jc w:val="center"/>
              <w:ind w:left="182"/>
              <w:spacing w:after="0" w:line="155" w:lineRule="exact"/>
              <w:rPr>
                <w:sz w:val="20"/>
                <w:szCs w:val="20"/>
                <w:color w:val="auto"/>
              </w:rPr>
            </w:pPr>
            <w:r>
              <w:rPr>
                <w:rFonts w:ascii="Arial" w:cs="Arial" w:eastAsia="Arial" w:hAnsi="Arial"/>
                <w:sz w:val="14"/>
                <w:szCs w:val="14"/>
                <w:b w:val="1"/>
                <w:bCs w:val="1"/>
                <w:color w:val="auto"/>
              </w:rPr>
              <w:t>from AOCL into Income</w:t>
            </w:r>
          </w:p>
        </w:tc>
        <w:tc>
          <w:tcPr>
            <w:tcW w:w="940" w:type="dxa"/>
            <w:vAlign w:val="bottom"/>
            <w:tcBorders>
              <w:bottom w:val="single" w:sz="8" w:color="auto"/>
            </w:tcBorders>
            <w:gridSpan w:val="2"/>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shd w:val="clear" w:color="auto" w:fill="98B0CF"/>
          </w:tcPr>
          <w:p>
            <w:pPr>
              <w:spacing w:after="0"/>
              <w:rPr>
                <w:sz w:val="13"/>
                <w:szCs w:val="13"/>
                <w:color w:val="auto"/>
              </w:rPr>
            </w:pPr>
          </w:p>
        </w:tc>
      </w:tr>
      <w:tr>
        <w:trPr>
          <w:trHeight w:val="196"/>
        </w:trPr>
        <w:tc>
          <w:tcPr>
            <w:tcW w:w="3040" w:type="dxa"/>
            <w:vAlign w:val="bottom"/>
            <w:tcBorders>
              <w:bottom w:val="single" w:sz="8" w:color="auto"/>
            </w:tcBorders>
            <w:shd w:val="clear" w:color="auto" w:fill="E2E8F1"/>
          </w:tcPr>
          <w:p>
            <w:pPr>
              <w:ind w:left="40"/>
              <w:spacing w:after="0" w:line="196" w:lineRule="exact"/>
              <w:rPr>
                <w:sz w:val="20"/>
                <w:szCs w:val="20"/>
                <w:color w:val="auto"/>
              </w:rPr>
            </w:pPr>
            <w:r>
              <w:rPr>
                <w:rFonts w:ascii="Arial" w:cs="Arial" w:eastAsia="Arial" w:hAnsi="Arial"/>
                <w:sz w:val="18"/>
                <w:szCs w:val="18"/>
                <w:color w:val="auto"/>
              </w:rPr>
              <w:t>Forward starting interest swap</w:t>
            </w:r>
          </w:p>
        </w:tc>
        <w:tc>
          <w:tcPr>
            <w:tcW w:w="200" w:type="dxa"/>
            <w:vAlign w:val="bottom"/>
            <w:tcBorders>
              <w:bottom w:val="single" w:sz="8" w:color="auto"/>
            </w:tcBorders>
            <w:shd w:val="clear" w:color="auto" w:fill="E2E8F1"/>
          </w:tcPr>
          <w:p>
            <w:pPr>
              <w:spacing w:after="0"/>
              <w:rPr>
                <w:sz w:val="17"/>
                <w:szCs w:val="17"/>
                <w:color w:val="auto"/>
              </w:rPr>
            </w:pPr>
          </w:p>
        </w:tc>
        <w:tc>
          <w:tcPr>
            <w:tcW w:w="100" w:type="dxa"/>
            <w:vAlign w:val="bottom"/>
            <w:tcBorders>
              <w:bottom w:val="single" w:sz="8" w:color="auto"/>
            </w:tcBorders>
            <w:shd w:val="clear" w:color="auto" w:fill="E2E8F1"/>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2E8F1"/>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2E8F1"/>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2E8F1"/>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3300" w:type="dxa"/>
            <w:vAlign w:val="bottom"/>
            <w:tcBorders>
              <w:bottom w:val="single" w:sz="8" w:color="auto"/>
            </w:tcBorders>
            <w:shd w:val="clear" w:color="auto" w:fill="E2E8F1"/>
          </w:tcPr>
          <w:p>
            <w:pPr>
              <w:ind w:left="140"/>
              <w:spacing w:after="0" w:line="196" w:lineRule="exact"/>
              <w:rPr>
                <w:sz w:val="20"/>
                <w:szCs w:val="20"/>
                <w:color w:val="auto"/>
              </w:rPr>
            </w:pPr>
            <w:r>
              <w:rPr>
                <w:rFonts w:ascii="Arial" w:cs="Arial" w:eastAsia="Arial" w:hAnsi="Arial"/>
                <w:sz w:val="18"/>
                <w:szCs w:val="18"/>
                <w:color w:val="auto"/>
              </w:rPr>
              <w:t>Interest and other expenses, net</w:t>
            </w:r>
          </w:p>
        </w:tc>
        <w:tc>
          <w:tcPr>
            <w:tcW w:w="940" w:type="dxa"/>
            <w:vAlign w:val="bottom"/>
            <w:tcBorders>
              <w:bottom w:val="single" w:sz="8" w:color="auto"/>
            </w:tcBorders>
            <w:gridSpan w:val="2"/>
            <w:shd w:val="clear" w:color="auto" w:fill="E2E8F1"/>
          </w:tcPr>
          <w:p>
            <w:pPr>
              <w:jc w:val="right"/>
              <w:ind w:right="488"/>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2E8F1"/>
          </w:tcPr>
          <w:p>
            <w:pPr>
              <w:jc w:val="right"/>
              <w:ind w:right="10"/>
              <w:spacing w:after="0" w:line="196" w:lineRule="exact"/>
              <w:rPr>
                <w:sz w:val="20"/>
                <w:szCs w:val="20"/>
                <w:color w:val="auto"/>
              </w:rPr>
            </w:pPr>
            <w:r>
              <w:rPr>
                <w:rFonts w:ascii="Arial" w:cs="Arial" w:eastAsia="Arial" w:hAnsi="Arial"/>
                <w:sz w:val="18"/>
                <w:szCs w:val="18"/>
                <w:color w:val="auto"/>
              </w:rPr>
              <w:t>0.3</w:t>
            </w:r>
          </w:p>
        </w:tc>
        <w:tc>
          <w:tcPr>
            <w:tcW w:w="760" w:type="dxa"/>
            <w:vAlign w:val="bottom"/>
            <w:tcBorders>
              <w:bottom w:val="single" w:sz="8" w:color="auto"/>
            </w:tcBorders>
            <w:shd w:val="clear" w:color="auto" w:fill="E2E8F1"/>
          </w:tcPr>
          <w:p>
            <w:pPr>
              <w:jc w:val="right"/>
              <w:ind w:right="459"/>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2E8F1"/>
          </w:tcPr>
          <w:p>
            <w:pPr>
              <w:jc w:val="right"/>
              <w:ind w:right="30"/>
              <w:spacing w:after="0" w:line="196" w:lineRule="exact"/>
              <w:rPr>
                <w:sz w:val="20"/>
                <w:szCs w:val="20"/>
                <w:color w:val="auto"/>
              </w:rPr>
            </w:pPr>
            <w:r>
              <w:rPr>
                <w:rFonts w:ascii="Arial" w:cs="Arial" w:eastAsia="Arial" w:hAnsi="Arial"/>
                <w:sz w:val="18"/>
                <w:szCs w:val="18"/>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-1285240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-1071245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-471170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-256540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the net amount of pre-tax derivative gains and losses included in AOCL at September 30, 2026 to be reclassified into earnings within the next 12 months will not be significant. The actual amount that will be reclassified to earnings over the next 12 months will vary due to future currency exchange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Fair Value Hedges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We account for derivatives as fair value hedges when the hedged item is a recognized asset, liability, or firm commitment. We use cross-currency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other comprehensive income (loss) with an immediate reclassification into earnings for the change in fair value attributable to fluctuations in foreign currency exchange rates.</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In April 2024, we settled our previous cross-currency swaps at maturity for a net cash inflow of $14.9 and entered into a new cross-currency swap with a maturity date of April 2027. The swaps hedge an intercompany fixed-rate CHF denominated note, including annual interest payments and the payment of remaining principal at maturity, by converting it to a fixed-rate Euro denominated note. The economic effect of the swaps is to eliminate the uncertainty of cash flows in CHF associated with the note by fixing the principal at €236.9 with a fixed annual interest rate of 3.45%.</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In September 2024, we settled our previous cross-currency swaps at maturity for a net cash inflow of $1.6 and entered into a new cross-currency swap with a maturity date of September 2027. The swaps hedge an intercompany fixed-rate CHF denominated note, including the annual interest payments and the payment of remaining principal at maturity, by converting it to a fixed-rate Euro denominated note. The economic effect of the swaps is to eliminate the uncertainty of cash flows in CHF associated with the note by fixing the principal at €63.6 with a fixed annual interest rate of 3.27%.</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present the impact that the fair value hedges had on our Consolidated Statement of Operations for the three and nine months ended September 30, 2026 and 2025:</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0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20" w:type="dxa"/>
            <w:vAlign w:val="bottom"/>
            <w:tcBorders>
              <w:top w:val="single" w:sz="8" w:color="auto"/>
              <w:bottom w:val="single" w:sz="8" w:color="auto"/>
            </w:tcBorders>
            <w:shd w:val="clear" w:color="auto" w:fill="98B0CF"/>
          </w:tcPr>
          <w:p>
            <w:pPr>
              <w:spacing w:after="0"/>
              <w:rPr>
                <w:sz w:val="15"/>
                <w:szCs w:val="15"/>
                <w:color w:val="auto"/>
              </w:rPr>
            </w:pPr>
          </w:p>
        </w:tc>
        <w:tc>
          <w:tcPr>
            <w:tcW w:w="100" w:type="dxa"/>
            <w:vAlign w:val="bottom"/>
            <w:tcBorders>
              <w:top w:val="single" w:sz="8" w:color="auto"/>
              <w:bottom w:val="single" w:sz="8" w:color="auto"/>
            </w:tcBorders>
            <w:shd w:val="clear" w:color="auto" w:fill="98B0CF"/>
          </w:tcPr>
          <w:p>
            <w:pPr>
              <w:spacing w:after="0"/>
              <w:rPr>
                <w:sz w:val="15"/>
                <w:szCs w:val="15"/>
                <w:color w:val="auto"/>
              </w:rPr>
            </w:pPr>
          </w:p>
        </w:tc>
        <w:tc>
          <w:tcPr>
            <w:tcW w:w="2640" w:type="dxa"/>
            <w:vAlign w:val="bottom"/>
            <w:tcBorders>
              <w:top w:val="single" w:sz="8" w:color="auto"/>
              <w:bottom w:val="single" w:sz="8" w:color="auto"/>
            </w:tcBorders>
            <w:gridSpan w:val="4"/>
            <w:shd w:val="clear" w:color="auto" w:fill="98B0CF"/>
          </w:tcPr>
          <w:p>
            <w:pPr>
              <w:jc w:val="center"/>
              <w:ind w:right="140"/>
              <w:spacing w:after="0"/>
              <w:rPr>
                <w:sz w:val="20"/>
                <w:szCs w:val="20"/>
                <w:color w:val="auto"/>
              </w:rPr>
            </w:pPr>
            <w:r>
              <w:rPr>
                <w:rFonts w:ascii="Arial" w:cs="Arial" w:eastAsia="Arial" w:hAnsi="Arial"/>
                <w:sz w:val="14"/>
                <w:szCs w:val="14"/>
                <w:b w:val="1"/>
                <w:bCs w:val="1"/>
                <w:color w:val="auto"/>
              </w:rPr>
              <w:t>Gain (Loss) Recognized in OCI</w:t>
            </w:r>
          </w:p>
        </w:tc>
        <w:tc>
          <w:tcPr>
            <w:tcW w:w="80" w:type="dxa"/>
            <w:vAlign w:val="bottom"/>
            <w:tcBorders>
              <w:top w:val="single" w:sz="8" w:color="auto"/>
              <w:bottom w:val="single" w:sz="8" w:color="auto"/>
            </w:tcBorders>
            <w:shd w:val="clear" w:color="auto" w:fill="98B0CF"/>
          </w:tcPr>
          <w:p>
            <w:pPr>
              <w:spacing w:after="0"/>
              <w:rPr>
                <w:sz w:val="15"/>
                <w:szCs w:val="15"/>
                <w:color w:val="auto"/>
              </w:rPr>
            </w:pPr>
          </w:p>
        </w:tc>
        <w:tc>
          <w:tcPr>
            <w:tcW w:w="2740" w:type="dxa"/>
            <w:vAlign w:val="bottom"/>
            <w:tcBorders>
              <w:top w:val="single" w:sz="8" w:color="auto"/>
              <w:bottom w:val="single" w:sz="8" w:color="98B0CF"/>
            </w:tcBorders>
            <w:shd w:val="clear" w:color="auto" w:fill="98B0CF"/>
          </w:tcPr>
          <w:p>
            <w:pPr>
              <w:spacing w:after="0"/>
              <w:rPr>
                <w:sz w:val="15"/>
                <w:szCs w:val="15"/>
                <w:color w:val="auto"/>
              </w:rPr>
            </w:pPr>
          </w:p>
        </w:tc>
        <w:tc>
          <w:tcPr>
            <w:tcW w:w="26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2560" w:type="dxa"/>
            <w:vAlign w:val="bottom"/>
            <w:tcBorders>
              <w:top w:val="single" w:sz="8" w:color="auto"/>
              <w:bottom w:val="single" w:sz="8" w:color="auto"/>
            </w:tcBorders>
            <w:gridSpan w:val="4"/>
            <w:shd w:val="clear" w:color="auto" w:fill="98B0CF"/>
          </w:tcPr>
          <w:p>
            <w:pPr>
              <w:jc w:val="center"/>
              <w:ind w:right="22"/>
              <w:spacing w:after="0"/>
              <w:rPr>
                <w:sz w:val="20"/>
                <w:szCs w:val="20"/>
                <w:color w:val="auto"/>
              </w:rPr>
            </w:pPr>
            <w:r>
              <w:rPr>
                <w:rFonts w:ascii="Arial" w:cs="Arial" w:eastAsia="Arial" w:hAnsi="Arial"/>
                <w:sz w:val="14"/>
                <w:szCs w:val="14"/>
                <w:b w:val="1"/>
                <w:bCs w:val="1"/>
                <w:color w:val="auto"/>
              </w:rPr>
              <w:t>Gain (Loss) Recognized in Income</w:t>
            </w:r>
          </w:p>
        </w:tc>
      </w:tr>
      <w:tr>
        <w:trPr>
          <w:trHeight w:val="146"/>
        </w:trPr>
        <w:tc>
          <w:tcPr>
            <w:tcW w:w="260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2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200" w:type="dxa"/>
            <w:vAlign w:val="bottom"/>
            <w:shd w:val="clear" w:color="auto" w:fill="98B0CF"/>
          </w:tcPr>
          <w:p>
            <w:pPr>
              <w:spacing w:after="0"/>
              <w:rPr>
                <w:sz w:val="12"/>
                <w:szCs w:val="12"/>
                <w:color w:val="auto"/>
              </w:rPr>
            </w:pPr>
          </w:p>
        </w:tc>
        <w:tc>
          <w:tcPr>
            <w:tcW w:w="36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274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2460" w:type="dxa"/>
            <w:vAlign w:val="bottom"/>
            <w:gridSpan w:val="3"/>
            <w:shd w:val="clear" w:color="auto" w:fill="98B0CF"/>
          </w:tcPr>
          <w:p>
            <w:pPr>
              <w:jc w:val="center"/>
              <w:ind w:right="162"/>
              <w:spacing w:after="0" w:line="147" w:lineRule="exact"/>
              <w:rPr>
                <w:sz w:val="20"/>
                <w:szCs w:val="20"/>
                <w:color w:val="auto"/>
              </w:rPr>
            </w:pPr>
            <w:r>
              <w:rPr>
                <w:rFonts w:ascii="Arial" w:cs="Arial" w:eastAsia="Arial" w:hAnsi="Arial"/>
                <w:sz w:val="14"/>
                <w:szCs w:val="14"/>
                <w:b w:val="1"/>
                <w:bCs w:val="1"/>
                <w:color w:val="auto"/>
              </w:rPr>
              <w:t>Three Months Ended September</w:t>
            </w:r>
          </w:p>
        </w:tc>
      </w:tr>
      <w:tr>
        <w:trPr>
          <w:trHeight w:val="171"/>
        </w:trPr>
        <w:tc>
          <w:tcPr>
            <w:tcW w:w="260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2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2640" w:type="dxa"/>
            <w:vAlign w:val="bottom"/>
            <w:tcBorders>
              <w:bottom w:val="single" w:sz="8" w:color="auto"/>
            </w:tcBorders>
            <w:gridSpan w:val="4"/>
            <w:shd w:val="clear" w:color="auto" w:fill="98B0CF"/>
          </w:tcPr>
          <w:p>
            <w:pPr>
              <w:jc w:val="center"/>
              <w:ind w:right="16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shd w:val="clear" w:color="auto" w:fill="98B0CF"/>
          </w:tcPr>
          <w:p>
            <w:pPr>
              <w:spacing w:after="0"/>
              <w:rPr>
                <w:sz w:val="14"/>
                <w:szCs w:val="14"/>
                <w:color w:val="auto"/>
              </w:rPr>
            </w:pPr>
          </w:p>
        </w:tc>
        <w:tc>
          <w:tcPr>
            <w:tcW w:w="2740" w:type="dxa"/>
            <w:vAlign w:val="bottom"/>
            <w:tcBorders>
              <w:bottom w:val="single" w:sz="8" w:color="98B0CF"/>
            </w:tcBorders>
            <w:shd w:val="clear" w:color="auto" w:fill="98B0CF"/>
          </w:tcPr>
          <w:p>
            <w:pPr>
              <w:jc w:val="center"/>
              <w:ind w:left="305"/>
              <w:spacing w:after="0"/>
              <w:rPr>
                <w:sz w:val="20"/>
                <w:szCs w:val="20"/>
                <w:color w:val="auto"/>
              </w:rPr>
            </w:pPr>
            <w:r>
              <w:rPr>
                <w:rFonts w:ascii="Arial" w:cs="Arial" w:eastAsia="Arial" w:hAnsi="Arial"/>
                <w:sz w:val="14"/>
                <w:szCs w:val="14"/>
                <w:b w:val="1"/>
                <w:bCs w:val="1"/>
                <w:color w:val="auto"/>
              </w:rPr>
              <w:t>Location of Gain (Loss)</w:t>
            </w:r>
          </w:p>
        </w:tc>
        <w:tc>
          <w:tcPr>
            <w:tcW w:w="26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520" w:type="dxa"/>
            <w:vAlign w:val="bottom"/>
            <w:tcBorders>
              <w:bottom w:val="single" w:sz="8" w:color="auto"/>
            </w:tcBorders>
            <w:gridSpan w:val="2"/>
            <w:shd w:val="clear" w:color="auto" w:fill="98B0CF"/>
          </w:tcPr>
          <w:p>
            <w:pPr>
              <w:jc w:val="center"/>
              <w:ind w:left="684"/>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tcBorders>
            <w:shd w:val="clear" w:color="auto" w:fill="98B0CF"/>
          </w:tcPr>
          <w:p>
            <w:pPr>
              <w:spacing w:after="0"/>
              <w:rPr>
                <w:sz w:val="14"/>
                <w:szCs w:val="14"/>
                <w:color w:val="auto"/>
              </w:rPr>
            </w:pPr>
          </w:p>
        </w:tc>
      </w:tr>
      <w:tr>
        <w:trPr>
          <w:trHeight w:val="156"/>
        </w:trPr>
        <w:tc>
          <w:tcPr>
            <w:tcW w:w="2600" w:type="dxa"/>
            <w:vAlign w:val="bottom"/>
            <w:tcBorders>
              <w:bottom w:val="single" w:sz="8" w:color="auto"/>
            </w:tcBorders>
            <w:shd w:val="clear" w:color="auto" w:fill="98B0CF"/>
          </w:tcPr>
          <w:p>
            <w:pPr>
              <w:ind w:left="940"/>
              <w:spacing w:after="0" w:line="155" w:lineRule="exact"/>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auto"/>
            </w:tcBorders>
            <w:shd w:val="clear" w:color="auto" w:fill="98B0CF"/>
          </w:tcPr>
          <w:p>
            <w:pPr>
              <w:spacing w:after="0"/>
              <w:rPr>
                <w:sz w:val="13"/>
                <w:szCs w:val="13"/>
                <w:color w:val="auto"/>
              </w:rPr>
            </w:pPr>
          </w:p>
        </w:tc>
        <w:tc>
          <w:tcPr>
            <w:tcW w:w="2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1200" w:type="dxa"/>
            <w:vAlign w:val="bottom"/>
            <w:tcBorders>
              <w:bottom w:val="single" w:sz="8" w:color="auto"/>
            </w:tcBorders>
            <w:shd w:val="clear" w:color="auto" w:fill="98B0CF"/>
          </w:tcPr>
          <w:p>
            <w:pPr>
              <w:jc w:val="right"/>
              <w:ind w:right="464"/>
              <w:spacing w:after="0" w:line="155" w:lineRule="exact"/>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jc w:val="right"/>
              <w:ind w:right="282"/>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shd w:val="clear" w:color="auto" w:fill="98B0CF"/>
          </w:tcPr>
          <w:p>
            <w:pPr>
              <w:spacing w:after="0"/>
              <w:rPr>
                <w:sz w:val="13"/>
                <w:szCs w:val="13"/>
                <w:color w:val="auto"/>
              </w:rPr>
            </w:pPr>
          </w:p>
        </w:tc>
        <w:tc>
          <w:tcPr>
            <w:tcW w:w="80" w:type="dxa"/>
            <w:vAlign w:val="bottom"/>
            <w:tcBorders>
              <w:bottom w:val="single" w:sz="8" w:color="auto"/>
            </w:tcBorders>
            <w:shd w:val="clear" w:color="auto" w:fill="98B0CF"/>
          </w:tcPr>
          <w:p>
            <w:pPr>
              <w:spacing w:after="0"/>
              <w:rPr>
                <w:sz w:val="13"/>
                <w:szCs w:val="13"/>
                <w:color w:val="auto"/>
              </w:rPr>
            </w:pPr>
          </w:p>
        </w:tc>
        <w:tc>
          <w:tcPr>
            <w:tcW w:w="2740" w:type="dxa"/>
            <w:vAlign w:val="bottom"/>
            <w:tcBorders>
              <w:bottom w:val="single" w:sz="8" w:color="auto"/>
            </w:tcBorders>
            <w:shd w:val="clear" w:color="auto" w:fill="98B0CF"/>
          </w:tcPr>
          <w:p>
            <w:pPr>
              <w:jc w:val="center"/>
              <w:ind w:left="305"/>
              <w:spacing w:after="0" w:line="155" w:lineRule="exact"/>
              <w:rPr>
                <w:sz w:val="20"/>
                <w:szCs w:val="20"/>
                <w:color w:val="auto"/>
              </w:rPr>
            </w:pPr>
            <w:r>
              <w:rPr>
                <w:rFonts w:ascii="Arial" w:cs="Arial" w:eastAsia="Arial" w:hAnsi="Arial"/>
                <w:sz w:val="14"/>
                <w:szCs w:val="14"/>
                <w:b w:val="1"/>
                <w:bCs w:val="1"/>
                <w:color w:val="auto"/>
              </w:rPr>
              <w:t>Recognized in Income</w:t>
            </w:r>
          </w:p>
        </w:tc>
        <w:tc>
          <w:tcPr>
            <w:tcW w:w="26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1140" w:type="dxa"/>
            <w:vAlign w:val="bottom"/>
            <w:tcBorders>
              <w:bottom w:val="single" w:sz="8" w:color="auto"/>
            </w:tcBorders>
            <w:shd w:val="clear" w:color="auto" w:fill="98B0CF"/>
          </w:tcPr>
          <w:p>
            <w:pPr>
              <w:jc w:val="right"/>
              <w:ind w:right="384"/>
              <w:spacing w:after="0" w:line="155" w:lineRule="exact"/>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shd w:val="clear" w:color="auto" w:fill="98B0CF"/>
          </w:tcPr>
          <w:p>
            <w:pPr>
              <w:spacing w:after="0"/>
              <w:rPr>
                <w:sz w:val="13"/>
                <w:szCs w:val="13"/>
                <w:color w:val="auto"/>
              </w:rPr>
            </w:pPr>
          </w:p>
        </w:tc>
        <w:tc>
          <w:tcPr>
            <w:tcW w:w="940" w:type="dxa"/>
            <w:vAlign w:val="bottom"/>
            <w:tcBorders>
              <w:bottom w:val="single" w:sz="8" w:color="auto"/>
            </w:tcBorders>
            <w:shd w:val="clear" w:color="auto" w:fill="98B0CF"/>
          </w:tcPr>
          <w:p>
            <w:pPr>
              <w:jc w:val="right"/>
              <w:ind w:right="362"/>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2600" w:type="dxa"/>
            <w:vAlign w:val="bottom"/>
            <w:shd w:val="clear" w:color="auto" w:fill="E2E8F1"/>
          </w:tcPr>
          <w:p>
            <w:pPr>
              <w:ind w:left="40"/>
              <w:spacing w:after="0" w:line="183" w:lineRule="exact"/>
              <w:rPr>
                <w:sz w:val="20"/>
                <w:szCs w:val="20"/>
                <w:color w:val="auto"/>
              </w:rPr>
            </w:pPr>
            <w:r>
              <w:rPr>
                <w:rFonts w:ascii="Arial" w:cs="Arial" w:eastAsia="Arial" w:hAnsi="Arial"/>
                <w:sz w:val="16"/>
                <w:szCs w:val="16"/>
                <w:color w:val="auto"/>
              </w:rPr>
              <w:t>Intercompany CHF notes</w:t>
            </w:r>
          </w:p>
        </w:tc>
        <w:tc>
          <w:tcPr>
            <w:tcW w:w="120" w:type="dxa"/>
            <w:vAlign w:val="bottom"/>
            <w:shd w:val="clear" w:color="auto" w:fill="E2E8F1"/>
          </w:tcPr>
          <w:p>
            <w:pPr>
              <w:spacing w:after="0"/>
              <w:rPr>
                <w:sz w:val="15"/>
                <w:szCs w:val="15"/>
                <w:color w:val="auto"/>
              </w:rPr>
            </w:pPr>
          </w:p>
        </w:tc>
        <w:tc>
          <w:tcPr>
            <w:tcW w:w="120" w:type="dxa"/>
            <w:vAlign w:val="bottom"/>
            <w:gridSpan w:val="2"/>
            <w:shd w:val="clear" w:color="auto" w:fill="E2E8F1"/>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E2E8F1"/>
          </w:tcPr>
          <w:p>
            <w:pPr>
              <w:ind w:left="880"/>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E2E8F1"/>
          </w:tcPr>
          <w:p>
            <w:pPr>
              <w:spacing w:after="0"/>
              <w:rPr>
                <w:sz w:val="15"/>
                <w:szCs w:val="15"/>
                <w:color w:val="auto"/>
              </w:rPr>
            </w:pPr>
          </w:p>
        </w:tc>
        <w:tc>
          <w:tcPr>
            <w:tcW w:w="2740" w:type="dxa"/>
            <w:vAlign w:val="bottom"/>
            <w:shd w:val="clear" w:color="auto" w:fill="E2E8F1"/>
          </w:tcPr>
          <w:p>
            <w:pPr>
              <w:ind w:left="140"/>
              <w:spacing w:after="0" w:line="183" w:lineRule="exact"/>
              <w:rPr>
                <w:sz w:val="20"/>
                <w:szCs w:val="20"/>
                <w:color w:val="auto"/>
              </w:rPr>
            </w:pPr>
            <w:r>
              <w:rPr>
                <w:rFonts w:ascii="Arial" w:cs="Arial" w:eastAsia="Arial" w:hAnsi="Arial"/>
                <w:sz w:val="16"/>
                <w:szCs w:val="16"/>
                <w:color w:val="auto"/>
              </w:rPr>
              <w:t>Interest and other expenses, net</w:t>
            </w:r>
          </w:p>
        </w:tc>
        <w:tc>
          <w:tcPr>
            <w:tcW w:w="480" w:type="dxa"/>
            <w:vAlign w:val="bottom"/>
            <w:gridSpan w:val="3"/>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6.5</w:t>
            </w:r>
          </w:p>
        </w:tc>
        <w:tc>
          <w:tcPr>
            <w:tcW w:w="3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w:t>
            </w:r>
          </w:p>
        </w:tc>
      </w:tr>
      <w:tr>
        <w:trPr>
          <w:trHeight w:val="189"/>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Cross-currency swaps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Interest and other expenses, net</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rPr>
              <w:t>(6.5)</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r>
      <w:tr>
        <w:trPr>
          <w:trHeight w:val="115"/>
        </w:trPr>
        <w:tc>
          <w:tcPr>
            <w:tcW w:w="2600" w:type="dxa"/>
            <w:vAlign w:val="bottom"/>
            <w:tcBorders>
              <w:bottom w:val="single" w:sz="8" w:color="231F20"/>
            </w:tcBorders>
          </w:tcPr>
          <w:p>
            <w:pPr>
              <w:spacing w:after="0"/>
              <w:rPr>
                <w:sz w:val="10"/>
                <w:szCs w:val="10"/>
                <w:color w:val="auto"/>
              </w:rPr>
            </w:pPr>
          </w:p>
        </w:tc>
        <w:tc>
          <w:tcPr>
            <w:tcW w:w="120" w:type="dxa"/>
            <w:vAlign w:val="bottom"/>
            <w:tcBorders>
              <w:bottom w:val="single" w:sz="8" w:color="231F20"/>
            </w:tcBorders>
          </w:tcPr>
          <w:p>
            <w:pPr>
              <w:spacing w:after="0"/>
              <w:rPr>
                <w:sz w:val="10"/>
                <w:szCs w:val="10"/>
                <w:color w:val="auto"/>
              </w:rPr>
            </w:pPr>
          </w:p>
        </w:tc>
        <w:tc>
          <w:tcPr>
            <w:tcW w:w="20" w:type="dxa"/>
            <w:vAlign w:val="bottom"/>
            <w:tcBorders>
              <w:bottom w:val="single" w:sz="8" w:color="231F20"/>
            </w:tcBorders>
          </w:tcPr>
          <w:p>
            <w:pPr>
              <w:spacing w:after="0"/>
              <w:rPr>
                <w:sz w:val="10"/>
                <w:szCs w:val="10"/>
                <w:color w:val="auto"/>
              </w:rPr>
            </w:pPr>
          </w:p>
        </w:tc>
        <w:tc>
          <w:tcPr>
            <w:tcW w:w="100" w:type="dxa"/>
            <w:vAlign w:val="bottom"/>
            <w:tcBorders>
              <w:bottom w:val="single" w:sz="8" w:color="231F20"/>
            </w:tcBorders>
          </w:tcPr>
          <w:p>
            <w:pPr>
              <w:spacing w:after="0"/>
              <w:rPr>
                <w:sz w:val="10"/>
                <w:szCs w:val="10"/>
                <w:color w:val="auto"/>
              </w:rPr>
            </w:pPr>
          </w:p>
        </w:tc>
        <w:tc>
          <w:tcPr>
            <w:tcW w:w="2520" w:type="dxa"/>
            <w:vAlign w:val="bottom"/>
            <w:tcBorders>
              <w:bottom w:val="single" w:sz="8" w:color="231F20"/>
            </w:tcBorders>
            <w:gridSpan w:val="3"/>
          </w:tcPr>
          <w:p>
            <w:pPr>
              <w:spacing w:after="0"/>
              <w:rPr>
                <w:sz w:val="10"/>
                <w:szCs w:val="10"/>
                <w:color w:val="auto"/>
              </w:rPr>
            </w:pPr>
          </w:p>
        </w:tc>
        <w:tc>
          <w:tcPr>
            <w:tcW w:w="120" w:type="dxa"/>
            <w:vAlign w:val="bottom"/>
            <w:tcBorders>
              <w:bottom w:val="single" w:sz="8" w:color="231F20"/>
            </w:tcBorders>
          </w:tcPr>
          <w:p>
            <w:pPr>
              <w:spacing w:after="0"/>
              <w:rPr>
                <w:sz w:val="10"/>
                <w:szCs w:val="10"/>
                <w:color w:val="auto"/>
              </w:rPr>
            </w:pPr>
          </w:p>
        </w:tc>
        <w:tc>
          <w:tcPr>
            <w:tcW w:w="80" w:type="dxa"/>
            <w:vAlign w:val="bottom"/>
            <w:tcBorders>
              <w:bottom w:val="single" w:sz="8" w:color="231F20"/>
            </w:tcBorders>
          </w:tcPr>
          <w:p>
            <w:pPr>
              <w:spacing w:after="0"/>
              <w:rPr>
                <w:sz w:val="10"/>
                <w:szCs w:val="10"/>
                <w:color w:val="auto"/>
              </w:rPr>
            </w:pPr>
          </w:p>
        </w:tc>
        <w:tc>
          <w:tcPr>
            <w:tcW w:w="2740" w:type="dxa"/>
            <w:vAlign w:val="bottom"/>
            <w:tcBorders>
              <w:bottom w:val="single" w:sz="8" w:color="231F20"/>
            </w:tcBorders>
          </w:tcPr>
          <w:p>
            <w:pPr>
              <w:spacing w:after="0"/>
              <w:rPr>
                <w:sz w:val="10"/>
                <w:szCs w:val="10"/>
                <w:color w:val="auto"/>
              </w:rPr>
            </w:pPr>
          </w:p>
        </w:tc>
        <w:tc>
          <w:tcPr>
            <w:tcW w:w="260" w:type="dxa"/>
            <w:vAlign w:val="bottom"/>
            <w:tcBorders>
              <w:bottom w:val="single" w:sz="8" w:color="231F20"/>
            </w:tcBorders>
          </w:tcPr>
          <w:p>
            <w:pPr>
              <w:spacing w:after="0"/>
              <w:rPr>
                <w:sz w:val="10"/>
                <w:szCs w:val="10"/>
                <w:color w:val="auto"/>
              </w:rPr>
            </w:pPr>
          </w:p>
        </w:tc>
        <w:tc>
          <w:tcPr>
            <w:tcW w:w="2680" w:type="dxa"/>
            <w:vAlign w:val="bottom"/>
            <w:tcBorders>
              <w:bottom w:val="single" w:sz="8" w:color="231F20"/>
            </w:tcBorders>
            <w:gridSpan w:val="5"/>
          </w:tcPr>
          <w:p>
            <w:pPr>
              <w:spacing w:after="0"/>
              <w:rPr>
                <w:sz w:val="10"/>
                <w:szCs w:val="10"/>
                <w:color w:val="auto"/>
              </w:rPr>
            </w:pPr>
          </w:p>
        </w:tc>
      </w:tr>
      <w:tr>
        <w:trPr>
          <w:trHeight w:val="223"/>
        </w:trPr>
        <w:tc>
          <w:tcPr>
            <w:tcW w:w="260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98B0CF"/>
            </w:tcBorders>
            <w:shd w:val="clear" w:color="auto" w:fill="98B0CF"/>
          </w:tcPr>
          <w:p>
            <w:pPr>
              <w:spacing w:after="0"/>
              <w:rPr>
                <w:sz w:val="19"/>
                <w:szCs w:val="19"/>
                <w:color w:val="auto"/>
              </w:rPr>
            </w:pPr>
          </w:p>
        </w:tc>
        <w:tc>
          <w:tcPr>
            <w:tcW w:w="20" w:type="dxa"/>
            <w:vAlign w:val="bottom"/>
            <w:tcBorders>
              <w:bottom w:val="single" w:sz="8" w:color="98B0CF"/>
            </w:tcBorders>
            <w:shd w:val="clear" w:color="auto" w:fill="98B0CF"/>
          </w:tcPr>
          <w:p>
            <w:pPr>
              <w:spacing w:after="0"/>
              <w:rPr>
                <w:sz w:val="19"/>
                <w:szCs w:val="19"/>
                <w:color w:val="auto"/>
              </w:rPr>
            </w:pPr>
          </w:p>
        </w:tc>
        <w:tc>
          <w:tcPr>
            <w:tcW w:w="100" w:type="dxa"/>
            <w:vAlign w:val="bottom"/>
            <w:tcBorders>
              <w:bottom w:val="single" w:sz="8" w:color="auto"/>
            </w:tcBorders>
            <w:shd w:val="clear" w:color="auto" w:fill="98B0CF"/>
          </w:tcPr>
          <w:p>
            <w:pPr>
              <w:spacing w:after="0"/>
              <w:rPr>
                <w:sz w:val="19"/>
                <w:szCs w:val="19"/>
                <w:color w:val="auto"/>
              </w:rPr>
            </w:pPr>
          </w:p>
        </w:tc>
        <w:tc>
          <w:tcPr>
            <w:tcW w:w="2520" w:type="dxa"/>
            <w:vAlign w:val="bottom"/>
            <w:tcBorders>
              <w:bottom w:val="single" w:sz="8" w:color="auto"/>
            </w:tcBorders>
            <w:gridSpan w:val="3"/>
            <w:shd w:val="clear" w:color="auto" w:fill="98B0CF"/>
          </w:tcPr>
          <w:p>
            <w:pPr>
              <w:jc w:val="right"/>
              <w:ind w:right="242"/>
              <w:spacing w:after="0"/>
              <w:rPr>
                <w:sz w:val="20"/>
                <w:szCs w:val="20"/>
                <w:color w:val="auto"/>
              </w:rPr>
            </w:pPr>
            <w:r>
              <w:rPr>
                <w:rFonts w:ascii="Arial" w:cs="Arial" w:eastAsia="Arial" w:hAnsi="Arial"/>
                <w:sz w:val="14"/>
                <w:szCs w:val="14"/>
                <w:b w:val="1"/>
                <w:bCs w:val="1"/>
                <w:color w:val="auto"/>
              </w:rPr>
              <w:t>Gain (Loss) Recognized in OCI</w:t>
            </w:r>
          </w:p>
        </w:tc>
        <w:tc>
          <w:tcPr>
            <w:tcW w:w="120" w:type="dxa"/>
            <w:vAlign w:val="bottom"/>
            <w:tcBorders>
              <w:bottom w:val="single" w:sz="8" w:color="98B0CF"/>
            </w:tcBorders>
            <w:shd w:val="clear" w:color="auto" w:fill="98B0CF"/>
          </w:tcPr>
          <w:p>
            <w:pPr>
              <w:spacing w:after="0"/>
              <w:rPr>
                <w:sz w:val="19"/>
                <w:szCs w:val="19"/>
                <w:color w:val="auto"/>
              </w:rPr>
            </w:pPr>
          </w:p>
        </w:tc>
        <w:tc>
          <w:tcPr>
            <w:tcW w:w="80" w:type="dxa"/>
            <w:vAlign w:val="bottom"/>
            <w:tcBorders>
              <w:bottom w:val="single" w:sz="8" w:color="98B0CF"/>
            </w:tcBorders>
            <w:shd w:val="clear" w:color="auto" w:fill="98B0CF"/>
          </w:tcPr>
          <w:p>
            <w:pPr>
              <w:spacing w:after="0"/>
              <w:rPr>
                <w:sz w:val="19"/>
                <w:szCs w:val="19"/>
                <w:color w:val="auto"/>
              </w:rPr>
            </w:pPr>
          </w:p>
        </w:tc>
        <w:tc>
          <w:tcPr>
            <w:tcW w:w="2740" w:type="dxa"/>
            <w:vAlign w:val="bottom"/>
            <w:tcBorders>
              <w:bottom w:val="single" w:sz="8" w:color="98B0CF"/>
            </w:tcBorders>
            <w:shd w:val="clear" w:color="auto" w:fill="98B0CF"/>
          </w:tcPr>
          <w:p>
            <w:pPr>
              <w:spacing w:after="0"/>
              <w:rPr>
                <w:sz w:val="19"/>
                <w:szCs w:val="19"/>
                <w:color w:val="auto"/>
              </w:rPr>
            </w:pPr>
          </w:p>
        </w:tc>
        <w:tc>
          <w:tcPr>
            <w:tcW w:w="260" w:type="dxa"/>
            <w:vAlign w:val="bottom"/>
            <w:tcBorders>
              <w:bottom w:val="single" w:sz="8" w:color="98B0CF"/>
            </w:tcBorders>
            <w:shd w:val="clear" w:color="auto" w:fill="98B0CF"/>
          </w:tcPr>
          <w:p>
            <w:pPr>
              <w:spacing w:after="0"/>
              <w:rPr>
                <w:sz w:val="19"/>
                <w:szCs w:val="19"/>
                <w:color w:val="auto"/>
              </w:rPr>
            </w:pPr>
          </w:p>
        </w:tc>
        <w:tc>
          <w:tcPr>
            <w:tcW w:w="2680" w:type="dxa"/>
            <w:vAlign w:val="bottom"/>
            <w:tcBorders>
              <w:bottom w:val="single" w:sz="8" w:color="auto"/>
            </w:tcBorders>
            <w:gridSpan w:val="5"/>
            <w:shd w:val="clear" w:color="auto" w:fill="98B0CF"/>
          </w:tcPr>
          <w:p>
            <w:pPr>
              <w:jc w:val="right"/>
              <w:ind w:right="142"/>
              <w:spacing w:after="0"/>
              <w:rPr>
                <w:sz w:val="20"/>
                <w:szCs w:val="20"/>
                <w:color w:val="auto"/>
              </w:rPr>
            </w:pPr>
            <w:r>
              <w:rPr>
                <w:rFonts w:ascii="Arial" w:cs="Arial" w:eastAsia="Arial" w:hAnsi="Arial"/>
                <w:sz w:val="14"/>
                <w:szCs w:val="14"/>
                <w:b w:val="1"/>
                <w:bCs w:val="1"/>
                <w:color w:val="auto"/>
              </w:rPr>
              <w:t>Gain (Loss) Recognized in Income</w:t>
            </w:r>
          </w:p>
        </w:tc>
      </w:tr>
      <w:tr>
        <w:trPr>
          <w:trHeight w:val="223"/>
        </w:trPr>
        <w:tc>
          <w:tcPr>
            <w:tcW w:w="2600" w:type="dxa"/>
            <w:vAlign w:val="bottom"/>
            <w:shd w:val="clear" w:color="auto" w:fill="98B0CF"/>
          </w:tcPr>
          <w:p>
            <w:pPr>
              <w:spacing w:after="0"/>
              <w:rPr>
                <w:sz w:val="19"/>
                <w:szCs w:val="19"/>
                <w:color w:val="auto"/>
              </w:rPr>
            </w:pPr>
          </w:p>
        </w:tc>
        <w:tc>
          <w:tcPr>
            <w:tcW w:w="120" w:type="dxa"/>
            <w:vAlign w:val="bottom"/>
            <w:shd w:val="clear" w:color="auto" w:fill="98B0CF"/>
          </w:tcPr>
          <w:p>
            <w:pPr>
              <w:spacing w:after="0"/>
              <w:rPr>
                <w:sz w:val="19"/>
                <w:szCs w:val="19"/>
                <w:color w:val="auto"/>
              </w:rPr>
            </w:pPr>
          </w:p>
        </w:tc>
        <w:tc>
          <w:tcPr>
            <w:tcW w:w="20" w:type="dxa"/>
            <w:vAlign w:val="bottom"/>
            <w:shd w:val="clear" w:color="auto" w:fill="98B0CF"/>
          </w:tcPr>
          <w:p>
            <w:pPr>
              <w:spacing w:after="0"/>
              <w:rPr>
                <w:sz w:val="19"/>
                <w:szCs w:val="19"/>
                <w:color w:val="auto"/>
              </w:rPr>
            </w:pPr>
          </w:p>
        </w:tc>
        <w:tc>
          <w:tcPr>
            <w:tcW w:w="2740" w:type="dxa"/>
            <w:vAlign w:val="bottom"/>
            <w:gridSpan w:val="5"/>
            <w:shd w:val="clear" w:color="auto" w:fill="98B0CF"/>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shd w:val="clear" w:color="auto" w:fill="98B0CF"/>
          </w:tcPr>
          <w:p>
            <w:pPr>
              <w:spacing w:after="0"/>
              <w:rPr>
                <w:sz w:val="19"/>
                <w:szCs w:val="19"/>
                <w:color w:val="auto"/>
              </w:rPr>
            </w:pPr>
          </w:p>
        </w:tc>
        <w:tc>
          <w:tcPr>
            <w:tcW w:w="2740" w:type="dxa"/>
            <w:vAlign w:val="bottom"/>
            <w:shd w:val="clear" w:color="auto" w:fill="98B0CF"/>
          </w:tcPr>
          <w:p>
            <w:pPr>
              <w:jc w:val="center"/>
              <w:spacing w:after="0"/>
              <w:rPr>
                <w:sz w:val="20"/>
                <w:szCs w:val="20"/>
                <w:color w:val="auto"/>
              </w:rPr>
            </w:pPr>
            <w:r>
              <w:rPr>
                <w:rFonts w:ascii="Arial" w:cs="Arial" w:eastAsia="Arial" w:hAnsi="Arial"/>
                <w:sz w:val="14"/>
                <w:szCs w:val="14"/>
                <w:b w:val="1"/>
                <w:bCs w:val="1"/>
                <w:color w:val="auto"/>
              </w:rPr>
              <w:t>Location of Gain (Loss)</w:t>
            </w:r>
          </w:p>
        </w:tc>
        <w:tc>
          <w:tcPr>
            <w:tcW w:w="260" w:type="dxa"/>
            <w:vAlign w:val="bottom"/>
            <w:shd w:val="clear" w:color="auto" w:fill="98B0CF"/>
          </w:tcPr>
          <w:p>
            <w:pPr>
              <w:spacing w:after="0"/>
              <w:rPr>
                <w:sz w:val="19"/>
                <w:szCs w:val="19"/>
                <w:color w:val="auto"/>
              </w:rPr>
            </w:pPr>
          </w:p>
        </w:tc>
        <w:tc>
          <w:tcPr>
            <w:tcW w:w="2680" w:type="dxa"/>
            <w:vAlign w:val="bottom"/>
            <w:gridSpan w:val="5"/>
            <w:shd w:val="clear" w:color="auto" w:fill="98B0CF"/>
          </w:tcPr>
          <w:p>
            <w:pPr>
              <w:jc w:val="right"/>
              <w:ind w:right="142"/>
              <w:spacing w:after="0"/>
              <w:rPr>
                <w:sz w:val="20"/>
                <w:szCs w:val="20"/>
                <w:color w:val="auto"/>
              </w:rPr>
            </w:pPr>
            <w:r>
              <w:rPr>
                <w:rFonts w:ascii="Arial" w:cs="Arial" w:eastAsia="Arial" w:hAnsi="Arial"/>
                <w:sz w:val="14"/>
                <w:szCs w:val="14"/>
                <w:b w:val="1"/>
                <w:bCs w:val="1"/>
                <w:color w:val="auto"/>
              </w:rPr>
              <w:t>Nine Months Ended September 30,</w:t>
            </w:r>
          </w:p>
        </w:tc>
      </w:tr>
      <w:tr>
        <w:trPr>
          <w:trHeight w:val="237"/>
        </w:trPr>
        <w:tc>
          <w:tcPr>
            <w:tcW w:w="2600" w:type="dxa"/>
            <w:vAlign w:val="bottom"/>
            <w:tcBorders>
              <w:top w:val="single" w:sz="8" w:color="98B0CF"/>
              <w:bottom w:val="single" w:sz="8" w:color="auto"/>
            </w:tcBorders>
            <w:shd w:val="clear" w:color="auto" w:fill="98B0CF"/>
          </w:tcPr>
          <w:p>
            <w:pPr>
              <w:ind w:left="940"/>
              <w:spacing w:after="0"/>
              <w:rPr>
                <w:sz w:val="20"/>
                <w:szCs w:val="20"/>
                <w:color w:val="auto"/>
              </w:rPr>
            </w:pPr>
            <w:r>
              <w:rPr>
                <w:rFonts w:ascii="Arial" w:cs="Arial" w:eastAsia="Arial" w:hAnsi="Arial"/>
                <w:sz w:val="14"/>
                <w:szCs w:val="14"/>
                <w:b w:val="1"/>
                <w:bCs w:val="1"/>
                <w:color w:val="auto"/>
              </w:rPr>
              <w:t>Instrument</w:t>
            </w:r>
          </w:p>
        </w:tc>
        <w:tc>
          <w:tcPr>
            <w:tcW w:w="120" w:type="dxa"/>
            <w:vAlign w:val="bottom"/>
            <w:tcBorders>
              <w:top w:val="single" w:sz="8" w:color="98B0CF"/>
              <w:bottom w:val="single" w:sz="8" w:color="auto"/>
            </w:tcBorders>
            <w:shd w:val="clear" w:color="auto" w:fill="98B0CF"/>
          </w:tcPr>
          <w:p>
            <w:pPr>
              <w:spacing w:after="0"/>
              <w:rPr>
                <w:sz w:val="20"/>
                <w:szCs w:val="20"/>
                <w:color w:val="auto"/>
              </w:rPr>
            </w:pPr>
          </w:p>
        </w:tc>
        <w:tc>
          <w:tcPr>
            <w:tcW w:w="20" w:type="dxa"/>
            <w:vAlign w:val="bottom"/>
            <w:tcBorders>
              <w:top w:val="single" w:sz="8" w:color="98B0CF"/>
              <w:bottom w:val="single" w:sz="8" w:color="auto"/>
            </w:tcBorders>
            <w:shd w:val="clear" w:color="auto" w:fill="98B0CF"/>
          </w:tcPr>
          <w:p>
            <w:pPr>
              <w:spacing w:after="0"/>
              <w:rPr>
                <w:sz w:val="20"/>
                <w:szCs w:val="20"/>
                <w:color w:val="auto"/>
              </w:rPr>
            </w:pPr>
          </w:p>
        </w:tc>
        <w:tc>
          <w:tcPr>
            <w:tcW w:w="100" w:type="dxa"/>
            <w:vAlign w:val="bottom"/>
            <w:tcBorders>
              <w:top w:val="single" w:sz="8" w:color="231F20"/>
              <w:bottom w:val="single" w:sz="8" w:color="auto"/>
            </w:tcBorders>
            <w:shd w:val="clear" w:color="auto" w:fill="98B0CF"/>
          </w:tcPr>
          <w:p>
            <w:pPr>
              <w:spacing w:after="0"/>
              <w:rPr>
                <w:sz w:val="20"/>
                <w:szCs w:val="20"/>
                <w:color w:val="auto"/>
              </w:rPr>
            </w:pPr>
          </w:p>
        </w:tc>
        <w:tc>
          <w:tcPr>
            <w:tcW w:w="1200" w:type="dxa"/>
            <w:vAlign w:val="bottom"/>
            <w:tcBorders>
              <w:top w:val="single" w:sz="8" w:color="231F20"/>
              <w:bottom w:val="single" w:sz="8" w:color="auto"/>
            </w:tcBorders>
            <w:shd w:val="clear" w:color="auto" w:fill="98B0CF"/>
          </w:tcPr>
          <w:p>
            <w:pPr>
              <w:jc w:val="right"/>
              <w:ind w:right="504"/>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top w:val="single" w:sz="8" w:color="231F20"/>
              <w:bottom w:val="single" w:sz="8" w:color="auto"/>
            </w:tcBorders>
            <w:shd w:val="clear" w:color="auto" w:fill="98B0CF"/>
          </w:tcPr>
          <w:p>
            <w:pPr>
              <w:spacing w:after="0"/>
              <w:rPr>
                <w:sz w:val="20"/>
                <w:szCs w:val="20"/>
                <w:color w:val="auto"/>
              </w:rPr>
            </w:pPr>
          </w:p>
        </w:tc>
        <w:tc>
          <w:tcPr>
            <w:tcW w:w="960" w:type="dxa"/>
            <w:vAlign w:val="bottom"/>
            <w:tcBorders>
              <w:top w:val="single" w:sz="8" w:color="231F20"/>
              <w:bottom w:val="single" w:sz="8" w:color="auto"/>
            </w:tcBorders>
            <w:shd w:val="clear" w:color="auto" w:fill="98B0CF"/>
          </w:tcPr>
          <w:p>
            <w:pPr>
              <w:jc w:val="right"/>
              <w:ind w:right="46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98B0CF"/>
              <w:bottom w:val="single" w:sz="8" w:color="auto"/>
            </w:tcBorders>
            <w:shd w:val="clear" w:color="auto" w:fill="98B0CF"/>
          </w:tcPr>
          <w:p>
            <w:pPr>
              <w:spacing w:after="0"/>
              <w:rPr>
                <w:sz w:val="20"/>
                <w:szCs w:val="20"/>
                <w:color w:val="auto"/>
              </w:rPr>
            </w:pPr>
          </w:p>
        </w:tc>
        <w:tc>
          <w:tcPr>
            <w:tcW w:w="80" w:type="dxa"/>
            <w:vAlign w:val="bottom"/>
            <w:tcBorders>
              <w:top w:val="single" w:sz="8" w:color="98B0CF"/>
              <w:bottom w:val="single" w:sz="8" w:color="auto"/>
            </w:tcBorders>
            <w:shd w:val="clear" w:color="auto" w:fill="98B0CF"/>
          </w:tcPr>
          <w:p>
            <w:pPr>
              <w:spacing w:after="0"/>
              <w:rPr>
                <w:sz w:val="20"/>
                <w:szCs w:val="20"/>
                <w:color w:val="auto"/>
              </w:rPr>
            </w:pPr>
          </w:p>
        </w:tc>
        <w:tc>
          <w:tcPr>
            <w:tcW w:w="2740" w:type="dxa"/>
            <w:vAlign w:val="bottom"/>
            <w:tcBorders>
              <w:top w:val="single" w:sz="8" w:color="98B0CF"/>
              <w:bottom w:val="single" w:sz="8" w:color="auto"/>
            </w:tcBorders>
            <w:shd w:val="clear" w:color="auto" w:fill="98B0CF"/>
          </w:tcPr>
          <w:p>
            <w:pPr>
              <w:jc w:val="center"/>
              <w:spacing w:after="0"/>
              <w:rPr>
                <w:sz w:val="20"/>
                <w:szCs w:val="20"/>
                <w:color w:val="auto"/>
              </w:rPr>
            </w:pPr>
            <w:r>
              <w:rPr>
                <w:rFonts w:ascii="Arial" w:cs="Arial" w:eastAsia="Arial" w:hAnsi="Arial"/>
                <w:sz w:val="14"/>
                <w:szCs w:val="14"/>
                <w:b w:val="1"/>
                <w:bCs w:val="1"/>
                <w:color w:val="auto"/>
              </w:rPr>
              <w:t>Recognized in Income</w:t>
            </w:r>
          </w:p>
        </w:tc>
        <w:tc>
          <w:tcPr>
            <w:tcW w:w="260" w:type="dxa"/>
            <w:vAlign w:val="bottom"/>
            <w:tcBorders>
              <w:top w:val="single" w:sz="8" w:color="98B0CF"/>
              <w:bottom w:val="single" w:sz="8" w:color="auto"/>
            </w:tcBorders>
            <w:shd w:val="clear" w:color="auto" w:fill="98B0CF"/>
          </w:tcPr>
          <w:p>
            <w:pPr>
              <w:spacing w:after="0"/>
              <w:rPr>
                <w:sz w:val="20"/>
                <w:szCs w:val="20"/>
                <w:color w:val="auto"/>
              </w:rPr>
            </w:pPr>
          </w:p>
        </w:tc>
        <w:tc>
          <w:tcPr>
            <w:tcW w:w="120" w:type="dxa"/>
            <w:vAlign w:val="bottom"/>
            <w:tcBorders>
              <w:top w:val="single" w:sz="8" w:color="231F20"/>
              <w:bottom w:val="single" w:sz="8" w:color="auto"/>
            </w:tcBorders>
            <w:shd w:val="clear" w:color="auto" w:fill="98B0CF"/>
          </w:tcPr>
          <w:p>
            <w:pPr>
              <w:spacing w:after="0"/>
              <w:rPr>
                <w:sz w:val="20"/>
                <w:szCs w:val="20"/>
                <w:color w:val="auto"/>
              </w:rPr>
            </w:pPr>
          </w:p>
        </w:tc>
        <w:tc>
          <w:tcPr>
            <w:tcW w:w="100" w:type="dxa"/>
            <w:vAlign w:val="bottom"/>
            <w:tcBorders>
              <w:top w:val="single" w:sz="8" w:color="231F20"/>
              <w:bottom w:val="single" w:sz="8" w:color="auto"/>
            </w:tcBorders>
            <w:shd w:val="clear" w:color="auto" w:fill="98B0CF"/>
          </w:tcPr>
          <w:p>
            <w:pPr>
              <w:spacing w:after="0"/>
              <w:rPr>
                <w:sz w:val="20"/>
                <w:szCs w:val="20"/>
                <w:color w:val="auto"/>
              </w:rPr>
            </w:pPr>
          </w:p>
        </w:tc>
        <w:tc>
          <w:tcPr>
            <w:tcW w:w="1140" w:type="dxa"/>
            <w:vAlign w:val="bottom"/>
            <w:tcBorders>
              <w:top w:val="single" w:sz="8" w:color="231F20"/>
              <w:bottom w:val="single" w:sz="8" w:color="auto"/>
            </w:tcBorders>
            <w:shd w:val="clear" w:color="auto" w:fill="98B0CF"/>
          </w:tcPr>
          <w:p>
            <w:pPr>
              <w:jc w:val="right"/>
              <w:ind w:right="564"/>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top w:val="single" w:sz="8" w:color="231F20"/>
              <w:bottom w:val="single" w:sz="8" w:color="auto"/>
            </w:tcBorders>
            <w:shd w:val="clear" w:color="auto" w:fill="98B0CF"/>
          </w:tcPr>
          <w:p>
            <w:pPr>
              <w:spacing w:after="0"/>
              <w:rPr>
                <w:sz w:val="20"/>
                <w:szCs w:val="20"/>
                <w:color w:val="auto"/>
              </w:rPr>
            </w:pPr>
          </w:p>
        </w:tc>
        <w:tc>
          <w:tcPr>
            <w:tcW w:w="940" w:type="dxa"/>
            <w:vAlign w:val="bottom"/>
            <w:tcBorders>
              <w:top w:val="single" w:sz="8" w:color="231F20"/>
              <w:bottom w:val="single" w:sz="8" w:color="auto"/>
            </w:tcBorders>
            <w:shd w:val="clear" w:color="auto" w:fill="98B0CF"/>
          </w:tcPr>
          <w:p>
            <w:pPr>
              <w:jc w:val="right"/>
              <w:ind w:right="482"/>
              <w:spacing w:after="0"/>
              <w:rPr>
                <w:sz w:val="20"/>
                <w:szCs w:val="20"/>
                <w:color w:val="auto"/>
              </w:rPr>
            </w:pPr>
            <w:r>
              <w:rPr>
                <w:rFonts w:ascii="Arial" w:cs="Arial" w:eastAsia="Arial" w:hAnsi="Arial"/>
                <w:sz w:val="14"/>
                <w:szCs w:val="14"/>
                <w:b w:val="1"/>
                <w:bCs w:val="1"/>
                <w:color w:val="auto"/>
              </w:rPr>
              <w:t>2025</w:t>
            </w:r>
          </w:p>
        </w:tc>
      </w:tr>
      <w:tr>
        <w:trPr>
          <w:trHeight w:val="209"/>
        </w:trPr>
        <w:tc>
          <w:tcPr>
            <w:tcW w:w="2600" w:type="dxa"/>
            <w:vAlign w:val="bottom"/>
            <w:shd w:val="clear" w:color="auto" w:fill="E2E8F1"/>
          </w:tcPr>
          <w:p>
            <w:pPr>
              <w:ind w:left="40"/>
              <w:spacing w:after="0"/>
              <w:rPr>
                <w:sz w:val="20"/>
                <w:szCs w:val="20"/>
                <w:color w:val="auto"/>
              </w:rPr>
            </w:pPr>
            <w:r>
              <w:rPr>
                <w:rFonts w:ascii="Arial" w:cs="Arial" w:eastAsia="Arial" w:hAnsi="Arial"/>
                <w:sz w:val="16"/>
                <w:szCs w:val="16"/>
                <w:color w:val="auto"/>
              </w:rPr>
              <w:t>Intercompany CHF notes</w:t>
            </w:r>
          </w:p>
        </w:tc>
        <w:tc>
          <w:tcPr>
            <w:tcW w:w="240" w:type="dxa"/>
            <w:vAlign w:val="bottom"/>
            <w:gridSpan w:val="3"/>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8F1"/>
          </w:tcPr>
          <w:p>
            <w:pPr>
              <w:jc w:val="right"/>
              <w:ind w:right="104"/>
              <w:spacing w:after="0"/>
              <w:rPr>
                <w:sz w:val="20"/>
                <w:szCs w:val="20"/>
                <w:color w:val="auto"/>
              </w:rPr>
            </w:pPr>
            <w:r>
              <w:rPr>
                <w:rFonts w:ascii="Arial" w:cs="Arial" w:eastAsia="Arial" w:hAnsi="Arial"/>
                <w:sz w:val="16"/>
                <w:szCs w:val="16"/>
                <w:color w:val="auto"/>
              </w:rPr>
              <w:t>—</w:t>
            </w:r>
          </w:p>
        </w:tc>
        <w:tc>
          <w:tcPr>
            <w:tcW w:w="360" w:type="dxa"/>
            <w:vAlign w:val="bottom"/>
            <w:shd w:val="clear" w:color="auto" w:fill="E2E8F1"/>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2E8F1"/>
          </w:tcPr>
          <w:p>
            <w:pPr>
              <w:jc w:val="right"/>
              <w:ind w:right="240"/>
              <w:spacing w:after="0"/>
              <w:rPr>
                <w:sz w:val="20"/>
                <w:szCs w:val="20"/>
                <w:color w:val="auto"/>
              </w:rPr>
            </w:pPr>
            <w:r>
              <w:rPr>
                <w:rFonts w:ascii="Arial" w:cs="Arial" w:eastAsia="Arial" w:hAnsi="Arial"/>
                <w:sz w:val="16"/>
                <w:szCs w:val="16"/>
                <w:color w:val="auto"/>
              </w:rPr>
              <w:t>—</w:t>
            </w:r>
          </w:p>
        </w:tc>
        <w:tc>
          <w:tcPr>
            <w:tcW w:w="2820" w:type="dxa"/>
            <w:vAlign w:val="bottom"/>
            <w:gridSpan w:val="2"/>
            <w:shd w:val="clear" w:color="auto" w:fill="E2E8F1"/>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gridSpan w:val="2"/>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jc w:val="right"/>
              <w:ind w:right="144"/>
              <w:spacing w:after="0"/>
              <w:rPr>
                <w:sz w:val="20"/>
                <w:szCs w:val="20"/>
                <w:color w:val="auto"/>
              </w:rPr>
            </w:pPr>
            <w:r>
              <w:rPr>
                <w:rFonts w:ascii="Arial" w:cs="Arial" w:eastAsia="Arial" w:hAnsi="Arial"/>
                <w:sz w:val="16"/>
                <w:szCs w:val="16"/>
                <w:color w:val="auto"/>
              </w:rPr>
              <w:t>4.2</w:t>
            </w:r>
          </w:p>
        </w:tc>
        <w:tc>
          <w:tcPr>
            <w:tcW w:w="380" w:type="dxa"/>
            <w:vAlign w:val="bottom"/>
            <w:shd w:val="clear" w:color="auto" w:fill="E2E8F1"/>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2600" w:type="dxa"/>
            <w:vAlign w:val="bottom"/>
            <w:tcBorders>
              <w:bottom w:val="single" w:sz="8" w:color="231F20"/>
            </w:tcBorders>
          </w:tcPr>
          <w:p>
            <w:pPr>
              <w:ind w:left="40"/>
              <w:spacing w:after="0"/>
              <w:rPr>
                <w:sz w:val="20"/>
                <w:szCs w:val="20"/>
                <w:color w:val="auto"/>
              </w:rPr>
            </w:pPr>
            <w:r>
              <w:rPr>
                <w:rFonts w:ascii="Arial" w:cs="Arial" w:eastAsia="Arial" w:hAnsi="Arial"/>
                <w:sz w:val="16"/>
                <w:szCs w:val="16"/>
                <w:color w:val="auto"/>
              </w:rPr>
              <w:t>Cross-currency swaps</w:t>
            </w:r>
          </w:p>
        </w:tc>
        <w:tc>
          <w:tcPr>
            <w:tcW w:w="120" w:type="dxa"/>
            <w:vAlign w:val="bottom"/>
            <w:tcBorders>
              <w:bottom w:val="single" w:sz="8" w:color="231F20"/>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ind w:right="104"/>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231F20"/>
            </w:tcBorders>
          </w:tcPr>
          <w:p>
            <w:pPr>
              <w:spacing w:after="0"/>
              <w:rPr>
                <w:sz w:val="18"/>
                <w:szCs w:val="18"/>
                <w:color w:val="auto"/>
              </w:rPr>
            </w:pPr>
          </w:p>
        </w:tc>
        <w:tc>
          <w:tcPr>
            <w:tcW w:w="2820" w:type="dxa"/>
            <w:vAlign w:val="bottom"/>
            <w:tcBorders>
              <w:bottom w:val="single" w:sz="8" w:color="231F20"/>
            </w:tcBorders>
            <w:gridSpan w:val="2"/>
          </w:tcPr>
          <w:p>
            <w:pPr>
              <w:ind w:left="20"/>
              <w:spacing w:after="0"/>
              <w:rPr>
                <w:sz w:val="20"/>
                <w:szCs w:val="20"/>
                <w:color w:val="auto"/>
              </w:rPr>
            </w:pPr>
            <w:r>
              <w:rPr>
                <w:rFonts w:ascii="Arial" w:cs="Arial" w:eastAsia="Arial" w:hAnsi="Arial"/>
                <w:sz w:val="16"/>
                <w:szCs w:val="16"/>
                <w:color w:val="auto"/>
              </w:rPr>
              <w:t>Interest and other expenses, net</w:t>
            </w:r>
          </w:p>
        </w:tc>
        <w:tc>
          <w:tcPr>
            <w:tcW w:w="260" w:type="dxa"/>
            <w:vAlign w:val="bottom"/>
            <w:tcBorders>
              <w:bottom w:val="single" w:sz="8" w:color="231F20"/>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ind w:right="84"/>
              <w:spacing w:after="0"/>
              <w:rPr>
                <w:sz w:val="20"/>
                <w:szCs w:val="20"/>
                <w:color w:val="auto"/>
              </w:rPr>
            </w:pPr>
            <w:r>
              <w:rPr>
                <w:rFonts w:ascii="Arial" w:cs="Arial" w:eastAsia="Arial" w:hAnsi="Arial"/>
                <w:sz w:val="16"/>
                <w:szCs w:val="16"/>
                <w:color w:val="auto"/>
              </w:rPr>
              <w:t>(4.2)</w:t>
            </w:r>
          </w:p>
        </w:tc>
        <w:tc>
          <w:tcPr>
            <w:tcW w:w="38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-1422400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-1208405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-608330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-454025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Non-designated instruments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The effect of our forward contracts that are not designated as hedging instruments on the Consolidated Statements of Operations for the three and nine months ended September 30, 2026 and 2025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00" w:type="dxa"/>
            <w:vAlign w:val="bottom"/>
            <w:tcBorders>
              <w:top w:val="single" w:sz="8" w:color="auto"/>
              <w:bottom w:val="single" w:sz="8" w:color="98B0CF"/>
            </w:tcBorders>
            <w:shd w:val="clear" w:color="auto" w:fill="98B0CF"/>
          </w:tcPr>
          <w:p>
            <w:pPr>
              <w:spacing w:after="0"/>
              <w:rPr>
                <w:sz w:val="15"/>
                <w:szCs w:val="15"/>
                <w:color w:val="auto"/>
              </w:rPr>
            </w:pPr>
          </w:p>
        </w:tc>
        <w:tc>
          <w:tcPr>
            <w:tcW w:w="100" w:type="dxa"/>
            <w:vAlign w:val="bottom"/>
            <w:tcBorders>
              <w:top w:val="single" w:sz="8" w:color="auto"/>
              <w:bottom w:val="single" w:sz="8" w:color="98B0CF"/>
            </w:tcBorders>
            <w:shd w:val="clear" w:color="auto" w:fill="98B0CF"/>
          </w:tcPr>
          <w:p>
            <w:pPr>
              <w:spacing w:after="0"/>
              <w:rPr>
                <w:sz w:val="15"/>
                <w:szCs w:val="15"/>
                <w:color w:val="auto"/>
              </w:rPr>
            </w:pPr>
          </w:p>
        </w:tc>
        <w:tc>
          <w:tcPr>
            <w:tcW w:w="2760" w:type="dxa"/>
            <w:vAlign w:val="bottom"/>
            <w:tcBorders>
              <w:top w:val="single" w:sz="8" w:color="auto"/>
              <w:bottom w:val="single" w:sz="8" w:color="98B0CF"/>
            </w:tcBorders>
            <w:shd w:val="clear" w:color="auto" w:fill="98B0CF"/>
          </w:tcPr>
          <w:p>
            <w:pPr>
              <w:spacing w:after="0"/>
              <w:rPr>
                <w:sz w:val="15"/>
                <w:szCs w:val="15"/>
                <w:color w:val="auto"/>
              </w:rPr>
            </w:pPr>
          </w:p>
        </w:tc>
        <w:tc>
          <w:tcPr>
            <w:tcW w:w="400" w:type="dxa"/>
            <w:vAlign w:val="bottom"/>
            <w:tcBorders>
              <w:top w:val="single" w:sz="8" w:color="auto"/>
              <w:bottom w:val="single" w:sz="8" w:color="98B0CF"/>
            </w:tcBorders>
            <w:shd w:val="clear" w:color="auto" w:fill="98B0CF"/>
          </w:tcPr>
          <w:p>
            <w:pPr>
              <w:spacing w:after="0"/>
              <w:rPr>
                <w:sz w:val="15"/>
                <w:szCs w:val="15"/>
                <w:color w:val="auto"/>
              </w:rPr>
            </w:pPr>
          </w:p>
        </w:tc>
        <w:tc>
          <w:tcPr>
            <w:tcW w:w="900" w:type="dxa"/>
            <w:vAlign w:val="bottom"/>
            <w:tcBorders>
              <w:top w:val="single" w:sz="8" w:color="auto"/>
              <w:bottom w:val="single" w:sz="8" w:color="auto"/>
            </w:tcBorders>
            <w:shd w:val="clear" w:color="auto" w:fill="98B0CF"/>
          </w:tcPr>
          <w:p>
            <w:pPr>
              <w:spacing w:after="0"/>
              <w:rPr>
                <w:sz w:val="15"/>
                <w:szCs w:val="15"/>
                <w:color w:val="auto"/>
              </w:rPr>
            </w:pPr>
          </w:p>
        </w:tc>
        <w:tc>
          <w:tcPr>
            <w:tcW w:w="2900" w:type="dxa"/>
            <w:vAlign w:val="bottom"/>
            <w:tcBorders>
              <w:top w:val="single" w:sz="8" w:color="auto"/>
              <w:bottom w:val="single" w:sz="8" w:color="auto"/>
            </w:tcBorders>
            <w:gridSpan w:val="5"/>
            <w:shd w:val="clear" w:color="auto" w:fill="98B0CF"/>
          </w:tcPr>
          <w:p>
            <w:pPr>
              <w:jc w:val="right"/>
              <w:ind w:right="285"/>
              <w:spacing w:after="0"/>
              <w:rPr>
                <w:sz w:val="20"/>
                <w:szCs w:val="20"/>
                <w:color w:val="auto"/>
              </w:rPr>
            </w:pPr>
            <w:r>
              <w:rPr>
                <w:rFonts w:ascii="Arial" w:cs="Arial" w:eastAsia="Arial" w:hAnsi="Arial"/>
                <w:sz w:val="14"/>
                <w:szCs w:val="14"/>
                <w:b w:val="1"/>
                <w:bCs w:val="1"/>
                <w:color w:val="auto"/>
              </w:rPr>
              <w:t>Gain (Loss) Recognized in Income</w:t>
            </w:r>
          </w:p>
        </w:tc>
        <w:tc>
          <w:tcPr>
            <w:tcW w:w="180" w:type="dxa"/>
            <w:vAlign w:val="bottom"/>
            <w:tcBorders>
              <w:top w:val="single" w:sz="8" w:color="auto"/>
              <w:bottom w:val="single" w:sz="8" w:color="auto"/>
            </w:tcBorders>
            <w:shd w:val="clear" w:color="auto" w:fill="98B0CF"/>
          </w:tcPr>
          <w:p>
            <w:pPr>
              <w:spacing w:after="0"/>
              <w:rPr>
                <w:sz w:val="15"/>
                <w:szCs w:val="15"/>
                <w:color w:val="auto"/>
              </w:rPr>
            </w:pPr>
          </w:p>
        </w:tc>
        <w:tc>
          <w:tcPr>
            <w:tcW w:w="700" w:type="dxa"/>
            <w:vAlign w:val="bottom"/>
            <w:tcBorders>
              <w:top w:val="single" w:sz="8" w:color="auto"/>
              <w:bottom w:val="single" w:sz="8" w:color="auto"/>
            </w:tcBorders>
            <w:shd w:val="clear" w:color="auto" w:fill="98B0CF"/>
          </w:tcPr>
          <w:p>
            <w:pPr>
              <w:spacing w:after="0"/>
              <w:rPr>
                <w:sz w:val="15"/>
                <w:szCs w:val="15"/>
                <w:color w:val="auto"/>
              </w:rPr>
            </w:pPr>
          </w:p>
        </w:tc>
      </w:tr>
      <w:tr>
        <w:trPr>
          <w:trHeight w:val="146"/>
        </w:trPr>
        <w:tc>
          <w:tcPr>
            <w:tcW w:w="33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2760" w:type="dxa"/>
            <w:vAlign w:val="bottom"/>
            <w:shd w:val="clear" w:color="auto" w:fill="98B0CF"/>
          </w:tcPr>
          <w:p>
            <w:pPr>
              <w:spacing w:after="0"/>
              <w:rPr>
                <w:sz w:val="12"/>
                <w:szCs w:val="12"/>
                <w:color w:val="auto"/>
              </w:rPr>
            </w:pPr>
          </w:p>
        </w:tc>
        <w:tc>
          <w:tcPr>
            <w:tcW w:w="400" w:type="dxa"/>
            <w:vAlign w:val="bottom"/>
            <w:shd w:val="clear" w:color="auto" w:fill="98B0CF"/>
          </w:tcPr>
          <w:p>
            <w:pPr>
              <w:spacing w:after="0"/>
              <w:rPr>
                <w:sz w:val="12"/>
                <w:szCs w:val="12"/>
                <w:color w:val="auto"/>
              </w:rPr>
            </w:pPr>
          </w:p>
        </w:tc>
        <w:tc>
          <w:tcPr>
            <w:tcW w:w="2200" w:type="dxa"/>
            <w:vAlign w:val="bottom"/>
            <w:gridSpan w:val="3"/>
            <w:shd w:val="clear" w:color="auto" w:fill="98B0CF"/>
          </w:tcPr>
          <w:p>
            <w:pPr>
              <w:jc w:val="center"/>
              <w:ind w:right="64"/>
              <w:spacing w:after="0" w:line="147"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98B0CF"/>
          </w:tcPr>
          <w:p>
            <w:pPr>
              <w:spacing w:after="0"/>
              <w:rPr>
                <w:sz w:val="12"/>
                <w:szCs w:val="12"/>
                <w:color w:val="auto"/>
              </w:rPr>
            </w:pPr>
          </w:p>
        </w:tc>
        <w:tc>
          <w:tcPr>
            <w:tcW w:w="2360" w:type="dxa"/>
            <w:vAlign w:val="bottom"/>
            <w:gridSpan w:val="4"/>
            <w:shd w:val="clear" w:color="auto" w:fill="98B0CF"/>
          </w:tcPr>
          <w:p>
            <w:pPr>
              <w:jc w:val="center"/>
              <w:ind w:right="104"/>
              <w:spacing w:after="0" w:line="147" w:lineRule="exact"/>
              <w:rPr>
                <w:sz w:val="20"/>
                <w:szCs w:val="20"/>
                <w:color w:val="auto"/>
              </w:rPr>
            </w:pPr>
            <w:r>
              <w:rPr>
                <w:rFonts w:ascii="Arial" w:cs="Arial" w:eastAsia="Arial" w:hAnsi="Arial"/>
                <w:sz w:val="14"/>
                <w:szCs w:val="14"/>
                <w:b w:val="1"/>
                <w:bCs w:val="1"/>
                <w:color w:val="auto"/>
              </w:rPr>
              <w:t>Nine Months Ended September</w:t>
            </w:r>
          </w:p>
        </w:tc>
      </w:tr>
      <w:tr>
        <w:trPr>
          <w:trHeight w:val="171"/>
        </w:trPr>
        <w:tc>
          <w:tcPr>
            <w:tcW w:w="330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2760" w:type="dxa"/>
            <w:vAlign w:val="bottom"/>
            <w:tcBorders>
              <w:bottom w:val="single" w:sz="8" w:color="98B0CF"/>
            </w:tcBorders>
            <w:shd w:val="clear" w:color="auto" w:fill="98B0CF"/>
          </w:tcPr>
          <w:p>
            <w:pPr>
              <w:jc w:val="center"/>
              <w:ind w:left="205"/>
              <w:spacing w:after="0"/>
              <w:rPr>
                <w:sz w:val="20"/>
                <w:szCs w:val="20"/>
                <w:color w:val="auto"/>
              </w:rPr>
            </w:pPr>
            <w:r>
              <w:rPr>
                <w:rFonts w:ascii="Arial" w:cs="Arial" w:eastAsia="Arial" w:hAnsi="Arial"/>
                <w:sz w:val="14"/>
                <w:szCs w:val="14"/>
                <w:b w:val="1"/>
                <w:bCs w:val="1"/>
                <w:color w:val="auto"/>
              </w:rPr>
              <w:t>Location of Gain (Loss)</w:t>
            </w:r>
          </w:p>
        </w:tc>
        <w:tc>
          <w:tcPr>
            <w:tcW w:w="400" w:type="dxa"/>
            <w:vAlign w:val="bottom"/>
            <w:tcBorders>
              <w:bottom w:val="single" w:sz="8" w:color="98B0CF"/>
            </w:tcBorders>
            <w:shd w:val="clear" w:color="auto" w:fill="98B0CF"/>
          </w:tcPr>
          <w:p>
            <w:pPr>
              <w:spacing w:after="0"/>
              <w:rPr>
                <w:sz w:val="14"/>
                <w:szCs w:val="14"/>
                <w:color w:val="auto"/>
              </w:rPr>
            </w:pPr>
          </w:p>
        </w:tc>
        <w:tc>
          <w:tcPr>
            <w:tcW w:w="2200" w:type="dxa"/>
            <w:vAlign w:val="bottom"/>
            <w:tcBorders>
              <w:bottom w:val="single" w:sz="8" w:color="auto"/>
            </w:tcBorders>
            <w:gridSpan w:val="3"/>
            <w:shd w:val="clear" w:color="auto" w:fill="98B0CF"/>
          </w:tcPr>
          <w:p>
            <w:pPr>
              <w:jc w:val="center"/>
              <w:ind w:right="2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98B0CF"/>
            </w:tcBorders>
            <w:shd w:val="clear" w:color="auto" w:fill="98B0CF"/>
          </w:tcPr>
          <w:p>
            <w:pPr>
              <w:spacing w:after="0"/>
              <w:rPr>
                <w:sz w:val="14"/>
                <w:szCs w:val="14"/>
                <w:color w:val="auto"/>
              </w:rPr>
            </w:pPr>
          </w:p>
        </w:tc>
        <w:tc>
          <w:tcPr>
            <w:tcW w:w="320" w:type="dxa"/>
            <w:vAlign w:val="bottom"/>
            <w:tcBorders>
              <w:bottom w:val="single" w:sz="8" w:color="auto"/>
            </w:tcBorders>
            <w:shd w:val="clear" w:color="auto" w:fill="98B0CF"/>
          </w:tcPr>
          <w:p>
            <w:pPr>
              <w:spacing w:after="0"/>
              <w:rPr>
                <w:sz w:val="14"/>
                <w:szCs w:val="14"/>
                <w:color w:val="auto"/>
              </w:rPr>
            </w:pPr>
          </w:p>
        </w:tc>
        <w:tc>
          <w:tcPr>
            <w:tcW w:w="1160" w:type="dxa"/>
            <w:vAlign w:val="bottom"/>
            <w:tcBorders>
              <w:bottom w:val="single" w:sz="8" w:color="auto"/>
            </w:tcBorders>
            <w:shd w:val="clear" w:color="auto" w:fill="98B0CF"/>
          </w:tcPr>
          <w:p>
            <w:pPr>
              <w:jc w:val="right"/>
              <w:ind w:right="185"/>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auto"/>
            </w:tcBorders>
            <w:shd w:val="clear" w:color="auto" w:fill="98B0CF"/>
          </w:tcPr>
          <w:p>
            <w:pPr>
              <w:spacing w:after="0"/>
              <w:rPr>
                <w:sz w:val="14"/>
                <w:szCs w:val="14"/>
                <w:color w:val="auto"/>
              </w:rPr>
            </w:pPr>
          </w:p>
        </w:tc>
        <w:tc>
          <w:tcPr>
            <w:tcW w:w="700" w:type="dxa"/>
            <w:vAlign w:val="bottom"/>
            <w:tcBorders>
              <w:bottom w:val="single" w:sz="8" w:color="auto"/>
            </w:tcBorders>
            <w:shd w:val="clear" w:color="auto" w:fill="98B0CF"/>
          </w:tcPr>
          <w:p>
            <w:pPr>
              <w:spacing w:after="0"/>
              <w:rPr>
                <w:sz w:val="14"/>
                <w:szCs w:val="14"/>
                <w:color w:val="auto"/>
              </w:rPr>
            </w:pPr>
          </w:p>
        </w:tc>
      </w:tr>
      <w:tr>
        <w:trPr>
          <w:trHeight w:val="155"/>
        </w:trPr>
        <w:tc>
          <w:tcPr>
            <w:tcW w:w="3300" w:type="dxa"/>
            <w:vAlign w:val="bottom"/>
            <w:tcBorders>
              <w:bottom w:val="single" w:sz="8" w:color="auto"/>
            </w:tcBorders>
            <w:shd w:val="clear" w:color="auto" w:fill="98B0CF"/>
          </w:tcPr>
          <w:p>
            <w:pPr>
              <w:ind w:left="1280"/>
              <w:spacing w:after="0" w:line="155" w:lineRule="exact"/>
              <w:rPr>
                <w:sz w:val="20"/>
                <w:szCs w:val="20"/>
                <w:color w:val="auto"/>
              </w:rPr>
            </w:pPr>
            <w:r>
              <w:rPr>
                <w:rFonts w:ascii="Arial" w:cs="Arial" w:eastAsia="Arial" w:hAnsi="Arial"/>
                <w:sz w:val="14"/>
                <w:szCs w:val="14"/>
                <w:b w:val="1"/>
                <w:bCs w:val="1"/>
                <w:color w:val="auto"/>
              </w:rPr>
              <w:t>Instrument</w:t>
            </w:r>
          </w:p>
        </w:tc>
        <w:tc>
          <w:tcPr>
            <w:tcW w:w="100" w:type="dxa"/>
            <w:vAlign w:val="bottom"/>
            <w:tcBorders>
              <w:bottom w:val="single" w:sz="8" w:color="auto"/>
            </w:tcBorders>
            <w:shd w:val="clear" w:color="auto" w:fill="98B0CF"/>
          </w:tcPr>
          <w:p>
            <w:pPr>
              <w:spacing w:after="0"/>
              <w:rPr>
                <w:sz w:val="13"/>
                <w:szCs w:val="13"/>
                <w:color w:val="auto"/>
              </w:rPr>
            </w:pPr>
          </w:p>
        </w:tc>
        <w:tc>
          <w:tcPr>
            <w:tcW w:w="2760" w:type="dxa"/>
            <w:vAlign w:val="bottom"/>
            <w:tcBorders>
              <w:bottom w:val="single" w:sz="8" w:color="auto"/>
            </w:tcBorders>
            <w:shd w:val="clear" w:color="auto" w:fill="98B0CF"/>
          </w:tcPr>
          <w:p>
            <w:pPr>
              <w:jc w:val="center"/>
              <w:ind w:left="205"/>
              <w:spacing w:after="0" w:line="155" w:lineRule="exact"/>
              <w:rPr>
                <w:sz w:val="20"/>
                <w:szCs w:val="20"/>
                <w:color w:val="auto"/>
              </w:rPr>
            </w:pPr>
            <w:r>
              <w:rPr>
                <w:rFonts w:ascii="Arial" w:cs="Arial" w:eastAsia="Arial" w:hAnsi="Arial"/>
                <w:sz w:val="14"/>
                <w:szCs w:val="14"/>
                <w:b w:val="1"/>
                <w:bCs w:val="1"/>
                <w:color w:val="auto"/>
              </w:rPr>
              <w:t>Recognized in Income</w:t>
            </w:r>
          </w:p>
        </w:tc>
        <w:tc>
          <w:tcPr>
            <w:tcW w:w="1300" w:type="dxa"/>
            <w:vAlign w:val="bottom"/>
            <w:tcBorders>
              <w:bottom w:val="single" w:sz="8" w:color="auto"/>
            </w:tcBorders>
            <w:gridSpan w:val="2"/>
            <w:shd w:val="clear" w:color="auto" w:fill="98B0CF"/>
          </w:tcPr>
          <w:p>
            <w:pPr>
              <w:jc w:val="right"/>
              <w:ind w:right="28"/>
              <w:spacing w:after="0" w:line="155" w:lineRule="exact"/>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shd w:val="clear" w:color="auto" w:fill="98B0CF"/>
          </w:tcPr>
          <w:p>
            <w:pPr>
              <w:jc w:val="right"/>
              <w:ind w:right="164"/>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shd w:val="clear" w:color="auto" w:fill="98B0CF"/>
          </w:tcPr>
          <w:p>
            <w:pPr>
              <w:spacing w:after="0"/>
              <w:rPr>
                <w:sz w:val="13"/>
                <w:szCs w:val="13"/>
                <w:color w:val="auto"/>
              </w:rPr>
            </w:pPr>
          </w:p>
        </w:tc>
        <w:tc>
          <w:tcPr>
            <w:tcW w:w="320" w:type="dxa"/>
            <w:vAlign w:val="bottom"/>
            <w:tcBorders>
              <w:bottom w:val="single" w:sz="8" w:color="auto"/>
            </w:tcBorders>
            <w:shd w:val="clear" w:color="auto" w:fill="98B0CF"/>
          </w:tcPr>
          <w:p>
            <w:pPr>
              <w:spacing w:after="0"/>
              <w:rPr>
                <w:sz w:val="13"/>
                <w:szCs w:val="13"/>
                <w:color w:val="auto"/>
              </w:rPr>
            </w:pPr>
          </w:p>
        </w:tc>
        <w:tc>
          <w:tcPr>
            <w:tcW w:w="1160" w:type="dxa"/>
            <w:vAlign w:val="bottom"/>
            <w:tcBorders>
              <w:bottom w:val="single" w:sz="8" w:color="auto"/>
            </w:tcBorders>
            <w:shd w:val="clear" w:color="auto" w:fill="98B0CF"/>
          </w:tcPr>
          <w:p>
            <w:pPr>
              <w:jc w:val="right"/>
              <w:ind w:right="545"/>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auto"/>
            </w:tcBorders>
            <w:shd w:val="clear" w:color="auto" w:fill="98B0CF"/>
          </w:tcPr>
          <w:p>
            <w:pPr>
              <w:spacing w:after="0"/>
              <w:rPr>
                <w:sz w:val="13"/>
                <w:szCs w:val="13"/>
                <w:color w:val="auto"/>
              </w:rPr>
            </w:pPr>
          </w:p>
        </w:tc>
        <w:tc>
          <w:tcPr>
            <w:tcW w:w="700" w:type="dxa"/>
            <w:vAlign w:val="bottom"/>
            <w:tcBorders>
              <w:bottom w:val="single" w:sz="8" w:color="auto"/>
            </w:tcBorders>
            <w:shd w:val="clear" w:color="auto" w:fill="98B0CF"/>
          </w:tcPr>
          <w:p>
            <w:pPr>
              <w:jc w:val="right"/>
              <w:ind w:right="264"/>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3300" w:type="dxa"/>
            <w:vAlign w:val="bottom"/>
            <w:tcBorders>
              <w:bottom w:val="single" w:sz="8" w:color="auto"/>
            </w:tcBorders>
            <w:shd w:val="clear" w:color="auto" w:fill="E2E8F1"/>
          </w:tcPr>
          <w:p>
            <w:pPr>
              <w:ind w:left="40"/>
              <w:spacing w:after="0"/>
              <w:rPr>
                <w:sz w:val="20"/>
                <w:szCs w:val="20"/>
                <w:color w:val="auto"/>
              </w:rPr>
            </w:pPr>
            <w:r>
              <w:rPr>
                <w:rFonts w:ascii="Arial" w:cs="Arial" w:eastAsia="Arial" w:hAnsi="Arial"/>
                <w:sz w:val="16"/>
                <w:szCs w:val="16"/>
                <w:color w:val="auto"/>
              </w:rPr>
              <w:t>Foreign currency forward contracts</w:t>
            </w:r>
          </w:p>
        </w:tc>
        <w:tc>
          <w:tcPr>
            <w:tcW w:w="100" w:type="dxa"/>
            <w:vAlign w:val="bottom"/>
            <w:tcBorders>
              <w:bottom w:val="single" w:sz="8" w:color="auto"/>
            </w:tcBorders>
            <w:shd w:val="clear" w:color="auto" w:fill="E2E8F1"/>
          </w:tcPr>
          <w:p>
            <w:pPr>
              <w:spacing w:after="0"/>
              <w:rPr>
                <w:sz w:val="17"/>
                <w:szCs w:val="17"/>
                <w:color w:val="auto"/>
              </w:rPr>
            </w:pPr>
          </w:p>
        </w:tc>
        <w:tc>
          <w:tcPr>
            <w:tcW w:w="276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Interest and other expenses, net</w:t>
            </w:r>
          </w:p>
        </w:tc>
        <w:tc>
          <w:tcPr>
            <w:tcW w:w="1300" w:type="dxa"/>
            <w:vAlign w:val="bottom"/>
            <w:tcBorders>
              <w:bottom w:val="single" w:sz="8" w:color="auto"/>
            </w:tcBorders>
            <w:gridSpan w:val="2"/>
            <w:shd w:val="clear" w:color="auto" w:fill="E2E8F1"/>
          </w:tcPr>
          <w:p>
            <w:pPr>
              <w:jc w:val="right"/>
              <w:ind w:right="74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2E8F1"/>
          </w:tcPr>
          <w:p>
            <w:pPr>
              <w:jc w:val="right"/>
              <w:ind w:right="4"/>
              <w:spacing w:after="0"/>
              <w:rPr>
                <w:sz w:val="20"/>
                <w:szCs w:val="20"/>
                <w:color w:val="auto"/>
              </w:rPr>
            </w:pPr>
            <w:r>
              <w:rPr>
                <w:rFonts w:ascii="Arial" w:cs="Arial" w:eastAsia="Arial" w:hAnsi="Arial"/>
                <w:sz w:val="16"/>
                <w:szCs w:val="16"/>
                <w:color w:val="auto"/>
              </w:rPr>
              <w:t>(1.7)</w:t>
            </w:r>
          </w:p>
        </w:tc>
        <w:tc>
          <w:tcPr>
            <w:tcW w:w="760" w:type="dxa"/>
            <w:vAlign w:val="bottom"/>
            <w:tcBorders>
              <w:bottom w:val="single" w:sz="8" w:color="auto"/>
            </w:tcBorders>
            <w:shd w:val="clear" w:color="auto" w:fill="E2E8F1"/>
          </w:tcPr>
          <w:p>
            <w:pPr>
              <w:jc w:val="right"/>
              <w:ind w:right="44"/>
              <w:spacing w:after="0"/>
              <w:rPr>
                <w:sz w:val="20"/>
                <w:szCs w:val="20"/>
                <w:color w:val="auto"/>
              </w:rPr>
            </w:pPr>
            <w:r>
              <w:rPr>
                <w:rFonts w:ascii="Arial" w:cs="Arial" w:eastAsia="Arial" w:hAnsi="Arial"/>
                <w:sz w:val="16"/>
                <w:szCs w:val="16"/>
                <w:color w:val="auto"/>
              </w:rPr>
              <w:t>$   0.4</w:t>
            </w:r>
          </w:p>
        </w:tc>
        <w:tc>
          <w:tcPr>
            <w:tcW w:w="440" w:type="dxa"/>
            <w:vAlign w:val="bottom"/>
            <w:tcBorders>
              <w:bottom w:val="single" w:sz="8" w:color="auto"/>
            </w:tcBorders>
            <w:gridSpan w:val="2"/>
            <w:shd w:val="clear" w:color="auto" w:fill="E2E8F1"/>
          </w:tcPr>
          <w:p>
            <w:pPr>
              <w:jc w:val="right"/>
              <w:ind w:right="168"/>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2E8F1"/>
          </w:tcPr>
          <w:p>
            <w:pPr>
              <w:jc w:val="right"/>
              <w:ind w:right="64"/>
              <w:spacing w:after="0"/>
              <w:rPr>
                <w:sz w:val="20"/>
                <w:szCs w:val="20"/>
                <w:color w:val="auto"/>
              </w:rPr>
            </w:pPr>
            <w:r>
              <w:rPr>
                <w:rFonts w:ascii="Arial" w:cs="Arial" w:eastAsia="Arial" w:hAnsi="Arial"/>
                <w:sz w:val="16"/>
                <w:szCs w:val="16"/>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-256540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and December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tcBorders>
              <w:top w:val="single" w:sz="8" w:color="231F20"/>
              <w:bottom w:val="single" w:sz="8" w:color="98B0CF"/>
            </w:tcBorders>
            <w:shd w:val="clear" w:color="auto" w:fill="98B0CF"/>
          </w:tcPr>
          <w:p>
            <w:pPr>
              <w:spacing w:after="0"/>
              <w:rPr>
                <w:sz w:val="21"/>
                <w:szCs w:val="21"/>
                <w:color w:val="auto"/>
              </w:rPr>
            </w:pPr>
          </w:p>
        </w:tc>
        <w:tc>
          <w:tcPr>
            <w:tcW w:w="100" w:type="dxa"/>
            <w:vAlign w:val="bottom"/>
            <w:tcBorders>
              <w:top w:val="single" w:sz="8" w:color="231F20"/>
              <w:bottom w:val="single" w:sz="8" w:color="98B0CF"/>
            </w:tcBorders>
            <w:shd w:val="clear" w:color="auto" w:fill="98B0CF"/>
          </w:tcPr>
          <w:p>
            <w:pPr>
              <w:spacing w:after="0"/>
              <w:rPr>
                <w:sz w:val="21"/>
                <w:szCs w:val="21"/>
                <w:color w:val="auto"/>
              </w:rPr>
            </w:pPr>
          </w:p>
        </w:tc>
        <w:tc>
          <w:tcPr>
            <w:tcW w:w="3040" w:type="dxa"/>
            <w:vAlign w:val="bottom"/>
            <w:tcBorders>
              <w:top w:val="single" w:sz="8" w:color="231F20"/>
              <w:bottom w:val="single" w:sz="8" w:color="231F20"/>
            </w:tcBorders>
            <w:shd w:val="clear" w:color="auto" w:fill="98B0CF"/>
          </w:tcPr>
          <w:p>
            <w:pPr>
              <w:spacing w:after="0"/>
              <w:rPr>
                <w:sz w:val="21"/>
                <w:szCs w:val="21"/>
                <w:color w:val="auto"/>
              </w:rPr>
            </w:pPr>
          </w:p>
        </w:tc>
        <w:tc>
          <w:tcPr>
            <w:tcW w:w="1360" w:type="dxa"/>
            <w:vAlign w:val="bottom"/>
            <w:tcBorders>
              <w:top w:val="single" w:sz="8" w:color="231F20"/>
              <w:bottom w:val="single" w:sz="8" w:color="231F20"/>
            </w:tcBorders>
            <w:gridSpan w:val="2"/>
            <w:shd w:val="clear" w:color="auto" w:fill="98B0CF"/>
          </w:tcPr>
          <w:p>
            <w:pPr>
              <w:jc w:val="right"/>
              <w:ind w:right="740"/>
              <w:spacing w:after="0"/>
              <w:rPr>
                <w:sz w:val="20"/>
                <w:szCs w:val="20"/>
                <w:color w:val="auto"/>
              </w:rPr>
            </w:pPr>
            <w:r>
              <w:rPr>
                <w:rFonts w:ascii="Arial" w:cs="Arial" w:eastAsia="Arial" w:hAnsi="Arial"/>
                <w:sz w:val="14"/>
                <w:szCs w:val="14"/>
                <w:b w:val="1"/>
                <w:bCs w:val="1"/>
                <w:color w:val="auto"/>
              </w:rPr>
              <w:t>Assets</w:t>
            </w:r>
          </w:p>
        </w:tc>
        <w:tc>
          <w:tcPr>
            <w:tcW w:w="1280" w:type="dxa"/>
            <w:vAlign w:val="bottom"/>
            <w:tcBorders>
              <w:top w:val="single" w:sz="8" w:color="231F20"/>
              <w:bottom w:val="single" w:sz="8" w:color="231F20"/>
            </w:tcBorders>
            <w:shd w:val="clear" w:color="auto" w:fill="98B0CF"/>
          </w:tcPr>
          <w:p>
            <w:pPr>
              <w:spacing w:after="0"/>
              <w:rPr>
                <w:sz w:val="21"/>
                <w:szCs w:val="21"/>
                <w:color w:val="auto"/>
              </w:rPr>
            </w:pPr>
          </w:p>
        </w:tc>
        <w:tc>
          <w:tcPr>
            <w:tcW w:w="340" w:type="dxa"/>
            <w:vAlign w:val="bottom"/>
            <w:tcBorders>
              <w:top w:val="single" w:sz="8" w:color="231F20"/>
              <w:bottom w:val="single" w:sz="8" w:color="231F20"/>
            </w:tcBorders>
            <w:shd w:val="clear" w:color="auto" w:fill="98B0CF"/>
          </w:tcPr>
          <w:p>
            <w:pPr>
              <w:spacing w:after="0"/>
              <w:rPr>
                <w:sz w:val="21"/>
                <w:szCs w:val="21"/>
                <w:color w:val="auto"/>
              </w:rPr>
            </w:pPr>
          </w:p>
        </w:tc>
        <w:tc>
          <w:tcPr>
            <w:tcW w:w="940" w:type="dxa"/>
            <w:vAlign w:val="bottom"/>
            <w:tcBorders>
              <w:top w:val="single" w:sz="8" w:color="231F20"/>
              <w:bottom w:val="single" w:sz="8" w:color="231F20"/>
            </w:tcBorders>
            <w:shd w:val="clear" w:color="auto" w:fill="98B0CF"/>
          </w:tcPr>
          <w:p>
            <w:pPr>
              <w:spacing w:after="0"/>
              <w:rPr>
                <w:sz w:val="21"/>
                <w:szCs w:val="21"/>
                <w:color w:val="auto"/>
              </w:rPr>
            </w:pPr>
          </w:p>
        </w:tc>
      </w:tr>
      <w:tr>
        <w:trPr>
          <w:trHeight w:val="223"/>
        </w:trPr>
        <w:tc>
          <w:tcPr>
            <w:tcW w:w="4180" w:type="dxa"/>
            <w:vAlign w:val="bottom"/>
            <w:tcBorders>
              <w:bottom w:val="single" w:sz="8" w:color="98B0CF"/>
            </w:tcBorders>
            <w:shd w:val="clear" w:color="auto" w:fill="98B0CF"/>
          </w:tcPr>
          <w:p>
            <w:pPr>
              <w:spacing w:after="0"/>
              <w:rPr>
                <w:sz w:val="19"/>
                <w:szCs w:val="19"/>
                <w:color w:val="auto"/>
              </w:rPr>
            </w:pPr>
          </w:p>
        </w:tc>
        <w:tc>
          <w:tcPr>
            <w:tcW w:w="100" w:type="dxa"/>
            <w:vAlign w:val="bottom"/>
            <w:tcBorders>
              <w:bottom w:val="single" w:sz="8" w:color="98B0CF"/>
            </w:tcBorders>
            <w:shd w:val="clear" w:color="auto" w:fill="98B0CF"/>
          </w:tcPr>
          <w:p>
            <w:pPr>
              <w:spacing w:after="0"/>
              <w:rPr>
                <w:sz w:val="19"/>
                <w:szCs w:val="19"/>
                <w:color w:val="auto"/>
              </w:rPr>
            </w:pPr>
          </w:p>
        </w:tc>
        <w:tc>
          <w:tcPr>
            <w:tcW w:w="3040" w:type="dxa"/>
            <w:vAlign w:val="bottom"/>
            <w:tcBorders>
              <w:bottom w:val="single" w:sz="8" w:color="98B0CF"/>
            </w:tcBorders>
            <w:shd w:val="clear" w:color="auto" w:fill="98B0CF"/>
          </w:tcPr>
          <w:p>
            <w:pPr>
              <w:spacing w:after="0"/>
              <w:rPr>
                <w:sz w:val="19"/>
                <w:szCs w:val="19"/>
                <w:color w:val="auto"/>
              </w:rPr>
            </w:pPr>
          </w:p>
        </w:tc>
        <w:tc>
          <w:tcPr>
            <w:tcW w:w="124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231F20"/>
            </w:tcBorders>
            <w:shd w:val="clear" w:color="auto" w:fill="98B0CF"/>
          </w:tcPr>
          <w:p>
            <w:pPr>
              <w:spacing w:after="0"/>
              <w:rPr>
                <w:sz w:val="19"/>
                <w:szCs w:val="19"/>
                <w:color w:val="auto"/>
              </w:rPr>
            </w:pPr>
          </w:p>
        </w:tc>
        <w:tc>
          <w:tcPr>
            <w:tcW w:w="1280" w:type="dxa"/>
            <w:vAlign w:val="bottom"/>
            <w:tcBorders>
              <w:bottom w:val="single" w:sz="8" w:color="231F20"/>
            </w:tcBorders>
            <w:shd w:val="clear" w:color="auto" w:fill="98B0CF"/>
          </w:tcPr>
          <w:p>
            <w:pPr>
              <w:jc w:val="right"/>
              <w:ind w:right="183"/>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tcBorders>
              <w:bottom w:val="single" w:sz="8" w:color="231F20"/>
            </w:tcBorders>
            <w:gridSpan w:val="2"/>
            <w:shd w:val="clear" w:color="auto" w:fill="98B0CF"/>
          </w:tcPr>
          <w:p>
            <w:pPr>
              <w:jc w:val="right"/>
              <w:ind w:right="101"/>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4180" w:type="dxa"/>
            <w:vAlign w:val="bottom"/>
            <w:tcBorders>
              <w:bottom w:val="single" w:sz="8" w:color="auto"/>
            </w:tcBorders>
            <w:shd w:val="clear" w:color="auto" w:fill="98B0CF"/>
          </w:tcPr>
          <w:p>
            <w:pPr>
              <w:spacing w:after="0"/>
              <w:rPr>
                <w:sz w:val="20"/>
                <w:szCs w:val="20"/>
                <w:color w:val="auto"/>
              </w:rPr>
            </w:pPr>
          </w:p>
        </w:tc>
        <w:tc>
          <w:tcPr>
            <w:tcW w:w="100" w:type="dxa"/>
            <w:vAlign w:val="bottom"/>
            <w:tcBorders>
              <w:bottom w:val="single" w:sz="8" w:color="auto"/>
            </w:tcBorders>
            <w:shd w:val="clear" w:color="auto" w:fill="98B0CF"/>
          </w:tcPr>
          <w:p>
            <w:pPr>
              <w:spacing w:after="0"/>
              <w:rPr>
                <w:sz w:val="20"/>
                <w:szCs w:val="20"/>
                <w:color w:val="auto"/>
              </w:rPr>
            </w:pPr>
          </w:p>
        </w:tc>
        <w:tc>
          <w:tcPr>
            <w:tcW w:w="3040" w:type="dxa"/>
            <w:vAlign w:val="bottom"/>
            <w:tcBorders>
              <w:bottom w:val="single" w:sz="8" w:color="auto"/>
            </w:tcBorders>
            <w:shd w:val="clear" w:color="auto" w:fill="98B0CF"/>
          </w:tcPr>
          <w:p>
            <w:pPr>
              <w:ind w:left="1280"/>
              <w:spacing w:after="0"/>
              <w:rPr>
                <w:sz w:val="20"/>
                <w:szCs w:val="20"/>
                <w:color w:val="auto"/>
              </w:rPr>
            </w:pPr>
            <w:r>
              <w:rPr>
                <w:rFonts w:ascii="Arial" w:cs="Arial" w:eastAsia="Arial" w:hAnsi="Arial"/>
                <w:sz w:val="14"/>
                <w:szCs w:val="14"/>
                <w:b w:val="1"/>
                <w:bCs w:val="1"/>
                <w:color w:val="auto"/>
              </w:rPr>
              <w:t>Balance Sheet Location</w:t>
            </w:r>
          </w:p>
        </w:tc>
        <w:tc>
          <w:tcPr>
            <w:tcW w:w="1240" w:type="dxa"/>
            <w:vAlign w:val="bottom"/>
            <w:tcBorders>
              <w:bottom w:val="single" w:sz="8" w:color="auto"/>
            </w:tcBorders>
            <w:shd w:val="clear" w:color="auto" w:fill="98B0CF"/>
          </w:tcPr>
          <w:p>
            <w:pPr>
              <w:spacing w:after="0"/>
              <w:rPr>
                <w:sz w:val="20"/>
                <w:szCs w:val="20"/>
                <w:color w:val="auto"/>
              </w:rPr>
            </w:pPr>
          </w:p>
        </w:tc>
        <w:tc>
          <w:tcPr>
            <w:tcW w:w="120" w:type="dxa"/>
            <w:vAlign w:val="bottom"/>
            <w:tcBorders>
              <w:bottom w:val="single" w:sz="8" w:color="auto"/>
            </w:tcBorders>
            <w:shd w:val="clear" w:color="auto" w:fill="98B0CF"/>
          </w:tcPr>
          <w:p>
            <w:pPr>
              <w:spacing w:after="0"/>
              <w:rPr>
                <w:sz w:val="20"/>
                <w:szCs w:val="20"/>
                <w:color w:val="auto"/>
              </w:rPr>
            </w:pPr>
          </w:p>
        </w:tc>
        <w:tc>
          <w:tcPr>
            <w:tcW w:w="1280" w:type="dxa"/>
            <w:vAlign w:val="bottom"/>
            <w:tcBorders>
              <w:bottom w:val="single" w:sz="8" w:color="auto"/>
            </w:tcBorders>
            <w:shd w:val="clear" w:color="auto" w:fill="98B0CF"/>
          </w:tcPr>
          <w:p>
            <w:pPr>
              <w:jc w:val="right"/>
              <w:ind w:right="523"/>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shd w:val="clear" w:color="auto" w:fill="98B0CF"/>
          </w:tcPr>
          <w:p>
            <w:pPr>
              <w:spacing w:after="0"/>
              <w:rPr>
                <w:sz w:val="20"/>
                <w:szCs w:val="20"/>
                <w:color w:val="auto"/>
              </w:rPr>
            </w:pPr>
          </w:p>
        </w:tc>
        <w:tc>
          <w:tcPr>
            <w:tcW w:w="940" w:type="dxa"/>
            <w:vAlign w:val="bottom"/>
            <w:tcBorders>
              <w:bottom w:val="single" w:sz="8" w:color="auto"/>
            </w:tcBorders>
            <w:shd w:val="clear" w:color="auto" w:fill="98B0CF"/>
          </w:tcPr>
          <w:p>
            <w:pPr>
              <w:jc w:val="right"/>
              <w:ind w:right="401"/>
              <w:spacing w:after="0"/>
              <w:rPr>
                <w:sz w:val="20"/>
                <w:szCs w:val="20"/>
                <w:color w:val="auto"/>
              </w:rPr>
            </w:pPr>
            <w:r>
              <w:rPr>
                <w:rFonts w:ascii="Arial" w:cs="Arial" w:eastAsia="Arial" w:hAnsi="Arial"/>
                <w:sz w:val="14"/>
                <w:szCs w:val="14"/>
                <w:b w:val="1"/>
                <w:bCs w:val="1"/>
                <w:color w:val="auto"/>
              </w:rPr>
              <w:t>2025</w:t>
            </w:r>
          </w:p>
        </w:tc>
      </w:tr>
      <w:tr>
        <w:trPr>
          <w:trHeight w:val="210"/>
        </w:trPr>
        <w:tc>
          <w:tcPr>
            <w:tcW w:w="4180" w:type="dxa"/>
            <w:vAlign w:val="bottom"/>
            <w:shd w:val="clear" w:color="auto" w:fill="E2E8F1"/>
          </w:tcPr>
          <w:p>
            <w:pPr>
              <w:ind w:left="40"/>
              <w:spacing w:after="0"/>
              <w:rPr>
                <w:sz w:val="20"/>
                <w:szCs w:val="20"/>
                <w:color w:val="auto"/>
              </w:rPr>
            </w:pPr>
            <w:r>
              <w:rPr>
                <w:rFonts w:ascii="Arial" w:cs="Arial" w:eastAsia="Arial" w:hAnsi="Arial"/>
                <w:sz w:val="16"/>
                <w:szCs w:val="16"/>
                <w:color w:val="auto"/>
              </w:rPr>
              <w:t>Instruments designated as fair value hedges:</w:t>
            </w:r>
          </w:p>
        </w:tc>
        <w:tc>
          <w:tcPr>
            <w:tcW w:w="100" w:type="dxa"/>
            <w:vAlign w:val="bottom"/>
            <w:shd w:val="clear" w:color="auto" w:fill="E2E8F1"/>
          </w:tcPr>
          <w:p>
            <w:pPr>
              <w:spacing w:after="0"/>
              <w:rPr>
                <w:sz w:val="18"/>
                <w:szCs w:val="18"/>
                <w:color w:val="auto"/>
              </w:rPr>
            </w:pPr>
          </w:p>
        </w:tc>
        <w:tc>
          <w:tcPr>
            <w:tcW w:w="3040" w:type="dxa"/>
            <w:vAlign w:val="bottom"/>
            <w:shd w:val="clear" w:color="auto" w:fill="E2E8F1"/>
          </w:tcPr>
          <w:p>
            <w:pPr>
              <w:spacing w:after="0"/>
              <w:rPr>
                <w:sz w:val="18"/>
                <w:szCs w:val="18"/>
                <w:color w:val="auto"/>
              </w:rPr>
            </w:pPr>
          </w:p>
        </w:tc>
        <w:tc>
          <w:tcPr>
            <w:tcW w:w="12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28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940" w:type="dxa"/>
            <w:vAlign w:val="bottom"/>
            <w:shd w:val="clear" w:color="auto" w:fill="E2E8F1"/>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6"/>
                <w:szCs w:val="16"/>
                <w:color w:val="auto"/>
              </w:rPr>
              <w:t>Cross-currency swaps</w:t>
            </w:r>
          </w:p>
        </w:tc>
        <w:tc>
          <w:tcPr>
            <w:tcW w:w="3140" w:type="dxa"/>
            <w:vAlign w:val="bottom"/>
            <w:gridSpan w:val="2"/>
          </w:tcPr>
          <w:p>
            <w:pPr>
              <w:ind w:left="100"/>
              <w:spacing w:after="0"/>
              <w:rPr>
                <w:sz w:val="20"/>
                <w:szCs w:val="20"/>
                <w:color w:val="auto"/>
              </w:rPr>
            </w:pPr>
            <w:r>
              <w:rPr>
                <w:rFonts w:ascii="Arial" w:cs="Arial" w:eastAsia="Arial" w:hAnsi="Arial"/>
                <w:sz w:val="16"/>
                <w:szCs w:val="16"/>
                <w:color w:val="auto"/>
              </w:rPr>
              <w:t>Accounts receivable, net</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9.2</w:t>
            </w:r>
          </w:p>
        </w:tc>
        <w:tc>
          <w:tcPr>
            <w:tcW w:w="3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16"/>
        </w:trPr>
        <w:tc>
          <w:tcPr>
            <w:tcW w:w="4180" w:type="dxa"/>
            <w:vAlign w:val="bottom"/>
            <w:tcBorders>
              <w:bottom w:val="single" w:sz="8" w:color="231F20"/>
            </w:tcBorders>
            <w:shd w:val="clear" w:color="auto" w:fill="E2E8F1"/>
          </w:tcPr>
          <w:p>
            <w:pPr>
              <w:ind w:left="120"/>
              <w:spacing w:after="0"/>
              <w:rPr>
                <w:sz w:val="20"/>
                <w:szCs w:val="20"/>
                <w:color w:val="auto"/>
              </w:rPr>
            </w:pPr>
            <w:r>
              <w:rPr>
                <w:rFonts w:ascii="Arial" w:cs="Arial" w:eastAsia="Arial" w:hAnsi="Arial"/>
                <w:sz w:val="16"/>
                <w:szCs w:val="16"/>
                <w:color w:val="auto"/>
              </w:rPr>
              <w:t>Cross-currency swaps</w:t>
            </w:r>
          </w:p>
        </w:tc>
        <w:tc>
          <w:tcPr>
            <w:tcW w:w="3140" w:type="dxa"/>
            <w:vAlign w:val="bottom"/>
            <w:tcBorders>
              <w:bottom w:val="single" w:sz="8" w:color="231F20"/>
            </w:tcBorders>
            <w:gridSpan w:val="2"/>
            <w:shd w:val="clear" w:color="auto" w:fill="E2E8F1"/>
          </w:tcPr>
          <w:p>
            <w:pPr>
              <w:ind w:left="100"/>
              <w:spacing w:after="0"/>
              <w:rPr>
                <w:sz w:val="20"/>
                <w:szCs w:val="20"/>
                <w:color w:val="auto"/>
              </w:rPr>
            </w:pPr>
            <w:r>
              <w:rPr>
                <w:rFonts w:ascii="Arial" w:cs="Arial" w:eastAsia="Arial" w:hAnsi="Arial"/>
                <w:sz w:val="16"/>
                <w:szCs w:val="16"/>
                <w:color w:val="auto"/>
              </w:rPr>
              <w:t>Other assets</w:t>
            </w:r>
          </w:p>
        </w:tc>
        <w:tc>
          <w:tcPr>
            <w:tcW w:w="1240" w:type="dxa"/>
            <w:vAlign w:val="bottom"/>
            <w:tcBorders>
              <w:bottom w:val="single" w:sz="8" w:color="231F20"/>
            </w:tcBorders>
            <w:shd w:val="clear" w:color="auto" w:fill="E2E8F1"/>
          </w:tcPr>
          <w:p>
            <w:pPr>
              <w:spacing w:after="0"/>
              <w:rPr>
                <w:sz w:val="18"/>
                <w:szCs w:val="18"/>
                <w:color w:val="auto"/>
              </w:rPr>
            </w:pPr>
          </w:p>
        </w:tc>
        <w:tc>
          <w:tcPr>
            <w:tcW w:w="120" w:type="dxa"/>
            <w:vAlign w:val="bottom"/>
            <w:tcBorders>
              <w:bottom w:val="single" w:sz="8" w:color="231F20"/>
            </w:tcBorders>
            <w:shd w:val="clear" w:color="auto" w:fill="E2E8F1"/>
          </w:tcPr>
          <w:p>
            <w:pPr>
              <w:spacing w:after="0"/>
              <w:rPr>
                <w:sz w:val="18"/>
                <w:szCs w:val="18"/>
                <w:color w:val="auto"/>
              </w:rPr>
            </w:pPr>
          </w:p>
        </w:tc>
        <w:tc>
          <w:tcPr>
            <w:tcW w:w="1280" w:type="dxa"/>
            <w:vAlign w:val="bottom"/>
            <w:tcBorders>
              <w:bottom w:val="single" w:sz="8" w:color="231F20"/>
            </w:tcBorders>
            <w:shd w:val="clear" w:color="auto" w:fill="E2E8F1"/>
          </w:tcPr>
          <w:p>
            <w:pPr>
              <w:jc w:val="right"/>
              <w:ind w:right="4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231F20"/>
            </w:tcBorders>
            <w:shd w:val="clear" w:color="auto" w:fill="E2E8F1"/>
          </w:tcPr>
          <w:p>
            <w:pPr>
              <w:spacing w:after="0"/>
              <w:rPr>
                <w:sz w:val="18"/>
                <w:szCs w:val="18"/>
                <w:color w:val="auto"/>
              </w:rPr>
            </w:pPr>
          </w:p>
        </w:tc>
        <w:tc>
          <w:tcPr>
            <w:tcW w:w="94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14.6</w:t>
            </w:r>
          </w:p>
        </w:tc>
      </w:tr>
      <w:tr>
        <w:trPr>
          <w:trHeight w:val="210"/>
        </w:trPr>
        <w:tc>
          <w:tcPr>
            <w:tcW w:w="4180" w:type="dxa"/>
            <w:vAlign w:val="bottom"/>
            <w:tcBorders>
              <w:bottom w:val="single" w:sz="8" w:color="231F20"/>
            </w:tcBorders>
          </w:tcPr>
          <w:p>
            <w:pPr>
              <w:ind w:left="200"/>
              <w:spacing w:after="0"/>
              <w:rPr>
                <w:sz w:val="20"/>
                <w:szCs w:val="20"/>
                <w:color w:val="auto"/>
              </w:rPr>
            </w:pPr>
            <w:r>
              <w:rPr>
                <w:rFonts w:ascii="Arial" w:cs="Arial" w:eastAsia="Arial" w:hAnsi="Arial"/>
                <w:sz w:val="16"/>
                <w:szCs w:val="16"/>
                <w:color w:val="auto"/>
              </w:rPr>
              <w:t>Total instruments</w:t>
            </w:r>
          </w:p>
        </w:tc>
        <w:tc>
          <w:tcPr>
            <w:tcW w:w="100" w:type="dxa"/>
            <w:vAlign w:val="bottom"/>
            <w:tcBorders>
              <w:bottom w:val="single" w:sz="8" w:color="231F20"/>
            </w:tcBorders>
          </w:tcPr>
          <w:p>
            <w:pPr>
              <w:spacing w:after="0"/>
              <w:rPr>
                <w:sz w:val="18"/>
                <w:szCs w:val="18"/>
                <w:color w:val="auto"/>
              </w:rPr>
            </w:pPr>
          </w:p>
        </w:tc>
        <w:tc>
          <w:tcPr>
            <w:tcW w:w="304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231F20"/>
            </w:tcBorders>
          </w:tcPr>
          <w:p>
            <w:pPr>
              <w:jc w:val="right"/>
              <w:ind w:right="43"/>
              <w:spacing w:after="0"/>
              <w:rPr>
                <w:sz w:val="20"/>
                <w:szCs w:val="20"/>
                <w:color w:val="auto"/>
              </w:rPr>
            </w:pPr>
            <w:r>
              <w:rPr>
                <w:rFonts w:ascii="Arial" w:cs="Arial" w:eastAsia="Arial" w:hAnsi="Arial"/>
                <w:sz w:val="16"/>
                <w:szCs w:val="16"/>
                <w:color w:val="auto"/>
              </w:rPr>
              <w:t>9.2</w:t>
            </w:r>
          </w:p>
        </w:tc>
        <w:tc>
          <w:tcPr>
            <w:tcW w:w="340" w:type="dxa"/>
            <w:vAlign w:val="bottom"/>
            <w:tcBorders>
              <w:bottom w:val="single" w:sz="8" w:color="231F20"/>
            </w:tcBorders>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14.6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tcBorders>
              <w:top w:val="single" w:sz="8" w:color="231F20"/>
              <w:bottom w:val="single" w:sz="8" w:color="98B0CF"/>
            </w:tcBorders>
            <w:shd w:val="clear" w:color="auto" w:fill="98B0CF"/>
          </w:tcPr>
          <w:p>
            <w:pPr>
              <w:spacing w:after="0"/>
              <w:rPr>
                <w:sz w:val="21"/>
                <w:szCs w:val="21"/>
                <w:color w:val="auto"/>
              </w:rPr>
            </w:pPr>
          </w:p>
        </w:tc>
        <w:tc>
          <w:tcPr>
            <w:tcW w:w="100" w:type="dxa"/>
            <w:vAlign w:val="bottom"/>
            <w:tcBorders>
              <w:top w:val="single" w:sz="8" w:color="231F20"/>
              <w:bottom w:val="single" w:sz="8" w:color="98B0CF"/>
            </w:tcBorders>
            <w:shd w:val="clear" w:color="auto" w:fill="98B0CF"/>
          </w:tcPr>
          <w:p>
            <w:pPr>
              <w:spacing w:after="0"/>
              <w:rPr>
                <w:sz w:val="21"/>
                <w:szCs w:val="21"/>
                <w:color w:val="auto"/>
              </w:rPr>
            </w:pPr>
          </w:p>
        </w:tc>
        <w:tc>
          <w:tcPr>
            <w:tcW w:w="4400" w:type="dxa"/>
            <w:vAlign w:val="bottom"/>
            <w:tcBorders>
              <w:top w:val="single" w:sz="8" w:color="231F20"/>
              <w:bottom w:val="single" w:sz="8" w:color="231F20"/>
            </w:tcBorders>
            <w:shd w:val="clear" w:color="auto" w:fill="98B0CF"/>
          </w:tcPr>
          <w:p>
            <w:pPr>
              <w:ind w:left="3100"/>
              <w:spacing w:after="0"/>
              <w:rPr>
                <w:sz w:val="20"/>
                <w:szCs w:val="20"/>
                <w:color w:val="auto"/>
              </w:rPr>
            </w:pPr>
            <w:r>
              <w:rPr>
                <w:rFonts w:ascii="Arial" w:cs="Arial" w:eastAsia="Arial" w:hAnsi="Arial"/>
                <w:sz w:val="14"/>
                <w:szCs w:val="14"/>
                <w:b w:val="1"/>
                <w:bCs w:val="1"/>
                <w:color w:val="auto"/>
              </w:rPr>
              <w:t>Liabilities</w:t>
            </w:r>
          </w:p>
        </w:tc>
        <w:tc>
          <w:tcPr>
            <w:tcW w:w="80" w:type="dxa"/>
            <w:vAlign w:val="bottom"/>
            <w:tcBorders>
              <w:top w:val="single" w:sz="8" w:color="231F20"/>
              <w:bottom w:val="single" w:sz="8" w:color="231F20"/>
            </w:tcBorders>
            <w:shd w:val="clear" w:color="auto" w:fill="98B0CF"/>
          </w:tcPr>
          <w:p>
            <w:pPr>
              <w:spacing w:after="0"/>
              <w:rPr>
                <w:sz w:val="21"/>
                <w:szCs w:val="21"/>
                <w:color w:val="auto"/>
              </w:rPr>
            </w:pPr>
          </w:p>
        </w:tc>
        <w:tc>
          <w:tcPr>
            <w:tcW w:w="1200" w:type="dxa"/>
            <w:vAlign w:val="bottom"/>
            <w:tcBorders>
              <w:top w:val="single" w:sz="8" w:color="231F20"/>
              <w:bottom w:val="single" w:sz="8" w:color="231F20"/>
            </w:tcBorders>
            <w:shd w:val="clear" w:color="auto" w:fill="98B0CF"/>
          </w:tcPr>
          <w:p>
            <w:pPr>
              <w:spacing w:after="0"/>
              <w:rPr>
                <w:sz w:val="21"/>
                <w:szCs w:val="21"/>
                <w:color w:val="auto"/>
              </w:rPr>
            </w:pPr>
          </w:p>
        </w:tc>
        <w:tc>
          <w:tcPr>
            <w:tcW w:w="340" w:type="dxa"/>
            <w:vAlign w:val="bottom"/>
            <w:tcBorders>
              <w:top w:val="single" w:sz="8" w:color="231F20"/>
              <w:bottom w:val="single" w:sz="8" w:color="231F20"/>
            </w:tcBorders>
            <w:shd w:val="clear" w:color="auto" w:fill="98B0CF"/>
          </w:tcPr>
          <w:p>
            <w:pPr>
              <w:spacing w:after="0"/>
              <w:rPr>
                <w:sz w:val="21"/>
                <w:szCs w:val="21"/>
                <w:color w:val="auto"/>
              </w:rPr>
            </w:pPr>
          </w:p>
        </w:tc>
        <w:tc>
          <w:tcPr>
            <w:tcW w:w="940" w:type="dxa"/>
            <w:vAlign w:val="bottom"/>
            <w:tcBorders>
              <w:top w:val="single" w:sz="8" w:color="231F20"/>
              <w:bottom w:val="single" w:sz="8" w:color="231F20"/>
            </w:tcBorders>
            <w:shd w:val="clear" w:color="auto" w:fill="98B0CF"/>
          </w:tcPr>
          <w:p>
            <w:pPr>
              <w:spacing w:after="0"/>
              <w:rPr>
                <w:sz w:val="21"/>
                <w:szCs w:val="21"/>
                <w:color w:val="auto"/>
              </w:rPr>
            </w:pPr>
          </w:p>
        </w:tc>
      </w:tr>
      <w:tr>
        <w:trPr>
          <w:trHeight w:val="223"/>
        </w:trPr>
        <w:tc>
          <w:tcPr>
            <w:tcW w:w="4180" w:type="dxa"/>
            <w:vAlign w:val="bottom"/>
            <w:tcBorders>
              <w:bottom w:val="single" w:sz="8" w:color="98B0CF"/>
            </w:tcBorders>
            <w:shd w:val="clear" w:color="auto" w:fill="98B0CF"/>
          </w:tcPr>
          <w:p>
            <w:pPr>
              <w:spacing w:after="0"/>
              <w:rPr>
                <w:sz w:val="19"/>
                <w:szCs w:val="19"/>
                <w:color w:val="auto"/>
              </w:rPr>
            </w:pPr>
          </w:p>
        </w:tc>
        <w:tc>
          <w:tcPr>
            <w:tcW w:w="100" w:type="dxa"/>
            <w:vAlign w:val="bottom"/>
            <w:tcBorders>
              <w:bottom w:val="single" w:sz="8" w:color="98B0CF"/>
            </w:tcBorders>
            <w:shd w:val="clear" w:color="auto" w:fill="98B0CF"/>
          </w:tcPr>
          <w:p>
            <w:pPr>
              <w:spacing w:after="0"/>
              <w:rPr>
                <w:sz w:val="19"/>
                <w:szCs w:val="19"/>
                <w:color w:val="auto"/>
              </w:rPr>
            </w:pPr>
          </w:p>
        </w:tc>
        <w:tc>
          <w:tcPr>
            <w:tcW w:w="4400" w:type="dxa"/>
            <w:vAlign w:val="bottom"/>
            <w:tcBorders>
              <w:bottom w:val="single" w:sz="8" w:color="98B0CF"/>
            </w:tcBorders>
            <w:shd w:val="clear" w:color="auto" w:fill="98B0CF"/>
          </w:tcPr>
          <w:p>
            <w:pPr>
              <w:spacing w:after="0"/>
              <w:rPr>
                <w:sz w:val="19"/>
                <w:szCs w:val="19"/>
                <w:color w:val="auto"/>
              </w:rPr>
            </w:pPr>
          </w:p>
        </w:tc>
        <w:tc>
          <w:tcPr>
            <w:tcW w:w="80" w:type="dxa"/>
            <w:vAlign w:val="bottom"/>
            <w:tcBorders>
              <w:bottom w:val="single" w:sz="8" w:color="231F20"/>
            </w:tcBorders>
            <w:shd w:val="clear" w:color="auto" w:fill="98B0CF"/>
          </w:tcPr>
          <w:p>
            <w:pPr>
              <w:spacing w:after="0"/>
              <w:rPr>
                <w:sz w:val="19"/>
                <w:szCs w:val="19"/>
                <w:color w:val="auto"/>
              </w:rPr>
            </w:pPr>
          </w:p>
        </w:tc>
        <w:tc>
          <w:tcPr>
            <w:tcW w:w="1200" w:type="dxa"/>
            <w:vAlign w:val="bottom"/>
            <w:tcBorders>
              <w:bottom w:val="single" w:sz="8" w:color="231F20"/>
            </w:tcBorders>
            <w:shd w:val="clear" w:color="auto" w:fill="98B0CF"/>
          </w:tcPr>
          <w:p>
            <w:pPr>
              <w:jc w:val="right"/>
              <w:ind w:right="141"/>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tcBorders>
              <w:bottom w:val="single" w:sz="8" w:color="231F20"/>
            </w:tcBorders>
            <w:gridSpan w:val="2"/>
            <w:shd w:val="clear" w:color="auto" w:fill="98B0CF"/>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4180" w:type="dxa"/>
            <w:vAlign w:val="bottom"/>
            <w:tcBorders>
              <w:bottom w:val="single" w:sz="8" w:color="auto"/>
            </w:tcBorders>
            <w:shd w:val="clear" w:color="auto" w:fill="98B0CF"/>
          </w:tcPr>
          <w:p>
            <w:pPr>
              <w:spacing w:after="0"/>
              <w:rPr>
                <w:sz w:val="20"/>
                <w:szCs w:val="20"/>
                <w:color w:val="auto"/>
              </w:rPr>
            </w:pPr>
          </w:p>
        </w:tc>
        <w:tc>
          <w:tcPr>
            <w:tcW w:w="100" w:type="dxa"/>
            <w:vAlign w:val="bottom"/>
            <w:tcBorders>
              <w:bottom w:val="single" w:sz="8" w:color="auto"/>
            </w:tcBorders>
            <w:shd w:val="clear" w:color="auto" w:fill="98B0CF"/>
          </w:tcPr>
          <w:p>
            <w:pPr>
              <w:spacing w:after="0"/>
              <w:rPr>
                <w:sz w:val="20"/>
                <w:szCs w:val="20"/>
                <w:color w:val="auto"/>
              </w:rPr>
            </w:pPr>
          </w:p>
        </w:tc>
        <w:tc>
          <w:tcPr>
            <w:tcW w:w="4400" w:type="dxa"/>
            <w:vAlign w:val="bottom"/>
            <w:tcBorders>
              <w:bottom w:val="single" w:sz="8" w:color="auto"/>
            </w:tcBorders>
            <w:shd w:val="clear" w:color="auto" w:fill="98B0CF"/>
          </w:tcPr>
          <w:p>
            <w:pPr>
              <w:ind w:left="1320"/>
              <w:spacing w:after="0"/>
              <w:rPr>
                <w:sz w:val="20"/>
                <w:szCs w:val="20"/>
                <w:color w:val="auto"/>
              </w:rPr>
            </w:pPr>
            <w:r>
              <w:rPr>
                <w:rFonts w:ascii="Arial" w:cs="Arial" w:eastAsia="Arial" w:hAnsi="Arial"/>
                <w:sz w:val="14"/>
                <w:szCs w:val="14"/>
                <w:b w:val="1"/>
                <w:bCs w:val="1"/>
                <w:color w:val="auto"/>
              </w:rPr>
              <w:t>Balance Sheet Location</w:t>
            </w:r>
          </w:p>
        </w:tc>
        <w:tc>
          <w:tcPr>
            <w:tcW w:w="80" w:type="dxa"/>
            <w:vAlign w:val="bottom"/>
            <w:tcBorders>
              <w:bottom w:val="single" w:sz="8" w:color="auto"/>
            </w:tcBorders>
            <w:shd w:val="clear" w:color="auto" w:fill="98B0CF"/>
          </w:tcPr>
          <w:p>
            <w:pPr>
              <w:spacing w:after="0"/>
              <w:rPr>
                <w:sz w:val="20"/>
                <w:szCs w:val="20"/>
                <w:color w:val="auto"/>
              </w:rPr>
            </w:pPr>
          </w:p>
        </w:tc>
        <w:tc>
          <w:tcPr>
            <w:tcW w:w="1200" w:type="dxa"/>
            <w:vAlign w:val="bottom"/>
            <w:tcBorders>
              <w:bottom w:val="single" w:sz="8" w:color="auto"/>
            </w:tcBorders>
            <w:shd w:val="clear" w:color="auto" w:fill="98B0CF"/>
          </w:tcPr>
          <w:p>
            <w:pPr>
              <w:jc w:val="right"/>
              <w:ind w:right="461"/>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shd w:val="clear" w:color="auto" w:fill="98B0CF"/>
          </w:tcPr>
          <w:p>
            <w:pPr>
              <w:spacing w:after="0"/>
              <w:rPr>
                <w:sz w:val="20"/>
                <w:szCs w:val="20"/>
                <w:color w:val="auto"/>
              </w:rPr>
            </w:pPr>
          </w:p>
        </w:tc>
        <w:tc>
          <w:tcPr>
            <w:tcW w:w="940" w:type="dxa"/>
            <w:vAlign w:val="bottom"/>
            <w:tcBorders>
              <w:bottom w:val="single" w:sz="8" w:color="auto"/>
            </w:tcBorders>
            <w:shd w:val="clear" w:color="auto" w:fill="98B0CF"/>
          </w:tcPr>
          <w:p>
            <w:pPr>
              <w:jc w:val="right"/>
              <w:ind w:right="400"/>
              <w:spacing w:after="0"/>
              <w:rPr>
                <w:sz w:val="20"/>
                <w:szCs w:val="20"/>
                <w:color w:val="auto"/>
              </w:rPr>
            </w:pPr>
            <w:r>
              <w:rPr>
                <w:rFonts w:ascii="Arial" w:cs="Arial" w:eastAsia="Arial" w:hAnsi="Arial"/>
                <w:sz w:val="14"/>
                <w:szCs w:val="14"/>
                <w:b w:val="1"/>
                <w:bCs w:val="1"/>
                <w:color w:val="auto"/>
              </w:rPr>
              <w:t>2025</w:t>
            </w:r>
          </w:p>
        </w:tc>
      </w:tr>
      <w:tr>
        <w:trPr>
          <w:trHeight w:val="209"/>
        </w:trPr>
        <w:tc>
          <w:tcPr>
            <w:tcW w:w="4180" w:type="dxa"/>
            <w:vAlign w:val="bottom"/>
            <w:shd w:val="clear" w:color="auto" w:fill="E2E8F1"/>
          </w:tcPr>
          <w:p>
            <w:pPr>
              <w:ind w:left="40"/>
              <w:spacing w:after="0"/>
              <w:rPr>
                <w:sz w:val="20"/>
                <w:szCs w:val="20"/>
                <w:color w:val="auto"/>
              </w:rPr>
            </w:pPr>
            <w:r>
              <w:rPr>
                <w:rFonts w:ascii="Arial" w:cs="Arial" w:eastAsia="Arial" w:hAnsi="Arial"/>
                <w:sz w:val="16"/>
                <w:szCs w:val="16"/>
                <w:color w:val="auto"/>
              </w:rPr>
              <w:t>Instruments designated as net investment hedges:</w:t>
            </w:r>
          </w:p>
        </w:tc>
        <w:tc>
          <w:tcPr>
            <w:tcW w:w="100" w:type="dxa"/>
            <w:vAlign w:val="bottom"/>
            <w:shd w:val="clear" w:color="auto" w:fill="E2E8F1"/>
          </w:tcPr>
          <w:p>
            <w:pPr>
              <w:spacing w:after="0"/>
              <w:rPr>
                <w:sz w:val="18"/>
                <w:szCs w:val="18"/>
                <w:color w:val="auto"/>
              </w:rPr>
            </w:pPr>
          </w:p>
        </w:tc>
        <w:tc>
          <w:tcPr>
            <w:tcW w:w="4400" w:type="dxa"/>
            <w:vAlign w:val="bottom"/>
            <w:shd w:val="clear" w:color="auto" w:fill="E2E8F1"/>
          </w:tcPr>
          <w:p>
            <w:pPr>
              <w:spacing w:after="0"/>
              <w:rPr>
                <w:sz w:val="18"/>
                <w:szCs w:val="18"/>
                <w:color w:val="auto"/>
              </w:rPr>
            </w:pPr>
          </w:p>
        </w:tc>
        <w:tc>
          <w:tcPr>
            <w:tcW w:w="80" w:type="dxa"/>
            <w:vAlign w:val="bottom"/>
            <w:shd w:val="clear" w:color="auto" w:fill="E2E8F1"/>
          </w:tcPr>
          <w:p>
            <w:pPr>
              <w:spacing w:after="0"/>
              <w:rPr>
                <w:sz w:val="18"/>
                <w:szCs w:val="18"/>
                <w:color w:val="auto"/>
              </w:rPr>
            </w:pPr>
          </w:p>
        </w:tc>
        <w:tc>
          <w:tcPr>
            <w:tcW w:w="12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940" w:type="dxa"/>
            <w:vAlign w:val="bottom"/>
            <w:shd w:val="clear" w:color="auto" w:fill="E2E8F1"/>
          </w:tcPr>
          <w:p>
            <w:pPr>
              <w:spacing w:after="0"/>
              <w:rPr>
                <w:sz w:val="18"/>
                <w:szCs w:val="18"/>
                <w:color w:val="auto"/>
              </w:rPr>
            </w:pPr>
          </w:p>
        </w:tc>
      </w:tr>
      <w:tr>
        <w:trPr>
          <w:trHeight w:val="175"/>
        </w:trPr>
        <w:tc>
          <w:tcPr>
            <w:tcW w:w="4180" w:type="dxa"/>
            <w:vAlign w:val="bottom"/>
          </w:tcPr>
          <w:p>
            <w:pPr>
              <w:ind w:left="120"/>
              <w:spacing w:after="0" w:line="175" w:lineRule="exact"/>
              <w:rPr>
                <w:sz w:val="20"/>
                <w:szCs w:val="20"/>
                <w:color w:val="auto"/>
              </w:rPr>
            </w:pPr>
            <w:r>
              <w:rPr>
                <w:rFonts w:ascii="Arial" w:cs="Arial" w:eastAsia="Arial" w:hAnsi="Arial"/>
                <w:sz w:val="16"/>
                <w:szCs w:val="16"/>
                <w:color w:val="auto"/>
              </w:rPr>
              <w:t>Euro Notes due in 2026</w:t>
            </w:r>
          </w:p>
        </w:tc>
        <w:tc>
          <w:tcPr>
            <w:tcW w:w="4500" w:type="dxa"/>
            <w:vAlign w:val="bottom"/>
            <w:gridSpan w:val="2"/>
          </w:tcPr>
          <w:p>
            <w:pPr>
              <w:ind w:left="100"/>
              <w:spacing w:after="0" w:line="175" w:lineRule="exact"/>
              <w:rPr>
                <w:sz w:val="20"/>
                <w:szCs w:val="20"/>
                <w:color w:val="auto"/>
              </w:rPr>
            </w:pPr>
            <w:r>
              <w:rPr>
                <w:rFonts w:ascii="Arial" w:cs="Arial" w:eastAsia="Arial" w:hAnsi="Arial"/>
                <w:sz w:val="16"/>
                <w:szCs w:val="16"/>
                <w:color w:val="auto"/>
              </w:rPr>
              <w:t>Short-term borrowings and current maturities of long-term</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4180" w:type="dxa"/>
            <w:vAlign w:val="bottom"/>
          </w:tcPr>
          <w:p>
            <w:pPr>
              <w:spacing w:after="0"/>
              <w:rPr>
                <w:sz w:val="17"/>
                <w:szCs w:val="17"/>
                <w:color w:val="auto"/>
              </w:rPr>
            </w:pPr>
          </w:p>
        </w:tc>
        <w:tc>
          <w:tcPr>
            <w:tcW w:w="4500" w:type="dxa"/>
            <w:vAlign w:val="bottom"/>
            <w:gridSpan w:val="2"/>
          </w:tcPr>
          <w:p>
            <w:pPr>
              <w:ind w:left="100"/>
              <w:spacing w:after="0"/>
              <w:rPr>
                <w:sz w:val="20"/>
                <w:szCs w:val="20"/>
                <w:color w:val="auto"/>
              </w:rPr>
            </w:pPr>
            <w:r>
              <w:rPr>
                <w:rFonts w:ascii="Arial" w:cs="Arial" w:eastAsia="Arial" w:hAnsi="Arial"/>
                <w:sz w:val="16"/>
                <w:szCs w:val="16"/>
                <w:color w:val="auto"/>
              </w:rPr>
              <w:t>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586.9</w:t>
            </w:r>
          </w:p>
        </w:tc>
      </w:tr>
      <w:tr>
        <w:trPr>
          <w:trHeight w:val="175"/>
        </w:trPr>
        <w:tc>
          <w:tcPr>
            <w:tcW w:w="4180" w:type="dxa"/>
            <w:vAlign w:val="bottom"/>
            <w:shd w:val="clear" w:color="auto" w:fill="E2E8F1"/>
          </w:tcPr>
          <w:p>
            <w:pPr>
              <w:ind w:left="120"/>
              <w:spacing w:after="0" w:line="175" w:lineRule="exact"/>
              <w:rPr>
                <w:sz w:val="20"/>
                <w:szCs w:val="20"/>
                <w:color w:val="auto"/>
              </w:rPr>
            </w:pPr>
            <w:r>
              <w:rPr>
                <w:rFonts w:ascii="Arial" w:cs="Arial" w:eastAsia="Arial" w:hAnsi="Arial"/>
                <w:sz w:val="16"/>
                <w:szCs w:val="16"/>
                <w:color w:val="auto"/>
              </w:rPr>
              <w:t>Euro Notes due in 2027</w:t>
            </w:r>
          </w:p>
        </w:tc>
        <w:tc>
          <w:tcPr>
            <w:tcW w:w="4500" w:type="dxa"/>
            <w:vAlign w:val="bottom"/>
            <w:gridSpan w:val="2"/>
            <w:shd w:val="clear" w:color="auto" w:fill="E2E8F1"/>
          </w:tcPr>
          <w:p>
            <w:pPr>
              <w:ind w:left="100"/>
              <w:spacing w:after="0" w:line="175" w:lineRule="exact"/>
              <w:rPr>
                <w:sz w:val="20"/>
                <w:szCs w:val="20"/>
                <w:color w:val="auto"/>
              </w:rPr>
            </w:pPr>
            <w:r>
              <w:rPr>
                <w:rFonts w:ascii="Arial" w:cs="Arial" w:eastAsia="Arial" w:hAnsi="Arial"/>
                <w:sz w:val="16"/>
                <w:szCs w:val="16"/>
                <w:color w:val="auto"/>
              </w:rPr>
              <w:t>Short-term borrowings and current maturities of long-term</w:t>
            </w:r>
          </w:p>
        </w:tc>
        <w:tc>
          <w:tcPr>
            <w:tcW w:w="80" w:type="dxa"/>
            <w:vAlign w:val="bottom"/>
            <w:shd w:val="clear" w:color="auto" w:fill="E2E8F1"/>
          </w:tcPr>
          <w:p>
            <w:pPr>
              <w:spacing w:after="0"/>
              <w:rPr>
                <w:sz w:val="15"/>
                <w:szCs w:val="15"/>
                <w:color w:val="auto"/>
              </w:rPr>
            </w:pPr>
          </w:p>
        </w:tc>
        <w:tc>
          <w:tcPr>
            <w:tcW w:w="1200" w:type="dxa"/>
            <w:vAlign w:val="bottom"/>
            <w:shd w:val="clear" w:color="auto" w:fill="E2E8F1"/>
          </w:tcPr>
          <w:p>
            <w:pPr>
              <w:spacing w:after="0"/>
              <w:rPr>
                <w:sz w:val="15"/>
                <w:szCs w:val="15"/>
                <w:color w:val="auto"/>
              </w:rPr>
            </w:pPr>
          </w:p>
        </w:tc>
        <w:tc>
          <w:tcPr>
            <w:tcW w:w="340" w:type="dxa"/>
            <w:vAlign w:val="bottom"/>
            <w:shd w:val="clear" w:color="auto" w:fill="E2E8F1"/>
          </w:tcPr>
          <w:p>
            <w:pPr>
              <w:spacing w:after="0"/>
              <w:rPr>
                <w:sz w:val="15"/>
                <w:szCs w:val="15"/>
                <w:color w:val="auto"/>
              </w:rPr>
            </w:pPr>
          </w:p>
        </w:tc>
        <w:tc>
          <w:tcPr>
            <w:tcW w:w="940" w:type="dxa"/>
            <w:vAlign w:val="bottom"/>
            <w:shd w:val="clear" w:color="auto" w:fill="E2E8F1"/>
          </w:tcPr>
          <w:p>
            <w:pPr>
              <w:spacing w:after="0"/>
              <w:rPr>
                <w:sz w:val="15"/>
                <w:szCs w:val="15"/>
                <w:color w:val="auto"/>
              </w:rPr>
            </w:pPr>
          </w:p>
        </w:tc>
      </w:tr>
      <w:tr>
        <w:trPr>
          <w:trHeight w:val="203"/>
        </w:trPr>
        <w:tc>
          <w:tcPr>
            <w:tcW w:w="4180" w:type="dxa"/>
            <w:vAlign w:val="bottom"/>
            <w:shd w:val="clear" w:color="auto" w:fill="E2E8F1"/>
          </w:tcPr>
          <w:p>
            <w:pPr>
              <w:spacing w:after="0"/>
              <w:rPr>
                <w:sz w:val="17"/>
                <w:szCs w:val="17"/>
                <w:color w:val="auto"/>
              </w:rPr>
            </w:pPr>
          </w:p>
        </w:tc>
        <w:tc>
          <w:tcPr>
            <w:tcW w:w="4500" w:type="dxa"/>
            <w:vAlign w:val="bottom"/>
            <w:gridSpan w:val="2"/>
            <w:shd w:val="clear" w:color="auto" w:fill="E2E8F1"/>
          </w:tcPr>
          <w:p>
            <w:pPr>
              <w:ind w:left="100"/>
              <w:spacing w:after="0"/>
              <w:rPr>
                <w:sz w:val="20"/>
                <w:szCs w:val="20"/>
                <w:color w:val="auto"/>
              </w:rPr>
            </w:pPr>
            <w:r>
              <w:rPr>
                <w:rFonts w:ascii="Arial" w:cs="Arial" w:eastAsia="Arial" w:hAnsi="Arial"/>
                <w:sz w:val="16"/>
                <w:szCs w:val="16"/>
                <w:color w:val="auto"/>
              </w:rPr>
              <w:t>debt</w:t>
            </w:r>
          </w:p>
        </w:tc>
        <w:tc>
          <w:tcPr>
            <w:tcW w:w="80" w:type="dxa"/>
            <w:vAlign w:val="bottom"/>
            <w:shd w:val="clear" w:color="auto" w:fill="E2E8F1"/>
          </w:tcPr>
          <w:p>
            <w:pPr>
              <w:spacing w:after="0"/>
              <w:rPr>
                <w:sz w:val="17"/>
                <w:szCs w:val="17"/>
                <w:color w:val="auto"/>
              </w:rPr>
            </w:pPr>
          </w:p>
        </w:tc>
        <w:tc>
          <w:tcPr>
            <w:tcW w:w="12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452.5</w:t>
            </w:r>
          </w:p>
        </w:tc>
        <w:tc>
          <w:tcPr>
            <w:tcW w:w="340" w:type="dxa"/>
            <w:vAlign w:val="bottom"/>
            <w:shd w:val="clear" w:color="auto" w:fill="E2E8F1"/>
          </w:tcPr>
          <w:p>
            <w:pPr>
              <w:spacing w:after="0"/>
              <w:rPr>
                <w:sz w:val="17"/>
                <w:szCs w:val="17"/>
                <w:color w:val="auto"/>
              </w:rPr>
            </w:pPr>
          </w:p>
        </w:tc>
        <w:tc>
          <w:tcPr>
            <w:tcW w:w="9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w:t>
            </w:r>
          </w:p>
        </w:tc>
      </w:tr>
      <w:tr>
        <w:trPr>
          <w:trHeight w:val="216"/>
        </w:trPr>
        <w:tc>
          <w:tcPr>
            <w:tcW w:w="4180" w:type="dxa"/>
            <w:vAlign w:val="bottom"/>
          </w:tcPr>
          <w:p>
            <w:pPr>
              <w:ind w:left="120"/>
              <w:spacing w:after="0"/>
              <w:rPr>
                <w:sz w:val="20"/>
                <w:szCs w:val="20"/>
                <w:color w:val="auto"/>
              </w:rPr>
            </w:pPr>
            <w:r>
              <w:rPr>
                <w:rFonts w:ascii="Arial" w:cs="Arial" w:eastAsia="Arial" w:hAnsi="Arial"/>
                <w:sz w:val="16"/>
                <w:szCs w:val="16"/>
                <w:color w:val="auto"/>
              </w:rPr>
              <w:t>Euro Notes due in 2027</w:t>
            </w:r>
          </w:p>
        </w:tc>
        <w:tc>
          <w:tcPr>
            <w:tcW w:w="4500" w:type="dxa"/>
            <w:vAlign w:val="bottom"/>
            <w:gridSpan w:val="2"/>
          </w:tcPr>
          <w:p>
            <w:pPr>
              <w:ind w:left="100"/>
              <w:spacing w:after="0"/>
              <w:rPr>
                <w:sz w:val="20"/>
                <w:szCs w:val="20"/>
                <w:color w:val="auto"/>
              </w:rPr>
            </w:pPr>
            <w:r>
              <w:rPr>
                <w:rFonts w:ascii="Arial" w:cs="Arial" w:eastAsia="Arial" w:hAnsi="Arial"/>
                <w:sz w:val="16"/>
                <w:szCs w:val="16"/>
                <w:color w:val="auto"/>
              </w:rPr>
              <w:t>Long-term debt</w:t>
            </w:r>
          </w:p>
        </w:tc>
        <w:tc>
          <w:tcPr>
            <w:tcW w:w="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468.3</w:t>
            </w:r>
          </w:p>
        </w:tc>
      </w:tr>
      <w:tr>
        <w:trPr>
          <w:trHeight w:val="216"/>
        </w:trPr>
        <w:tc>
          <w:tcPr>
            <w:tcW w:w="4180" w:type="dxa"/>
            <w:vAlign w:val="bottom"/>
            <w:shd w:val="clear" w:color="auto" w:fill="E2E8F1"/>
          </w:tcPr>
          <w:p>
            <w:pPr>
              <w:ind w:left="120"/>
              <w:spacing w:after="0"/>
              <w:rPr>
                <w:sz w:val="20"/>
                <w:szCs w:val="20"/>
                <w:color w:val="auto"/>
              </w:rPr>
            </w:pPr>
            <w:r>
              <w:rPr>
                <w:rFonts w:ascii="Arial" w:cs="Arial" w:eastAsia="Arial" w:hAnsi="Arial"/>
                <w:sz w:val="16"/>
                <w:szCs w:val="16"/>
                <w:color w:val="auto"/>
              </w:rPr>
              <w:t>Euro Notes due in 2030</w:t>
            </w:r>
          </w:p>
        </w:tc>
        <w:tc>
          <w:tcPr>
            <w:tcW w:w="4500" w:type="dxa"/>
            <w:vAlign w:val="bottom"/>
            <w:gridSpan w:val="2"/>
            <w:shd w:val="clear" w:color="auto" w:fill="E2E8F1"/>
          </w:tcPr>
          <w:p>
            <w:pPr>
              <w:ind w:left="100"/>
              <w:spacing w:after="0"/>
              <w:rPr>
                <w:sz w:val="20"/>
                <w:szCs w:val="20"/>
                <w:color w:val="auto"/>
              </w:rPr>
            </w:pPr>
            <w:r>
              <w:rPr>
                <w:rFonts w:ascii="Arial" w:cs="Arial" w:eastAsia="Arial" w:hAnsi="Arial"/>
                <w:sz w:val="16"/>
                <w:szCs w:val="16"/>
                <w:color w:val="auto"/>
              </w:rPr>
              <w:t>Long-term debt</w:t>
            </w:r>
          </w:p>
        </w:tc>
        <w:tc>
          <w:tcPr>
            <w:tcW w:w="80" w:type="dxa"/>
            <w:vAlign w:val="bottom"/>
            <w:shd w:val="clear" w:color="auto" w:fill="E2E8F1"/>
          </w:tcPr>
          <w:p>
            <w:pPr>
              <w:spacing w:after="0"/>
              <w:rPr>
                <w:sz w:val="18"/>
                <w:szCs w:val="18"/>
                <w:color w:val="auto"/>
              </w:rPr>
            </w:pPr>
          </w:p>
        </w:tc>
        <w:tc>
          <w:tcPr>
            <w:tcW w:w="12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562.7</w:t>
            </w:r>
          </w:p>
        </w:tc>
        <w:tc>
          <w:tcPr>
            <w:tcW w:w="340" w:type="dxa"/>
            <w:vAlign w:val="bottom"/>
            <w:shd w:val="clear" w:color="auto" w:fill="E2E8F1"/>
          </w:tcPr>
          <w:p>
            <w:pPr>
              <w:spacing w:after="0"/>
              <w:rPr>
                <w:sz w:val="18"/>
                <w:szCs w:val="18"/>
                <w:color w:val="auto"/>
              </w:rPr>
            </w:pPr>
          </w:p>
        </w:tc>
        <w:tc>
          <w:tcPr>
            <w:tcW w:w="9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w:t>
            </w:r>
          </w:p>
        </w:tc>
      </w:tr>
      <w:tr>
        <w:trPr>
          <w:trHeight w:val="216"/>
        </w:trPr>
        <w:tc>
          <w:tcPr>
            <w:tcW w:w="4180" w:type="dxa"/>
            <w:vAlign w:val="bottom"/>
          </w:tcPr>
          <w:p>
            <w:pPr>
              <w:ind w:left="120"/>
              <w:spacing w:after="0"/>
              <w:rPr>
                <w:sz w:val="20"/>
                <w:szCs w:val="20"/>
                <w:color w:val="auto"/>
              </w:rPr>
            </w:pPr>
            <w:r>
              <w:rPr>
                <w:rFonts w:ascii="Arial" w:cs="Arial" w:eastAsia="Arial" w:hAnsi="Arial"/>
                <w:sz w:val="16"/>
                <w:szCs w:val="16"/>
                <w:color w:val="auto"/>
              </w:rPr>
              <w:t>Cross-currency swaps</w:t>
            </w:r>
          </w:p>
        </w:tc>
        <w:tc>
          <w:tcPr>
            <w:tcW w:w="4500" w:type="dxa"/>
            <w:vAlign w:val="bottom"/>
            <w:gridSpan w:val="2"/>
          </w:tcPr>
          <w:p>
            <w:pPr>
              <w:ind w:left="100"/>
              <w:spacing w:after="0"/>
              <w:rPr>
                <w:sz w:val="20"/>
                <w:szCs w:val="20"/>
                <w:color w:val="auto"/>
              </w:rPr>
            </w:pPr>
            <w:r>
              <w:rPr>
                <w:rFonts w:ascii="Arial" w:cs="Arial" w:eastAsia="Arial" w:hAnsi="Arial"/>
                <w:sz w:val="16"/>
                <w:szCs w:val="16"/>
                <w:color w:val="auto"/>
              </w:rPr>
              <w:t>Accrued liabilities</w:t>
            </w:r>
          </w:p>
        </w:tc>
        <w:tc>
          <w:tcPr>
            <w:tcW w:w="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25.4</w:t>
            </w:r>
          </w:p>
        </w:tc>
        <w:tc>
          <w:tcPr>
            <w:tcW w:w="34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33.1</w:t>
            </w:r>
          </w:p>
        </w:tc>
      </w:tr>
      <w:tr>
        <w:trPr>
          <w:trHeight w:val="216"/>
        </w:trPr>
        <w:tc>
          <w:tcPr>
            <w:tcW w:w="4180" w:type="dxa"/>
            <w:vAlign w:val="bottom"/>
            <w:shd w:val="clear" w:color="auto" w:fill="E2E8F1"/>
          </w:tcPr>
          <w:p>
            <w:pPr>
              <w:ind w:left="120"/>
              <w:spacing w:after="0"/>
              <w:rPr>
                <w:sz w:val="20"/>
                <w:szCs w:val="20"/>
                <w:color w:val="auto"/>
              </w:rPr>
            </w:pPr>
            <w:r>
              <w:rPr>
                <w:rFonts w:ascii="Arial" w:cs="Arial" w:eastAsia="Arial" w:hAnsi="Arial"/>
                <w:sz w:val="16"/>
                <w:szCs w:val="16"/>
                <w:color w:val="auto"/>
              </w:rPr>
              <w:t>Cross-currency swaps</w:t>
            </w:r>
          </w:p>
        </w:tc>
        <w:tc>
          <w:tcPr>
            <w:tcW w:w="4500" w:type="dxa"/>
            <w:vAlign w:val="bottom"/>
            <w:gridSpan w:val="2"/>
            <w:shd w:val="clear" w:color="auto" w:fill="E2E8F1"/>
          </w:tcPr>
          <w:p>
            <w:pPr>
              <w:ind w:left="100"/>
              <w:spacing w:after="0"/>
              <w:rPr>
                <w:sz w:val="20"/>
                <w:szCs w:val="20"/>
                <w:color w:val="auto"/>
              </w:rPr>
            </w:pPr>
            <w:r>
              <w:rPr>
                <w:rFonts w:ascii="Arial" w:cs="Arial" w:eastAsia="Arial" w:hAnsi="Arial"/>
                <w:sz w:val="16"/>
                <w:szCs w:val="16"/>
                <w:color w:val="auto"/>
              </w:rPr>
              <w:t>Other long-term liabilities</w:t>
            </w:r>
          </w:p>
        </w:tc>
        <w:tc>
          <w:tcPr>
            <w:tcW w:w="80" w:type="dxa"/>
            <w:vAlign w:val="bottom"/>
            <w:shd w:val="clear" w:color="auto" w:fill="E2E8F1"/>
          </w:tcPr>
          <w:p>
            <w:pPr>
              <w:spacing w:after="0"/>
              <w:rPr>
                <w:sz w:val="18"/>
                <w:szCs w:val="18"/>
                <w:color w:val="auto"/>
              </w:rPr>
            </w:pPr>
          </w:p>
        </w:tc>
        <w:tc>
          <w:tcPr>
            <w:tcW w:w="12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53.5</w:t>
            </w:r>
          </w:p>
        </w:tc>
        <w:tc>
          <w:tcPr>
            <w:tcW w:w="340" w:type="dxa"/>
            <w:vAlign w:val="bottom"/>
            <w:shd w:val="clear" w:color="auto" w:fill="E2E8F1"/>
          </w:tcPr>
          <w:p>
            <w:pPr>
              <w:spacing w:after="0"/>
              <w:rPr>
                <w:sz w:val="18"/>
                <w:szCs w:val="18"/>
                <w:color w:val="auto"/>
              </w:rPr>
            </w:pPr>
          </w:p>
        </w:tc>
        <w:tc>
          <w:tcPr>
            <w:tcW w:w="9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69.8</w:t>
            </w:r>
          </w:p>
        </w:tc>
      </w:tr>
      <w:tr>
        <w:trPr>
          <w:trHeight w:val="216"/>
        </w:trPr>
        <w:tc>
          <w:tcPr>
            <w:tcW w:w="4180" w:type="dxa"/>
            <w:vAlign w:val="bottom"/>
          </w:tcPr>
          <w:p>
            <w:pPr>
              <w:ind w:left="40"/>
              <w:spacing w:after="0"/>
              <w:rPr>
                <w:sz w:val="20"/>
                <w:szCs w:val="20"/>
                <w:color w:val="auto"/>
              </w:rPr>
            </w:pPr>
            <w:r>
              <w:rPr>
                <w:rFonts w:ascii="Arial" w:cs="Arial" w:eastAsia="Arial" w:hAnsi="Arial"/>
                <w:sz w:val="16"/>
                <w:szCs w:val="16"/>
                <w:color w:val="auto"/>
              </w:rPr>
              <w:t>Instruments not designated as hedges:</w:t>
            </w: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180" w:type="dxa"/>
            <w:vAlign w:val="bottom"/>
            <w:shd w:val="clear" w:color="auto" w:fill="E2E8F1"/>
          </w:tcPr>
          <w:p>
            <w:pPr>
              <w:ind w:left="120"/>
              <w:spacing w:after="0"/>
              <w:rPr>
                <w:sz w:val="20"/>
                <w:szCs w:val="20"/>
                <w:color w:val="auto"/>
              </w:rPr>
            </w:pPr>
            <w:r>
              <w:rPr>
                <w:rFonts w:ascii="Arial" w:cs="Arial" w:eastAsia="Arial" w:hAnsi="Arial"/>
                <w:sz w:val="16"/>
                <w:szCs w:val="16"/>
                <w:color w:val="auto"/>
              </w:rPr>
              <w:t>Foreign currency forward contracts</w:t>
            </w:r>
          </w:p>
        </w:tc>
        <w:tc>
          <w:tcPr>
            <w:tcW w:w="4500" w:type="dxa"/>
            <w:vAlign w:val="bottom"/>
            <w:gridSpan w:val="2"/>
            <w:shd w:val="clear" w:color="auto" w:fill="E2E8F1"/>
          </w:tcPr>
          <w:p>
            <w:pPr>
              <w:ind w:left="100"/>
              <w:spacing w:after="0"/>
              <w:rPr>
                <w:sz w:val="20"/>
                <w:szCs w:val="20"/>
                <w:color w:val="auto"/>
              </w:rPr>
            </w:pPr>
            <w:r>
              <w:rPr>
                <w:rFonts w:ascii="Arial" w:cs="Arial" w:eastAsia="Arial" w:hAnsi="Arial"/>
                <w:sz w:val="16"/>
                <w:szCs w:val="16"/>
                <w:color w:val="auto"/>
              </w:rPr>
              <w:t>Accrued liabilities</w:t>
            </w:r>
          </w:p>
        </w:tc>
        <w:tc>
          <w:tcPr>
            <w:tcW w:w="80" w:type="dxa"/>
            <w:vAlign w:val="bottom"/>
            <w:shd w:val="clear" w:color="auto" w:fill="E2E8F1"/>
          </w:tcPr>
          <w:p>
            <w:pPr>
              <w:spacing w:after="0"/>
              <w:rPr>
                <w:sz w:val="18"/>
                <w:szCs w:val="18"/>
                <w:color w:val="auto"/>
              </w:rPr>
            </w:pPr>
          </w:p>
        </w:tc>
        <w:tc>
          <w:tcPr>
            <w:tcW w:w="12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1.8</w:t>
            </w:r>
          </w:p>
        </w:tc>
        <w:tc>
          <w:tcPr>
            <w:tcW w:w="340" w:type="dxa"/>
            <w:vAlign w:val="bottom"/>
            <w:shd w:val="clear" w:color="auto" w:fill="E2E8F1"/>
          </w:tcPr>
          <w:p>
            <w:pPr>
              <w:spacing w:after="0"/>
              <w:rPr>
                <w:sz w:val="18"/>
                <w:szCs w:val="18"/>
                <w:color w:val="auto"/>
              </w:rPr>
            </w:pPr>
          </w:p>
        </w:tc>
        <w:tc>
          <w:tcPr>
            <w:tcW w:w="9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0.8</w:t>
            </w:r>
          </w:p>
        </w:tc>
      </w:tr>
      <w:tr>
        <w:trPr>
          <w:trHeight w:val="216"/>
        </w:trPr>
        <w:tc>
          <w:tcPr>
            <w:tcW w:w="4180" w:type="dxa"/>
            <w:vAlign w:val="bottom"/>
            <w:tcBorders>
              <w:bottom w:val="single" w:sz="8" w:color="231F20"/>
            </w:tcBorders>
          </w:tcPr>
          <w:p>
            <w:pPr>
              <w:ind w:left="120"/>
              <w:spacing w:after="0"/>
              <w:rPr>
                <w:sz w:val="20"/>
                <w:szCs w:val="20"/>
                <w:color w:val="auto"/>
              </w:rPr>
            </w:pPr>
            <w:r>
              <w:rPr>
                <w:rFonts w:ascii="Arial" w:cs="Arial" w:eastAsia="Arial" w:hAnsi="Arial"/>
                <w:sz w:val="16"/>
                <w:szCs w:val="16"/>
                <w:color w:val="auto"/>
              </w:rPr>
              <w:t>Euro Notes due in 2030</w:t>
            </w:r>
          </w:p>
        </w:tc>
        <w:tc>
          <w:tcPr>
            <w:tcW w:w="4500" w:type="dxa"/>
            <w:vAlign w:val="bottom"/>
            <w:tcBorders>
              <w:bottom w:val="single" w:sz="8" w:color="231F20"/>
            </w:tcBorders>
            <w:gridSpan w:val="2"/>
          </w:tcPr>
          <w:p>
            <w:pPr>
              <w:ind w:left="100"/>
              <w:spacing w:after="0"/>
              <w:rPr>
                <w:sz w:val="20"/>
                <w:szCs w:val="20"/>
                <w:color w:val="auto"/>
              </w:rPr>
            </w:pPr>
            <w:r>
              <w:rPr>
                <w:rFonts w:ascii="Arial" w:cs="Arial" w:eastAsia="Arial" w:hAnsi="Arial"/>
                <w:sz w:val="16"/>
                <w:szCs w:val="16"/>
                <w:color w:val="auto"/>
              </w:rPr>
              <w:t>Long-term debt</w:t>
            </w:r>
          </w:p>
        </w:tc>
        <w:tc>
          <w:tcPr>
            <w:tcW w:w="8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583.8</w:t>
            </w:r>
          </w:p>
        </w:tc>
      </w:tr>
      <w:tr>
        <w:trPr>
          <w:trHeight w:val="209"/>
        </w:trPr>
        <w:tc>
          <w:tcPr>
            <w:tcW w:w="4180" w:type="dxa"/>
            <w:vAlign w:val="bottom"/>
            <w:tcBorders>
              <w:bottom w:val="single" w:sz="8" w:color="231F20"/>
            </w:tcBorders>
            <w:shd w:val="clear" w:color="auto" w:fill="E2E8F1"/>
          </w:tcPr>
          <w:p>
            <w:pPr>
              <w:ind w:left="200"/>
              <w:spacing w:after="0"/>
              <w:rPr>
                <w:sz w:val="20"/>
                <w:szCs w:val="20"/>
                <w:color w:val="auto"/>
              </w:rPr>
            </w:pPr>
            <w:r>
              <w:rPr>
                <w:rFonts w:ascii="Arial" w:cs="Arial" w:eastAsia="Arial" w:hAnsi="Arial"/>
                <w:sz w:val="16"/>
                <w:szCs w:val="16"/>
                <w:color w:val="auto"/>
              </w:rPr>
              <w:t>Total instruments</w:t>
            </w:r>
          </w:p>
        </w:tc>
        <w:tc>
          <w:tcPr>
            <w:tcW w:w="100" w:type="dxa"/>
            <w:vAlign w:val="bottom"/>
            <w:tcBorders>
              <w:bottom w:val="single" w:sz="8" w:color="231F20"/>
            </w:tcBorders>
            <w:shd w:val="clear" w:color="auto" w:fill="E2E8F1"/>
          </w:tcPr>
          <w:p>
            <w:pPr>
              <w:spacing w:after="0"/>
              <w:rPr>
                <w:sz w:val="18"/>
                <w:szCs w:val="18"/>
                <w:color w:val="auto"/>
              </w:rPr>
            </w:pPr>
          </w:p>
        </w:tc>
        <w:tc>
          <w:tcPr>
            <w:tcW w:w="4400" w:type="dxa"/>
            <w:vAlign w:val="bottom"/>
            <w:tcBorders>
              <w:bottom w:val="single" w:sz="8" w:color="231F20"/>
            </w:tcBorders>
            <w:shd w:val="clear" w:color="auto" w:fill="E2E8F1"/>
          </w:tcPr>
          <w:p>
            <w:pPr>
              <w:spacing w:after="0"/>
              <w:rPr>
                <w:sz w:val="18"/>
                <w:szCs w:val="18"/>
                <w:color w:val="auto"/>
              </w:rPr>
            </w:pPr>
          </w:p>
        </w:tc>
        <w:tc>
          <w:tcPr>
            <w:tcW w:w="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1,095.9</w:t>
            </w:r>
          </w:p>
        </w:tc>
        <w:tc>
          <w:tcPr>
            <w:tcW w:w="34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1,742.7</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Fair Value Measurements on a Recurring Basis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$1,003.1 and $1,645.3 as of September 30, 2026 and December 31, 2025, respectively, compared to a carrying value of $1,015.2 and $1,639.0, respectively.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deferred compensation plan assets, included in other assets on the Consolidated Balance Sheets, were $194.1 and $188.6 as of September 30, 2026 and December 31, 2025, respectively. We determine the fair value of these assets, comprised of publicly traded securities, by using market quotes as of the last day of the period (Level 1 inputs).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(14) </w:t>
      </w:r>
      <w:r>
        <w:rPr>
          <w:rFonts w:ascii="Arial" w:cs="Arial" w:eastAsia="Arial" w:hAnsi="Arial"/>
          <w:sz w:val="25"/>
          <w:szCs w:val="25"/>
          <w:b w:val="1"/>
          <w:bCs w:val="1"/>
          <w:i w:val="1"/>
          <w:iCs w:val="1"/>
          <w:u w:val="single" w:color="auto"/>
          <w:color w:val="5B89B4"/>
        </w:rPr>
        <w:t>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180" w:type="dxa"/>
            <w:vAlign w:val="bottom"/>
            <w:tcBorders>
              <w:top w:val="single" w:sz="8" w:color="auto"/>
            </w:tcBorders>
            <w:shd w:val="clear" w:color="auto" w:fill="98B0CF"/>
          </w:tcPr>
          <w:p>
            <w:pPr>
              <w:spacing w:after="0"/>
              <w:rPr>
                <w:sz w:val="14"/>
                <w:szCs w:val="14"/>
                <w:color w:val="auto"/>
              </w:rPr>
            </w:pPr>
          </w:p>
        </w:tc>
        <w:tc>
          <w:tcPr>
            <w:tcW w:w="120" w:type="dxa"/>
            <w:vAlign w:val="bottom"/>
            <w:tcBorders>
              <w:top w:val="single" w:sz="8" w:color="auto"/>
            </w:tcBorders>
            <w:shd w:val="clear" w:color="auto" w:fill="98B0CF"/>
          </w:tcPr>
          <w:p>
            <w:pPr>
              <w:spacing w:after="0"/>
              <w:rPr>
                <w:sz w:val="14"/>
                <w:szCs w:val="14"/>
                <w:color w:val="auto"/>
              </w:rPr>
            </w:pPr>
          </w:p>
        </w:tc>
        <w:tc>
          <w:tcPr>
            <w:tcW w:w="2540" w:type="dxa"/>
            <w:vAlign w:val="bottom"/>
            <w:tcBorders>
              <w:top w:val="single" w:sz="8" w:color="auto"/>
            </w:tcBorders>
            <w:gridSpan w:val="4"/>
            <w:shd w:val="clear" w:color="auto" w:fill="98B0CF"/>
          </w:tcPr>
          <w:p>
            <w:pPr>
              <w:jc w:val="right"/>
              <w:ind w:right="181"/>
              <w:spacing w:after="0"/>
              <w:rPr>
                <w:sz w:val="20"/>
                <w:szCs w:val="20"/>
                <w:color w:val="auto"/>
              </w:rPr>
            </w:pPr>
            <w:r>
              <w:rPr>
                <w:rFonts w:ascii="Arial" w:cs="Arial" w:eastAsia="Arial" w:hAnsi="Arial"/>
                <w:sz w:val="14"/>
                <w:szCs w:val="14"/>
                <w:b w:val="1"/>
                <w:bCs w:val="1"/>
                <w:color w:val="auto"/>
              </w:rPr>
              <w:t>Three Months Ended September</w:t>
            </w:r>
          </w:p>
        </w:tc>
        <w:tc>
          <w:tcPr>
            <w:tcW w:w="2400" w:type="dxa"/>
            <w:vAlign w:val="bottom"/>
            <w:tcBorders>
              <w:top w:val="single" w:sz="8" w:color="auto"/>
            </w:tcBorders>
            <w:gridSpan w:val="5"/>
            <w:shd w:val="clear" w:color="auto" w:fill="98B0CF"/>
          </w:tcPr>
          <w:p>
            <w:pPr>
              <w:ind w:left="140"/>
              <w:spacing w:after="0"/>
              <w:rPr>
                <w:sz w:val="20"/>
                <w:szCs w:val="20"/>
                <w:color w:val="auto"/>
              </w:rPr>
            </w:pPr>
            <w:r>
              <w:rPr>
                <w:rFonts w:ascii="Arial" w:cs="Arial" w:eastAsia="Arial" w:hAnsi="Arial"/>
                <w:sz w:val="14"/>
                <w:szCs w:val="14"/>
                <w:b w:val="1"/>
                <w:bCs w:val="1"/>
                <w:color w:val="auto"/>
              </w:rPr>
              <w:t>Nine Months Ended September</w:t>
            </w:r>
          </w:p>
        </w:tc>
      </w:tr>
      <w:tr>
        <w:trPr>
          <w:trHeight w:val="171"/>
        </w:trPr>
        <w:tc>
          <w:tcPr>
            <w:tcW w:w="618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760" w:type="dxa"/>
            <w:vAlign w:val="bottom"/>
            <w:tcBorders>
              <w:bottom w:val="single" w:sz="8" w:color="auto"/>
            </w:tcBorders>
            <w:shd w:val="clear" w:color="auto" w:fill="98B0CF"/>
          </w:tcPr>
          <w:p>
            <w:pPr>
              <w:spacing w:after="0"/>
              <w:rPr>
                <w:sz w:val="14"/>
                <w:szCs w:val="14"/>
                <w:color w:val="auto"/>
              </w:rPr>
            </w:pPr>
          </w:p>
        </w:tc>
        <w:tc>
          <w:tcPr>
            <w:tcW w:w="600" w:type="dxa"/>
            <w:vAlign w:val="bottom"/>
            <w:tcBorders>
              <w:bottom w:val="single" w:sz="8" w:color="auto"/>
            </w:tcBorders>
            <w:shd w:val="clear" w:color="auto" w:fill="98B0CF"/>
          </w:tcPr>
          <w:p>
            <w:pPr>
              <w:jc w:val="right"/>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auto"/>
            </w:tcBorders>
            <w:shd w:val="clear" w:color="auto" w:fill="98B0CF"/>
          </w:tcPr>
          <w:p>
            <w:pPr>
              <w:spacing w:after="0"/>
              <w:rPr>
                <w:sz w:val="14"/>
                <w:szCs w:val="14"/>
                <w:color w:val="auto"/>
              </w:rPr>
            </w:pPr>
          </w:p>
        </w:tc>
        <w:tc>
          <w:tcPr>
            <w:tcW w:w="920" w:type="dxa"/>
            <w:vAlign w:val="bottom"/>
            <w:tcBorders>
              <w:bottom w:val="single" w:sz="8" w:color="auto"/>
            </w:tcBorders>
            <w:shd w:val="clear" w:color="auto" w:fill="98B0CF"/>
          </w:tcPr>
          <w:p>
            <w:pPr>
              <w:spacing w:after="0"/>
              <w:rPr>
                <w:sz w:val="14"/>
                <w:szCs w:val="14"/>
                <w:color w:val="auto"/>
              </w:rPr>
            </w:pPr>
          </w:p>
        </w:tc>
        <w:tc>
          <w:tcPr>
            <w:tcW w:w="140" w:type="dxa"/>
            <w:vAlign w:val="bottom"/>
            <w:tcBorders>
              <w:bottom w:val="single" w:sz="8" w:color="98B0CF"/>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740" w:type="dxa"/>
            <w:vAlign w:val="bottom"/>
            <w:tcBorders>
              <w:bottom w:val="single" w:sz="8" w:color="auto"/>
            </w:tcBorders>
            <w:shd w:val="clear" w:color="auto" w:fill="98B0CF"/>
          </w:tcPr>
          <w:p>
            <w:pPr>
              <w:spacing w:after="0"/>
              <w:rPr>
                <w:sz w:val="14"/>
                <w:szCs w:val="14"/>
                <w:color w:val="auto"/>
              </w:rPr>
            </w:pPr>
          </w:p>
        </w:tc>
        <w:tc>
          <w:tcPr>
            <w:tcW w:w="460" w:type="dxa"/>
            <w:vAlign w:val="bottom"/>
            <w:tcBorders>
              <w:bottom w:val="single" w:sz="8" w:color="auto"/>
            </w:tcBorders>
            <w:shd w:val="clear" w:color="auto" w:fill="98B0CF"/>
          </w:tcPr>
          <w:p>
            <w:pPr>
              <w:jc w:val="right"/>
              <w:ind w:right="162"/>
              <w:spacing w:after="0"/>
              <w:rPr>
                <w:sz w:val="20"/>
                <w:szCs w:val="20"/>
                <w:color w:val="auto"/>
              </w:rPr>
            </w:pPr>
            <w:r>
              <w:rPr>
                <w:rFonts w:ascii="Arial" w:cs="Arial" w:eastAsia="Arial" w:hAnsi="Arial"/>
                <w:sz w:val="14"/>
                <w:szCs w:val="14"/>
                <w:b w:val="1"/>
                <w:bCs w:val="1"/>
                <w:color w:val="auto"/>
              </w:rPr>
              <w:t>30,</w:t>
            </w:r>
          </w:p>
        </w:tc>
        <w:tc>
          <w:tcPr>
            <w:tcW w:w="840" w:type="dxa"/>
            <w:vAlign w:val="bottom"/>
            <w:tcBorders>
              <w:bottom w:val="single" w:sz="8" w:color="auto"/>
            </w:tcBorders>
            <w:shd w:val="clear" w:color="auto" w:fill="98B0CF"/>
          </w:tcPr>
          <w:p>
            <w:pPr>
              <w:spacing w:after="0"/>
              <w:rPr>
                <w:sz w:val="14"/>
                <w:szCs w:val="14"/>
                <w:color w:val="auto"/>
              </w:rPr>
            </w:pPr>
          </w:p>
        </w:tc>
      </w:tr>
      <w:tr>
        <w:trPr>
          <w:trHeight w:val="156"/>
        </w:trPr>
        <w:tc>
          <w:tcPr>
            <w:tcW w:w="6180" w:type="dxa"/>
            <w:vAlign w:val="bottom"/>
            <w:tcBorders>
              <w:bottom w:val="single" w:sz="8" w:color="auto"/>
            </w:tcBorders>
            <w:shd w:val="clear" w:color="auto" w:fill="98B0CF"/>
          </w:tcPr>
          <w:p>
            <w:pPr>
              <w:spacing w:after="0"/>
              <w:rPr>
                <w:sz w:val="13"/>
                <w:szCs w:val="13"/>
                <w:color w:val="auto"/>
              </w:rPr>
            </w:pPr>
          </w:p>
        </w:tc>
        <w:tc>
          <w:tcPr>
            <w:tcW w:w="880" w:type="dxa"/>
            <w:vAlign w:val="bottom"/>
            <w:tcBorders>
              <w:bottom w:val="single" w:sz="8" w:color="auto"/>
            </w:tcBorders>
            <w:gridSpan w:val="2"/>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shd w:val="clear" w:color="auto" w:fill="98B0CF"/>
          </w:tcPr>
          <w:p>
            <w:pPr>
              <w:spacing w:after="0"/>
              <w:rPr>
                <w:sz w:val="13"/>
                <w:szCs w:val="13"/>
                <w:color w:val="auto"/>
              </w:rPr>
            </w:pPr>
          </w:p>
        </w:tc>
        <w:tc>
          <w:tcPr>
            <w:tcW w:w="260" w:type="dxa"/>
            <w:vAlign w:val="bottom"/>
            <w:tcBorders>
              <w:bottom w:val="single" w:sz="8" w:color="auto"/>
            </w:tcBorders>
            <w:shd w:val="clear" w:color="auto" w:fill="98B0CF"/>
          </w:tcPr>
          <w:p>
            <w:pPr>
              <w:spacing w:after="0"/>
              <w:rPr>
                <w:sz w:val="13"/>
                <w:szCs w:val="13"/>
                <w:color w:val="auto"/>
              </w:rPr>
            </w:pPr>
          </w:p>
        </w:tc>
        <w:tc>
          <w:tcPr>
            <w:tcW w:w="920" w:type="dxa"/>
            <w:vAlign w:val="bottom"/>
            <w:tcBorders>
              <w:bottom w:val="single" w:sz="8" w:color="auto"/>
            </w:tcBorders>
            <w:shd w:val="clear" w:color="auto" w:fill="98B0CF"/>
          </w:tcPr>
          <w:p>
            <w:pPr>
              <w:jc w:val="right"/>
              <w:ind w:right="401"/>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shd w:val="clear" w:color="auto" w:fill="98B0CF"/>
          </w:tcPr>
          <w:p>
            <w:pPr>
              <w:spacing w:after="0"/>
              <w:rPr>
                <w:sz w:val="13"/>
                <w:szCs w:val="13"/>
                <w:color w:val="auto"/>
              </w:rPr>
            </w:pPr>
          </w:p>
        </w:tc>
        <w:tc>
          <w:tcPr>
            <w:tcW w:w="220" w:type="dxa"/>
            <w:vAlign w:val="bottom"/>
            <w:tcBorders>
              <w:bottom w:val="single" w:sz="8" w:color="auto"/>
            </w:tcBorders>
            <w:shd w:val="clear" w:color="auto" w:fill="98B0CF"/>
          </w:tcPr>
          <w:p>
            <w:pPr>
              <w:spacing w:after="0"/>
              <w:rPr>
                <w:sz w:val="13"/>
                <w:szCs w:val="13"/>
                <w:color w:val="auto"/>
              </w:rPr>
            </w:pPr>
          </w:p>
        </w:tc>
        <w:tc>
          <w:tcPr>
            <w:tcW w:w="740" w:type="dxa"/>
            <w:vAlign w:val="bottom"/>
            <w:tcBorders>
              <w:bottom w:val="single" w:sz="8" w:color="auto"/>
            </w:tcBorders>
            <w:shd w:val="clear" w:color="auto" w:fill="98B0CF"/>
          </w:tcPr>
          <w:p>
            <w:pPr>
              <w:jc w:val="right"/>
              <w:ind w:right="241"/>
              <w:spacing w:after="0" w:line="155" w:lineRule="exact"/>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shd w:val="clear" w:color="auto" w:fill="98B0CF"/>
          </w:tcPr>
          <w:p>
            <w:pPr>
              <w:spacing w:after="0"/>
              <w:rPr>
                <w:sz w:val="13"/>
                <w:szCs w:val="13"/>
                <w:color w:val="auto"/>
              </w:rPr>
            </w:pPr>
          </w:p>
        </w:tc>
        <w:tc>
          <w:tcPr>
            <w:tcW w:w="840" w:type="dxa"/>
            <w:vAlign w:val="bottom"/>
            <w:tcBorders>
              <w:bottom w:val="single" w:sz="8" w:color="auto"/>
            </w:tcBorders>
            <w:shd w:val="clear" w:color="auto" w:fill="98B0CF"/>
          </w:tcPr>
          <w:p>
            <w:pPr>
              <w:jc w:val="right"/>
              <w:ind w:right="341"/>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618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Operating lease expense</w:t>
            </w:r>
          </w:p>
        </w:tc>
        <w:tc>
          <w:tcPr>
            <w:tcW w:w="880" w:type="dxa"/>
            <w:vAlign w:val="bottom"/>
            <w:gridSpan w:val="2"/>
            <w:shd w:val="clear" w:color="auto" w:fill="E2E8F1"/>
          </w:tcPr>
          <w:p>
            <w:pPr>
              <w:jc w:val="right"/>
              <w:ind w:right="608"/>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E2E8F1"/>
          </w:tcPr>
          <w:p>
            <w:pPr>
              <w:jc w:val="right"/>
              <w:ind w:right="161"/>
              <w:spacing w:after="0" w:line="183" w:lineRule="exact"/>
              <w:rPr>
                <w:sz w:val="20"/>
                <w:szCs w:val="20"/>
                <w:color w:val="auto"/>
              </w:rPr>
            </w:pPr>
            <w:r>
              <w:rPr>
                <w:rFonts w:ascii="Arial" w:cs="Arial" w:eastAsia="Arial" w:hAnsi="Arial"/>
                <w:sz w:val="16"/>
                <w:szCs w:val="16"/>
                <w:color w:val="auto"/>
              </w:rPr>
              <w:t>33.0</w:t>
            </w:r>
          </w:p>
        </w:tc>
        <w:tc>
          <w:tcPr>
            <w:tcW w:w="26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36.2</w:t>
            </w:r>
          </w:p>
        </w:tc>
        <w:tc>
          <w:tcPr>
            <w:tcW w:w="360" w:type="dxa"/>
            <w:vAlign w:val="bottom"/>
            <w:gridSpan w:val="2"/>
            <w:shd w:val="clear" w:color="auto" w:fill="E2E8F1"/>
          </w:tcPr>
          <w:p>
            <w:pPr>
              <w:ind w:left="14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99.0</w:t>
            </w:r>
          </w:p>
        </w:tc>
        <w:tc>
          <w:tcPr>
            <w:tcW w:w="460" w:type="dxa"/>
            <w:vAlign w:val="bottom"/>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102.0</w:t>
            </w:r>
          </w:p>
        </w:tc>
      </w:tr>
      <w:tr>
        <w:trPr>
          <w:trHeight w:val="189"/>
        </w:trPr>
        <w:tc>
          <w:tcPr>
            <w:tcW w:w="6180" w:type="dxa"/>
            <w:vAlign w:val="bottom"/>
          </w:tcPr>
          <w:p>
            <w:pPr>
              <w:ind w:left="60"/>
              <w:spacing w:after="0"/>
              <w:rPr>
                <w:sz w:val="20"/>
                <w:szCs w:val="20"/>
                <w:color w:val="auto"/>
              </w:rPr>
            </w:pPr>
            <w:r>
              <w:rPr>
                <w:rFonts w:ascii="Arial" w:cs="Arial" w:eastAsia="Arial" w:hAnsi="Arial"/>
                <w:sz w:val="16"/>
                <w:szCs w:val="16"/>
                <w:color w:val="auto"/>
              </w:rPr>
              <w:t>Short-term lease expense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6"/>
                <w:szCs w:val="16"/>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w:t>
            </w:r>
          </w:p>
        </w:tc>
        <w:tc>
          <w:tcPr>
            <w:tcW w:w="460" w:type="dxa"/>
            <w:vAlign w:val="bottom"/>
          </w:tcPr>
          <w:p>
            <w:pPr>
              <w:spacing w:after="0"/>
              <w:rPr>
                <w:sz w:val="16"/>
                <w:szCs w:val="16"/>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13.6</w:t>
            </w:r>
          </w:p>
        </w:tc>
      </w:tr>
      <w:tr>
        <w:trPr>
          <w:trHeight w:val="189"/>
        </w:trPr>
        <w:tc>
          <w:tcPr>
            <w:tcW w:w="618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Variable lease expense</w:t>
            </w:r>
          </w:p>
        </w:tc>
        <w:tc>
          <w:tcPr>
            <w:tcW w:w="120" w:type="dxa"/>
            <w:vAlign w:val="bottom"/>
            <w:tcBorders>
              <w:bottom w:val="single" w:sz="8" w:color="auto"/>
            </w:tcBorders>
            <w:shd w:val="clear" w:color="auto" w:fill="E2E8F1"/>
          </w:tcPr>
          <w:p>
            <w:pPr>
              <w:spacing w:after="0"/>
              <w:rPr>
                <w:sz w:val="16"/>
                <w:szCs w:val="16"/>
                <w:color w:val="auto"/>
              </w:rPr>
            </w:pPr>
          </w:p>
        </w:tc>
        <w:tc>
          <w:tcPr>
            <w:tcW w:w="760" w:type="dxa"/>
            <w:vAlign w:val="bottom"/>
            <w:tcBorders>
              <w:bottom w:val="single" w:sz="8" w:color="auto"/>
            </w:tcBorders>
            <w:shd w:val="clear" w:color="auto" w:fill="E2E8F1"/>
          </w:tcPr>
          <w:p>
            <w:pPr>
              <w:spacing w:after="0"/>
              <w:rPr>
                <w:sz w:val="16"/>
                <w:szCs w:val="16"/>
                <w:color w:val="auto"/>
              </w:rPr>
            </w:pPr>
          </w:p>
        </w:tc>
        <w:tc>
          <w:tcPr>
            <w:tcW w:w="600" w:type="dxa"/>
            <w:vAlign w:val="bottom"/>
            <w:tcBorders>
              <w:bottom w:val="single" w:sz="8" w:color="auto"/>
            </w:tcBorders>
            <w:shd w:val="clear" w:color="auto" w:fill="E2E8F1"/>
          </w:tcPr>
          <w:p>
            <w:pPr>
              <w:jc w:val="right"/>
              <w:ind w:right="161"/>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shd w:val="clear" w:color="auto" w:fill="E2E8F1"/>
          </w:tcPr>
          <w:p>
            <w:pPr>
              <w:spacing w:after="0"/>
              <w:rPr>
                <w:sz w:val="16"/>
                <w:szCs w:val="16"/>
                <w:color w:val="auto"/>
              </w:rPr>
            </w:pPr>
          </w:p>
        </w:tc>
        <w:tc>
          <w:tcPr>
            <w:tcW w:w="92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7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2.7</w:t>
            </w:r>
          </w:p>
        </w:tc>
        <w:tc>
          <w:tcPr>
            <w:tcW w:w="460" w:type="dxa"/>
            <w:vAlign w:val="bottom"/>
            <w:tcBorders>
              <w:bottom w:val="single" w:sz="8" w:color="auto"/>
            </w:tcBorders>
            <w:shd w:val="clear" w:color="auto" w:fill="E2E8F1"/>
          </w:tcPr>
          <w:p>
            <w:pPr>
              <w:spacing w:after="0"/>
              <w:rPr>
                <w:sz w:val="16"/>
                <w:szCs w:val="16"/>
                <w:color w:val="auto"/>
              </w:rPr>
            </w:pPr>
          </w:p>
        </w:tc>
        <w:tc>
          <w:tcPr>
            <w:tcW w:w="84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5.1</w:t>
            </w:r>
          </w:p>
        </w:tc>
      </w:tr>
      <w:tr>
        <w:trPr>
          <w:trHeight w:val="183"/>
        </w:trPr>
        <w:tc>
          <w:tcPr>
            <w:tcW w:w="618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color w:val="auto"/>
              </w:rPr>
              <w:t>Total lease expense</w:t>
            </w:r>
          </w:p>
        </w:tc>
        <w:tc>
          <w:tcPr>
            <w:tcW w:w="880" w:type="dxa"/>
            <w:vAlign w:val="bottom"/>
            <w:tcBorders>
              <w:bottom w:val="single" w:sz="8" w:color="auto"/>
            </w:tcBorders>
            <w:gridSpan w:val="2"/>
          </w:tcPr>
          <w:p>
            <w:pPr>
              <w:jc w:val="right"/>
              <w:ind w:right="608"/>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auto"/>
              </w:rPr>
              <w:t>36.6</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42.8</w:t>
            </w:r>
          </w:p>
        </w:tc>
        <w:tc>
          <w:tcPr>
            <w:tcW w:w="360" w:type="dxa"/>
            <w:vAlign w:val="bottom"/>
            <w:tcBorders>
              <w:bottom w:val="single" w:sz="8" w:color="auto"/>
            </w:tcBorders>
            <w:gridSpan w:val="2"/>
          </w:tcPr>
          <w:p>
            <w:pPr>
              <w:ind w:left="140"/>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109.8</w:t>
            </w:r>
          </w:p>
        </w:tc>
        <w:tc>
          <w:tcPr>
            <w:tcW w:w="46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120.7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-616585</wp:posOffset>
            </wp:positionV>
            <wp:extent cx="93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Borders>
              <w:top w:val="single" w:sz="8" w:color="auto"/>
              <w:bottom w:val="single" w:sz="8" w:color="98B0CF"/>
            </w:tcBorders>
            <w:shd w:val="clear" w:color="auto" w:fill="98B0CF"/>
          </w:tcPr>
          <w:p>
            <w:pPr>
              <w:spacing w:after="0"/>
              <w:rPr>
                <w:sz w:val="15"/>
                <w:szCs w:val="15"/>
                <w:color w:val="auto"/>
              </w:rPr>
            </w:pPr>
          </w:p>
        </w:tc>
        <w:tc>
          <w:tcPr>
            <w:tcW w:w="200" w:type="dxa"/>
            <w:vAlign w:val="bottom"/>
            <w:tcBorders>
              <w:top w:val="single" w:sz="8" w:color="auto"/>
              <w:bottom w:val="single" w:sz="8" w:color="98B0CF"/>
            </w:tcBorders>
            <w:shd w:val="clear" w:color="auto" w:fill="98B0CF"/>
          </w:tcPr>
          <w:p>
            <w:pPr>
              <w:spacing w:after="0"/>
              <w:rPr>
                <w:sz w:val="15"/>
                <w:szCs w:val="15"/>
                <w:color w:val="auto"/>
              </w:rPr>
            </w:pPr>
          </w:p>
        </w:tc>
        <w:tc>
          <w:tcPr>
            <w:tcW w:w="160" w:type="dxa"/>
            <w:vAlign w:val="bottom"/>
            <w:tcBorders>
              <w:top w:val="single" w:sz="8" w:color="auto"/>
              <w:bottom w:val="single" w:sz="8" w:color="auto"/>
            </w:tcBorders>
            <w:shd w:val="clear" w:color="auto" w:fill="98B0CF"/>
          </w:tcPr>
          <w:p>
            <w:pPr>
              <w:spacing w:after="0"/>
              <w:rPr>
                <w:sz w:val="15"/>
                <w:szCs w:val="15"/>
                <w:color w:val="auto"/>
              </w:rPr>
            </w:pPr>
          </w:p>
        </w:tc>
        <w:tc>
          <w:tcPr>
            <w:tcW w:w="2820" w:type="dxa"/>
            <w:vAlign w:val="bottom"/>
            <w:tcBorders>
              <w:top w:val="single" w:sz="8" w:color="auto"/>
              <w:bottom w:val="single" w:sz="8" w:color="auto"/>
            </w:tcBorders>
            <w:gridSpan w:val="3"/>
            <w:shd w:val="clear" w:color="auto" w:fill="98B0CF"/>
          </w:tcPr>
          <w:p>
            <w:pPr>
              <w:jc w:val="right"/>
              <w:ind w:right="321"/>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8060" w:type="dxa"/>
            <w:vAlign w:val="bottom"/>
            <w:tcBorders>
              <w:bottom w:val="single" w:sz="8" w:color="auto"/>
            </w:tcBorders>
            <w:shd w:val="clear" w:color="auto" w:fill="98B0CF"/>
          </w:tcPr>
          <w:p>
            <w:pPr>
              <w:spacing w:after="0"/>
              <w:rPr>
                <w:sz w:val="13"/>
                <w:szCs w:val="13"/>
                <w:color w:val="auto"/>
              </w:rPr>
            </w:pPr>
          </w:p>
        </w:tc>
        <w:tc>
          <w:tcPr>
            <w:tcW w:w="20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1320" w:type="dxa"/>
            <w:vAlign w:val="bottom"/>
            <w:tcBorders>
              <w:bottom w:val="single" w:sz="8" w:color="auto"/>
            </w:tcBorders>
            <w:shd w:val="clear" w:color="auto" w:fill="98B0CF"/>
          </w:tcPr>
          <w:p>
            <w:pPr>
              <w:jc w:val="right"/>
              <w:ind w:right="642"/>
              <w:spacing w:after="0" w:line="155" w:lineRule="exact"/>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shd w:val="clear" w:color="auto" w:fill="98B0CF"/>
          </w:tcPr>
          <w:p>
            <w:pPr>
              <w:spacing w:after="0"/>
              <w:rPr>
                <w:sz w:val="13"/>
                <w:szCs w:val="13"/>
                <w:color w:val="auto"/>
              </w:rPr>
            </w:pPr>
          </w:p>
        </w:tc>
        <w:tc>
          <w:tcPr>
            <w:tcW w:w="1120" w:type="dxa"/>
            <w:vAlign w:val="bottom"/>
            <w:tcBorders>
              <w:bottom w:val="single" w:sz="8" w:color="auto"/>
            </w:tcBorders>
            <w:shd w:val="clear" w:color="auto" w:fill="98B0CF"/>
          </w:tcPr>
          <w:p>
            <w:pPr>
              <w:jc w:val="right"/>
              <w:ind w:right="541"/>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806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Cash paid for amounts included in the measurement of liabilities</w:t>
            </w:r>
          </w:p>
        </w:tc>
        <w:tc>
          <w:tcPr>
            <w:tcW w:w="360" w:type="dxa"/>
            <w:vAlign w:val="bottom"/>
            <w:gridSpan w:val="2"/>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E2E8F1"/>
          </w:tcPr>
          <w:p>
            <w:pPr>
              <w:jc w:val="right"/>
              <w:ind w:right="182"/>
              <w:spacing w:after="0" w:line="183" w:lineRule="exact"/>
              <w:rPr>
                <w:sz w:val="20"/>
                <w:szCs w:val="20"/>
                <w:color w:val="auto"/>
              </w:rPr>
            </w:pPr>
            <w:r>
              <w:rPr>
                <w:rFonts w:ascii="Arial" w:cs="Arial" w:eastAsia="Arial" w:hAnsi="Arial"/>
                <w:sz w:val="16"/>
                <w:szCs w:val="16"/>
                <w:color w:val="auto"/>
              </w:rPr>
              <w:t>98.5</w:t>
            </w:r>
          </w:p>
        </w:tc>
        <w:tc>
          <w:tcPr>
            <w:tcW w:w="380" w:type="dxa"/>
            <w:vAlign w:val="bottom"/>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E2E8F1"/>
          </w:tcPr>
          <w:p>
            <w:pPr>
              <w:jc w:val="right"/>
              <w:ind w:right="101"/>
              <w:spacing w:after="0" w:line="183" w:lineRule="exact"/>
              <w:rPr>
                <w:sz w:val="20"/>
                <w:szCs w:val="20"/>
                <w:color w:val="auto"/>
              </w:rPr>
            </w:pPr>
            <w:r>
              <w:rPr>
                <w:rFonts w:ascii="Arial" w:cs="Arial" w:eastAsia="Arial" w:hAnsi="Arial"/>
                <w:sz w:val="16"/>
                <w:szCs w:val="16"/>
                <w:color w:val="auto"/>
              </w:rPr>
              <w:t>99.4</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Right-of-use assets obtained in exchange for new liabilities</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40.7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rPr>
                <w:sz w:val="20"/>
                <w:szCs w:val="20"/>
                <w:color w:val="auto"/>
              </w:rPr>
            </w:pPr>
            <w:r>
              <w:rPr>
                <w:rFonts w:ascii="Arial" w:cs="Arial" w:eastAsia="Arial" w:hAnsi="Arial"/>
                <w:sz w:val="16"/>
                <w:szCs w:val="16"/>
                <w:color w:val="auto"/>
              </w:rPr>
              <w:t>81.2</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Weighted-average remaining lease term</w:t>
            </w:r>
          </w:p>
        </w:tc>
        <w:tc>
          <w:tcPr>
            <w:tcW w:w="20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320" w:type="dxa"/>
            <w:vAlign w:val="bottom"/>
            <w:shd w:val="clear" w:color="auto" w:fill="E2E8F1"/>
          </w:tcPr>
          <w:p>
            <w:pPr>
              <w:jc w:val="right"/>
              <w:ind w:right="182"/>
              <w:spacing w:after="0"/>
              <w:rPr>
                <w:sz w:val="20"/>
                <w:szCs w:val="20"/>
                <w:color w:val="auto"/>
              </w:rPr>
            </w:pPr>
            <w:r>
              <w:rPr>
                <w:rFonts w:ascii="Arial" w:cs="Arial" w:eastAsia="Arial" w:hAnsi="Arial"/>
                <w:sz w:val="16"/>
                <w:szCs w:val="16"/>
                <w:color w:val="auto"/>
              </w:rPr>
              <w:t>4.9 years</w:t>
            </w:r>
          </w:p>
        </w:tc>
        <w:tc>
          <w:tcPr>
            <w:tcW w:w="380" w:type="dxa"/>
            <w:vAlign w:val="bottom"/>
            <w:shd w:val="clear" w:color="auto" w:fill="E2E8F1"/>
          </w:tcPr>
          <w:p>
            <w:pPr>
              <w:spacing w:after="0"/>
              <w:rPr>
                <w:sz w:val="16"/>
                <w:szCs w:val="16"/>
                <w:color w:val="auto"/>
              </w:rPr>
            </w:pPr>
          </w:p>
        </w:tc>
        <w:tc>
          <w:tcPr>
            <w:tcW w:w="1120" w:type="dxa"/>
            <w:vAlign w:val="bottom"/>
            <w:shd w:val="clear" w:color="auto" w:fill="E2E8F1"/>
          </w:tcPr>
          <w:p>
            <w:pPr>
              <w:jc w:val="right"/>
              <w:ind w:right="101"/>
              <w:spacing w:after="0"/>
              <w:rPr>
                <w:sz w:val="20"/>
                <w:szCs w:val="20"/>
                <w:color w:val="auto"/>
              </w:rPr>
            </w:pPr>
            <w:r>
              <w:rPr>
                <w:rFonts w:ascii="Arial" w:cs="Arial" w:eastAsia="Arial" w:hAnsi="Arial"/>
                <w:sz w:val="16"/>
                <w:szCs w:val="16"/>
                <w:color w:val="auto"/>
              </w:rPr>
              <w:t>5.3 years</w:t>
            </w:r>
          </w:p>
        </w:tc>
      </w:tr>
      <w:tr>
        <w:trPr>
          <w:trHeight w:val="189"/>
        </w:trPr>
        <w:tc>
          <w:tcPr>
            <w:tcW w:w="8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Weighted-average discount rate</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4.4%</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September 30, 2026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40" w:type="dxa"/>
            <w:vAlign w:val="bottom"/>
            <w:tcBorders>
              <w:top w:val="single" w:sz="8" w:color="231F20"/>
              <w:bottom w:val="single" w:sz="8" w:color="auto"/>
            </w:tcBorders>
            <w:shd w:val="clear" w:color="auto" w:fill="98B0CF"/>
          </w:tcPr>
          <w:p>
            <w:pPr>
              <w:spacing w:after="0"/>
              <w:rPr>
                <w:sz w:val="22"/>
                <w:szCs w:val="22"/>
                <w:color w:val="auto"/>
              </w:rPr>
            </w:pPr>
          </w:p>
        </w:tc>
        <w:tc>
          <w:tcPr>
            <w:tcW w:w="3240" w:type="dxa"/>
            <w:vAlign w:val="bottom"/>
            <w:tcBorders>
              <w:top w:val="single" w:sz="8" w:color="231F20"/>
              <w:bottom w:val="single" w:sz="8" w:color="auto"/>
            </w:tcBorders>
            <w:shd w:val="clear" w:color="auto" w:fill="98B0CF"/>
          </w:tcPr>
          <w:p>
            <w:pPr>
              <w:spacing w:after="0"/>
              <w:rPr>
                <w:sz w:val="22"/>
                <w:szCs w:val="22"/>
                <w:color w:val="auto"/>
              </w:rPr>
            </w:pPr>
          </w:p>
        </w:tc>
        <w:tc>
          <w:tcPr>
            <w:tcW w:w="1660" w:type="dxa"/>
            <w:vAlign w:val="bottom"/>
            <w:tcBorders>
              <w:top w:val="single" w:sz="8" w:color="231F20"/>
              <w:bottom w:val="single" w:sz="8" w:color="auto"/>
            </w:tcBorders>
            <w:shd w:val="clear" w:color="auto" w:fill="98B0CF"/>
          </w:tcPr>
          <w:p>
            <w:pPr>
              <w:jc w:val="right"/>
              <w:ind w:right="280"/>
              <w:spacing w:after="0"/>
              <w:rPr>
                <w:sz w:val="20"/>
                <w:szCs w:val="20"/>
                <w:color w:val="auto"/>
              </w:rPr>
            </w:pPr>
            <w:r>
              <w:rPr>
                <w:rFonts w:ascii="Arial" w:cs="Arial" w:eastAsia="Arial" w:hAnsi="Arial"/>
                <w:sz w:val="14"/>
                <w:szCs w:val="14"/>
                <w:b w:val="1"/>
                <w:bCs w:val="1"/>
                <w:color w:val="auto"/>
              </w:rPr>
              <w:t>Operating Leases</w:t>
            </w:r>
          </w:p>
        </w:tc>
      </w:tr>
      <w:tr>
        <w:trPr>
          <w:trHeight w:val="209"/>
        </w:trPr>
        <w:tc>
          <w:tcPr>
            <w:tcW w:w="634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2026</w:t>
            </w:r>
          </w:p>
        </w:tc>
        <w:tc>
          <w:tcPr>
            <w:tcW w:w="32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30.5</w:t>
            </w:r>
          </w:p>
        </w:tc>
      </w:tr>
      <w:tr>
        <w:trPr>
          <w:trHeight w:val="216"/>
        </w:trPr>
        <w:tc>
          <w:tcPr>
            <w:tcW w:w="6340" w:type="dxa"/>
            <w:vAlign w:val="bottom"/>
          </w:tcPr>
          <w:p>
            <w:pPr>
              <w:ind w:left="100"/>
              <w:spacing w:after="0"/>
              <w:rPr>
                <w:sz w:val="20"/>
                <w:szCs w:val="20"/>
                <w:color w:val="auto"/>
              </w:rPr>
            </w:pPr>
            <w:r>
              <w:rPr>
                <w:rFonts w:ascii="Arial" w:cs="Arial" w:eastAsia="Arial" w:hAnsi="Arial"/>
                <w:sz w:val="16"/>
                <w:szCs w:val="16"/>
                <w:color w:val="auto"/>
              </w:rPr>
              <w:t>2027</w:t>
            </w:r>
          </w:p>
        </w:tc>
        <w:tc>
          <w:tcPr>
            <w:tcW w:w="3240" w:type="dxa"/>
            <w:vAlign w:val="bottom"/>
          </w:tcPr>
          <w:p>
            <w:pPr>
              <w:spacing w:after="0"/>
              <w:rPr>
                <w:sz w:val="18"/>
                <w:szCs w:val="18"/>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105.4</w:t>
            </w:r>
          </w:p>
        </w:tc>
      </w:tr>
      <w:tr>
        <w:trPr>
          <w:trHeight w:val="216"/>
        </w:trPr>
        <w:tc>
          <w:tcPr>
            <w:tcW w:w="634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2028</w:t>
            </w:r>
          </w:p>
        </w:tc>
        <w:tc>
          <w:tcPr>
            <w:tcW w:w="3240" w:type="dxa"/>
            <w:vAlign w:val="bottom"/>
            <w:shd w:val="clear" w:color="auto" w:fill="E2E8F1"/>
          </w:tcPr>
          <w:p>
            <w:pPr>
              <w:spacing w:after="0"/>
              <w:rPr>
                <w:sz w:val="18"/>
                <w:szCs w:val="18"/>
                <w:color w:val="auto"/>
              </w:rPr>
            </w:pPr>
          </w:p>
        </w:tc>
        <w:tc>
          <w:tcPr>
            <w:tcW w:w="166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81.6</w:t>
            </w:r>
          </w:p>
        </w:tc>
      </w:tr>
      <w:tr>
        <w:trPr>
          <w:trHeight w:val="216"/>
        </w:trPr>
        <w:tc>
          <w:tcPr>
            <w:tcW w:w="6340" w:type="dxa"/>
            <w:vAlign w:val="bottom"/>
          </w:tcPr>
          <w:p>
            <w:pPr>
              <w:ind w:left="100"/>
              <w:spacing w:after="0"/>
              <w:rPr>
                <w:sz w:val="20"/>
                <w:szCs w:val="20"/>
                <w:color w:val="auto"/>
              </w:rPr>
            </w:pPr>
            <w:r>
              <w:rPr>
                <w:rFonts w:ascii="Arial" w:cs="Arial" w:eastAsia="Arial" w:hAnsi="Arial"/>
                <w:sz w:val="16"/>
                <w:szCs w:val="16"/>
                <w:color w:val="auto"/>
              </w:rPr>
              <w:t>2029</w:t>
            </w:r>
          </w:p>
        </w:tc>
        <w:tc>
          <w:tcPr>
            <w:tcW w:w="3240" w:type="dxa"/>
            <w:vAlign w:val="bottom"/>
          </w:tcPr>
          <w:p>
            <w:pPr>
              <w:spacing w:after="0"/>
              <w:rPr>
                <w:sz w:val="18"/>
                <w:szCs w:val="18"/>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58.9</w:t>
            </w:r>
          </w:p>
        </w:tc>
      </w:tr>
      <w:tr>
        <w:trPr>
          <w:trHeight w:val="216"/>
        </w:trPr>
        <w:tc>
          <w:tcPr>
            <w:tcW w:w="634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2030</w:t>
            </w:r>
          </w:p>
        </w:tc>
        <w:tc>
          <w:tcPr>
            <w:tcW w:w="3240" w:type="dxa"/>
            <w:vAlign w:val="bottom"/>
            <w:shd w:val="clear" w:color="auto" w:fill="E2E8F1"/>
          </w:tcPr>
          <w:p>
            <w:pPr>
              <w:spacing w:after="0"/>
              <w:rPr>
                <w:sz w:val="18"/>
                <w:szCs w:val="18"/>
                <w:color w:val="auto"/>
              </w:rPr>
            </w:pPr>
          </w:p>
        </w:tc>
        <w:tc>
          <w:tcPr>
            <w:tcW w:w="166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45.2</w:t>
            </w:r>
          </w:p>
        </w:tc>
      </w:tr>
      <w:tr>
        <w:trPr>
          <w:trHeight w:val="216"/>
        </w:trPr>
        <w:tc>
          <w:tcPr>
            <w:tcW w:w="6340" w:type="dxa"/>
            <w:vAlign w:val="bottom"/>
          </w:tcPr>
          <w:p>
            <w:pPr>
              <w:ind w:left="100"/>
              <w:spacing w:after="0"/>
              <w:rPr>
                <w:sz w:val="20"/>
                <w:szCs w:val="20"/>
                <w:color w:val="auto"/>
              </w:rPr>
            </w:pPr>
            <w:r>
              <w:rPr>
                <w:rFonts w:ascii="Arial" w:cs="Arial" w:eastAsia="Arial" w:hAnsi="Arial"/>
                <w:sz w:val="16"/>
                <w:szCs w:val="16"/>
                <w:color w:val="auto"/>
              </w:rPr>
              <w:t>2031</w:t>
            </w:r>
          </w:p>
        </w:tc>
        <w:tc>
          <w:tcPr>
            <w:tcW w:w="3240" w:type="dxa"/>
            <w:vAlign w:val="bottom"/>
          </w:tcPr>
          <w:p>
            <w:pPr>
              <w:spacing w:after="0"/>
              <w:rPr>
                <w:sz w:val="18"/>
                <w:szCs w:val="18"/>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33.4</w:t>
            </w:r>
          </w:p>
        </w:tc>
      </w:tr>
      <w:tr>
        <w:trPr>
          <w:trHeight w:val="216"/>
        </w:trPr>
        <w:tc>
          <w:tcPr>
            <w:tcW w:w="6340" w:type="dxa"/>
            <w:vAlign w:val="bottom"/>
            <w:tcBorders>
              <w:bottom w:val="single" w:sz="8" w:color="auto"/>
            </w:tcBorders>
            <w:shd w:val="clear" w:color="auto" w:fill="E2E8F1"/>
          </w:tcPr>
          <w:p>
            <w:pPr>
              <w:ind w:left="100"/>
              <w:spacing w:after="0"/>
              <w:rPr>
                <w:sz w:val="20"/>
                <w:szCs w:val="20"/>
                <w:color w:val="auto"/>
              </w:rPr>
            </w:pPr>
            <w:r>
              <w:rPr>
                <w:rFonts w:ascii="Arial" w:cs="Arial" w:eastAsia="Arial" w:hAnsi="Arial"/>
                <w:sz w:val="16"/>
                <w:szCs w:val="16"/>
                <w:color w:val="auto"/>
              </w:rPr>
              <w:t>Thereafter</w:t>
            </w:r>
          </w:p>
        </w:tc>
        <w:tc>
          <w:tcPr>
            <w:tcW w:w="3240" w:type="dxa"/>
            <w:vAlign w:val="bottom"/>
            <w:tcBorders>
              <w:bottom w:val="single" w:sz="8" w:color="auto"/>
            </w:tcBorders>
            <w:shd w:val="clear" w:color="auto" w:fill="E2E8F1"/>
          </w:tcPr>
          <w:p>
            <w:pPr>
              <w:spacing w:after="0"/>
              <w:rPr>
                <w:sz w:val="18"/>
                <w:szCs w:val="18"/>
                <w:color w:val="auto"/>
              </w:rPr>
            </w:pPr>
          </w:p>
        </w:tc>
        <w:tc>
          <w:tcPr>
            <w:tcW w:w="166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42.7</w:t>
            </w:r>
          </w:p>
        </w:tc>
      </w:tr>
      <w:tr>
        <w:trPr>
          <w:trHeight w:val="210"/>
        </w:trPr>
        <w:tc>
          <w:tcPr>
            <w:tcW w:w="6340" w:type="dxa"/>
            <w:vAlign w:val="bottom"/>
          </w:tcPr>
          <w:p>
            <w:pPr>
              <w:ind w:left="260"/>
              <w:spacing w:after="0"/>
              <w:rPr>
                <w:sz w:val="20"/>
                <w:szCs w:val="20"/>
                <w:color w:val="auto"/>
              </w:rPr>
            </w:pPr>
            <w:r>
              <w:rPr>
                <w:rFonts w:ascii="Arial" w:cs="Arial" w:eastAsia="Arial" w:hAnsi="Arial"/>
                <w:sz w:val="16"/>
                <w:szCs w:val="16"/>
                <w:color w:val="auto"/>
              </w:rPr>
              <w:t>Total future undiscounted lease payments</w:t>
            </w:r>
          </w:p>
        </w:tc>
        <w:tc>
          <w:tcPr>
            <w:tcW w:w="3240" w:type="dxa"/>
            <w:vAlign w:val="bottom"/>
          </w:tcPr>
          <w:p>
            <w:pPr>
              <w:spacing w:after="0"/>
              <w:rPr>
                <w:sz w:val="18"/>
                <w:szCs w:val="18"/>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397.7</w:t>
            </w:r>
          </w:p>
        </w:tc>
      </w:tr>
      <w:tr>
        <w:trPr>
          <w:trHeight w:val="216"/>
        </w:trPr>
        <w:tc>
          <w:tcPr>
            <w:tcW w:w="6340" w:type="dxa"/>
            <w:vAlign w:val="bottom"/>
            <w:tcBorders>
              <w:bottom w:val="single" w:sz="8" w:color="auto"/>
            </w:tcBorders>
            <w:shd w:val="clear" w:color="auto" w:fill="E2E8F1"/>
          </w:tcPr>
          <w:p>
            <w:pPr>
              <w:ind w:left="440"/>
              <w:spacing w:after="0"/>
              <w:rPr>
                <w:sz w:val="20"/>
                <w:szCs w:val="20"/>
                <w:color w:val="auto"/>
              </w:rPr>
            </w:pPr>
            <w:r>
              <w:rPr>
                <w:rFonts w:ascii="Arial" w:cs="Arial" w:eastAsia="Arial" w:hAnsi="Arial"/>
                <w:sz w:val="16"/>
                <w:szCs w:val="16"/>
                <w:color w:val="auto"/>
              </w:rPr>
              <w:t>Less imputed interest</w:t>
            </w:r>
          </w:p>
        </w:tc>
        <w:tc>
          <w:tcPr>
            <w:tcW w:w="3240" w:type="dxa"/>
            <w:vAlign w:val="bottom"/>
            <w:tcBorders>
              <w:bottom w:val="single" w:sz="8" w:color="auto"/>
            </w:tcBorders>
            <w:shd w:val="clear" w:color="auto" w:fill="E2E8F1"/>
          </w:tcPr>
          <w:p>
            <w:pPr>
              <w:spacing w:after="0"/>
              <w:rPr>
                <w:sz w:val="18"/>
                <w:szCs w:val="18"/>
                <w:color w:val="auto"/>
              </w:rPr>
            </w:pPr>
          </w:p>
        </w:tc>
        <w:tc>
          <w:tcPr>
            <w:tcW w:w="1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(38.7)</w:t>
            </w:r>
          </w:p>
        </w:tc>
      </w:tr>
      <w:tr>
        <w:trPr>
          <w:trHeight w:val="209"/>
        </w:trPr>
        <w:tc>
          <w:tcPr>
            <w:tcW w:w="6340" w:type="dxa"/>
            <w:vAlign w:val="bottom"/>
            <w:tcBorders>
              <w:bottom w:val="single" w:sz="8" w:color="231F20"/>
            </w:tcBorders>
          </w:tcPr>
          <w:p>
            <w:pPr>
              <w:ind w:left="260"/>
              <w:spacing w:after="0"/>
              <w:rPr>
                <w:sz w:val="20"/>
                <w:szCs w:val="20"/>
                <w:color w:val="auto"/>
              </w:rPr>
            </w:pPr>
            <w:r>
              <w:rPr>
                <w:rFonts w:ascii="Arial" w:cs="Arial" w:eastAsia="Arial" w:hAnsi="Arial"/>
                <w:sz w:val="16"/>
                <w:szCs w:val="16"/>
                <w:color w:val="auto"/>
              </w:rPr>
              <w:t>Total operating lease liabilities</w:t>
            </w:r>
          </w:p>
        </w:tc>
        <w:tc>
          <w:tcPr>
            <w:tcW w:w="32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359.0</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(15) </w:t>
      </w:r>
      <w:r>
        <w:rPr>
          <w:rFonts w:ascii="Arial" w:cs="Arial" w:eastAsia="Arial" w:hAnsi="Arial"/>
          <w:sz w:val="25"/>
          <w:szCs w:val="25"/>
          <w:b w:val="1"/>
          <w:bCs w:val="1"/>
          <w:i w:val="1"/>
          <w:iCs w:val="1"/>
          <w:u w:val="single" w:color="auto"/>
          <w:color w:val="5B89B4"/>
        </w:rPr>
        <w:t>Segment Data</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chief operating decision maker ("CODM") is our Chief Executive Officer, who evaluates the performance of our operating segments using OUP. OUP serves as the measure of profitability for monitoring actual results against budgeted expectations as well as investment and resource allocation among our segments. In addition, the CODM utilizes OUP in conducting competitive analysis, benchmarking our performance against that of our competitors and determining compensation.</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organized and managed primarily on a geographic basis. Each country and business unit generally has its own distinct operations and management team, providing services under our global brands and maintains its own financial reports.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segments derive a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auto"/>
            </w:tcBorders>
            <w:shd w:val="clear" w:color="auto" w:fill="98B0CF"/>
          </w:tcPr>
          <w:p>
            <w:pPr>
              <w:spacing w:after="0"/>
              <w:rPr>
                <w:sz w:val="14"/>
                <w:szCs w:val="14"/>
                <w:color w:val="auto"/>
              </w:rPr>
            </w:pPr>
          </w:p>
        </w:tc>
        <w:tc>
          <w:tcPr>
            <w:tcW w:w="70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114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380" w:type="dxa"/>
            <w:vAlign w:val="bottom"/>
            <w:tcBorders>
              <w:top w:val="single" w:sz="8" w:color="auto"/>
            </w:tcBorders>
            <w:shd w:val="clear" w:color="auto" w:fill="98B0CF"/>
          </w:tcPr>
          <w:p>
            <w:pPr>
              <w:spacing w:after="0"/>
              <w:rPr>
                <w:sz w:val="14"/>
                <w:szCs w:val="14"/>
                <w:color w:val="auto"/>
              </w:rPr>
            </w:pPr>
          </w:p>
        </w:tc>
        <w:tc>
          <w:tcPr>
            <w:tcW w:w="980" w:type="dxa"/>
            <w:vAlign w:val="bottom"/>
            <w:tcBorders>
              <w:top w:val="single" w:sz="8" w:color="auto"/>
            </w:tcBorders>
            <w:shd w:val="clear" w:color="auto" w:fill="98B0CF"/>
          </w:tcPr>
          <w:p>
            <w:pPr>
              <w:spacing w:after="0"/>
              <w:rPr>
                <w:sz w:val="14"/>
                <w:szCs w:val="14"/>
                <w:color w:val="auto"/>
              </w:rPr>
            </w:pPr>
          </w:p>
        </w:tc>
        <w:tc>
          <w:tcPr>
            <w:tcW w:w="18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1260" w:type="dxa"/>
            <w:vAlign w:val="bottom"/>
            <w:tcBorders>
              <w:top w:val="single" w:sz="8" w:color="auto"/>
            </w:tcBorders>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rPr>
              <w:t>Selling and</w:t>
            </w:r>
          </w:p>
        </w:tc>
        <w:tc>
          <w:tcPr>
            <w:tcW w:w="160" w:type="dxa"/>
            <w:vAlign w:val="bottom"/>
            <w:tcBorders>
              <w:top w:val="single" w:sz="8" w:color="auto"/>
            </w:tcBorders>
            <w:shd w:val="clear" w:color="auto" w:fill="98B0CF"/>
          </w:tcPr>
          <w:p>
            <w:pPr>
              <w:spacing w:after="0"/>
              <w:rPr>
                <w:sz w:val="14"/>
                <w:szCs w:val="14"/>
                <w:color w:val="auto"/>
              </w:rPr>
            </w:pPr>
          </w:p>
        </w:tc>
        <w:tc>
          <w:tcPr>
            <w:tcW w:w="300" w:type="dxa"/>
            <w:vAlign w:val="bottom"/>
            <w:tcBorders>
              <w:top w:val="single" w:sz="8" w:color="auto"/>
            </w:tcBorders>
            <w:shd w:val="clear" w:color="auto" w:fill="98B0CF"/>
          </w:tcPr>
          <w:p>
            <w:pPr>
              <w:spacing w:after="0"/>
              <w:rPr>
                <w:sz w:val="14"/>
                <w:szCs w:val="14"/>
                <w:color w:val="auto"/>
              </w:rPr>
            </w:pPr>
          </w:p>
        </w:tc>
        <w:tc>
          <w:tcPr>
            <w:tcW w:w="1100" w:type="dxa"/>
            <w:vAlign w:val="bottom"/>
            <w:tcBorders>
              <w:top w:val="single" w:sz="8" w:color="auto"/>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shd w:val="clear" w:color="auto" w:fill="98B0CF"/>
          </w:tcPr>
          <w:p>
            <w:pPr>
              <w:jc w:val="center"/>
              <w:ind w:right="141"/>
              <w:spacing w:after="0"/>
              <w:rPr>
                <w:sz w:val="20"/>
                <w:szCs w:val="20"/>
                <w:color w:val="auto"/>
              </w:rPr>
            </w:pPr>
            <w:r>
              <w:rPr>
                <w:rFonts w:ascii="Arial" w:cs="Arial" w:eastAsia="Arial" w:hAnsi="Arial"/>
                <w:sz w:val="14"/>
                <w:szCs w:val="14"/>
                <w:b w:val="1"/>
                <w:bCs w:val="1"/>
                <w:color w:val="auto"/>
              </w:rPr>
              <w:t>Administrative</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r>
      <w:tr>
        <w:trPr>
          <w:trHeight w:val="171"/>
        </w:trPr>
        <w:tc>
          <w:tcPr>
            <w:tcW w:w="4540" w:type="dxa"/>
            <w:vAlign w:val="bottom"/>
            <w:tcBorders>
              <w:bottom w:val="single" w:sz="8" w:color="auto"/>
            </w:tcBorders>
            <w:shd w:val="clear" w:color="auto" w:fill="98B0CF"/>
          </w:tcPr>
          <w:p>
            <w:pPr>
              <w:ind w:left="60"/>
              <w:spacing w:after="0"/>
              <w:rPr>
                <w:sz w:val="20"/>
                <w:szCs w:val="20"/>
                <w:color w:val="auto"/>
              </w:rPr>
            </w:pPr>
            <w:r>
              <w:rPr>
                <w:rFonts w:ascii="Arial" w:cs="Arial" w:eastAsia="Arial" w:hAnsi="Arial"/>
                <w:sz w:val="14"/>
                <w:szCs w:val="14"/>
                <w:b w:val="1"/>
                <w:bCs w:val="1"/>
                <w:color w:val="auto"/>
              </w:rPr>
              <w:t>Three Months Ended September 30, 2026</w:t>
            </w:r>
          </w:p>
        </w:tc>
        <w:tc>
          <w:tcPr>
            <w:tcW w:w="700" w:type="dxa"/>
            <w:vAlign w:val="bottom"/>
            <w:tcBorders>
              <w:bottom w:val="single" w:sz="8" w:color="auto"/>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1140" w:type="dxa"/>
            <w:vAlign w:val="bottom"/>
            <w:tcBorders>
              <w:bottom w:val="single" w:sz="8" w:color="auto"/>
            </w:tcBorders>
            <w:shd w:val="clear" w:color="auto" w:fill="98B0CF"/>
          </w:tcPr>
          <w:p>
            <w:pPr>
              <w:jc w:val="right"/>
              <w:ind w:right="36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auto"/>
            </w:tcBorders>
            <w:shd w:val="clear" w:color="auto" w:fill="98B0CF"/>
          </w:tcPr>
          <w:p>
            <w:pPr>
              <w:spacing w:after="0"/>
              <w:rPr>
                <w:sz w:val="14"/>
                <w:szCs w:val="14"/>
                <w:color w:val="auto"/>
              </w:rPr>
            </w:pPr>
          </w:p>
        </w:tc>
        <w:tc>
          <w:tcPr>
            <w:tcW w:w="1360" w:type="dxa"/>
            <w:vAlign w:val="bottom"/>
            <w:tcBorders>
              <w:bottom w:val="single" w:sz="8" w:color="auto"/>
            </w:tcBorders>
            <w:gridSpan w:val="2"/>
            <w:shd w:val="clear" w:color="auto" w:fill="98B0CF"/>
          </w:tcPr>
          <w:p>
            <w:pPr>
              <w:jc w:val="right"/>
              <w:ind w:right="99"/>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260" w:type="dxa"/>
            <w:vAlign w:val="bottom"/>
            <w:tcBorders>
              <w:bottom w:val="single" w:sz="8" w:color="auto"/>
            </w:tcBorders>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rPr>
              <w:t>Expenses</w:t>
            </w:r>
          </w:p>
        </w:tc>
        <w:tc>
          <w:tcPr>
            <w:tcW w:w="160" w:type="dxa"/>
            <w:vAlign w:val="bottom"/>
            <w:tcBorders>
              <w:bottom w:val="single" w:sz="8" w:color="auto"/>
            </w:tcBorders>
            <w:shd w:val="clear" w:color="auto" w:fill="98B0CF"/>
          </w:tcPr>
          <w:p>
            <w:pPr>
              <w:spacing w:after="0"/>
              <w:rPr>
                <w:sz w:val="14"/>
                <w:szCs w:val="14"/>
                <w:color w:val="auto"/>
              </w:rPr>
            </w:pPr>
          </w:p>
        </w:tc>
        <w:tc>
          <w:tcPr>
            <w:tcW w:w="300" w:type="dxa"/>
            <w:vAlign w:val="bottom"/>
            <w:tcBorders>
              <w:bottom w:val="single" w:sz="8" w:color="auto"/>
            </w:tcBorders>
            <w:shd w:val="clear" w:color="auto" w:fill="98B0CF"/>
          </w:tcPr>
          <w:p>
            <w:pPr>
              <w:spacing w:after="0"/>
              <w:rPr>
                <w:sz w:val="14"/>
                <w:szCs w:val="14"/>
                <w:color w:val="auto"/>
              </w:rPr>
            </w:pPr>
          </w:p>
        </w:tc>
        <w:tc>
          <w:tcPr>
            <w:tcW w:w="1100" w:type="dxa"/>
            <w:vAlign w:val="bottom"/>
            <w:tcBorders>
              <w:bottom w:val="single" w:sz="8" w:color="auto"/>
            </w:tcBorders>
            <w:shd w:val="clear" w:color="auto" w:fill="98B0CF"/>
          </w:tcPr>
          <w:p>
            <w:pPr>
              <w:jc w:val="right"/>
              <w:ind w:right="520"/>
              <w:spacing w:after="0"/>
              <w:rPr>
                <w:sz w:val="20"/>
                <w:szCs w:val="20"/>
                <w:color w:val="auto"/>
              </w:rPr>
            </w:pPr>
            <w:r>
              <w:rPr>
                <w:rFonts w:ascii="Arial" w:cs="Arial" w:eastAsia="Arial" w:hAnsi="Arial"/>
                <w:sz w:val="14"/>
                <w:szCs w:val="14"/>
                <w:b w:val="1"/>
                <w:bCs w:val="1"/>
                <w:color w:val="auto"/>
              </w:rPr>
              <w:t>OUP</w:t>
            </w:r>
          </w:p>
        </w:tc>
      </w:tr>
      <w:tr>
        <w:trPr>
          <w:trHeight w:val="209"/>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728.8</w:t>
            </w: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553.2</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151.3</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24.3</w:t>
            </w: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517.9</w:t>
            </w: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445.0</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49.8</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23.1</w:t>
            </w: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1,246.7</w:t>
            </w: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998.2</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201.1</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60"/>
              <w:spacing w:after="0"/>
              <w:rPr>
                <w:sz w:val="20"/>
                <w:szCs w:val="20"/>
                <w:color w:val="auto"/>
              </w:rPr>
            </w:pPr>
            <w:r>
              <w:rPr>
                <w:rFonts w:ascii="Arial" w:cs="Arial" w:eastAsia="Arial" w:hAnsi="Arial"/>
                <w:sz w:val="16"/>
                <w:szCs w:val="16"/>
                <w:color w:val="auto"/>
              </w:rPr>
              <w:t>47.4</w:t>
            </w: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Southern Europe: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1,132.9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980.3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130.2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22.4</w:t>
            </w: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483.1</w:t>
            </w: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98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410.8</w:t>
            </w: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44.9</w:t>
            </w: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27.4</w:t>
            </w: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611.9</w:t>
            </w: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530.2</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66.9</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60"/>
              <w:spacing w:after="0"/>
              <w:rPr>
                <w:sz w:val="20"/>
                <w:szCs w:val="20"/>
                <w:color w:val="auto"/>
              </w:rPr>
            </w:pPr>
            <w:r>
              <w:rPr>
                <w:rFonts w:ascii="Arial" w:cs="Arial" w:eastAsia="Arial" w:hAnsi="Arial"/>
                <w:sz w:val="16"/>
                <w:szCs w:val="16"/>
                <w:color w:val="auto"/>
              </w:rPr>
              <w:t>14.8</w:t>
            </w: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2,227.9</w:t>
            </w: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1,921.3</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242.0</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64.6</w:t>
            </w:r>
          </w:p>
        </w:tc>
      </w:tr>
      <w:tr>
        <w:trPr>
          <w:trHeight w:val="210"/>
        </w:trPr>
        <w:tc>
          <w:tcPr>
            <w:tcW w:w="45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860.6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126.3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7.5</w:t>
            </w:r>
          </w:p>
        </w:tc>
      </w:tr>
      <w:tr>
        <w:trPr>
          <w:trHeight w:val="203"/>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514.9</w:t>
            </w: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433.0</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58.0</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23.9</w:t>
            </w:r>
          </w:p>
        </w:tc>
      </w:tr>
      <w:tr>
        <w:trPr>
          <w:trHeight w:val="196"/>
        </w:trPr>
        <w:tc>
          <w:tcPr>
            <w:tcW w:w="4540" w:type="dxa"/>
            <w:vAlign w:val="bottom"/>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4,850.1</w:t>
            </w: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4,079.3</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627.4</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60"/>
              <w:spacing w:after="0"/>
              <w:rPr>
                <w:sz w:val="20"/>
                <w:szCs w:val="20"/>
                <w:color w:val="auto"/>
              </w:rPr>
            </w:pPr>
            <w:r>
              <w:rPr>
                <w:rFonts w:ascii="Arial" w:cs="Arial" w:eastAsia="Arial" w:hAnsi="Arial"/>
                <w:sz w:val="16"/>
                <w:szCs w:val="16"/>
                <w:color w:val="auto"/>
              </w:rPr>
              <w:t>143.4</w:t>
            </w:r>
          </w:p>
        </w:tc>
      </w:tr>
      <w:tr>
        <w:trPr>
          <w:trHeight w:val="196"/>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(10.1)</w:t>
            </w: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(6.6)</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(3.5)</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w:t>
            </w:r>
          </w:p>
        </w:tc>
      </w:tr>
      <w:tr>
        <w:trPr>
          <w:trHeight w:val="196"/>
        </w:trPr>
        <w:tc>
          <w:tcPr>
            <w:tcW w:w="45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4,840.0</w:t>
            </w: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4,072.7</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623.9</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143.4</w:t>
            </w:r>
          </w:p>
        </w:tc>
      </w:tr>
      <w:tr>
        <w:trPr>
          <w:trHeight w:val="209"/>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shd w:val="clear" w:color="auto" w:fill="E2E8F1"/>
          </w:tcPr>
          <w:p>
            <w:pPr>
              <w:spacing w:after="0"/>
              <w:rPr>
                <w:sz w:val="18"/>
                <w:szCs w:val="18"/>
                <w:color w:val="auto"/>
              </w:rPr>
            </w:pPr>
          </w:p>
        </w:tc>
        <w:tc>
          <w:tcPr>
            <w:tcW w:w="200" w:type="dxa"/>
            <w:vAlign w:val="bottom"/>
            <w:tcBorders>
              <w:top w:val="single" w:sz="8" w:color="231F20"/>
            </w:tcBorders>
            <w:shd w:val="clear" w:color="auto" w:fill="E2E8F1"/>
          </w:tcPr>
          <w:p>
            <w:pPr>
              <w:spacing w:after="0"/>
              <w:rPr>
                <w:sz w:val="18"/>
                <w:szCs w:val="18"/>
                <w:color w:val="auto"/>
              </w:rPr>
            </w:pPr>
          </w:p>
        </w:tc>
        <w:tc>
          <w:tcPr>
            <w:tcW w:w="1140" w:type="dxa"/>
            <w:vAlign w:val="bottom"/>
            <w:tcBorders>
              <w:top w:val="single" w:sz="8" w:color="231F20"/>
            </w:tcBorders>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tcBorders>
              <w:top w:val="single" w:sz="8" w:color="231F20"/>
            </w:tcBorders>
            <w:shd w:val="clear" w:color="auto" w:fill="E2E8F1"/>
          </w:tcPr>
          <w:p>
            <w:pPr>
              <w:spacing w:after="0"/>
              <w:rPr>
                <w:sz w:val="18"/>
                <w:szCs w:val="18"/>
                <w:color w:val="auto"/>
              </w:rPr>
            </w:pPr>
          </w:p>
        </w:tc>
        <w:tc>
          <w:tcPr>
            <w:tcW w:w="980" w:type="dxa"/>
            <w:vAlign w:val="bottom"/>
            <w:tcBorders>
              <w:top w:val="single" w:sz="8" w:color="231F20"/>
            </w:tcBorders>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tcBorders>
              <w:top w:val="single" w:sz="8" w:color="231F20"/>
            </w:tcBorders>
            <w:shd w:val="clear" w:color="auto" w:fill="E2E8F1"/>
          </w:tcPr>
          <w:p>
            <w:pPr>
              <w:spacing w:after="0"/>
              <w:rPr>
                <w:sz w:val="18"/>
                <w:szCs w:val="18"/>
                <w:color w:val="auto"/>
              </w:rPr>
            </w:pPr>
          </w:p>
        </w:tc>
        <w:tc>
          <w:tcPr>
            <w:tcW w:w="1260" w:type="dxa"/>
            <w:vAlign w:val="bottom"/>
            <w:tcBorders>
              <w:top w:val="single" w:sz="8" w:color="231F20"/>
            </w:tcBorders>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tcBorders>
              <w:top w:val="single" w:sz="8" w:color="231F20"/>
            </w:tcBorders>
            <w:shd w:val="clear" w:color="auto" w:fill="E2E8F1"/>
          </w:tcPr>
          <w:p>
            <w:pPr>
              <w:spacing w:after="0"/>
              <w:rPr>
                <w:sz w:val="18"/>
                <w:szCs w:val="18"/>
                <w:color w:val="auto"/>
              </w:rPr>
            </w:pPr>
          </w:p>
        </w:tc>
        <w:tc>
          <w:tcPr>
            <w:tcW w:w="1100" w:type="dxa"/>
            <w:vAlign w:val="bottom"/>
            <w:tcBorders>
              <w:top w:val="single" w:sz="8" w:color="231F20"/>
            </w:tcBorders>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203"/>
        </w:trPr>
        <w:tc>
          <w:tcPr>
            <w:tcW w:w="4540" w:type="dxa"/>
            <w:vAlign w:val="bottom"/>
            <w:tcBorders>
              <w:bottom w:val="single" w:sz="8" w:color="E2E8F1"/>
            </w:tcBorders>
            <w:shd w:val="clear" w:color="auto" w:fill="E2E8F1"/>
          </w:tcPr>
          <w:p>
            <w:pPr>
              <w:ind w:left="140"/>
              <w:spacing w:after="0" w:line="203" w:lineRule="exact"/>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(b)</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11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E2E8F1"/>
            </w:tcBorders>
            <w:shd w:val="clear" w:color="auto" w:fill="E2E8F1"/>
          </w:tcPr>
          <w:p>
            <w:pPr>
              <w:spacing w:after="0"/>
              <w:rPr>
                <w:sz w:val="17"/>
                <w:szCs w:val="17"/>
                <w:color w:val="auto"/>
              </w:rPr>
            </w:pPr>
          </w:p>
        </w:tc>
        <w:tc>
          <w:tcPr>
            <w:tcW w:w="98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126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(7.0)</w:t>
            </w:r>
          </w:p>
        </w:tc>
      </w:tr>
      <w:tr>
        <w:trPr>
          <w:trHeight w:val="209"/>
        </w:trPr>
        <w:tc>
          <w:tcPr>
            <w:tcW w:w="4540" w:type="dxa"/>
            <w:vAlign w:val="bottom"/>
          </w:tcPr>
          <w:p>
            <w:pPr>
              <w:ind w:left="240"/>
              <w:spacing w:after="0"/>
              <w:rPr>
                <w:sz w:val="20"/>
                <w:szCs w:val="20"/>
                <w:color w:val="auto"/>
              </w:rPr>
            </w:pPr>
            <w:r>
              <w:rPr>
                <w:rFonts w:ascii="Arial" w:cs="Arial" w:eastAsia="Arial" w:hAnsi="Arial"/>
                <w:sz w:val="16"/>
                <w:szCs w:val="16"/>
                <w:color w:val="auto"/>
              </w:rPr>
              <w:t>Operating profit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82.3</w:t>
            </w: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11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E2E8F1"/>
            </w:tcBorders>
            <w:shd w:val="clear" w:color="auto" w:fill="E2E8F1"/>
          </w:tcPr>
          <w:p>
            <w:pPr>
              <w:spacing w:after="0"/>
              <w:rPr>
                <w:sz w:val="17"/>
                <w:szCs w:val="17"/>
                <w:color w:val="auto"/>
              </w:rPr>
            </w:pPr>
          </w:p>
        </w:tc>
        <w:tc>
          <w:tcPr>
            <w:tcW w:w="98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126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(14.3)</w:t>
            </w:r>
          </w:p>
        </w:tc>
      </w:tr>
      <w:tr>
        <w:trPr>
          <w:trHeight w:val="183"/>
        </w:trPr>
        <w:tc>
          <w:tcPr>
            <w:tcW w:w="4540" w:type="dxa"/>
            <w:vAlign w:val="bottom"/>
          </w:tcPr>
          <w:p>
            <w:pPr>
              <w:ind w:left="140"/>
              <w:spacing w:after="0" w:line="169" w:lineRule="exact"/>
              <w:rPr>
                <w:sz w:val="20"/>
                <w:szCs w:val="20"/>
                <w:color w:val="auto"/>
              </w:rPr>
            </w:pPr>
            <w:r>
              <w:rPr>
                <w:rFonts w:ascii="Arial" w:cs="Arial" w:eastAsia="Arial" w:hAnsi="Arial"/>
                <w:sz w:val="16"/>
                <w:szCs w:val="16"/>
                <w:color w:val="auto"/>
              </w:rPr>
              <w:t>Earnings before income taxes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line="169" w:lineRule="exact"/>
              <w:rPr>
                <w:sz w:val="20"/>
                <w:szCs w:val="20"/>
                <w:color w:val="auto"/>
              </w:rPr>
            </w:pPr>
            <w:r>
              <w:rPr>
                <w:rFonts w:ascii="Arial" w:cs="Arial" w:eastAsia="Arial" w:hAnsi="Arial"/>
                <w:sz w:val="16"/>
                <w:szCs w:val="16"/>
                <w:color w:val="auto"/>
              </w:rPr>
              <w:t>68.0</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-2348230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-2348230</wp:posOffset>
            </wp:positionV>
            <wp:extent cx="1117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-2348230</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-1525270</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-1525270</wp:posOffset>
            </wp:positionV>
            <wp:extent cx="1117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-1525270</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-1250950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-1250950</wp:posOffset>
            </wp:positionV>
            <wp:extent cx="1117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-1250950</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-976630</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-976630</wp:posOffset>
            </wp:positionV>
            <wp:extent cx="111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-976630</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5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$2.4 for the three months ended September 30, 2026.</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auto"/>
            </w:tcBorders>
            <w:shd w:val="clear" w:color="auto" w:fill="98B0CF"/>
          </w:tcPr>
          <w:p>
            <w:pPr>
              <w:spacing w:after="0"/>
              <w:rPr>
                <w:sz w:val="14"/>
                <w:szCs w:val="14"/>
                <w:color w:val="auto"/>
              </w:rPr>
            </w:pPr>
          </w:p>
        </w:tc>
        <w:tc>
          <w:tcPr>
            <w:tcW w:w="70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114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380" w:type="dxa"/>
            <w:vAlign w:val="bottom"/>
            <w:tcBorders>
              <w:top w:val="single" w:sz="8" w:color="auto"/>
            </w:tcBorders>
            <w:shd w:val="clear" w:color="auto" w:fill="98B0CF"/>
          </w:tcPr>
          <w:p>
            <w:pPr>
              <w:spacing w:after="0"/>
              <w:rPr>
                <w:sz w:val="14"/>
                <w:szCs w:val="14"/>
                <w:color w:val="auto"/>
              </w:rPr>
            </w:pPr>
          </w:p>
        </w:tc>
        <w:tc>
          <w:tcPr>
            <w:tcW w:w="980" w:type="dxa"/>
            <w:vAlign w:val="bottom"/>
            <w:tcBorders>
              <w:top w:val="single" w:sz="8" w:color="auto"/>
            </w:tcBorders>
            <w:shd w:val="clear" w:color="auto" w:fill="98B0CF"/>
          </w:tcPr>
          <w:p>
            <w:pPr>
              <w:spacing w:after="0"/>
              <w:rPr>
                <w:sz w:val="14"/>
                <w:szCs w:val="14"/>
                <w:color w:val="auto"/>
              </w:rPr>
            </w:pPr>
          </w:p>
        </w:tc>
        <w:tc>
          <w:tcPr>
            <w:tcW w:w="18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1260" w:type="dxa"/>
            <w:vAlign w:val="bottom"/>
            <w:tcBorders>
              <w:top w:val="single" w:sz="8" w:color="auto"/>
            </w:tcBorders>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rPr>
              <w:t>Selling and</w:t>
            </w:r>
          </w:p>
        </w:tc>
        <w:tc>
          <w:tcPr>
            <w:tcW w:w="160" w:type="dxa"/>
            <w:vAlign w:val="bottom"/>
            <w:tcBorders>
              <w:top w:val="single" w:sz="8" w:color="auto"/>
            </w:tcBorders>
            <w:shd w:val="clear" w:color="auto" w:fill="98B0CF"/>
          </w:tcPr>
          <w:p>
            <w:pPr>
              <w:spacing w:after="0"/>
              <w:rPr>
                <w:sz w:val="14"/>
                <w:szCs w:val="14"/>
                <w:color w:val="auto"/>
              </w:rPr>
            </w:pPr>
          </w:p>
        </w:tc>
        <w:tc>
          <w:tcPr>
            <w:tcW w:w="300" w:type="dxa"/>
            <w:vAlign w:val="bottom"/>
            <w:tcBorders>
              <w:top w:val="single" w:sz="8" w:color="auto"/>
            </w:tcBorders>
            <w:shd w:val="clear" w:color="auto" w:fill="98B0CF"/>
          </w:tcPr>
          <w:p>
            <w:pPr>
              <w:spacing w:after="0"/>
              <w:rPr>
                <w:sz w:val="14"/>
                <w:szCs w:val="14"/>
                <w:color w:val="auto"/>
              </w:rPr>
            </w:pPr>
          </w:p>
        </w:tc>
        <w:tc>
          <w:tcPr>
            <w:tcW w:w="1100" w:type="dxa"/>
            <w:vAlign w:val="bottom"/>
            <w:tcBorders>
              <w:top w:val="single" w:sz="8" w:color="auto"/>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shd w:val="clear" w:color="auto" w:fill="98B0CF"/>
          </w:tcPr>
          <w:p>
            <w:pPr>
              <w:jc w:val="center"/>
              <w:ind w:right="141"/>
              <w:spacing w:after="0"/>
              <w:rPr>
                <w:sz w:val="20"/>
                <w:szCs w:val="20"/>
                <w:color w:val="auto"/>
              </w:rPr>
            </w:pPr>
            <w:r>
              <w:rPr>
                <w:rFonts w:ascii="Arial" w:cs="Arial" w:eastAsia="Arial" w:hAnsi="Arial"/>
                <w:sz w:val="14"/>
                <w:szCs w:val="14"/>
                <w:b w:val="1"/>
                <w:bCs w:val="1"/>
                <w:color w:val="auto"/>
              </w:rPr>
              <w:t>Administrative</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r>
      <w:tr>
        <w:trPr>
          <w:trHeight w:val="171"/>
        </w:trPr>
        <w:tc>
          <w:tcPr>
            <w:tcW w:w="4540" w:type="dxa"/>
            <w:vAlign w:val="bottom"/>
            <w:tcBorders>
              <w:bottom w:val="single" w:sz="8" w:color="auto"/>
            </w:tcBorders>
            <w:shd w:val="clear" w:color="auto" w:fill="98B0CF"/>
          </w:tcPr>
          <w:p>
            <w:pPr>
              <w:ind w:left="60"/>
              <w:spacing w:after="0"/>
              <w:rPr>
                <w:sz w:val="20"/>
                <w:szCs w:val="20"/>
                <w:color w:val="auto"/>
              </w:rPr>
            </w:pPr>
            <w:r>
              <w:rPr>
                <w:rFonts w:ascii="Arial" w:cs="Arial" w:eastAsia="Arial" w:hAnsi="Arial"/>
                <w:sz w:val="14"/>
                <w:szCs w:val="14"/>
                <w:b w:val="1"/>
                <w:bCs w:val="1"/>
                <w:color w:val="auto"/>
              </w:rPr>
              <w:t>Three Months Ended September 30, 2025</w:t>
            </w:r>
          </w:p>
        </w:tc>
        <w:tc>
          <w:tcPr>
            <w:tcW w:w="700" w:type="dxa"/>
            <w:vAlign w:val="bottom"/>
            <w:tcBorders>
              <w:bottom w:val="single" w:sz="8" w:color="auto"/>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1140" w:type="dxa"/>
            <w:vAlign w:val="bottom"/>
            <w:tcBorders>
              <w:bottom w:val="single" w:sz="8" w:color="auto"/>
            </w:tcBorders>
            <w:shd w:val="clear" w:color="auto" w:fill="98B0CF"/>
          </w:tcPr>
          <w:p>
            <w:pPr>
              <w:jc w:val="right"/>
              <w:ind w:right="36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auto"/>
            </w:tcBorders>
            <w:shd w:val="clear" w:color="auto" w:fill="98B0CF"/>
          </w:tcPr>
          <w:p>
            <w:pPr>
              <w:spacing w:after="0"/>
              <w:rPr>
                <w:sz w:val="14"/>
                <w:szCs w:val="14"/>
                <w:color w:val="auto"/>
              </w:rPr>
            </w:pPr>
          </w:p>
        </w:tc>
        <w:tc>
          <w:tcPr>
            <w:tcW w:w="1360" w:type="dxa"/>
            <w:vAlign w:val="bottom"/>
            <w:tcBorders>
              <w:bottom w:val="single" w:sz="8" w:color="auto"/>
            </w:tcBorders>
            <w:gridSpan w:val="2"/>
            <w:shd w:val="clear" w:color="auto" w:fill="98B0CF"/>
          </w:tcPr>
          <w:p>
            <w:pPr>
              <w:jc w:val="right"/>
              <w:ind w:right="99"/>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260" w:type="dxa"/>
            <w:vAlign w:val="bottom"/>
            <w:tcBorders>
              <w:bottom w:val="single" w:sz="8" w:color="auto"/>
            </w:tcBorders>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rPr>
              <w:t>Expenses</w:t>
            </w:r>
          </w:p>
        </w:tc>
        <w:tc>
          <w:tcPr>
            <w:tcW w:w="160" w:type="dxa"/>
            <w:vAlign w:val="bottom"/>
            <w:tcBorders>
              <w:bottom w:val="single" w:sz="8" w:color="auto"/>
            </w:tcBorders>
            <w:shd w:val="clear" w:color="auto" w:fill="98B0CF"/>
          </w:tcPr>
          <w:p>
            <w:pPr>
              <w:spacing w:after="0"/>
              <w:rPr>
                <w:sz w:val="14"/>
                <w:szCs w:val="14"/>
                <w:color w:val="auto"/>
              </w:rPr>
            </w:pPr>
          </w:p>
        </w:tc>
        <w:tc>
          <w:tcPr>
            <w:tcW w:w="300" w:type="dxa"/>
            <w:vAlign w:val="bottom"/>
            <w:tcBorders>
              <w:bottom w:val="single" w:sz="8" w:color="auto"/>
            </w:tcBorders>
            <w:shd w:val="clear" w:color="auto" w:fill="98B0CF"/>
          </w:tcPr>
          <w:p>
            <w:pPr>
              <w:spacing w:after="0"/>
              <w:rPr>
                <w:sz w:val="14"/>
                <w:szCs w:val="14"/>
                <w:color w:val="auto"/>
              </w:rPr>
            </w:pPr>
          </w:p>
        </w:tc>
        <w:tc>
          <w:tcPr>
            <w:tcW w:w="1100" w:type="dxa"/>
            <w:vAlign w:val="bottom"/>
            <w:tcBorders>
              <w:bottom w:val="single" w:sz="8" w:color="auto"/>
            </w:tcBorders>
            <w:shd w:val="clear" w:color="auto" w:fill="98B0CF"/>
          </w:tcPr>
          <w:p>
            <w:pPr>
              <w:jc w:val="right"/>
              <w:ind w:right="520"/>
              <w:spacing w:after="0"/>
              <w:rPr>
                <w:sz w:val="20"/>
                <w:szCs w:val="20"/>
                <w:color w:val="auto"/>
              </w:rPr>
            </w:pPr>
            <w:r>
              <w:rPr>
                <w:rFonts w:ascii="Arial" w:cs="Arial" w:eastAsia="Arial" w:hAnsi="Arial"/>
                <w:sz w:val="14"/>
                <w:szCs w:val="14"/>
                <w:b w:val="1"/>
                <w:bCs w:val="1"/>
                <w:color w:val="auto"/>
              </w:rPr>
              <w:t>OUP</w:t>
            </w: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690.8</w:t>
            </w: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515.7</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154.5</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20.6</w:t>
            </w: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407.9</w:t>
            </w: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341.7</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48.9</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17.3</w:t>
            </w: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1,098.7</w:t>
            </w: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857.4</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203.4</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60"/>
              <w:spacing w:after="0"/>
              <w:rPr>
                <w:sz w:val="20"/>
                <w:szCs w:val="20"/>
                <w:color w:val="auto"/>
              </w:rPr>
            </w:pPr>
            <w:r>
              <w:rPr>
                <w:rFonts w:ascii="Arial" w:cs="Arial" w:eastAsia="Arial" w:hAnsi="Arial"/>
                <w:sz w:val="16"/>
                <w:szCs w:val="16"/>
                <w:color w:val="auto"/>
              </w:rPr>
              <w:t>37.9</w:t>
            </w:r>
          </w:p>
        </w:tc>
      </w:tr>
      <w:tr>
        <w:trPr>
          <w:trHeight w:val="209"/>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Southern Europe: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1,173.5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132.4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30.6</w:t>
            </w: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462.5</w:t>
            </w: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98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390.6</w:t>
            </w: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45.3</w:t>
            </w: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26.6</w:t>
            </w: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569.5</w:t>
            </w: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495.7</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65.4</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60"/>
              <w:spacing w:after="0"/>
              <w:rPr>
                <w:sz w:val="20"/>
                <w:szCs w:val="20"/>
                <w:color w:val="auto"/>
              </w:rPr>
            </w:pPr>
            <w:r>
              <w:rPr>
                <w:rFonts w:ascii="Arial" w:cs="Arial" w:eastAsia="Arial" w:hAnsi="Arial"/>
                <w:sz w:val="16"/>
                <w:szCs w:val="16"/>
                <w:color w:val="auto"/>
              </w:rPr>
              <w:t>8.4</w:t>
            </w: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2,205.5</w:t>
            </w: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1,896.8</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243.1</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65.6</w:t>
            </w:r>
          </w:p>
        </w:tc>
      </w:tr>
      <w:tr>
        <w:trPr>
          <w:trHeight w:val="209"/>
        </w:trPr>
        <w:tc>
          <w:tcPr>
            <w:tcW w:w="45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816.8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684.3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147.4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03"/>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520.5</w:t>
            </w: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433.3</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60.4</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26.8</w:t>
            </w:r>
          </w:p>
        </w:tc>
      </w:tr>
      <w:tr>
        <w:trPr>
          <w:trHeight w:val="196"/>
        </w:trPr>
        <w:tc>
          <w:tcPr>
            <w:tcW w:w="4540" w:type="dxa"/>
            <w:vAlign w:val="bottom"/>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4,641.5</w:t>
            </w: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3,871.8</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654.3</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60"/>
              <w:spacing w:after="0"/>
              <w:rPr>
                <w:sz w:val="20"/>
                <w:szCs w:val="20"/>
                <w:color w:val="auto"/>
              </w:rPr>
            </w:pPr>
            <w:r>
              <w:rPr>
                <w:rFonts w:ascii="Arial" w:cs="Arial" w:eastAsia="Arial" w:hAnsi="Arial"/>
                <w:sz w:val="16"/>
                <w:szCs w:val="16"/>
                <w:color w:val="auto"/>
              </w:rPr>
              <w:t>115.4</w:t>
            </w:r>
          </w:p>
        </w:tc>
      </w:tr>
      <w:tr>
        <w:trPr>
          <w:trHeight w:val="196"/>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(7.1)</w:t>
            </w: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(6.3)</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(0.8)</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w:t>
            </w:r>
          </w:p>
        </w:tc>
      </w:tr>
      <w:tr>
        <w:trPr>
          <w:trHeight w:val="182"/>
        </w:trPr>
        <w:tc>
          <w:tcPr>
            <w:tcW w:w="4540" w:type="dxa"/>
            <w:vAlign w:val="bottom"/>
          </w:tcPr>
          <w:p>
            <w:pPr>
              <w:spacing w:after="0"/>
              <w:rPr>
                <w:sz w:val="15"/>
                <w:szCs w:val="15"/>
                <w:color w:val="auto"/>
              </w:rPr>
            </w:pPr>
          </w:p>
        </w:tc>
        <w:tc>
          <w:tcPr>
            <w:tcW w:w="9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4,634.4</w:t>
            </w:r>
          </w:p>
        </w:tc>
        <w:tc>
          <w:tcPr>
            <w:tcW w:w="580" w:type="dxa"/>
            <w:vAlign w:val="bottom"/>
            <w:gridSpan w:val="2"/>
          </w:tcPr>
          <w:p>
            <w:pPr>
              <w:jc w:val="right"/>
              <w:ind w:right="228"/>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3,865.5</w:t>
            </w:r>
          </w:p>
        </w:tc>
        <w:tc>
          <w:tcPr>
            <w:tcW w:w="2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line="183" w:lineRule="exact"/>
              <w:rPr>
                <w:sz w:val="20"/>
                <w:szCs w:val="20"/>
                <w:color w:val="auto"/>
              </w:rPr>
            </w:pPr>
            <w:r>
              <w:rPr>
                <w:rFonts w:ascii="Arial" w:cs="Arial" w:eastAsia="Arial" w:hAnsi="Arial"/>
                <w:sz w:val="16"/>
                <w:szCs w:val="16"/>
                <w:color w:val="auto"/>
              </w:rPr>
              <w:t>653.5</w:t>
            </w:r>
          </w:p>
        </w:tc>
        <w:tc>
          <w:tcPr>
            <w:tcW w:w="4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115.4</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r>
      <w:tr>
        <w:trPr>
          <w:trHeight w:val="197"/>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98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26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shd w:val="clear" w:color="auto" w:fill="E2E8F1"/>
          </w:tcPr>
          <w:p>
            <w:pPr>
              <w:spacing w:after="0"/>
              <w:rPr>
                <w:sz w:val="17"/>
                <w:szCs w:val="17"/>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203"/>
        </w:trPr>
        <w:tc>
          <w:tcPr>
            <w:tcW w:w="4540" w:type="dxa"/>
            <w:vAlign w:val="bottom"/>
            <w:tcBorders>
              <w:bottom w:val="single" w:sz="8" w:color="E2E8F1"/>
            </w:tcBorders>
            <w:shd w:val="clear" w:color="auto" w:fill="E2E8F1"/>
          </w:tcPr>
          <w:p>
            <w:pPr>
              <w:ind w:left="140"/>
              <w:spacing w:after="0" w:line="203" w:lineRule="exact"/>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(b)</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11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E2E8F1"/>
            </w:tcBorders>
            <w:shd w:val="clear" w:color="auto" w:fill="E2E8F1"/>
          </w:tcPr>
          <w:p>
            <w:pPr>
              <w:spacing w:after="0"/>
              <w:rPr>
                <w:sz w:val="17"/>
                <w:szCs w:val="17"/>
                <w:color w:val="auto"/>
              </w:rPr>
            </w:pPr>
          </w:p>
        </w:tc>
        <w:tc>
          <w:tcPr>
            <w:tcW w:w="98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126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auto"/>
            </w:tcBorders>
            <w:shd w:val="clear" w:color="auto" w:fill="E2E8F1"/>
          </w:tcPr>
          <w:p>
            <w:pPr>
              <w:spacing w:after="0"/>
              <w:rPr>
                <w:sz w:val="17"/>
                <w:szCs w:val="17"/>
                <w:color w:val="auto"/>
              </w:rPr>
            </w:pPr>
          </w:p>
        </w:tc>
        <w:tc>
          <w:tcPr>
            <w:tcW w:w="11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(7.9)</w:t>
            </w:r>
          </w:p>
        </w:tc>
      </w:tr>
      <w:tr>
        <w:trPr>
          <w:trHeight w:val="210"/>
        </w:trPr>
        <w:tc>
          <w:tcPr>
            <w:tcW w:w="4540" w:type="dxa"/>
            <w:vAlign w:val="bottom"/>
          </w:tcPr>
          <w:p>
            <w:pPr>
              <w:ind w:left="240"/>
              <w:spacing w:after="0"/>
              <w:rPr>
                <w:sz w:val="20"/>
                <w:szCs w:val="20"/>
                <w:color w:val="auto"/>
              </w:rPr>
            </w:pPr>
            <w:r>
              <w:rPr>
                <w:rFonts w:ascii="Arial" w:cs="Arial" w:eastAsia="Arial" w:hAnsi="Arial"/>
                <w:sz w:val="16"/>
                <w:szCs w:val="16"/>
                <w:color w:val="auto"/>
              </w:rPr>
              <w:t>Operating profit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66.6</w:t>
            </w: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11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E2E8F1"/>
            </w:tcBorders>
            <w:shd w:val="clear" w:color="auto" w:fill="E2E8F1"/>
          </w:tcPr>
          <w:p>
            <w:pPr>
              <w:spacing w:after="0"/>
              <w:rPr>
                <w:sz w:val="17"/>
                <w:szCs w:val="17"/>
                <w:color w:val="auto"/>
              </w:rPr>
            </w:pPr>
          </w:p>
        </w:tc>
        <w:tc>
          <w:tcPr>
            <w:tcW w:w="98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126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auto"/>
            </w:tcBorders>
            <w:shd w:val="clear" w:color="auto" w:fill="E2E8F1"/>
          </w:tcPr>
          <w:p>
            <w:pPr>
              <w:spacing w:after="0"/>
              <w:rPr>
                <w:sz w:val="17"/>
                <w:szCs w:val="17"/>
                <w:color w:val="auto"/>
              </w:rPr>
            </w:pPr>
          </w:p>
        </w:tc>
        <w:tc>
          <w:tcPr>
            <w:tcW w:w="11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(13.7)</w:t>
            </w:r>
          </w:p>
        </w:tc>
      </w:tr>
      <w:tr>
        <w:trPr>
          <w:trHeight w:val="183"/>
        </w:trPr>
        <w:tc>
          <w:tcPr>
            <w:tcW w:w="4540" w:type="dxa"/>
            <w:vAlign w:val="bottom"/>
          </w:tcPr>
          <w:p>
            <w:pPr>
              <w:ind w:left="140"/>
              <w:spacing w:after="0" w:line="169" w:lineRule="exact"/>
              <w:rPr>
                <w:sz w:val="20"/>
                <w:szCs w:val="20"/>
                <w:color w:val="auto"/>
              </w:rPr>
            </w:pPr>
            <w:r>
              <w:rPr>
                <w:rFonts w:ascii="Arial" w:cs="Arial" w:eastAsia="Arial" w:hAnsi="Arial"/>
                <w:sz w:val="16"/>
                <w:szCs w:val="16"/>
                <w:color w:val="auto"/>
              </w:rPr>
              <w:t>Earnings before income taxes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line="169" w:lineRule="exact"/>
              <w:rPr>
                <w:sz w:val="20"/>
                <w:szCs w:val="20"/>
                <w:color w:val="auto"/>
              </w:rPr>
            </w:pPr>
            <w:r>
              <w:rPr>
                <w:rFonts w:ascii="Arial" w:cs="Arial" w:eastAsia="Arial" w:hAnsi="Arial"/>
                <w:sz w:val="16"/>
                <w:szCs w:val="16"/>
                <w:color w:val="auto"/>
              </w:rPr>
              <w:t>52.9</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-2356485</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-2356485</wp:posOffset>
            </wp:positionV>
            <wp:extent cx="1117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-2356485</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-1533525</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-1533525</wp:posOffset>
            </wp:positionV>
            <wp:extent cx="1117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-1533525</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-1259205</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-1259205</wp:posOffset>
            </wp:positionV>
            <wp:extent cx="1117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-1259205</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-984885</wp:posOffset>
            </wp:positionV>
            <wp:extent cx="120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-984885</wp:posOffset>
            </wp:positionV>
            <wp:extent cx="1117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-984885</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5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$2.7 for the three months ended September 30, 2025.</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auto"/>
            </w:tcBorders>
            <w:shd w:val="clear" w:color="auto" w:fill="98B0CF"/>
          </w:tcPr>
          <w:p>
            <w:pPr>
              <w:spacing w:after="0"/>
              <w:rPr>
                <w:sz w:val="14"/>
                <w:szCs w:val="14"/>
                <w:color w:val="auto"/>
              </w:rPr>
            </w:pPr>
          </w:p>
        </w:tc>
        <w:tc>
          <w:tcPr>
            <w:tcW w:w="70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114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340" w:type="dxa"/>
            <w:vAlign w:val="bottom"/>
            <w:tcBorders>
              <w:top w:val="single" w:sz="8" w:color="auto"/>
            </w:tcBorders>
            <w:shd w:val="clear" w:color="auto" w:fill="98B0CF"/>
          </w:tcPr>
          <w:p>
            <w:pPr>
              <w:spacing w:after="0"/>
              <w:rPr>
                <w:sz w:val="14"/>
                <w:szCs w:val="14"/>
                <w:color w:val="auto"/>
              </w:rPr>
            </w:pPr>
          </w:p>
        </w:tc>
        <w:tc>
          <w:tcPr>
            <w:tcW w:w="1020" w:type="dxa"/>
            <w:vAlign w:val="bottom"/>
            <w:tcBorders>
              <w:top w:val="single" w:sz="8" w:color="auto"/>
            </w:tcBorders>
            <w:shd w:val="clear" w:color="auto" w:fill="98B0CF"/>
          </w:tcPr>
          <w:p>
            <w:pPr>
              <w:spacing w:after="0"/>
              <w:rPr>
                <w:sz w:val="14"/>
                <w:szCs w:val="14"/>
                <w:color w:val="auto"/>
              </w:rPr>
            </w:pPr>
          </w:p>
        </w:tc>
        <w:tc>
          <w:tcPr>
            <w:tcW w:w="18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1260" w:type="dxa"/>
            <w:vAlign w:val="bottom"/>
            <w:tcBorders>
              <w:top w:val="single" w:sz="8" w:color="auto"/>
            </w:tcBorders>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rPr>
              <w:t>Selling and</w:t>
            </w:r>
          </w:p>
        </w:tc>
        <w:tc>
          <w:tcPr>
            <w:tcW w:w="160" w:type="dxa"/>
            <w:vAlign w:val="bottom"/>
            <w:tcBorders>
              <w:top w:val="single" w:sz="8" w:color="auto"/>
            </w:tcBorders>
            <w:shd w:val="clear" w:color="auto" w:fill="98B0CF"/>
          </w:tcPr>
          <w:p>
            <w:pPr>
              <w:spacing w:after="0"/>
              <w:rPr>
                <w:sz w:val="14"/>
                <w:szCs w:val="14"/>
                <w:color w:val="auto"/>
              </w:rPr>
            </w:pPr>
          </w:p>
        </w:tc>
        <w:tc>
          <w:tcPr>
            <w:tcW w:w="300" w:type="dxa"/>
            <w:vAlign w:val="bottom"/>
            <w:tcBorders>
              <w:top w:val="single" w:sz="8" w:color="auto"/>
            </w:tcBorders>
            <w:shd w:val="clear" w:color="auto" w:fill="98B0CF"/>
          </w:tcPr>
          <w:p>
            <w:pPr>
              <w:spacing w:after="0"/>
              <w:rPr>
                <w:sz w:val="14"/>
                <w:szCs w:val="14"/>
                <w:color w:val="auto"/>
              </w:rPr>
            </w:pPr>
          </w:p>
        </w:tc>
        <w:tc>
          <w:tcPr>
            <w:tcW w:w="1100" w:type="dxa"/>
            <w:vAlign w:val="bottom"/>
            <w:tcBorders>
              <w:top w:val="single" w:sz="8" w:color="auto"/>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40" w:type="dxa"/>
            <w:vAlign w:val="bottom"/>
            <w:shd w:val="clear" w:color="auto" w:fill="98B0CF"/>
          </w:tcPr>
          <w:p>
            <w:pPr>
              <w:spacing w:after="0"/>
              <w:rPr>
                <w:sz w:val="14"/>
                <w:szCs w:val="14"/>
                <w:color w:val="auto"/>
              </w:rPr>
            </w:pPr>
          </w:p>
        </w:tc>
        <w:tc>
          <w:tcPr>
            <w:tcW w:w="10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shd w:val="clear" w:color="auto" w:fill="98B0CF"/>
          </w:tcPr>
          <w:p>
            <w:pPr>
              <w:jc w:val="center"/>
              <w:ind w:right="141"/>
              <w:spacing w:after="0"/>
              <w:rPr>
                <w:sz w:val="20"/>
                <w:szCs w:val="20"/>
                <w:color w:val="auto"/>
              </w:rPr>
            </w:pPr>
            <w:r>
              <w:rPr>
                <w:rFonts w:ascii="Arial" w:cs="Arial" w:eastAsia="Arial" w:hAnsi="Arial"/>
                <w:sz w:val="14"/>
                <w:szCs w:val="14"/>
                <w:b w:val="1"/>
                <w:bCs w:val="1"/>
                <w:color w:val="auto"/>
              </w:rPr>
              <w:t>Administrative</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r>
      <w:tr>
        <w:trPr>
          <w:trHeight w:val="171"/>
        </w:trPr>
        <w:tc>
          <w:tcPr>
            <w:tcW w:w="4540" w:type="dxa"/>
            <w:vAlign w:val="bottom"/>
            <w:tcBorders>
              <w:bottom w:val="single" w:sz="8" w:color="auto"/>
            </w:tcBorders>
            <w:shd w:val="clear" w:color="auto" w:fill="98B0CF"/>
          </w:tcPr>
          <w:p>
            <w:pPr>
              <w:ind w:left="60"/>
              <w:spacing w:after="0"/>
              <w:rPr>
                <w:sz w:val="20"/>
                <w:szCs w:val="20"/>
                <w:color w:val="auto"/>
              </w:rPr>
            </w:pPr>
            <w:r>
              <w:rPr>
                <w:rFonts w:ascii="Arial" w:cs="Arial" w:eastAsia="Arial" w:hAnsi="Arial"/>
                <w:sz w:val="14"/>
                <w:szCs w:val="14"/>
                <w:b w:val="1"/>
                <w:bCs w:val="1"/>
                <w:color w:val="auto"/>
              </w:rPr>
              <w:t>Nine Months Ended September 30, 2026</w:t>
            </w:r>
          </w:p>
        </w:tc>
        <w:tc>
          <w:tcPr>
            <w:tcW w:w="700" w:type="dxa"/>
            <w:vAlign w:val="bottom"/>
            <w:tcBorders>
              <w:bottom w:val="single" w:sz="8" w:color="auto"/>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1140" w:type="dxa"/>
            <w:vAlign w:val="bottom"/>
            <w:tcBorders>
              <w:bottom w:val="single" w:sz="8" w:color="auto"/>
            </w:tcBorders>
            <w:shd w:val="clear" w:color="auto" w:fill="98B0CF"/>
          </w:tcPr>
          <w:p>
            <w:pPr>
              <w:jc w:val="right"/>
              <w:ind w:right="36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auto"/>
            </w:tcBorders>
            <w:shd w:val="clear" w:color="auto" w:fill="98B0CF"/>
          </w:tcPr>
          <w:p>
            <w:pPr>
              <w:spacing w:after="0"/>
              <w:rPr>
                <w:sz w:val="14"/>
                <w:szCs w:val="14"/>
                <w:color w:val="auto"/>
              </w:rPr>
            </w:pPr>
          </w:p>
        </w:tc>
        <w:tc>
          <w:tcPr>
            <w:tcW w:w="1360" w:type="dxa"/>
            <w:vAlign w:val="bottom"/>
            <w:tcBorders>
              <w:bottom w:val="single" w:sz="8" w:color="auto"/>
            </w:tcBorders>
            <w:gridSpan w:val="2"/>
            <w:shd w:val="clear" w:color="auto" w:fill="98B0CF"/>
          </w:tcPr>
          <w:p>
            <w:pPr>
              <w:jc w:val="right"/>
              <w:ind w:right="99"/>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260" w:type="dxa"/>
            <w:vAlign w:val="bottom"/>
            <w:tcBorders>
              <w:bottom w:val="single" w:sz="8" w:color="auto"/>
            </w:tcBorders>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rPr>
              <w:t>Expenses</w:t>
            </w:r>
          </w:p>
        </w:tc>
        <w:tc>
          <w:tcPr>
            <w:tcW w:w="160" w:type="dxa"/>
            <w:vAlign w:val="bottom"/>
            <w:tcBorders>
              <w:bottom w:val="single" w:sz="8" w:color="auto"/>
            </w:tcBorders>
            <w:shd w:val="clear" w:color="auto" w:fill="98B0CF"/>
          </w:tcPr>
          <w:p>
            <w:pPr>
              <w:spacing w:after="0"/>
              <w:rPr>
                <w:sz w:val="14"/>
                <w:szCs w:val="14"/>
                <w:color w:val="auto"/>
              </w:rPr>
            </w:pPr>
          </w:p>
        </w:tc>
        <w:tc>
          <w:tcPr>
            <w:tcW w:w="300" w:type="dxa"/>
            <w:vAlign w:val="bottom"/>
            <w:tcBorders>
              <w:bottom w:val="single" w:sz="8" w:color="auto"/>
            </w:tcBorders>
            <w:shd w:val="clear" w:color="auto" w:fill="98B0CF"/>
          </w:tcPr>
          <w:p>
            <w:pPr>
              <w:spacing w:after="0"/>
              <w:rPr>
                <w:sz w:val="14"/>
                <w:szCs w:val="14"/>
                <w:color w:val="auto"/>
              </w:rPr>
            </w:pPr>
          </w:p>
        </w:tc>
        <w:tc>
          <w:tcPr>
            <w:tcW w:w="1100" w:type="dxa"/>
            <w:vAlign w:val="bottom"/>
            <w:tcBorders>
              <w:bottom w:val="single" w:sz="8" w:color="auto"/>
            </w:tcBorders>
            <w:shd w:val="clear" w:color="auto" w:fill="98B0CF"/>
          </w:tcPr>
          <w:p>
            <w:pPr>
              <w:jc w:val="right"/>
              <w:ind w:right="520"/>
              <w:spacing w:after="0"/>
              <w:rPr>
                <w:sz w:val="20"/>
                <w:szCs w:val="20"/>
                <w:color w:val="auto"/>
              </w:rPr>
            </w:pPr>
            <w:r>
              <w:rPr>
                <w:rFonts w:ascii="Arial" w:cs="Arial" w:eastAsia="Arial" w:hAnsi="Arial"/>
                <w:sz w:val="14"/>
                <w:szCs w:val="14"/>
                <w:b w:val="1"/>
                <w:bCs w:val="1"/>
                <w:color w:val="auto"/>
              </w:rPr>
              <w:t>OUP</w:t>
            </w:r>
          </w:p>
        </w:tc>
      </w:tr>
      <w:tr>
        <w:trPr>
          <w:trHeight w:val="209"/>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10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(a)(b)</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2,098.0</w:t>
            </w:r>
          </w:p>
        </w:tc>
        <w:tc>
          <w:tcPr>
            <w:tcW w:w="54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1,592.0</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426.8</w:t>
            </w: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79.2</w:t>
            </w: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1,476.6</w:t>
            </w: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231F20"/>
            </w:tcBorders>
            <w:shd w:val="clear" w:color="auto" w:fill="E2E8F1"/>
          </w:tcPr>
          <w:p>
            <w:pPr>
              <w:spacing w:after="0"/>
              <w:rPr>
                <w:sz w:val="17"/>
                <w:szCs w:val="17"/>
                <w:color w:val="auto"/>
              </w:rPr>
            </w:pPr>
          </w:p>
        </w:tc>
        <w:tc>
          <w:tcPr>
            <w:tcW w:w="102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1,270.2</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147.2</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59.2</w:t>
            </w: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3,574.6</w:t>
            </w:r>
          </w:p>
        </w:tc>
        <w:tc>
          <w:tcPr>
            <w:tcW w:w="20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2,862.2</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574.0</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60"/>
              <w:spacing w:after="0"/>
              <w:rPr>
                <w:sz w:val="20"/>
                <w:szCs w:val="20"/>
                <w:color w:val="auto"/>
              </w:rPr>
            </w:pPr>
            <w:r>
              <w:rPr>
                <w:rFonts w:ascii="Arial" w:cs="Arial" w:eastAsia="Arial" w:hAnsi="Arial"/>
                <w:sz w:val="16"/>
                <w:szCs w:val="16"/>
                <w:color w:val="auto"/>
              </w:rPr>
              <w:t>138.4</w:t>
            </w: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Southern Europe: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10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3,379.1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2,917.4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393.8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67.9</w:t>
            </w: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1,479.7</w:t>
            </w:r>
          </w:p>
        </w:tc>
        <w:tc>
          <w:tcPr>
            <w:tcW w:w="2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102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1,252.5</w:t>
            </w: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137.0</w:t>
            </w: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90.2</w:t>
            </w: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1,779.1</w:t>
            </w:r>
          </w:p>
        </w:tc>
        <w:tc>
          <w:tcPr>
            <w:tcW w:w="20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1,541.4</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60"/>
              <w:spacing w:after="0"/>
              <w:rPr>
                <w:sz w:val="20"/>
                <w:szCs w:val="20"/>
                <w:color w:val="auto"/>
              </w:rPr>
            </w:pPr>
            <w:r>
              <w:rPr>
                <w:rFonts w:ascii="Arial" w:cs="Arial" w:eastAsia="Arial" w:hAnsi="Arial"/>
                <w:sz w:val="16"/>
                <w:szCs w:val="16"/>
                <w:color w:val="auto"/>
              </w:rPr>
              <w:t>35.8</w:t>
            </w: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6,637.9</w:t>
            </w: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231F20"/>
            </w:tcBorders>
            <w:shd w:val="clear" w:color="auto" w:fill="E2E8F1"/>
          </w:tcPr>
          <w:p>
            <w:pPr>
              <w:spacing w:after="0"/>
              <w:rPr>
                <w:sz w:val="17"/>
                <w:szCs w:val="17"/>
                <w:color w:val="auto"/>
              </w:rPr>
            </w:pPr>
          </w:p>
        </w:tc>
        <w:tc>
          <w:tcPr>
            <w:tcW w:w="102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5,711.3</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732.7</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193.9</w:t>
            </w:r>
          </w:p>
        </w:tc>
      </w:tr>
      <w:tr>
        <w:trPr>
          <w:trHeight w:val="210"/>
        </w:trPr>
        <w:tc>
          <w:tcPr>
            <w:tcW w:w="45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2,476.2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2,086.6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388.3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1.3</w:t>
            </w:r>
          </w:p>
        </w:tc>
      </w:tr>
      <w:tr>
        <w:trPr>
          <w:trHeight w:val="203"/>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1,544.1</w:t>
            </w: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231F20"/>
            </w:tcBorders>
            <w:shd w:val="clear" w:color="auto" w:fill="E2E8F1"/>
          </w:tcPr>
          <w:p>
            <w:pPr>
              <w:spacing w:after="0"/>
              <w:rPr>
                <w:sz w:val="17"/>
                <w:szCs w:val="17"/>
                <w:color w:val="auto"/>
              </w:rPr>
            </w:pPr>
          </w:p>
        </w:tc>
        <w:tc>
          <w:tcPr>
            <w:tcW w:w="102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1,296.4</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178.2</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69.5</w:t>
            </w:r>
          </w:p>
        </w:tc>
      </w:tr>
      <w:tr>
        <w:trPr>
          <w:trHeight w:val="196"/>
        </w:trPr>
        <w:tc>
          <w:tcPr>
            <w:tcW w:w="4540" w:type="dxa"/>
            <w:vAlign w:val="bottom"/>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14,232.8</w:t>
            </w:r>
          </w:p>
        </w:tc>
        <w:tc>
          <w:tcPr>
            <w:tcW w:w="20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11,956.5</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1,873.2</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60"/>
              <w:spacing w:after="0"/>
              <w:rPr>
                <w:sz w:val="20"/>
                <w:szCs w:val="20"/>
                <w:color w:val="auto"/>
              </w:rPr>
            </w:pPr>
            <w:r>
              <w:rPr>
                <w:rFonts w:ascii="Arial" w:cs="Arial" w:eastAsia="Arial" w:hAnsi="Arial"/>
                <w:sz w:val="16"/>
                <w:szCs w:val="16"/>
                <w:color w:val="auto"/>
              </w:rPr>
              <w:t>403.1</w:t>
            </w:r>
          </w:p>
        </w:tc>
      </w:tr>
      <w:tr>
        <w:trPr>
          <w:trHeight w:val="196"/>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(22.2)</w:t>
            </w: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231F20"/>
            </w:tcBorders>
            <w:shd w:val="clear" w:color="auto" w:fill="E2E8F1"/>
          </w:tcPr>
          <w:p>
            <w:pPr>
              <w:spacing w:after="0"/>
              <w:rPr>
                <w:sz w:val="17"/>
                <w:szCs w:val="17"/>
                <w:color w:val="auto"/>
              </w:rPr>
            </w:pPr>
          </w:p>
        </w:tc>
        <w:tc>
          <w:tcPr>
            <w:tcW w:w="102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(16.5)</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(5.7)</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60"/>
              <w:spacing w:after="0"/>
              <w:rPr>
                <w:sz w:val="20"/>
                <w:szCs w:val="20"/>
                <w:color w:val="auto"/>
              </w:rPr>
            </w:pPr>
            <w:r>
              <w:rPr>
                <w:rFonts w:ascii="Arial" w:cs="Arial" w:eastAsia="Arial" w:hAnsi="Arial"/>
                <w:sz w:val="16"/>
                <w:szCs w:val="16"/>
                <w:color w:val="auto"/>
              </w:rPr>
              <w:t>—</w:t>
            </w:r>
          </w:p>
        </w:tc>
      </w:tr>
      <w:tr>
        <w:trPr>
          <w:trHeight w:val="196"/>
        </w:trPr>
        <w:tc>
          <w:tcPr>
            <w:tcW w:w="45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14,210.6</w:t>
            </w:r>
          </w:p>
        </w:tc>
        <w:tc>
          <w:tcPr>
            <w:tcW w:w="54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11,940.0</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1,867.5</w:t>
            </w: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403.1</w:t>
            </w: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shd w:val="clear" w:color="auto" w:fill="E2E8F1"/>
          </w:tcPr>
          <w:p>
            <w:pPr>
              <w:spacing w:after="0"/>
              <w:rPr>
                <w:sz w:val="18"/>
                <w:szCs w:val="18"/>
                <w:color w:val="auto"/>
              </w:rPr>
            </w:pPr>
          </w:p>
        </w:tc>
        <w:tc>
          <w:tcPr>
            <w:tcW w:w="200" w:type="dxa"/>
            <w:vAlign w:val="bottom"/>
            <w:tcBorders>
              <w:top w:val="single" w:sz="8" w:color="231F20"/>
            </w:tcBorders>
            <w:shd w:val="clear" w:color="auto" w:fill="E2E8F1"/>
          </w:tcPr>
          <w:p>
            <w:pPr>
              <w:spacing w:after="0"/>
              <w:rPr>
                <w:sz w:val="18"/>
                <w:szCs w:val="18"/>
                <w:color w:val="auto"/>
              </w:rPr>
            </w:pPr>
          </w:p>
        </w:tc>
        <w:tc>
          <w:tcPr>
            <w:tcW w:w="1140" w:type="dxa"/>
            <w:vAlign w:val="bottom"/>
            <w:tcBorders>
              <w:top w:val="single" w:sz="8" w:color="231F20"/>
            </w:tcBorders>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40" w:type="dxa"/>
            <w:vAlign w:val="bottom"/>
            <w:tcBorders>
              <w:top w:val="single" w:sz="8" w:color="231F20"/>
            </w:tcBorders>
            <w:shd w:val="clear" w:color="auto" w:fill="E2E8F1"/>
          </w:tcPr>
          <w:p>
            <w:pPr>
              <w:spacing w:after="0"/>
              <w:rPr>
                <w:sz w:val="18"/>
                <w:szCs w:val="18"/>
                <w:color w:val="auto"/>
              </w:rPr>
            </w:pPr>
          </w:p>
        </w:tc>
        <w:tc>
          <w:tcPr>
            <w:tcW w:w="1020" w:type="dxa"/>
            <w:vAlign w:val="bottom"/>
            <w:tcBorders>
              <w:top w:val="single" w:sz="8" w:color="231F20"/>
            </w:tcBorders>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tcBorders>
              <w:top w:val="single" w:sz="8" w:color="231F20"/>
            </w:tcBorders>
            <w:shd w:val="clear" w:color="auto" w:fill="E2E8F1"/>
          </w:tcPr>
          <w:p>
            <w:pPr>
              <w:spacing w:after="0"/>
              <w:rPr>
                <w:sz w:val="18"/>
                <w:szCs w:val="18"/>
                <w:color w:val="auto"/>
              </w:rPr>
            </w:pPr>
          </w:p>
        </w:tc>
        <w:tc>
          <w:tcPr>
            <w:tcW w:w="1260" w:type="dxa"/>
            <w:vAlign w:val="bottom"/>
            <w:tcBorders>
              <w:top w:val="single" w:sz="8" w:color="231F20"/>
            </w:tcBorders>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tcBorders>
              <w:top w:val="single" w:sz="8" w:color="231F20"/>
            </w:tcBorders>
            <w:shd w:val="clear" w:color="auto" w:fill="E2E8F1"/>
          </w:tcPr>
          <w:p>
            <w:pPr>
              <w:spacing w:after="0"/>
              <w:rPr>
                <w:sz w:val="18"/>
                <w:szCs w:val="18"/>
                <w:color w:val="auto"/>
              </w:rPr>
            </w:pPr>
          </w:p>
        </w:tc>
        <w:tc>
          <w:tcPr>
            <w:tcW w:w="1100" w:type="dxa"/>
            <w:vAlign w:val="bottom"/>
            <w:tcBorders>
              <w:top w:val="single" w:sz="8" w:color="231F20"/>
            </w:tcBorders>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03"/>
        </w:trPr>
        <w:tc>
          <w:tcPr>
            <w:tcW w:w="4540" w:type="dxa"/>
            <w:vAlign w:val="bottom"/>
            <w:tcBorders>
              <w:bottom w:val="single" w:sz="8" w:color="E2E8F1"/>
            </w:tcBorders>
            <w:shd w:val="clear" w:color="auto" w:fill="E2E8F1"/>
          </w:tcPr>
          <w:p>
            <w:pPr>
              <w:ind w:left="140"/>
              <w:spacing w:after="0" w:line="203" w:lineRule="exact"/>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(c)</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11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E2E8F1"/>
            </w:tcBorders>
            <w:shd w:val="clear" w:color="auto" w:fill="E2E8F1"/>
          </w:tcPr>
          <w:p>
            <w:pPr>
              <w:spacing w:after="0"/>
              <w:rPr>
                <w:sz w:val="17"/>
                <w:szCs w:val="17"/>
                <w:color w:val="auto"/>
              </w:rPr>
            </w:pPr>
          </w:p>
        </w:tc>
        <w:tc>
          <w:tcPr>
            <w:tcW w:w="10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126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auto"/>
            </w:tcBorders>
            <w:shd w:val="clear" w:color="auto" w:fill="E2E8F1"/>
          </w:tcPr>
          <w:p>
            <w:pPr>
              <w:spacing w:after="0"/>
              <w:rPr>
                <w:sz w:val="17"/>
                <w:szCs w:val="17"/>
                <w:color w:val="auto"/>
              </w:rPr>
            </w:pPr>
          </w:p>
        </w:tc>
        <w:tc>
          <w:tcPr>
            <w:tcW w:w="11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(21.0)</w:t>
            </w:r>
          </w:p>
        </w:tc>
      </w:tr>
      <w:tr>
        <w:trPr>
          <w:trHeight w:val="209"/>
        </w:trPr>
        <w:tc>
          <w:tcPr>
            <w:tcW w:w="4540" w:type="dxa"/>
            <w:vAlign w:val="bottom"/>
          </w:tcPr>
          <w:p>
            <w:pPr>
              <w:ind w:left="200"/>
              <w:spacing w:after="0"/>
              <w:rPr>
                <w:sz w:val="20"/>
                <w:szCs w:val="20"/>
                <w:color w:val="auto"/>
              </w:rPr>
            </w:pPr>
            <w:r>
              <w:rPr>
                <w:rFonts w:ascii="Arial" w:cs="Arial" w:eastAsia="Arial" w:hAnsi="Arial"/>
                <w:sz w:val="16"/>
                <w:szCs w:val="16"/>
                <w:color w:val="auto"/>
              </w:rPr>
              <w:t>Operating profit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222.6</w:t>
            </w: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11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E2E8F1"/>
            </w:tcBorders>
            <w:shd w:val="clear" w:color="auto" w:fill="E2E8F1"/>
          </w:tcPr>
          <w:p>
            <w:pPr>
              <w:spacing w:after="0"/>
              <w:rPr>
                <w:sz w:val="17"/>
                <w:szCs w:val="17"/>
                <w:color w:val="auto"/>
              </w:rPr>
            </w:pPr>
          </w:p>
        </w:tc>
        <w:tc>
          <w:tcPr>
            <w:tcW w:w="10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126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auto"/>
            </w:tcBorders>
            <w:shd w:val="clear" w:color="auto" w:fill="E2E8F1"/>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(46.8)</w:t>
            </w:r>
          </w:p>
        </w:tc>
      </w:tr>
      <w:tr>
        <w:trPr>
          <w:trHeight w:val="183"/>
        </w:trPr>
        <w:tc>
          <w:tcPr>
            <w:tcW w:w="4540" w:type="dxa"/>
            <w:vAlign w:val="bottom"/>
          </w:tcPr>
          <w:p>
            <w:pPr>
              <w:ind w:left="140"/>
              <w:spacing w:after="0" w:line="169" w:lineRule="exact"/>
              <w:rPr>
                <w:sz w:val="20"/>
                <w:szCs w:val="20"/>
                <w:color w:val="auto"/>
              </w:rPr>
            </w:pPr>
            <w:r>
              <w:rPr>
                <w:rFonts w:ascii="Arial" w:cs="Arial" w:eastAsia="Arial" w:hAnsi="Arial"/>
                <w:sz w:val="16"/>
                <w:szCs w:val="16"/>
                <w:color w:val="auto"/>
              </w:rPr>
              <w:t>Earnings before income taxes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gridSpan w:val="2"/>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line="169" w:lineRule="exact"/>
              <w:rPr>
                <w:sz w:val="20"/>
                <w:szCs w:val="20"/>
                <w:color w:val="auto"/>
              </w:rPr>
            </w:pPr>
            <w:r>
              <w:rPr>
                <w:rFonts w:ascii="Arial" w:cs="Arial" w:eastAsia="Arial" w:hAnsi="Arial"/>
                <w:sz w:val="16"/>
                <w:szCs w:val="16"/>
                <w:color w:val="auto"/>
              </w:rPr>
              <w:t>175.8</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-2348230</wp:posOffset>
            </wp:positionV>
            <wp:extent cx="120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-2348230</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-2348230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-1525270</wp:posOffset>
            </wp:positionV>
            <wp:extent cx="120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-1525270</wp:posOffset>
            </wp:positionV>
            <wp:extent cx="111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-1525270</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-1250950</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-1250950</wp:posOffset>
            </wp:positionV>
            <wp:extent cx="1117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-1250950</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-976630</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-976630</wp:posOffset>
            </wp:positionV>
            <wp:extent cx="1117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-976630</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5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$7.5 for the nine months ended September 30, 2026.</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United States Selling and Administrative Expenses and OUP included a $28.3 gain on the sale of our Jefferson Wells U.S. business.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auto"/>
            </w:tcBorders>
            <w:shd w:val="clear" w:color="auto" w:fill="98B0CF"/>
          </w:tcPr>
          <w:p>
            <w:pPr>
              <w:spacing w:after="0"/>
              <w:rPr>
                <w:sz w:val="14"/>
                <w:szCs w:val="14"/>
                <w:color w:val="auto"/>
              </w:rPr>
            </w:pPr>
          </w:p>
        </w:tc>
        <w:tc>
          <w:tcPr>
            <w:tcW w:w="70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114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340" w:type="dxa"/>
            <w:vAlign w:val="bottom"/>
            <w:tcBorders>
              <w:top w:val="single" w:sz="8" w:color="auto"/>
            </w:tcBorders>
            <w:shd w:val="clear" w:color="auto" w:fill="98B0CF"/>
          </w:tcPr>
          <w:p>
            <w:pPr>
              <w:spacing w:after="0"/>
              <w:rPr>
                <w:sz w:val="14"/>
                <w:szCs w:val="14"/>
                <w:color w:val="auto"/>
              </w:rPr>
            </w:pPr>
          </w:p>
        </w:tc>
        <w:tc>
          <w:tcPr>
            <w:tcW w:w="1020" w:type="dxa"/>
            <w:vAlign w:val="bottom"/>
            <w:tcBorders>
              <w:top w:val="single" w:sz="8" w:color="auto"/>
            </w:tcBorders>
            <w:shd w:val="clear" w:color="auto" w:fill="98B0CF"/>
          </w:tcPr>
          <w:p>
            <w:pPr>
              <w:spacing w:after="0"/>
              <w:rPr>
                <w:sz w:val="14"/>
                <w:szCs w:val="14"/>
                <w:color w:val="auto"/>
              </w:rPr>
            </w:pPr>
          </w:p>
        </w:tc>
        <w:tc>
          <w:tcPr>
            <w:tcW w:w="18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1260" w:type="dxa"/>
            <w:vAlign w:val="bottom"/>
            <w:tcBorders>
              <w:top w:val="single" w:sz="8" w:color="auto"/>
            </w:tcBorders>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rPr>
              <w:t>Selling and</w:t>
            </w:r>
          </w:p>
        </w:tc>
        <w:tc>
          <w:tcPr>
            <w:tcW w:w="160" w:type="dxa"/>
            <w:vAlign w:val="bottom"/>
            <w:tcBorders>
              <w:top w:val="single" w:sz="8" w:color="auto"/>
            </w:tcBorders>
            <w:shd w:val="clear" w:color="auto" w:fill="98B0CF"/>
          </w:tcPr>
          <w:p>
            <w:pPr>
              <w:spacing w:after="0"/>
              <w:rPr>
                <w:sz w:val="14"/>
                <w:szCs w:val="14"/>
                <w:color w:val="auto"/>
              </w:rPr>
            </w:pPr>
          </w:p>
        </w:tc>
        <w:tc>
          <w:tcPr>
            <w:tcW w:w="300" w:type="dxa"/>
            <w:vAlign w:val="bottom"/>
            <w:tcBorders>
              <w:top w:val="single" w:sz="8" w:color="auto"/>
            </w:tcBorders>
            <w:shd w:val="clear" w:color="auto" w:fill="98B0CF"/>
          </w:tcPr>
          <w:p>
            <w:pPr>
              <w:spacing w:after="0"/>
              <w:rPr>
                <w:sz w:val="14"/>
                <w:szCs w:val="14"/>
                <w:color w:val="auto"/>
              </w:rPr>
            </w:pPr>
          </w:p>
        </w:tc>
        <w:tc>
          <w:tcPr>
            <w:tcW w:w="1100" w:type="dxa"/>
            <w:vAlign w:val="bottom"/>
            <w:tcBorders>
              <w:top w:val="single" w:sz="8" w:color="auto"/>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40" w:type="dxa"/>
            <w:vAlign w:val="bottom"/>
            <w:shd w:val="clear" w:color="auto" w:fill="98B0CF"/>
          </w:tcPr>
          <w:p>
            <w:pPr>
              <w:spacing w:after="0"/>
              <w:rPr>
                <w:sz w:val="14"/>
                <w:szCs w:val="14"/>
                <w:color w:val="auto"/>
              </w:rPr>
            </w:pPr>
          </w:p>
        </w:tc>
        <w:tc>
          <w:tcPr>
            <w:tcW w:w="10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shd w:val="clear" w:color="auto" w:fill="98B0CF"/>
          </w:tcPr>
          <w:p>
            <w:pPr>
              <w:jc w:val="center"/>
              <w:ind w:right="141"/>
              <w:spacing w:after="0"/>
              <w:rPr>
                <w:sz w:val="20"/>
                <w:szCs w:val="20"/>
                <w:color w:val="auto"/>
              </w:rPr>
            </w:pPr>
            <w:r>
              <w:rPr>
                <w:rFonts w:ascii="Arial" w:cs="Arial" w:eastAsia="Arial" w:hAnsi="Arial"/>
                <w:sz w:val="14"/>
                <w:szCs w:val="14"/>
                <w:b w:val="1"/>
                <w:bCs w:val="1"/>
                <w:color w:val="auto"/>
              </w:rPr>
              <w:t>Administrative</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r>
      <w:tr>
        <w:trPr>
          <w:trHeight w:val="171"/>
        </w:trPr>
        <w:tc>
          <w:tcPr>
            <w:tcW w:w="4540" w:type="dxa"/>
            <w:vAlign w:val="bottom"/>
            <w:tcBorders>
              <w:bottom w:val="single" w:sz="8" w:color="auto"/>
            </w:tcBorders>
            <w:shd w:val="clear" w:color="auto" w:fill="98B0CF"/>
          </w:tcPr>
          <w:p>
            <w:pPr>
              <w:ind w:left="60"/>
              <w:spacing w:after="0"/>
              <w:rPr>
                <w:sz w:val="20"/>
                <w:szCs w:val="20"/>
                <w:color w:val="auto"/>
              </w:rPr>
            </w:pPr>
            <w:r>
              <w:rPr>
                <w:rFonts w:ascii="Arial" w:cs="Arial" w:eastAsia="Arial" w:hAnsi="Arial"/>
                <w:sz w:val="14"/>
                <w:szCs w:val="14"/>
                <w:b w:val="1"/>
                <w:bCs w:val="1"/>
                <w:color w:val="auto"/>
              </w:rPr>
              <w:t>Nine Months Ended September 30, 2025</w:t>
            </w:r>
          </w:p>
        </w:tc>
        <w:tc>
          <w:tcPr>
            <w:tcW w:w="700" w:type="dxa"/>
            <w:vAlign w:val="bottom"/>
            <w:tcBorders>
              <w:bottom w:val="single" w:sz="8" w:color="auto"/>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1140" w:type="dxa"/>
            <w:vAlign w:val="bottom"/>
            <w:tcBorders>
              <w:bottom w:val="single" w:sz="8" w:color="auto"/>
            </w:tcBorders>
            <w:shd w:val="clear" w:color="auto" w:fill="98B0CF"/>
          </w:tcPr>
          <w:p>
            <w:pPr>
              <w:jc w:val="right"/>
              <w:ind w:right="36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auto"/>
            </w:tcBorders>
            <w:shd w:val="clear" w:color="auto" w:fill="98B0CF"/>
          </w:tcPr>
          <w:p>
            <w:pPr>
              <w:spacing w:after="0"/>
              <w:rPr>
                <w:sz w:val="14"/>
                <w:szCs w:val="14"/>
                <w:color w:val="auto"/>
              </w:rPr>
            </w:pPr>
          </w:p>
        </w:tc>
        <w:tc>
          <w:tcPr>
            <w:tcW w:w="1360" w:type="dxa"/>
            <w:vAlign w:val="bottom"/>
            <w:tcBorders>
              <w:bottom w:val="single" w:sz="8" w:color="auto"/>
            </w:tcBorders>
            <w:gridSpan w:val="2"/>
            <w:shd w:val="clear" w:color="auto" w:fill="98B0CF"/>
          </w:tcPr>
          <w:p>
            <w:pPr>
              <w:jc w:val="right"/>
              <w:ind w:right="99"/>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260" w:type="dxa"/>
            <w:vAlign w:val="bottom"/>
            <w:tcBorders>
              <w:bottom w:val="single" w:sz="8" w:color="auto"/>
            </w:tcBorders>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rPr>
              <w:t>Expenses</w:t>
            </w:r>
          </w:p>
        </w:tc>
        <w:tc>
          <w:tcPr>
            <w:tcW w:w="160" w:type="dxa"/>
            <w:vAlign w:val="bottom"/>
            <w:tcBorders>
              <w:bottom w:val="single" w:sz="8" w:color="auto"/>
            </w:tcBorders>
            <w:shd w:val="clear" w:color="auto" w:fill="98B0CF"/>
          </w:tcPr>
          <w:p>
            <w:pPr>
              <w:spacing w:after="0"/>
              <w:rPr>
                <w:sz w:val="14"/>
                <w:szCs w:val="14"/>
                <w:color w:val="auto"/>
              </w:rPr>
            </w:pPr>
          </w:p>
        </w:tc>
        <w:tc>
          <w:tcPr>
            <w:tcW w:w="300" w:type="dxa"/>
            <w:vAlign w:val="bottom"/>
            <w:tcBorders>
              <w:bottom w:val="single" w:sz="8" w:color="auto"/>
            </w:tcBorders>
            <w:shd w:val="clear" w:color="auto" w:fill="98B0CF"/>
          </w:tcPr>
          <w:p>
            <w:pPr>
              <w:spacing w:after="0"/>
              <w:rPr>
                <w:sz w:val="14"/>
                <w:szCs w:val="14"/>
                <w:color w:val="auto"/>
              </w:rPr>
            </w:pPr>
          </w:p>
        </w:tc>
        <w:tc>
          <w:tcPr>
            <w:tcW w:w="1100" w:type="dxa"/>
            <w:vAlign w:val="bottom"/>
            <w:tcBorders>
              <w:bottom w:val="single" w:sz="8" w:color="auto"/>
            </w:tcBorders>
            <w:shd w:val="clear" w:color="auto" w:fill="98B0CF"/>
          </w:tcPr>
          <w:p>
            <w:pPr>
              <w:jc w:val="right"/>
              <w:ind w:right="519"/>
              <w:spacing w:after="0"/>
              <w:rPr>
                <w:sz w:val="20"/>
                <w:szCs w:val="20"/>
                <w:color w:val="auto"/>
              </w:rPr>
            </w:pPr>
            <w:r>
              <w:rPr>
                <w:rFonts w:ascii="Arial" w:cs="Arial" w:eastAsia="Arial" w:hAnsi="Arial"/>
                <w:sz w:val="14"/>
                <w:szCs w:val="14"/>
                <w:b w:val="1"/>
                <w:bCs w:val="1"/>
                <w:color w:val="auto"/>
              </w:rPr>
              <w:t>OUP</w:t>
            </w:r>
          </w:p>
        </w:tc>
      </w:tr>
      <w:tr>
        <w:trPr>
          <w:trHeight w:val="209"/>
        </w:trPr>
        <w:tc>
          <w:tcPr>
            <w:tcW w:w="4540" w:type="dxa"/>
            <w:vAlign w:val="bottom"/>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540" w:type="dxa"/>
            <w:vAlign w:val="bottom"/>
            <w:shd w:val="clear" w:color="auto" w:fill="E2E8F1"/>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900" w:type="dxa"/>
            <w:vAlign w:val="bottom"/>
            <w:gridSpan w:val="2"/>
            <w:shd w:val="clear" w:color="auto" w:fill="E2E8F1"/>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2,053.7</w:t>
            </w:r>
          </w:p>
        </w:tc>
        <w:tc>
          <w:tcPr>
            <w:tcW w:w="540" w:type="dxa"/>
            <w:vAlign w:val="bottom"/>
            <w:gridSpan w:val="2"/>
            <w:shd w:val="clear" w:color="auto" w:fill="E2E8F1"/>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1,530.9</w:t>
            </w:r>
          </w:p>
        </w:tc>
        <w:tc>
          <w:tcPr>
            <w:tcW w:w="28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471.2</w:t>
            </w:r>
          </w:p>
        </w:tc>
        <w:tc>
          <w:tcPr>
            <w:tcW w:w="460" w:type="dxa"/>
            <w:vAlign w:val="bottom"/>
            <w:gridSpan w:val="2"/>
            <w:shd w:val="clear" w:color="auto" w:fill="E2E8F1"/>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51.6</w:t>
            </w: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1,161.7</w:t>
            </w:r>
          </w:p>
        </w:tc>
        <w:tc>
          <w:tcPr>
            <w:tcW w:w="20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981.9</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131.9</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59"/>
              <w:spacing w:after="0"/>
              <w:rPr>
                <w:sz w:val="20"/>
                <w:szCs w:val="20"/>
                <w:color w:val="auto"/>
              </w:rPr>
            </w:pPr>
            <w:r>
              <w:rPr>
                <w:rFonts w:ascii="Arial" w:cs="Arial" w:eastAsia="Arial" w:hAnsi="Arial"/>
                <w:sz w:val="16"/>
                <w:szCs w:val="16"/>
                <w:color w:val="auto"/>
              </w:rPr>
              <w:t>47.9</w:t>
            </w: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3,215.4</w:t>
            </w: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231F20"/>
            </w:tcBorders>
            <w:shd w:val="clear" w:color="auto" w:fill="E2E8F1"/>
          </w:tcPr>
          <w:p>
            <w:pPr>
              <w:spacing w:after="0"/>
              <w:rPr>
                <w:sz w:val="17"/>
                <w:szCs w:val="17"/>
                <w:color w:val="auto"/>
              </w:rPr>
            </w:pPr>
          </w:p>
        </w:tc>
        <w:tc>
          <w:tcPr>
            <w:tcW w:w="102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2,512.8</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603.1</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59"/>
              <w:spacing w:after="0"/>
              <w:rPr>
                <w:sz w:val="20"/>
                <w:szCs w:val="20"/>
                <w:color w:val="auto"/>
              </w:rPr>
            </w:pPr>
            <w:r>
              <w:rPr>
                <w:rFonts w:ascii="Arial" w:cs="Arial" w:eastAsia="Arial" w:hAnsi="Arial"/>
                <w:sz w:val="16"/>
                <w:szCs w:val="16"/>
                <w:color w:val="auto"/>
              </w:rPr>
              <w:t>99.5</w:t>
            </w:r>
          </w:p>
        </w:tc>
      </w:tr>
      <w:tr>
        <w:trPr>
          <w:trHeight w:val="210"/>
        </w:trPr>
        <w:tc>
          <w:tcPr>
            <w:tcW w:w="4540" w:type="dxa"/>
            <w:vAlign w:val="bottom"/>
          </w:tcPr>
          <w:p>
            <w:pPr>
              <w:ind w:left="60"/>
              <w:spacing w:after="0"/>
              <w:rPr>
                <w:sz w:val="20"/>
                <w:szCs w:val="20"/>
                <w:color w:val="auto"/>
              </w:rPr>
            </w:pPr>
            <w:r>
              <w:rPr>
                <w:rFonts w:ascii="Arial" w:cs="Arial" w:eastAsia="Arial" w:hAnsi="Arial"/>
                <w:sz w:val="16"/>
                <w:szCs w:val="16"/>
                <w:color w:val="auto"/>
              </w:rPr>
              <w:t>Southern Europe: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3,288.5</w:t>
            </w:r>
          </w:p>
        </w:tc>
        <w:tc>
          <w:tcPr>
            <w:tcW w:w="2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102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2,818.4</w:t>
            </w: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386.2</w:t>
            </w: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83.9</w:t>
            </w: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1,336.2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1,124.7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128.5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83.0</w:t>
            </w: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1,564.1</w:t>
            </w: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231F20"/>
            </w:tcBorders>
            <w:shd w:val="clear" w:color="auto" w:fill="E2E8F1"/>
          </w:tcPr>
          <w:p>
            <w:pPr>
              <w:spacing w:after="0"/>
              <w:rPr>
                <w:sz w:val="17"/>
                <w:szCs w:val="17"/>
                <w:color w:val="auto"/>
              </w:rPr>
            </w:pPr>
          </w:p>
        </w:tc>
        <w:tc>
          <w:tcPr>
            <w:tcW w:w="102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1,358.5</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183.4</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59"/>
              <w:spacing w:after="0"/>
              <w:rPr>
                <w:sz w:val="20"/>
                <w:szCs w:val="20"/>
                <w:color w:val="auto"/>
              </w:rPr>
            </w:pPr>
            <w:r>
              <w:rPr>
                <w:rFonts w:ascii="Arial" w:cs="Arial" w:eastAsia="Arial" w:hAnsi="Arial"/>
                <w:sz w:val="16"/>
                <w:szCs w:val="16"/>
                <w:color w:val="auto"/>
              </w:rPr>
              <w:t>22.2</w:t>
            </w: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6,188.8</w:t>
            </w:r>
          </w:p>
        </w:tc>
        <w:tc>
          <w:tcPr>
            <w:tcW w:w="20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5,301.6</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698.1</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59"/>
              <w:spacing w:after="0"/>
              <w:rPr>
                <w:sz w:val="20"/>
                <w:szCs w:val="20"/>
                <w:color w:val="auto"/>
              </w:rPr>
            </w:pPr>
            <w:r>
              <w:rPr>
                <w:rFonts w:ascii="Arial" w:cs="Arial" w:eastAsia="Arial" w:hAnsi="Arial"/>
                <w:sz w:val="16"/>
                <w:szCs w:val="16"/>
                <w:color w:val="auto"/>
              </w:rPr>
              <w:t>189.1</w:t>
            </w: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2,342.0</w:t>
            </w:r>
          </w:p>
        </w:tc>
        <w:tc>
          <w:tcPr>
            <w:tcW w:w="2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102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1,952.4</w:t>
            </w: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431.8</w:t>
            </w: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(42.2)</w:t>
            </w:r>
          </w:p>
        </w:tc>
      </w:tr>
      <w:tr>
        <w:trPr>
          <w:trHeight w:val="203"/>
        </w:trPr>
        <w:tc>
          <w:tcPr>
            <w:tcW w:w="4540" w:type="dxa"/>
            <w:vAlign w:val="bottom"/>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1,522.2</w:t>
            </w:r>
          </w:p>
        </w:tc>
        <w:tc>
          <w:tcPr>
            <w:tcW w:w="20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1,266.6</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182.4</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59"/>
              <w:spacing w:after="0"/>
              <w:rPr>
                <w:sz w:val="20"/>
                <w:szCs w:val="20"/>
                <w:color w:val="auto"/>
              </w:rPr>
            </w:pPr>
            <w:r>
              <w:rPr>
                <w:rFonts w:ascii="Arial" w:cs="Arial" w:eastAsia="Arial" w:hAnsi="Arial"/>
                <w:sz w:val="16"/>
                <w:szCs w:val="16"/>
                <w:color w:val="auto"/>
              </w:rPr>
              <w:t>73.2</w:t>
            </w:r>
          </w:p>
        </w:tc>
      </w:tr>
      <w:tr>
        <w:trPr>
          <w:trHeight w:val="196"/>
        </w:trPr>
        <w:tc>
          <w:tcPr>
            <w:tcW w:w="4540" w:type="dxa"/>
            <w:vAlign w:val="bottom"/>
            <w:tcBorders>
              <w:bottom w:val="single" w:sz="8" w:color="E2E8F1"/>
            </w:tcBorders>
            <w:shd w:val="clear" w:color="auto" w:fill="E2E8F1"/>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13,268.4</w:t>
            </w: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231F20"/>
            </w:tcBorders>
            <w:shd w:val="clear" w:color="auto" w:fill="E2E8F1"/>
          </w:tcPr>
          <w:p>
            <w:pPr>
              <w:spacing w:after="0"/>
              <w:rPr>
                <w:sz w:val="17"/>
                <w:szCs w:val="17"/>
                <w:color w:val="auto"/>
              </w:rPr>
            </w:pPr>
          </w:p>
        </w:tc>
        <w:tc>
          <w:tcPr>
            <w:tcW w:w="102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rPr>
              <w:t>11,033.4</w:t>
            </w: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26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1,915.4</w:t>
            </w: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ind w:right="59"/>
              <w:spacing w:after="0"/>
              <w:rPr>
                <w:sz w:val="20"/>
                <w:szCs w:val="20"/>
                <w:color w:val="auto"/>
              </w:rPr>
            </w:pPr>
            <w:r>
              <w:rPr>
                <w:rFonts w:ascii="Arial" w:cs="Arial" w:eastAsia="Arial" w:hAnsi="Arial"/>
                <w:sz w:val="16"/>
                <w:szCs w:val="16"/>
                <w:color w:val="auto"/>
              </w:rPr>
              <w:t>319.6</w:t>
            </w:r>
          </w:p>
        </w:tc>
      </w:tr>
      <w:tr>
        <w:trPr>
          <w:trHeight w:val="196"/>
        </w:trPr>
        <w:tc>
          <w:tcPr>
            <w:tcW w:w="4540" w:type="dxa"/>
            <w:vAlign w:val="bottom"/>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(24.4)</w:t>
            </w:r>
          </w:p>
        </w:tc>
        <w:tc>
          <w:tcPr>
            <w:tcW w:w="20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(20.3)</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59"/>
              <w:spacing w:after="0"/>
              <w:rPr>
                <w:sz w:val="20"/>
                <w:szCs w:val="20"/>
                <w:color w:val="auto"/>
              </w:rPr>
            </w:pPr>
            <w:r>
              <w:rPr>
                <w:rFonts w:ascii="Arial" w:cs="Arial" w:eastAsia="Arial" w:hAnsi="Arial"/>
                <w:sz w:val="16"/>
                <w:szCs w:val="16"/>
                <w:color w:val="auto"/>
              </w:rPr>
              <w:t>—</w:t>
            </w:r>
          </w:p>
        </w:tc>
      </w:tr>
      <w:tr>
        <w:trPr>
          <w:trHeight w:val="196"/>
        </w:trPr>
        <w:tc>
          <w:tcPr>
            <w:tcW w:w="4540" w:type="dxa"/>
            <w:vAlign w:val="bottom"/>
            <w:shd w:val="clear" w:color="auto" w:fill="E2E8F1"/>
          </w:tcPr>
          <w:p>
            <w:pPr>
              <w:spacing w:after="0"/>
              <w:rPr>
                <w:sz w:val="17"/>
                <w:szCs w:val="17"/>
                <w:color w:val="auto"/>
              </w:rPr>
            </w:pPr>
          </w:p>
        </w:tc>
        <w:tc>
          <w:tcPr>
            <w:tcW w:w="900" w:type="dxa"/>
            <w:vAlign w:val="bottom"/>
            <w:gridSpan w:val="2"/>
            <w:shd w:val="clear" w:color="auto" w:fill="E2E8F1"/>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13,244.0</w:t>
            </w:r>
          </w:p>
        </w:tc>
        <w:tc>
          <w:tcPr>
            <w:tcW w:w="540" w:type="dxa"/>
            <w:vAlign w:val="bottom"/>
            <w:gridSpan w:val="2"/>
            <w:shd w:val="clear" w:color="auto" w:fill="E2E8F1"/>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11,013.1</w:t>
            </w:r>
          </w:p>
        </w:tc>
        <w:tc>
          <w:tcPr>
            <w:tcW w:w="28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1,911.3</w:t>
            </w:r>
          </w:p>
        </w:tc>
        <w:tc>
          <w:tcPr>
            <w:tcW w:w="460" w:type="dxa"/>
            <w:vAlign w:val="bottom"/>
            <w:gridSpan w:val="2"/>
            <w:shd w:val="clear" w:color="auto" w:fill="E2E8F1"/>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319.6</w:t>
            </w:r>
          </w:p>
        </w:tc>
      </w:tr>
      <w:tr>
        <w:trPr>
          <w:trHeight w:val="210"/>
        </w:trPr>
        <w:tc>
          <w:tcPr>
            <w:tcW w:w="4540" w:type="dxa"/>
            <w:vAlign w:val="bottom"/>
            <w:tcBorders>
              <w:top w:val="single" w:sz="8" w:color="E2E8F1"/>
            </w:tcBorders>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tcBorders>
              <w:top w:val="single" w:sz="8" w:color="E2E8F1"/>
            </w:tcBorders>
          </w:tcPr>
          <w:p>
            <w:pPr>
              <w:spacing w:after="0"/>
              <w:rPr>
                <w:sz w:val="18"/>
                <w:szCs w:val="18"/>
                <w:color w:val="auto"/>
              </w:rPr>
            </w:pPr>
          </w:p>
        </w:tc>
        <w:tc>
          <w:tcPr>
            <w:tcW w:w="200" w:type="dxa"/>
            <w:vAlign w:val="bottom"/>
            <w:tcBorders>
              <w:top w:val="single" w:sz="8" w:color="231F20"/>
            </w:tcBorders>
          </w:tcPr>
          <w:p>
            <w:pPr>
              <w:spacing w:after="0"/>
              <w:rPr>
                <w:sz w:val="18"/>
                <w:szCs w:val="18"/>
                <w:color w:val="auto"/>
              </w:rPr>
            </w:pPr>
          </w:p>
        </w:tc>
        <w:tc>
          <w:tcPr>
            <w:tcW w:w="1140" w:type="dxa"/>
            <w:vAlign w:val="bottom"/>
            <w:tcBorders>
              <w:top w:val="single" w:sz="8" w:color="231F20"/>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340" w:type="dxa"/>
            <w:vAlign w:val="bottom"/>
            <w:tcBorders>
              <w:top w:val="single" w:sz="8" w:color="231F20"/>
            </w:tcBorders>
          </w:tcPr>
          <w:p>
            <w:pPr>
              <w:spacing w:after="0"/>
              <w:rPr>
                <w:sz w:val="18"/>
                <w:szCs w:val="18"/>
                <w:color w:val="auto"/>
              </w:rPr>
            </w:pPr>
          </w:p>
        </w:tc>
        <w:tc>
          <w:tcPr>
            <w:tcW w:w="1020" w:type="dxa"/>
            <w:vAlign w:val="bottom"/>
            <w:tcBorders>
              <w:top w:val="single" w:sz="8" w:color="231F20"/>
            </w:tcBorders>
          </w:tcPr>
          <w:p>
            <w:pPr>
              <w:spacing w:after="0"/>
              <w:rPr>
                <w:sz w:val="18"/>
                <w:szCs w:val="18"/>
                <w:color w:val="auto"/>
              </w:rPr>
            </w:pPr>
          </w:p>
        </w:tc>
        <w:tc>
          <w:tcPr>
            <w:tcW w:w="180" w:type="dxa"/>
            <w:vAlign w:val="bottom"/>
            <w:tcBorders>
              <w:top w:val="single" w:sz="8" w:color="E2E8F1"/>
            </w:tcBorders>
          </w:tcPr>
          <w:p>
            <w:pPr>
              <w:spacing w:after="0"/>
              <w:rPr>
                <w:sz w:val="18"/>
                <w:szCs w:val="18"/>
                <w:color w:val="auto"/>
              </w:rPr>
            </w:pPr>
          </w:p>
        </w:tc>
        <w:tc>
          <w:tcPr>
            <w:tcW w:w="100" w:type="dxa"/>
            <w:vAlign w:val="bottom"/>
            <w:tcBorders>
              <w:top w:val="single" w:sz="8" w:color="231F20"/>
            </w:tcBorders>
          </w:tcPr>
          <w:p>
            <w:pPr>
              <w:spacing w:after="0"/>
              <w:rPr>
                <w:sz w:val="18"/>
                <w:szCs w:val="18"/>
                <w:color w:val="auto"/>
              </w:rPr>
            </w:pPr>
          </w:p>
        </w:tc>
        <w:tc>
          <w:tcPr>
            <w:tcW w:w="1260" w:type="dxa"/>
            <w:vAlign w:val="bottom"/>
            <w:tcBorders>
              <w:top w:val="single" w:sz="8" w:color="231F20"/>
            </w:tcBorders>
          </w:tcPr>
          <w:p>
            <w:pPr>
              <w:spacing w:after="0"/>
              <w:rPr>
                <w:sz w:val="18"/>
                <w:szCs w:val="18"/>
                <w:color w:val="auto"/>
              </w:rPr>
            </w:pPr>
          </w:p>
        </w:tc>
        <w:tc>
          <w:tcPr>
            <w:tcW w:w="160" w:type="dxa"/>
            <w:vAlign w:val="bottom"/>
            <w:tcBorders>
              <w:top w:val="single" w:sz="8" w:color="E2E8F1"/>
            </w:tcBorders>
          </w:tcPr>
          <w:p>
            <w:pPr>
              <w:spacing w:after="0"/>
              <w:rPr>
                <w:sz w:val="18"/>
                <w:szCs w:val="18"/>
                <w:color w:val="auto"/>
              </w:rPr>
            </w:pPr>
          </w:p>
        </w:tc>
        <w:tc>
          <w:tcPr>
            <w:tcW w:w="300" w:type="dxa"/>
            <w:vAlign w:val="bottom"/>
            <w:tcBorders>
              <w:top w:val="single" w:sz="8" w:color="231F20"/>
            </w:tcBorders>
          </w:tcPr>
          <w:p>
            <w:pPr>
              <w:spacing w:after="0"/>
              <w:rPr>
                <w:sz w:val="18"/>
                <w:szCs w:val="18"/>
                <w:color w:val="auto"/>
              </w:rPr>
            </w:pPr>
          </w:p>
        </w:tc>
        <w:tc>
          <w:tcPr>
            <w:tcW w:w="1100" w:type="dxa"/>
            <w:vAlign w:val="bottom"/>
            <w:tcBorders>
              <w:top w:val="single" w:sz="8" w:color="231F20"/>
            </w:tcBorders>
          </w:tcPr>
          <w:p>
            <w:pPr>
              <w:spacing w:after="0"/>
              <w:rPr>
                <w:sz w:val="18"/>
                <w:szCs w:val="18"/>
                <w:color w:val="auto"/>
              </w:rPr>
            </w:pP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10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260" w:type="dxa"/>
            <w:vAlign w:val="bottom"/>
            <w:shd w:val="clear" w:color="auto" w:fill="E2E8F1"/>
          </w:tcPr>
          <w:p>
            <w:pPr>
              <w:spacing w:after="0"/>
              <w:rPr>
                <w:sz w:val="18"/>
                <w:szCs w:val="18"/>
                <w:color w:val="auto"/>
              </w:rPr>
            </w:pPr>
          </w:p>
        </w:tc>
        <w:tc>
          <w:tcPr>
            <w:tcW w:w="460" w:type="dxa"/>
            <w:vAlign w:val="bottom"/>
            <w:gridSpan w:val="2"/>
            <w:shd w:val="clear" w:color="auto" w:fill="E2E8F1"/>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(137.1)</w:t>
            </w: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Impairment charges</w:t>
            </w:r>
            <w:r>
              <w:rPr>
                <w:rFonts w:ascii="Arial" w:cs="Arial" w:eastAsia="Arial" w:hAnsi="Arial"/>
                <w:sz w:val="21"/>
                <w:szCs w:val="21"/>
                <w:color w:val="auto"/>
                <w:vertAlign w:val="superscript"/>
              </w:rPr>
              <w:t>(b)</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203"/>
        </w:trPr>
        <w:tc>
          <w:tcPr>
            <w:tcW w:w="4540" w:type="dxa"/>
            <w:vAlign w:val="bottom"/>
            <w:tcBorders>
              <w:bottom w:val="single" w:sz="8" w:color="E2E8F1"/>
            </w:tcBorders>
            <w:shd w:val="clear" w:color="auto" w:fill="E2E8F1"/>
          </w:tcPr>
          <w:p>
            <w:pPr>
              <w:ind w:left="140"/>
              <w:spacing w:after="0" w:line="203" w:lineRule="exact"/>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(c)</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11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E2E8F1"/>
            </w:tcBorders>
            <w:shd w:val="clear" w:color="auto" w:fill="E2E8F1"/>
          </w:tcPr>
          <w:p>
            <w:pPr>
              <w:spacing w:after="0"/>
              <w:rPr>
                <w:sz w:val="17"/>
                <w:szCs w:val="17"/>
                <w:color w:val="auto"/>
              </w:rPr>
            </w:pPr>
          </w:p>
        </w:tc>
        <w:tc>
          <w:tcPr>
            <w:tcW w:w="10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126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11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(24.3)</w:t>
            </w:r>
          </w:p>
        </w:tc>
      </w:tr>
      <w:tr>
        <w:trPr>
          <w:trHeight w:val="209"/>
        </w:trPr>
        <w:tc>
          <w:tcPr>
            <w:tcW w:w="4540" w:type="dxa"/>
            <w:vAlign w:val="bottom"/>
          </w:tcPr>
          <w:p>
            <w:pPr>
              <w:ind w:left="240"/>
              <w:spacing w:after="0"/>
              <w:rPr>
                <w:sz w:val="20"/>
                <w:szCs w:val="20"/>
                <w:color w:val="auto"/>
              </w:rPr>
            </w:pPr>
            <w:r>
              <w:rPr>
                <w:rFonts w:ascii="Arial" w:cs="Arial" w:eastAsia="Arial" w:hAnsi="Arial"/>
                <w:sz w:val="16"/>
                <w:szCs w:val="16"/>
                <w:color w:val="auto"/>
              </w:rPr>
              <w:t>Operating profit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69.5</w:t>
            </w: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11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bottom w:val="single" w:sz="8" w:color="E2E8F1"/>
            </w:tcBorders>
            <w:shd w:val="clear" w:color="auto" w:fill="E2E8F1"/>
          </w:tcPr>
          <w:p>
            <w:pPr>
              <w:spacing w:after="0"/>
              <w:rPr>
                <w:sz w:val="17"/>
                <w:szCs w:val="17"/>
                <w:color w:val="auto"/>
              </w:rPr>
            </w:pPr>
          </w:p>
        </w:tc>
        <w:tc>
          <w:tcPr>
            <w:tcW w:w="10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126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auto"/>
            </w:tcBorders>
            <w:shd w:val="clear" w:color="auto" w:fill="E2E8F1"/>
          </w:tcPr>
          <w:p>
            <w:pPr>
              <w:spacing w:after="0"/>
              <w:rPr>
                <w:sz w:val="17"/>
                <w:szCs w:val="17"/>
                <w:color w:val="auto"/>
              </w:rPr>
            </w:pPr>
          </w:p>
        </w:tc>
        <w:tc>
          <w:tcPr>
            <w:tcW w:w="11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(41.7)</w:t>
            </w:r>
          </w:p>
        </w:tc>
      </w:tr>
      <w:tr>
        <w:trPr>
          <w:trHeight w:val="183"/>
        </w:trPr>
        <w:tc>
          <w:tcPr>
            <w:tcW w:w="4540" w:type="dxa"/>
            <w:vAlign w:val="bottom"/>
          </w:tcPr>
          <w:p>
            <w:pPr>
              <w:ind w:left="140"/>
              <w:spacing w:after="0" w:line="169" w:lineRule="exact"/>
              <w:rPr>
                <w:sz w:val="20"/>
                <w:szCs w:val="20"/>
                <w:color w:val="auto"/>
              </w:rPr>
            </w:pPr>
            <w:r>
              <w:rPr>
                <w:rFonts w:ascii="Arial" w:cs="Arial" w:eastAsia="Arial" w:hAnsi="Arial"/>
                <w:sz w:val="16"/>
                <w:szCs w:val="16"/>
                <w:color w:val="auto"/>
              </w:rPr>
              <w:t>Earnings before income taxes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27.8</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-2348230</wp:posOffset>
            </wp:positionV>
            <wp:extent cx="1200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-2348230</wp:posOffset>
            </wp:positionV>
            <wp:extent cx="1117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-2348230</wp:posOffset>
            </wp:positionV>
            <wp:extent cx="1111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-1799590</wp:posOffset>
            </wp:positionV>
            <wp:extent cx="120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-1799590</wp:posOffset>
            </wp:positionV>
            <wp:extent cx="1117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-1799590</wp:posOffset>
            </wp:positionV>
            <wp:extent cx="111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-1250950</wp:posOffset>
            </wp:positionV>
            <wp:extent cx="120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-1250950</wp:posOffset>
            </wp:positionV>
            <wp:extent cx="1117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-1250950</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-976630</wp:posOffset>
            </wp:positionV>
            <wp:extent cx="120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-976630</wp:posOffset>
            </wp:positionV>
            <wp:extent cx="1117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-976630</wp:posOffset>
            </wp:positionV>
            <wp:extent cx="1111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5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$7.5 for the nine months ended September 30, 2025.</w:t>
      </w:r>
    </w:p>
    <w:p>
      <w:pPr>
        <w:spacing w:after="0" w:line="1"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Impairment charges for the nine months ended September 30, 2025 consist of a goodwill impairment related to our investments in Switzerland and the United Kingdom and an impairment of an indefinite-lived intangible asset in our Switzerland business.</w:t>
      </w:r>
    </w:p>
    <w:p>
      <w:pPr>
        <w:ind w:left="520" w:hanging="512"/>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(16) Contingencies</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2, 2026, the Japan Fair Trade Commission (“JFTC”) carried out an inspection of certain offices associated with our Japanese subsidiary as part of the JFTC’s investigation of the temporary staffing industry in Japan. We are cooperating with the JFTC investigation. As of the filing date of this Quarterly Report, the JFTC has not communicated the potential impact of any actions related to these matters to ManpowerGroup in Japan. The JFTC investigation is ongoing, and currently we are unable to predict or determine the scope, duration or outcome of the investigation or whether the investigation will or could have a material impact on our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4" w:name="page25"/>
    <w:bookmarkEnd w:id="24"/>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123" w:lineRule="exact"/>
        <w:rPr>
          <w:sz w:val="20"/>
          <w:szCs w:val="20"/>
          <w:color w:val="auto"/>
        </w:rPr>
      </w:pPr>
    </w:p>
    <w:p>
      <w:pPr>
        <w:ind w:right="920"/>
        <w:spacing w:after="0" w:line="255" w:lineRule="auto"/>
        <w:rPr>
          <w:sz w:val="20"/>
          <w:szCs w:val="20"/>
          <w:color w:val="auto"/>
        </w:rPr>
      </w:pPr>
      <w:r>
        <w:rPr>
          <w:rFonts w:ascii="Arial" w:cs="Arial" w:eastAsia="Arial" w:hAnsi="Arial"/>
          <w:sz w:val="25"/>
          <w:szCs w:val="25"/>
          <w:b w:val="1"/>
          <w:bCs w:val="1"/>
          <w:color w:val="5B89B4"/>
        </w:rPr>
        <w:t>Item 2 –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5B89B4"/>
        </w:rPr>
        <w:t>in millions, except share and per share data</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the financial measures section on page 35 for further information on the Non-GAAP financial measures of constant currency and organic constant currency.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Forward-Looking Statements</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w:t>
      </w:r>
    </w:p>
    <w:p>
      <w:pPr>
        <w:spacing w:after="0" w:line="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Risk Factors in our annual report on Form 10-K for the year-ended December 31, 2025, which information is incorporated herein by reference. Such risks and uncertainties include, but are not limited to, volatile, negative or uncertain economic conditions, particularly in Europe and the United States, including inflation, global trade policies, and geopolitical risk and uncertainty; changes in labor and tax legislation in places we do business; failure to implement strategic transformation initiatives and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Business Overview</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decreased demand, our operating profit is generally impacted unfavorably as we experience a deleveraging of selling and administrative expenses, which may not decline at the same pace as revenues. By contrast, during periods of increased demand, we are generally able to improve our profitability and operating leverage as our cost base can support some increase in business without a similar increase in selling and administrative expenses.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third quarter of 2026, we delivered continued revenue growth and improved profitability, driven by strong performance in the Manpower brand, particularly in the United States, and broad-based growth across many of our key markets. Demand trends continued to improve during the quarter, with strong revenue growth in the United States and Northern Europe, including the United Kingdom and Germany, as well as continued growth in Italy and Asia Pacific Middle East. Experis trends improved globally, with the U.S. business returning to organic growth, while Talent Solutions benefited from continued growth in MSP and strengthening RPO activity, partially offset by lower outplacement activity in Right Management. While performance continues to vary across markets and brands, the continued strength in Manpower, improving trends across Experis and Talent Solutions, and progress on our transformation strategy reinforce our belief that 2026 represents an important inflection point for ManpowerGroup and position the business for long-term profitable growth.</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third quarter of 2026, the United States dollar strengthened on average, relative to the currencies in most of our markets, and overall had an unfavorable impact on our reported results. The changes in the foreign currency exchange rates had a -0.8% unfavorable impact on revenues from services.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third quarter of 2026 compared to the third quarter of 2025, we experienced a 13.5% revenue increase in the Americas, primarily driven by an increase in demand for our Manpower staffing services and the favorable impact of currency exchange rates. During the third quarter of 2026 compared to the third quarter of 2025, we experienced a 1.0% revenue increase in Southern Europe, primarily due to an increase in demand for Manpower staffing services and an increase in demand for our Experis interim services, partially offset by the unfavorable impact of currency exchange rates. During the third quarter of 2026 compared to the third quarter of 2025, we experienced a 5.4% revenue increase in Northern Europe, primarily due to an increase in demand for our Manpower staffing services partially offset by a decrease in demand for our Experis interim services and the unfavorable impact of currency exchange rates. We experienced a -1.1% revenue decrease in APME in the third quarter of 2026 compared to the third quarter of 2025 primarily due to the unfavorable impact of currency exchange rates, partially offset by an increase in demand for our Manpower staffing services and an increase in demand for our Experis interim services.</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a brand perspective, we experienced revenue increases in Manpower and Talent Solutions while Experis experienced a revenue decrease in the third quarter of 2026 compared to the third quarter of 2025. In our Manpower brand, the revenue increase was primarily due to increased demand for staffing services. In our Talent Solutions brand, the revenue increase was primarily due to increased demand for our MSP and RPO businesses. The revenue decrease in our Experis brand was primarily due to the sale of our Jefferson Wells U.S. business, which represented a portion of our Experis interim services business.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third quarter of 2026, our gross profit margin decreased 70 basis points compared to the third quarter of 2025, primarily attributable to decreases in our staffing and interim margins due to business mix shifts, decreased demand in our permanent recruitment business, and decreased margins in our career transition business.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operating profit increased 23.7% in the third quarter of 2026 and our operating profit margin increased 30 basis points compared to the third quarter of 2025. Operating profit margin increased in the third quarter of 2026 primarily due to lower selling and administrative expenses as a percent of revenue driven by less restructuring and lower personnel costs as we see the impact of previous restructuring actions taken, partially offset by lower gross profit margins, increased strategic transformation program costs and increased demand for our Manpower staffing services.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Operating Results - Three Months Ended September 30, 2026 and 2025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2026 as compared to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40" w:type="dxa"/>
            <w:vAlign w:val="bottom"/>
            <w:tcBorders>
              <w:top w:val="single" w:sz="8" w:color="auto"/>
            </w:tcBorders>
            <w:shd w:val="clear" w:color="auto" w:fill="98B0CF"/>
          </w:tcPr>
          <w:p>
            <w:pPr>
              <w:spacing w:after="0"/>
              <w:rPr>
                <w:sz w:val="14"/>
                <w:szCs w:val="14"/>
                <w:color w:val="auto"/>
              </w:rPr>
            </w:pPr>
          </w:p>
        </w:tc>
        <w:tc>
          <w:tcPr>
            <w:tcW w:w="380" w:type="dxa"/>
            <w:vAlign w:val="bottom"/>
            <w:tcBorders>
              <w:top w:val="single" w:sz="8" w:color="auto"/>
            </w:tcBorders>
            <w:shd w:val="clear" w:color="auto" w:fill="98B0CF"/>
          </w:tcPr>
          <w:p>
            <w:pPr>
              <w:spacing w:after="0"/>
              <w:rPr>
                <w:sz w:val="14"/>
                <w:szCs w:val="14"/>
                <w:color w:val="auto"/>
              </w:rPr>
            </w:pPr>
          </w:p>
        </w:tc>
        <w:tc>
          <w:tcPr>
            <w:tcW w:w="1400" w:type="dxa"/>
            <w:vAlign w:val="bottom"/>
            <w:tcBorders>
              <w:top w:val="single" w:sz="8" w:color="auto"/>
            </w:tcBorders>
            <w:shd w:val="clear" w:color="auto" w:fill="98B0CF"/>
          </w:tcPr>
          <w:p>
            <w:pPr>
              <w:spacing w:after="0"/>
              <w:rPr>
                <w:sz w:val="14"/>
                <w:szCs w:val="14"/>
                <w:color w:val="auto"/>
              </w:rPr>
            </w:pPr>
          </w:p>
        </w:tc>
        <w:tc>
          <w:tcPr>
            <w:tcW w:w="120" w:type="dxa"/>
            <w:vAlign w:val="bottom"/>
            <w:tcBorders>
              <w:top w:val="single" w:sz="8" w:color="auto"/>
            </w:tcBorders>
            <w:shd w:val="clear" w:color="auto" w:fill="98B0CF"/>
          </w:tcPr>
          <w:p>
            <w:pPr>
              <w:spacing w:after="0"/>
              <w:rPr>
                <w:sz w:val="14"/>
                <w:szCs w:val="14"/>
                <w:color w:val="auto"/>
              </w:rPr>
            </w:pPr>
          </w:p>
        </w:tc>
        <w:tc>
          <w:tcPr>
            <w:tcW w:w="360" w:type="dxa"/>
            <w:vAlign w:val="bottom"/>
            <w:tcBorders>
              <w:top w:val="single" w:sz="8" w:color="auto"/>
            </w:tcBorders>
            <w:shd w:val="clear" w:color="auto" w:fill="98B0CF"/>
          </w:tcPr>
          <w:p>
            <w:pPr>
              <w:spacing w:after="0"/>
              <w:rPr>
                <w:sz w:val="14"/>
                <w:szCs w:val="14"/>
                <w:color w:val="auto"/>
              </w:rPr>
            </w:pPr>
          </w:p>
        </w:tc>
        <w:tc>
          <w:tcPr>
            <w:tcW w:w="1420" w:type="dxa"/>
            <w:vAlign w:val="bottom"/>
            <w:tcBorders>
              <w:top w:val="single" w:sz="8" w:color="auto"/>
            </w:tcBorders>
            <w:shd w:val="clear" w:color="auto" w:fill="98B0CF"/>
          </w:tcPr>
          <w:p>
            <w:pPr>
              <w:spacing w:after="0"/>
              <w:rPr>
                <w:sz w:val="14"/>
                <w:szCs w:val="14"/>
                <w:color w:val="auto"/>
              </w:rPr>
            </w:pPr>
          </w:p>
        </w:tc>
        <w:tc>
          <w:tcPr>
            <w:tcW w:w="2340" w:type="dxa"/>
            <w:vAlign w:val="bottom"/>
            <w:tcBorders>
              <w:top w:val="single" w:sz="8" w:color="auto"/>
            </w:tcBorders>
            <w:shd w:val="clear" w:color="auto" w:fill="98B0CF"/>
          </w:tcPr>
          <w:p>
            <w:pPr>
              <w:spacing w:after="0"/>
              <w:rPr>
                <w:sz w:val="14"/>
                <w:szCs w:val="14"/>
                <w:color w:val="auto"/>
              </w:rPr>
            </w:pPr>
          </w:p>
        </w:tc>
        <w:tc>
          <w:tcPr>
            <w:tcW w:w="1680" w:type="dxa"/>
            <w:vAlign w:val="bottom"/>
            <w:tcBorders>
              <w:top w:val="single" w:sz="8" w:color="auto"/>
            </w:tcBorders>
            <w:shd w:val="clear" w:color="auto" w:fill="98B0CF"/>
          </w:tcPr>
          <w:p>
            <w:pPr>
              <w:ind w:left="320"/>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354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14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360" w:type="dxa"/>
            <w:vAlign w:val="bottom"/>
            <w:shd w:val="clear" w:color="auto" w:fill="98B0CF"/>
          </w:tcPr>
          <w:p>
            <w:pPr>
              <w:spacing w:after="0"/>
              <w:rPr>
                <w:sz w:val="14"/>
                <w:szCs w:val="14"/>
                <w:color w:val="auto"/>
              </w:rPr>
            </w:pPr>
          </w:p>
        </w:tc>
        <w:tc>
          <w:tcPr>
            <w:tcW w:w="1420" w:type="dxa"/>
            <w:vAlign w:val="bottom"/>
            <w:shd w:val="clear" w:color="auto" w:fill="98B0CF"/>
          </w:tcPr>
          <w:p>
            <w:pPr>
              <w:spacing w:after="0"/>
              <w:rPr>
                <w:sz w:val="14"/>
                <w:szCs w:val="14"/>
                <w:color w:val="auto"/>
              </w:rPr>
            </w:pPr>
          </w:p>
        </w:tc>
        <w:tc>
          <w:tcPr>
            <w:tcW w:w="2340" w:type="dxa"/>
            <w:vAlign w:val="bottom"/>
            <w:shd w:val="clear" w:color="auto" w:fill="98B0CF"/>
          </w:tcPr>
          <w:p>
            <w:pPr>
              <w:spacing w:after="0"/>
              <w:rPr>
                <w:sz w:val="14"/>
                <w:szCs w:val="14"/>
                <w:color w:val="auto"/>
              </w:rPr>
            </w:pPr>
          </w:p>
        </w:tc>
        <w:tc>
          <w:tcPr>
            <w:tcW w:w="1680" w:type="dxa"/>
            <w:vAlign w:val="bottom"/>
            <w:shd w:val="clear" w:color="auto" w:fill="98B0CF"/>
          </w:tcPr>
          <w:p>
            <w:pPr>
              <w:ind w:left="320"/>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3540" w:type="dxa"/>
            <w:vAlign w:val="bottom"/>
            <w:tcBorders>
              <w:bottom w:val="single" w:sz="8" w:color="auto"/>
            </w:tcBorders>
            <w:shd w:val="clear" w:color="auto" w:fill="98B0CF"/>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Borders>
              <w:bottom w:val="single" w:sz="8" w:color="auto"/>
            </w:tcBorders>
            <w:shd w:val="clear" w:color="auto" w:fill="98B0CF"/>
          </w:tcPr>
          <w:p>
            <w:pPr>
              <w:spacing w:after="0"/>
              <w:rPr>
                <w:sz w:val="14"/>
                <w:szCs w:val="14"/>
                <w:color w:val="auto"/>
              </w:rPr>
            </w:pPr>
          </w:p>
        </w:tc>
        <w:tc>
          <w:tcPr>
            <w:tcW w:w="1400" w:type="dxa"/>
            <w:vAlign w:val="bottom"/>
            <w:tcBorders>
              <w:bottom w:val="single" w:sz="8" w:color="auto"/>
            </w:tcBorders>
            <w:shd w:val="clear" w:color="auto" w:fill="98B0CF"/>
          </w:tcPr>
          <w:p>
            <w:pPr>
              <w:jc w:val="right"/>
              <w:ind w:right="74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shd w:val="clear" w:color="auto" w:fill="98B0CF"/>
          </w:tcPr>
          <w:p>
            <w:pPr>
              <w:spacing w:after="0"/>
              <w:rPr>
                <w:sz w:val="14"/>
                <w:szCs w:val="14"/>
                <w:color w:val="auto"/>
              </w:rPr>
            </w:pPr>
          </w:p>
        </w:tc>
        <w:tc>
          <w:tcPr>
            <w:tcW w:w="360" w:type="dxa"/>
            <w:vAlign w:val="bottom"/>
            <w:tcBorders>
              <w:bottom w:val="single" w:sz="8" w:color="auto"/>
            </w:tcBorders>
            <w:shd w:val="clear" w:color="auto" w:fill="98B0CF"/>
          </w:tcPr>
          <w:p>
            <w:pPr>
              <w:spacing w:after="0"/>
              <w:rPr>
                <w:sz w:val="14"/>
                <w:szCs w:val="14"/>
                <w:color w:val="auto"/>
              </w:rPr>
            </w:pPr>
          </w:p>
        </w:tc>
        <w:tc>
          <w:tcPr>
            <w:tcW w:w="1420" w:type="dxa"/>
            <w:vAlign w:val="bottom"/>
            <w:tcBorders>
              <w:bottom w:val="single" w:sz="8" w:color="auto"/>
            </w:tcBorders>
            <w:shd w:val="clear" w:color="auto" w:fill="98B0CF"/>
          </w:tcPr>
          <w:p>
            <w:pPr>
              <w:jc w:val="right"/>
              <w:ind w:right="740"/>
              <w:spacing w:after="0"/>
              <w:rPr>
                <w:sz w:val="20"/>
                <w:szCs w:val="20"/>
                <w:color w:val="auto"/>
              </w:rPr>
            </w:pPr>
            <w:r>
              <w:rPr>
                <w:rFonts w:ascii="Arial" w:cs="Arial" w:eastAsia="Arial" w:hAnsi="Arial"/>
                <w:sz w:val="14"/>
                <w:szCs w:val="14"/>
                <w:b w:val="1"/>
                <w:bCs w:val="1"/>
                <w:color w:val="auto"/>
              </w:rPr>
              <w:t>2025</w:t>
            </w:r>
          </w:p>
        </w:tc>
        <w:tc>
          <w:tcPr>
            <w:tcW w:w="2340" w:type="dxa"/>
            <w:vAlign w:val="bottom"/>
            <w:tcBorders>
              <w:bottom w:val="single" w:sz="8" w:color="auto"/>
            </w:tcBorders>
            <w:shd w:val="clear" w:color="auto" w:fill="98B0CF"/>
          </w:tcPr>
          <w:p>
            <w:pPr>
              <w:jc w:val="right"/>
              <w:ind w:right="1000"/>
              <w:spacing w:after="0"/>
              <w:rPr>
                <w:sz w:val="20"/>
                <w:szCs w:val="20"/>
                <w:color w:val="auto"/>
              </w:rPr>
            </w:pPr>
            <w:r>
              <w:rPr>
                <w:rFonts w:ascii="Arial" w:cs="Arial" w:eastAsia="Arial" w:hAnsi="Arial"/>
                <w:sz w:val="14"/>
                <w:szCs w:val="14"/>
                <w:b w:val="1"/>
                <w:bCs w:val="1"/>
                <w:color w:val="auto"/>
              </w:rPr>
              <w:t>Variance</w:t>
            </w:r>
          </w:p>
        </w:tc>
        <w:tc>
          <w:tcPr>
            <w:tcW w:w="1680" w:type="dxa"/>
            <w:vAlign w:val="bottom"/>
            <w:tcBorders>
              <w:bottom w:val="single" w:sz="8" w:color="auto"/>
            </w:tcBorders>
            <w:shd w:val="clear" w:color="auto" w:fill="98B0CF"/>
          </w:tcPr>
          <w:p>
            <w:pPr>
              <w:ind w:left="320"/>
              <w:spacing w:after="0"/>
              <w:rPr>
                <w:sz w:val="20"/>
                <w:szCs w:val="20"/>
                <w:color w:val="auto"/>
              </w:rPr>
            </w:pPr>
            <w:r>
              <w:rPr>
                <w:rFonts w:ascii="Arial" w:cs="Arial" w:eastAsia="Arial" w:hAnsi="Arial"/>
                <w:sz w:val="14"/>
                <w:szCs w:val="14"/>
                <w:b w:val="1"/>
                <w:bCs w:val="1"/>
                <w:color w:val="auto"/>
              </w:rPr>
              <w:t>Variance</w:t>
            </w:r>
          </w:p>
        </w:tc>
      </w:tr>
      <w:tr>
        <w:trPr>
          <w:trHeight w:val="183"/>
        </w:trPr>
        <w:tc>
          <w:tcPr>
            <w:tcW w:w="354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Revenues from services</w:t>
            </w:r>
          </w:p>
        </w:tc>
        <w:tc>
          <w:tcPr>
            <w:tcW w:w="380" w:type="dxa"/>
            <w:vAlign w:val="bottom"/>
            <w:shd w:val="clear" w:color="auto" w:fill="E2E8F1"/>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4,840.0</w:t>
            </w:r>
          </w:p>
        </w:tc>
        <w:tc>
          <w:tcPr>
            <w:tcW w:w="480" w:type="dxa"/>
            <w:vAlign w:val="bottom"/>
            <w:gridSpan w:val="2"/>
            <w:shd w:val="clear" w:color="auto" w:fill="E2E8F1"/>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4,634.4</w:t>
            </w:r>
          </w:p>
        </w:tc>
        <w:tc>
          <w:tcPr>
            <w:tcW w:w="2340" w:type="dxa"/>
            <w:vAlign w:val="bottom"/>
            <w:shd w:val="clear" w:color="auto" w:fill="E2E8F1"/>
          </w:tcPr>
          <w:p>
            <w:pPr>
              <w:jc w:val="right"/>
              <w:ind w:right="300"/>
              <w:spacing w:after="0" w:line="183" w:lineRule="exact"/>
              <w:rPr>
                <w:sz w:val="20"/>
                <w:szCs w:val="20"/>
                <w:color w:val="auto"/>
              </w:rPr>
            </w:pPr>
            <w:r>
              <w:rPr>
                <w:rFonts w:ascii="Arial" w:cs="Arial" w:eastAsia="Arial" w:hAnsi="Arial"/>
                <w:sz w:val="16"/>
                <w:szCs w:val="16"/>
                <w:color w:val="auto"/>
              </w:rPr>
              <w:t>4.4%</w:t>
            </w:r>
          </w:p>
        </w:tc>
        <w:tc>
          <w:tcPr>
            <w:tcW w:w="1680" w:type="dxa"/>
            <w:vAlign w:val="bottom"/>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5.2%</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Cost of services</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4,072.7</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3,865.5</w:t>
            </w:r>
          </w:p>
        </w:tc>
        <w:tc>
          <w:tcPr>
            <w:tcW w:w="2340" w:type="dxa"/>
            <w:vAlign w:val="bottom"/>
          </w:tcPr>
          <w:p>
            <w:pPr>
              <w:jc w:val="right"/>
              <w:ind w:right="300"/>
              <w:spacing w:after="0"/>
              <w:rPr>
                <w:sz w:val="20"/>
                <w:szCs w:val="20"/>
                <w:color w:val="auto"/>
              </w:rPr>
            </w:pPr>
            <w:r>
              <w:rPr>
                <w:rFonts w:ascii="Arial" w:cs="Arial" w:eastAsia="Arial" w:hAnsi="Arial"/>
                <w:sz w:val="16"/>
                <w:szCs w:val="16"/>
                <w:color w:val="auto"/>
              </w:rPr>
              <w:t>5.4%</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6.1%</w:t>
            </w:r>
          </w:p>
        </w:tc>
      </w:tr>
      <w:tr>
        <w:trPr>
          <w:trHeight w:val="183"/>
        </w:trPr>
        <w:tc>
          <w:tcPr>
            <w:tcW w:w="354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Gross profit</w:t>
            </w:r>
          </w:p>
        </w:tc>
        <w:tc>
          <w:tcPr>
            <w:tcW w:w="380" w:type="dxa"/>
            <w:vAlign w:val="bottom"/>
            <w:shd w:val="clear" w:color="auto" w:fill="E2E8F1"/>
          </w:tcPr>
          <w:p>
            <w:pPr>
              <w:spacing w:after="0"/>
              <w:rPr>
                <w:sz w:val="15"/>
                <w:szCs w:val="15"/>
                <w:color w:val="auto"/>
              </w:rPr>
            </w:pPr>
          </w:p>
        </w:tc>
        <w:tc>
          <w:tcPr>
            <w:tcW w:w="140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767.3</w:t>
            </w:r>
          </w:p>
        </w:tc>
        <w:tc>
          <w:tcPr>
            <w:tcW w:w="120" w:type="dxa"/>
            <w:vAlign w:val="bottom"/>
            <w:shd w:val="clear" w:color="auto" w:fill="E2E8F1"/>
          </w:tcPr>
          <w:p>
            <w:pPr>
              <w:spacing w:after="0"/>
              <w:rPr>
                <w:sz w:val="15"/>
                <w:szCs w:val="15"/>
                <w:color w:val="auto"/>
              </w:rPr>
            </w:pPr>
          </w:p>
        </w:tc>
        <w:tc>
          <w:tcPr>
            <w:tcW w:w="360" w:type="dxa"/>
            <w:vAlign w:val="bottom"/>
            <w:shd w:val="clear" w:color="auto" w:fill="E2E8F1"/>
          </w:tcPr>
          <w:p>
            <w:pPr>
              <w:spacing w:after="0"/>
              <w:rPr>
                <w:sz w:val="15"/>
                <w:szCs w:val="15"/>
                <w:color w:val="auto"/>
              </w:rPr>
            </w:pPr>
          </w:p>
        </w:tc>
        <w:tc>
          <w:tcPr>
            <w:tcW w:w="14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768.9</w:t>
            </w:r>
          </w:p>
        </w:tc>
        <w:tc>
          <w:tcPr>
            <w:tcW w:w="2340" w:type="dxa"/>
            <w:vAlign w:val="bottom"/>
            <w:shd w:val="clear" w:color="auto" w:fill="E2E8F1"/>
          </w:tcPr>
          <w:p>
            <w:pPr>
              <w:jc w:val="right"/>
              <w:ind w:right="240"/>
              <w:spacing w:after="0" w:line="183" w:lineRule="exact"/>
              <w:rPr>
                <w:sz w:val="20"/>
                <w:szCs w:val="20"/>
                <w:color w:val="auto"/>
              </w:rPr>
            </w:pPr>
            <w:r>
              <w:rPr>
                <w:rFonts w:ascii="Arial" w:cs="Arial" w:eastAsia="Arial" w:hAnsi="Arial"/>
                <w:sz w:val="16"/>
                <w:szCs w:val="16"/>
                <w:color w:val="auto"/>
              </w:rPr>
              <w:t>(0.2)%</w:t>
            </w:r>
          </w:p>
        </w:tc>
        <w:tc>
          <w:tcPr>
            <w:tcW w:w="1680" w:type="dxa"/>
            <w:vAlign w:val="bottom"/>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0.4%</w:t>
            </w:r>
          </w:p>
        </w:tc>
      </w:tr>
      <w:tr>
        <w:trPr>
          <w:trHeight w:val="189"/>
        </w:trPr>
        <w:tc>
          <w:tcPr>
            <w:tcW w:w="3540" w:type="dxa"/>
            <w:vAlign w:val="bottom"/>
          </w:tcPr>
          <w:p>
            <w:pPr>
              <w:ind w:left="80"/>
              <w:spacing w:after="0"/>
              <w:rPr>
                <w:sz w:val="20"/>
                <w:szCs w:val="20"/>
                <w:color w:val="auto"/>
              </w:rPr>
            </w:pPr>
            <w:r>
              <w:rPr>
                <w:rFonts w:ascii="Arial" w:cs="Arial" w:eastAsia="Arial" w:hAnsi="Arial"/>
                <w:sz w:val="16"/>
                <w:szCs w:val="16"/>
                <w:i w:val="1"/>
                <w:iCs w:val="1"/>
                <w:color w:val="auto"/>
              </w:rPr>
              <w:t>Gross profit margin</w:t>
            </w:r>
          </w:p>
        </w:tc>
        <w:tc>
          <w:tcPr>
            <w:tcW w:w="3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i w:val="1"/>
                <w:iCs w:val="1"/>
                <w:color w:val="auto"/>
              </w:rPr>
              <w:t>15.9%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i w:val="1"/>
                <w:iCs w:val="1"/>
                <w:color w:val="auto"/>
              </w:rPr>
              <w:t>16.6%</w:t>
            </w:r>
          </w:p>
        </w:tc>
        <w:tc>
          <w:tcPr>
            <w:tcW w:w="23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9"/>
        </w:trPr>
        <w:tc>
          <w:tcPr>
            <w:tcW w:w="354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color w:val="auto"/>
              </w:rPr>
              <w:t>Selling and administrative expenses</w:t>
            </w:r>
          </w:p>
        </w:tc>
        <w:tc>
          <w:tcPr>
            <w:tcW w:w="380" w:type="dxa"/>
            <w:vAlign w:val="bottom"/>
            <w:tcBorders>
              <w:bottom w:val="single" w:sz="8" w:color="auto"/>
            </w:tcBorders>
            <w:shd w:val="clear" w:color="auto" w:fill="E2E8F1"/>
          </w:tcPr>
          <w:p>
            <w:pPr>
              <w:spacing w:after="0"/>
              <w:rPr>
                <w:sz w:val="16"/>
                <w:szCs w:val="16"/>
                <w:color w:val="auto"/>
              </w:rPr>
            </w:pPr>
          </w:p>
        </w:tc>
        <w:tc>
          <w:tcPr>
            <w:tcW w:w="1400" w:type="dxa"/>
            <w:vAlign w:val="bottom"/>
            <w:tcBorders>
              <w:bottom w:val="single" w:sz="8" w:color="auto"/>
            </w:tcBorders>
            <w:shd w:val="clear" w:color="auto" w:fill="E2E8F1"/>
          </w:tcPr>
          <w:p>
            <w:pPr>
              <w:jc w:val="right"/>
              <w:ind w:right="80"/>
              <w:spacing w:after="0"/>
              <w:rPr>
                <w:sz w:val="20"/>
                <w:szCs w:val="20"/>
                <w:color w:val="auto"/>
              </w:rPr>
            </w:pPr>
            <w:r>
              <w:rPr>
                <w:rFonts w:ascii="Arial" w:cs="Arial" w:eastAsia="Arial" w:hAnsi="Arial"/>
                <w:sz w:val="16"/>
                <w:szCs w:val="16"/>
                <w:color w:val="auto"/>
              </w:rPr>
              <w:t>685.0</w:t>
            </w:r>
          </w:p>
        </w:tc>
        <w:tc>
          <w:tcPr>
            <w:tcW w:w="120" w:type="dxa"/>
            <w:vAlign w:val="bottom"/>
            <w:tcBorders>
              <w:bottom w:val="single" w:sz="8" w:color="E2E8F1"/>
            </w:tcBorders>
            <w:shd w:val="clear" w:color="auto" w:fill="E2E8F1"/>
          </w:tcPr>
          <w:p>
            <w:pPr>
              <w:spacing w:after="0"/>
              <w:rPr>
                <w:sz w:val="16"/>
                <w:szCs w:val="16"/>
                <w:color w:val="auto"/>
              </w:rPr>
            </w:pPr>
          </w:p>
        </w:tc>
        <w:tc>
          <w:tcPr>
            <w:tcW w:w="360" w:type="dxa"/>
            <w:vAlign w:val="bottom"/>
            <w:tcBorders>
              <w:bottom w:val="single" w:sz="8" w:color="auto"/>
            </w:tcBorders>
            <w:shd w:val="clear" w:color="auto" w:fill="E2E8F1"/>
          </w:tcPr>
          <w:p>
            <w:pPr>
              <w:spacing w:after="0"/>
              <w:rPr>
                <w:sz w:val="16"/>
                <w:szCs w:val="16"/>
                <w:color w:val="auto"/>
              </w:rPr>
            </w:pPr>
          </w:p>
        </w:tc>
        <w:tc>
          <w:tcPr>
            <w:tcW w:w="1420" w:type="dxa"/>
            <w:vAlign w:val="bottom"/>
            <w:tcBorders>
              <w:bottom w:val="single" w:sz="8" w:color="auto"/>
            </w:tcBorders>
            <w:shd w:val="clear" w:color="auto" w:fill="E2E8F1"/>
          </w:tcPr>
          <w:p>
            <w:pPr>
              <w:jc w:val="right"/>
              <w:ind w:right="100"/>
              <w:spacing w:after="0"/>
              <w:rPr>
                <w:sz w:val="20"/>
                <w:szCs w:val="20"/>
                <w:color w:val="auto"/>
              </w:rPr>
            </w:pPr>
            <w:r>
              <w:rPr>
                <w:rFonts w:ascii="Arial" w:cs="Arial" w:eastAsia="Arial" w:hAnsi="Arial"/>
                <w:sz w:val="16"/>
                <w:szCs w:val="16"/>
                <w:color w:val="auto"/>
              </w:rPr>
              <w:t>702.3</w:t>
            </w:r>
          </w:p>
        </w:tc>
        <w:tc>
          <w:tcPr>
            <w:tcW w:w="2340" w:type="dxa"/>
            <w:vAlign w:val="bottom"/>
            <w:tcBorders>
              <w:bottom w:val="single" w:sz="8" w:color="E2E8F1"/>
            </w:tcBorders>
            <w:shd w:val="clear" w:color="auto" w:fill="E2E8F1"/>
          </w:tcPr>
          <w:p>
            <w:pPr>
              <w:jc w:val="right"/>
              <w:ind w:right="240"/>
              <w:spacing w:after="0"/>
              <w:rPr>
                <w:sz w:val="20"/>
                <w:szCs w:val="20"/>
                <w:color w:val="auto"/>
              </w:rPr>
            </w:pPr>
            <w:r>
              <w:rPr>
                <w:rFonts w:ascii="Arial" w:cs="Arial" w:eastAsia="Arial" w:hAnsi="Arial"/>
                <w:sz w:val="16"/>
                <w:szCs w:val="16"/>
                <w:color w:val="auto"/>
              </w:rPr>
              <w:t>(2.5)%</w:t>
            </w:r>
          </w:p>
        </w:tc>
        <w:tc>
          <w:tcPr>
            <w:tcW w:w="1680" w:type="dxa"/>
            <w:vAlign w:val="bottom"/>
            <w:tcBorders>
              <w:bottom w:val="single" w:sz="8" w:color="E2E8F1"/>
            </w:tcBorders>
            <w:shd w:val="clear" w:color="auto" w:fill="E2E8F1"/>
          </w:tcPr>
          <w:p>
            <w:pPr>
              <w:jc w:val="right"/>
              <w:spacing w:after="0"/>
              <w:rPr>
                <w:sz w:val="20"/>
                <w:szCs w:val="20"/>
                <w:color w:val="auto"/>
              </w:rPr>
            </w:pPr>
            <w:r>
              <w:rPr>
                <w:rFonts w:ascii="Arial" w:cs="Arial" w:eastAsia="Arial" w:hAnsi="Arial"/>
                <w:sz w:val="16"/>
                <w:szCs w:val="16"/>
                <w:color w:val="auto"/>
              </w:rPr>
              <w:t>(2.0)%</w:t>
            </w:r>
          </w:p>
        </w:tc>
      </w:tr>
      <w:tr>
        <w:trPr>
          <w:trHeight w:val="183"/>
        </w:trPr>
        <w:tc>
          <w:tcPr>
            <w:tcW w:w="3540" w:type="dxa"/>
            <w:vAlign w:val="bottom"/>
          </w:tcPr>
          <w:p>
            <w:pPr>
              <w:ind w:left="80"/>
              <w:spacing w:after="0" w:line="183" w:lineRule="exact"/>
              <w:rPr>
                <w:sz w:val="20"/>
                <w:szCs w:val="20"/>
                <w:color w:val="auto"/>
              </w:rPr>
            </w:pPr>
            <w:r>
              <w:rPr>
                <w:rFonts w:ascii="Arial" w:cs="Arial" w:eastAsia="Arial" w:hAnsi="Arial"/>
                <w:sz w:val="16"/>
                <w:szCs w:val="16"/>
                <w:color w:val="auto"/>
              </w:rPr>
              <w:t>Operating profit</w:t>
            </w:r>
          </w:p>
        </w:tc>
        <w:tc>
          <w:tcPr>
            <w:tcW w:w="380" w:type="dxa"/>
            <w:vAlign w:val="bottom"/>
          </w:tcPr>
          <w:p>
            <w:pPr>
              <w:spacing w:after="0"/>
              <w:rPr>
                <w:sz w:val="15"/>
                <w:szCs w:val="15"/>
                <w:color w:val="auto"/>
              </w:rPr>
            </w:pPr>
          </w:p>
        </w:tc>
        <w:tc>
          <w:tcPr>
            <w:tcW w:w="1400" w:type="dxa"/>
            <w:vAlign w:val="bottom"/>
          </w:tcPr>
          <w:p>
            <w:pPr>
              <w:jc w:val="right"/>
              <w:ind w:right="80"/>
              <w:spacing w:after="0" w:line="183" w:lineRule="exact"/>
              <w:rPr>
                <w:sz w:val="20"/>
                <w:szCs w:val="20"/>
                <w:color w:val="auto"/>
              </w:rPr>
            </w:pPr>
            <w:r>
              <w:rPr>
                <w:rFonts w:ascii="Arial" w:cs="Arial" w:eastAsia="Arial" w:hAnsi="Arial"/>
                <w:sz w:val="16"/>
                <w:szCs w:val="16"/>
                <w:color w:val="auto"/>
              </w:rPr>
              <w:t>82.3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66.6</w:t>
            </w:r>
          </w:p>
        </w:tc>
        <w:tc>
          <w:tcPr>
            <w:tcW w:w="2340" w:type="dxa"/>
            <w:vAlign w:val="bottom"/>
          </w:tcPr>
          <w:p>
            <w:pPr>
              <w:jc w:val="right"/>
              <w:ind w:right="300"/>
              <w:spacing w:after="0" w:line="183" w:lineRule="exact"/>
              <w:rPr>
                <w:sz w:val="20"/>
                <w:szCs w:val="20"/>
                <w:color w:val="auto"/>
              </w:rPr>
            </w:pPr>
            <w:r>
              <w:rPr>
                <w:rFonts w:ascii="Arial" w:cs="Arial" w:eastAsia="Arial" w:hAnsi="Arial"/>
                <w:sz w:val="16"/>
                <w:szCs w:val="16"/>
                <w:color w:val="auto"/>
              </w:rPr>
              <w:t>23.7%</w:t>
            </w:r>
          </w:p>
        </w:tc>
        <w:tc>
          <w:tcPr>
            <w:tcW w:w="1680" w:type="dxa"/>
            <w:vAlign w:val="bottom"/>
          </w:tcPr>
          <w:p>
            <w:pPr>
              <w:jc w:val="right"/>
              <w:ind w:right="1"/>
              <w:spacing w:after="0" w:line="183" w:lineRule="exact"/>
              <w:rPr>
                <w:sz w:val="20"/>
                <w:szCs w:val="20"/>
                <w:color w:val="auto"/>
              </w:rPr>
            </w:pPr>
            <w:r>
              <w:rPr>
                <w:rFonts w:ascii="Arial" w:cs="Arial" w:eastAsia="Arial" w:hAnsi="Arial"/>
                <w:sz w:val="16"/>
                <w:szCs w:val="16"/>
                <w:color w:val="auto"/>
              </w:rPr>
              <w:t>26.2%</w:t>
            </w:r>
          </w:p>
        </w:tc>
      </w:tr>
      <w:tr>
        <w:trPr>
          <w:trHeight w:val="189"/>
        </w:trPr>
        <w:tc>
          <w:tcPr>
            <w:tcW w:w="3540" w:type="dxa"/>
            <w:vAlign w:val="bottom"/>
            <w:shd w:val="clear" w:color="auto" w:fill="E2E8F1"/>
          </w:tcPr>
          <w:p>
            <w:pPr>
              <w:ind w:left="80"/>
              <w:spacing w:after="0"/>
              <w:rPr>
                <w:sz w:val="20"/>
                <w:szCs w:val="20"/>
                <w:color w:val="auto"/>
              </w:rPr>
            </w:pPr>
            <w:r>
              <w:rPr>
                <w:rFonts w:ascii="Arial" w:cs="Arial" w:eastAsia="Arial" w:hAnsi="Arial"/>
                <w:sz w:val="16"/>
                <w:szCs w:val="16"/>
                <w:i w:val="1"/>
                <w:iCs w:val="1"/>
                <w:color w:val="auto"/>
              </w:rPr>
              <w:t>Operating profit margin</w:t>
            </w:r>
          </w:p>
        </w:tc>
        <w:tc>
          <w:tcPr>
            <w:tcW w:w="380" w:type="dxa"/>
            <w:vAlign w:val="bottom"/>
            <w:shd w:val="clear" w:color="auto" w:fill="E2E8F1"/>
          </w:tcPr>
          <w:p>
            <w:pPr>
              <w:spacing w:after="0"/>
              <w:rPr>
                <w:sz w:val="16"/>
                <w:szCs w:val="16"/>
                <w:color w:val="auto"/>
              </w:rPr>
            </w:pPr>
          </w:p>
        </w:tc>
        <w:tc>
          <w:tcPr>
            <w:tcW w:w="1400" w:type="dxa"/>
            <w:vAlign w:val="bottom"/>
            <w:shd w:val="clear" w:color="auto" w:fill="E2E8F1"/>
          </w:tcPr>
          <w:p>
            <w:pPr>
              <w:jc w:val="right"/>
              <w:spacing w:after="0"/>
              <w:rPr>
                <w:sz w:val="20"/>
                <w:szCs w:val="20"/>
                <w:color w:val="auto"/>
              </w:rPr>
            </w:pPr>
            <w:r>
              <w:rPr>
                <w:rFonts w:ascii="Arial" w:cs="Arial" w:eastAsia="Arial" w:hAnsi="Arial"/>
                <w:sz w:val="16"/>
                <w:szCs w:val="16"/>
                <w:i w:val="1"/>
                <w:iCs w:val="1"/>
                <w:color w:val="auto"/>
              </w:rPr>
              <w:t>1.7%</w:t>
            </w:r>
          </w:p>
        </w:tc>
        <w:tc>
          <w:tcPr>
            <w:tcW w:w="120" w:type="dxa"/>
            <w:vAlign w:val="bottom"/>
            <w:shd w:val="clear" w:color="auto" w:fill="E2E8F1"/>
          </w:tcPr>
          <w:p>
            <w:pPr>
              <w:spacing w:after="0"/>
              <w:rPr>
                <w:sz w:val="16"/>
                <w:szCs w:val="16"/>
                <w:color w:val="auto"/>
              </w:rPr>
            </w:pPr>
          </w:p>
        </w:tc>
        <w:tc>
          <w:tcPr>
            <w:tcW w:w="360" w:type="dxa"/>
            <w:vAlign w:val="bottom"/>
            <w:shd w:val="clear" w:color="auto" w:fill="E2E8F1"/>
          </w:tcPr>
          <w:p>
            <w:pPr>
              <w:spacing w:after="0"/>
              <w:rPr>
                <w:sz w:val="16"/>
                <w:szCs w:val="16"/>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6"/>
                <w:szCs w:val="16"/>
                <w:i w:val="1"/>
                <w:iCs w:val="1"/>
                <w:color w:val="auto"/>
              </w:rPr>
              <w:t>1.4%</w:t>
            </w:r>
          </w:p>
        </w:tc>
        <w:tc>
          <w:tcPr>
            <w:tcW w:w="2340" w:type="dxa"/>
            <w:vAlign w:val="bottom"/>
            <w:shd w:val="clear" w:color="auto" w:fill="E2E8F1"/>
          </w:tcPr>
          <w:p>
            <w:pPr>
              <w:spacing w:after="0"/>
              <w:rPr>
                <w:sz w:val="16"/>
                <w:szCs w:val="16"/>
                <w:color w:val="auto"/>
              </w:rPr>
            </w:pPr>
          </w:p>
        </w:tc>
        <w:tc>
          <w:tcPr>
            <w:tcW w:w="1680" w:type="dxa"/>
            <w:vAlign w:val="bottom"/>
            <w:shd w:val="clear" w:color="auto" w:fill="E2E8F1"/>
          </w:tcPr>
          <w:p>
            <w:pPr>
              <w:spacing w:after="0"/>
              <w:rPr>
                <w:sz w:val="16"/>
                <w:szCs w:val="16"/>
                <w:color w:val="auto"/>
              </w:rPr>
            </w:pP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13.7</w:t>
            </w:r>
          </w:p>
        </w:tc>
        <w:tc>
          <w:tcPr>
            <w:tcW w:w="2340" w:type="dxa"/>
            <w:vAlign w:val="bottom"/>
          </w:tcPr>
          <w:p>
            <w:pPr>
              <w:jc w:val="right"/>
              <w:ind w:right="300"/>
              <w:spacing w:after="0"/>
              <w:rPr>
                <w:sz w:val="20"/>
                <w:szCs w:val="20"/>
                <w:color w:val="auto"/>
              </w:rPr>
            </w:pPr>
            <w:r>
              <w:rPr>
                <w:rFonts w:ascii="Arial" w:cs="Arial" w:eastAsia="Arial" w:hAnsi="Arial"/>
                <w:sz w:val="16"/>
                <w:szCs w:val="16"/>
                <w:color w:val="auto"/>
              </w:rPr>
              <w:t>4.8%</w:t>
            </w:r>
          </w:p>
        </w:tc>
        <w:tc>
          <w:tcPr>
            <w:tcW w:w="1680" w:type="dxa"/>
            <w:vAlign w:val="bottom"/>
          </w:tcPr>
          <w:p>
            <w:pPr>
              <w:spacing w:after="0"/>
              <w:rPr>
                <w:sz w:val="16"/>
                <w:szCs w:val="16"/>
                <w:color w:val="auto"/>
              </w:rPr>
            </w:pPr>
          </w:p>
        </w:tc>
      </w:tr>
      <w:tr>
        <w:trPr>
          <w:trHeight w:val="183"/>
        </w:trPr>
        <w:tc>
          <w:tcPr>
            <w:tcW w:w="354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Earnings before income taxes</w:t>
            </w:r>
          </w:p>
        </w:tc>
        <w:tc>
          <w:tcPr>
            <w:tcW w:w="380" w:type="dxa"/>
            <w:vAlign w:val="bottom"/>
            <w:shd w:val="clear" w:color="auto" w:fill="E2E8F1"/>
          </w:tcPr>
          <w:p>
            <w:pPr>
              <w:spacing w:after="0"/>
              <w:rPr>
                <w:sz w:val="15"/>
                <w:szCs w:val="15"/>
                <w:color w:val="auto"/>
              </w:rPr>
            </w:pPr>
          </w:p>
        </w:tc>
        <w:tc>
          <w:tcPr>
            <w:tcW w:w="140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68.0</w:t>
            </w:r>
          </w:p>
        </w:tc>
        <w:tc>
          <w:tcPr>
            <w:tcW w:w="120" w:type="dxa"/>
            <w:vAlign w:val="bottom"/>
            <w:shd w:val="clear" w:color="auto" w:fill="E2E8F1"/>
          </w:tcPr>
          <w:p>
            <w:pPr>
              <w:spacing w:after="0"/>
              <w:rPr>
                <w:sz w:val="15"/>
                <w:szCs w:val="15"/>
                <w:color w:val="auto"/>
              </w:rPr>
            </w:pPr>
          </w:p>
        </w:tc>
        <w:tc>
          <w:tcPr>
            <w:tcW w:w="360" w:type="dxa"/>
            <w:vAlign w:val="bottom"/>
            <w:shd w:val="clear" w:color="auto" w:fill="E2E8F1"/>
          </w:tcPr>
          <w:p>
            <w:pPr>
              <w:spacing w:after="0"/>
              <w:rPr>
                <w:sz w:val="15"/>
                <w:szCs w:val="15"/>
                <w:color w:val="auto"/>
              </w:rPr>
            </w:pPr>
          </w:p>
        </w:tc>
        <w:tc>
          <w:tcPr>
            <w:tcW w:w="14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52.9</w:t>
            </w:r>
          </w:p>
        </w:tc>
        <w:tc>
          <w:tcPr>
            <w:tcW w:w="2340" w:type="dxa"/>
            <w:vAlign w:val="bottom"/>
            <w:shd w:val="clear" w:color="auto" w:fill="E2E8F1"/>
          </w:tcPr>
          <w:p>
            <w:pPr>
              <w:jc w:val="right"/>
              <w:ind w:right="300"/>
              <w:spacing w:after="0" w:line="183" w:lineRule="exact"/>
              <w:rPr>
                <w:sz w:val="20"/>
                <w:szCs w:val="20"/>
                <w:color w:val="auto"/>
              </w:rPr>
            </w:pPr>
            <w:r>
              <w:rPr>
                <w:rFonts w:ascii="Arial" w:cs="Arial" w:eastAsia="Arial" w:hAnsi="Arial"/>
                <w:sz w:val="16"/>
                <w:szCs w:val="16"/>
                <w:color w:val="auto"/>
              </w:rPr>
              <w:t>28.5%</w:t>
            </w:r>
          </w:p>
        </w:tc>
        <w:tc>
          <w:tcPr>
            <w:tcW w:w="1680" w:type="dxa"/>
            <w:vAlign w:val="bottom"/>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31.0%</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80" w:type="dxa"/>
            <w:vAlign w:val="bottom"/>
          </w:tcPr>
          <w:p>
            <w:pPr>
              <w:spacing w:after="0"/>
              <w:rPr>
                <w:sz w:val="16"/>
                <w:szCs w:val="16"/>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34.9</w:t>
            </w:r>
          </w:p>
        </w:tc>
        <w:tc>
          <w:tcPr>
            <w:tcW w:w="2340" w:type="dxa"/>
            <w:vAlign w:val="bottom"/>
          </w:tcPr>
          <w:p>
            <w:pPr>
              <w:jc w:val="right"/>
              <w:ind w:right="240"/>
              <w:spacing w:after="0"/>
              <w:rPr>
                <w:sz w:val="20"/>
                <w:szCs w:val="20"/>
                <w:color w:val="auto"/>
              </w:rPr>
            </w:pPr>
            <w:r>
              <w:rPr>
                <w:rFonts w:ascii="Arial" w:cs="Arial" w:eastAsia="Arial" w:hAnsi="Arial"/>
                <w:sz w:val="16"/>
                <w:szCs w:val="16"/>
                <w:color w:val="auto"/>
              </w:rPr>
              <w:t>(2.8)%</w:t>
            </w:r>
          </w:p>
        </w:tc>
        <w:tc>
          <w:tcPr>
            <w:tcW w:w="1680" w:type="dxa"/>
            <w:vAlign w:val="bottom"/>
          </w:tcPr>
          <w:p>
            <w:pPr>
              <w:spacing w:after="0"/>
              <w:rPr>
                <w:sz w:val="16"/>
                <w:szCs w:val="16"/>
                <w:color w:val="auto"/>
              </w:rPr>
            </w:pPr>
          </w:p>
        </w:tc>
      </w:tr>
      <w:tr>
        <w:trPr>
          <w:trHeight w:val="189"/>
        </w:trPr>
        <w:tc>
          <w:tcPr>
            <w:tcW w:w="354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i w:val="1"/>
                <w:iCs w:val="1"/>
                <w:color w:val="auto"/>
              </w:rPr>
              <w:t>Effective income tax rate</w:t>
            </w:r>
          </w:p>
        </w:tc>
        <w:tc>
          <w:tcPr>
            <w:tcW w:w="380" w:type="dxa"/>
            <w:vAlign w:val="bottom"/>
            <w:tcBorders>
              <w:bottom w:val="single" w:sz="8" w:color="auto"/>
            </w:tcBorders>
            <w:shd w:val="clear" w:color="auto" w:fill="E2E8F1"/>
          </w:tcPr>
          <w:p>
            <w:pPr>
              <w:spacing w:after="0"/>
              <w:rPr>
                <w:sz w:val="16"/>
                <w:szCs w:val="16"/>
                <w:color w:val="auto"/>
              </w:rPr>
            </w:pPr>
          </w:p>
        </w:tc>
        <w:tc>
          <w:tcPr>
            <w:tcW w:w="14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i w:val="1"/>
                <w:iCs w:val="1"/>
                <w:color w:val="auto"/>
              </w:rPr>
              <w:t>49.8%</w:t>
            </w:r>
          </w:p>
        </w:tc>
        <w:tc>
          <w:tcPr>
            <w:tcW w:w="120" w:type="dxa"/>
            <w:vAlign w:val="bottom"/>
            <w:tcBorders>
              <w:bottom w:val="single" w:sz="8" w:color="E2E8F1"/>
            </w:tcBorders>
            <w:shd w:val="clear" w:color="auto" w:fill="E2E8F1"/>
          </w:tcPr>
          <w:p>
            <w:pPr>
              <w:spacing w:after="0"/>
              <w:rPr>
                <w:sz w:val="16"/>
                <w:szCs w:val="16"/>
                <w:color w:val="auto"/>
              </w:rPr>
            </w:pPr>
          </w:p>
        </w:tc>
        <w:tc>
          <w:tcPr>
            <w:tcW w:w="360" w:type="dxa"/>
            <w:vAlign w:val="bottom"/>
            <w:tcBorders>
              <w:bottom w:val="single" w:sz="8" w:color="auto"/>
            </w:tcBorders>
            <w:shd w:val="clear" w:color="auto" w:fill="E2E8F1"/>
          </w:tcPr>
          <w:p>
            <w:pPr>
              <w:spacing w:after="0"/>
              <w:rPr>
                <w:sz w:val="16"/>
                <w:szCs w:val="16"/>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i w:val="1"/>
                <w:iCs w:val="1"/>
                <w:color w:val="auto"/>
              </w:rPr>
              <w:t>66.0%</w:t>
            </w:r>
          </w:p>
        </w:tc>
        <w:tc>
          <w:tcPr>
            <w:tcW w:w="2340" w:type="dxa"/>
            <w:vAlign w:val="bottom"/>
            <w:tcBorders>
              <w:bottom w:val="single" w:sz="8" w:color="E2E8F1"/>
            </w:tcBorders>
            <w:shd w:val="clear" w:color="auto" w:fill="E2E8F1"/>
          </w:tcPr>
          <w:p>
            <w:pPr>
              <w:spacing w:after="0"/>
              <w:rPr>
                <w:sz w:val="16"/>
                <w:szCs w:val="16"/>
                <w:color w:val="auto"/>
              </w:rPr>
            </w:pPr>
          </w:p>
        </w:tc>
        <w:tc>
          <w:tcPr>
            <w:tcW w:w="1680" w:type="dxa"/>
            <w:vAlign w:val="bottom"/>
            <w:tcBorders>
              <w:bottom w:val="single" w:sz="8" w:color="E2E8F1"/>
            </w:tcBorders>
            <w:shd w:val="clear" w:color="auto" w:fill="E2E8F1"/>
          </w:tcPr>
          <w:p>
            <w:pPr>
              <w:spacing w:after="0"/>
              <w:rPr>
                <w:sz w:val="16"/>
                <w:szCs w:val="16"/>
                <w:color w:val="auto"/>
              </w:rPr>
            </w:pPr>
          </w:p>
        </w:tc>
      </w:tr>
      <w:tr>
        <w:trPr>
          <w:trHeight w:val="183"/>
        </w:trPr>
        <w:tc>
          <w:tcPr>
            <w:tcW w:w="3540" w:type="dxa"/>
            <w:vAlign w:val="bottom"/>
          </w:tcPr>
          <w:p>
            <w:pPr>
              <w:ind w:left="80"/>
              <w:spacing w:after="0" w:line="169" w:lineRule="exact"/>
              <w:rPr>
                <w:sz w:val="20"/>
                <w:szCs w:val="20"/>
                <w:color w:val="auto"/>
              </w:rPr>
            </w:pPr>
            <w:r>
              <w:rPr>
                <w:rFonts w:ascii="Arial" w:cs="Arial" w:eastAsia="Arial" w:hAnsi="Arial"/>
                <w:sz w:val="16"/>
                <w:szCs w:val="16"/>
                <w:color w:val="auto"/>
              </w:rPr>
              <w:t>Net earnings</w:t>
            </w:r>
          </w:p>
        </w:tc>
        <w:tc>
          <w:tcPr>
            <w:tcW w:w="380" w:type="dxa"/>
            <w:vAlign w:val="bottom"/>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ind w:right="80"/>
              <w:spacing w:after="0" w:line="169" w:lineRule="exact"/>
              <w:rPr>
                <w:sz w:val="20"/>
                <w:szCs w:val="20"/>
                <w:color w:val="auto"/>
              </w:rPr>
            </w:pPr>
            <w:r>
              <w:rPr>
                <w:rFonts w:ascii="Arial" w:cs="Arial" w:eastAsia="Arial" w:hAnsi="Arial"/>
                <w:sz w:val="16"/>
                <w:szCs w:val="16"/>
                <w:color w:val="auto"/>
              </w:rPr>
              <w:t>34.1</w:t>
            </w:r>
          </w:p>
        </w:tc>
        <w:tc>
          <w:tcPr>
            <w:tcW w:w="48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100"/>
              <w:spacing w:after="0" w:line="169" w:lineRule="exact"/>
              <w:rPr>
                <w:sz w:val="20"/>
                <w:szCs w:val="20"/>
                <w:color w:val="auto"/>
              </w:rPr>
            </w:pPr>
            <w:r>
              <w:rPr>
                <w:rFonts w:ascii="Arial" w:cs="Arial" w:eastAsia="Arial" w:hAnsi="Arial"/>
                <w:sz w:val="16"/>
                <w:szCs w:val="16"/>
                <w:color w:val="auto"/>
              </w:rPr>
              <w:t>18.0</w:t>
            </w:r>
          </w:p>
        </w:tc>
        <w:tc>
          <w:tcPr>
            <w:tcW w:w="2340" w:type="dxa"/>
            <w:vAlign w:val="bottom"/>
          </w:tcPr>
          <w:p>
            <w:pPr>
              <w:jc w:val="right"/>
              <w:ind w:right="300"/>
              <w:spacing w:after="0" w:line="169" w:lineRule="exact"/>
              <w:rPr>
                <w:sz w:val="20"/>
                <w:szCs w:val="20"/>
                <w:color w:val="auto"/>
              </w:rPr>
            </w:pPr>
            <w:r>
              <w:rPr>
                <w:rFonts w:ascii="Arial" w:cs="Arial" w:eastAsia="Arial" w:hAnsi="Arial"/>
                <w:sz w:val="16"/>
                <w:szCs w:val="16"/>
                <w:color w:val="auto"/>
              </w:rPr>
              <w:t>89.3%</w:t>
            </w:r>
          </w:p>
        </w:tc>
        <w:tc>
          <w:tcPr>
            <w:tcW w:w="1680" w:type="dxa"/>
            <w:vAlign w:val="bottom"/>
          </w:tcPr>
          <w:p>
            <w:pPr>
              <w:jc w:val="right"/>
              <w:ind w:right="1"/>
              <w:spacing w:after="0" w:line="169" w:lineRule="exact"/>
              <w:rPr>
                <w:sz w:val="20"/>
                <w:szCs w:val="20"/>
                <w:color w:val="auto"/>
              </w:rPr>
            </w:pPr>
            <w:r>
              <w:rPr>
                <w:rFonts w:ascii="Arial" w:cs="Arial" w:eastAsia="Arial" w:hAnsi="Arial"/>
                <w:sz w:val="16"/>
                <w:szCs w:val="16"/>
                <w:color w:val="auto"/>
              </w:rPr>
              <w:t>92.9%</w:t>
            </w:r>
          </w:p>
        </w:tc>
      </w:tr>
      <w:tr>
        <w:trPr>
          <w:trHeight w:val="20"/>
        </w:trPr>
        <w:tc>
          <w:tcPr>
            <w:tcW w:w="3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3540" w:type="dxa"/>
            <w:vAlign w:val="bottom"/>
            <w:shd w:val="clear" w:color="auto" w:fill="E2E8F1"/>
          </w:tcPr>
          <w:p>
            <w:pPr>
              <w:spacing w:after="0" w:line="169" w:lineRule="exact"/>
              <w:rPr>
                <w:sz w:val="20"/>
                <w:szCs w:val="20"/>
                <w:color w:val="auto"/>
              </w:rPr>
            </w:pPr>
            <w:r>
              <w:rPr>
                <w:rFonts w:ascii="Arial" w:cs="Arial" w:eastAsia="Arial" w:hAnsi="Arial"/>
                <w:sz w:val="16"/>
                <w:szCs w:val="16"/>
                <w:color w:val="auto"/>
              </w:rPr>
              <w:t>Net earnings per share – diluted</w:t>
            </w:r>
          </w:p>
        </w:tc>
        <w:tc>
          <w:tcPr>
            <w:tcW w:w="380" w:type="dxa"/>
            <w:vAlign w:val="bottom"/>
            <w:shd w:val="clear" w:color="auto" w:fill="E2E8F1"/>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E2E8F1"/>
          </w:tcPr>
          <w:p>
            <w:pPr>
              <w:jc w:val="right"/>
              <w:ind w:right="80"/>
              <w:spacing w:after="0" w:line="169" w:lineRule="exact"/>
              <w:rPr>
                <w:sz w:val="20"/>
                <w:szCs w:val="20"/>
                <w:color w:val="auto"/>
              </w:rPr>
            </w:pPr>
            <w:r>
              <w:rPr>
                <w:rFonts w:ascii="Arial" w:cs="Arial" w:eastAsia="Arial" w:hAnsi="Arial"/>
                <w:sz w:val="16"/>
                <w:szCs w:val="16"/>
                <w:color w:val="auto"/>
              </w:rPr>
              <w:t>0.71</w:t>
            </w:r>
          </w:p>
        </w:tc>
        <w:tc>
          <w:tcPr>
            <w:tcW w:w="480" w:type="dxa"/>
            <w:vAlign w:val="bottom"/>
            <w:gridSpan w:val="2"/>
            <w:shd w:val="clear" w:color="auto" w:fill="E2E8F1"/>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1420" w:type="dxa"/>
            <w:vAlign w:val="bottom"/>
            <w:shd w:val="clear" w:color="auto" w:fill="E2E8F1"/>
          </w:tcPr>
          <w:p>
            <w:pPr>
              <w:jc w:val="right"/>
              <w:ind w:right="100"/>
              <w:spacing w:after="0" w:line="169" w:lineRule="exact"/>
              <w:rPr>
                <w:sz w:val="20"/>
                <w:szCs w:val="20"/>
                <w:color w:val="auto"/>
              </w:rPr>
            </w:pPr>
            <w:r>
              <w:rPr>
                <w:rFonts w:ascii="Arial" w:cs="Arial" w:eastAsia="Arial" w:hAnsi="Arial"/>
                <w:sz w:val="16"/>
                <w:szCs w:val="16"/>
                <w:color w:val="auto"/>
              </w:rPr>
              <w:t>0.38</w:t>
            </w:r>
          </w:p>
        </w:tc>
        <w:tc>
          <w:tcPr>
            <w:tcW w:w="2340" w:type="dxa"/>
            <w:vAlign w:val="bottom"/>
            <w:shd w:val="clear" w:color="auto" w:fill="E2E8F1"/>
          </w:tcPr>
          <w:p>
            <w:pPr>
              <w:jc w:val="right"/>
              <w:ind w:right="300"/>
              <w:spacing w:after="0" w:line="169" w:lineRule="exact"/>
              <w:rPr>
                <w:sz w:val="20"/>
                <w:szCs w:val="20"/>
                <w:color w:val="auto"/>
              </w:rPr>
            </w:pPr>
            <w:r>
              <w:rPr>
                <w:rFonts w:ascii="Arial" w:cs="Arial" w:eastAsia="Arial" w:hAnsi="Arial"/>
                <w:sz w:val="16"/>
                <w:szCs w:val="16"/>
                <w:color w:val="auto"/>
              </w:rPr>
              <w:t>84.4%</w:t>
            </w:r>
          </w:p>
        </w:tc>
        <w:tc>
          <w:tcPr>
            <w:tcW w:w="1680" w:type="dxa"/>
            <w:vAlign w:val="bottom"/>
            <w:shd w:val="clear" w:color="auto" w:fill="E2E8F1"/>
          </w:tcPr>
          <w:p>
            <w:pPr>
              <w:jc w:val="right"/>
              <w:ind w:right="1"/>
              <w:spacing w:after="0" w:line="169" w:lineRule="exact"/>
              <w:rPr>
                <w:sz w:val="20"/>
                <w:szCs w:val="20"/>
                <w:color w:val="auto"/>
              </w:rPr>
            </w:pPr>
            <w:r>
              <w:rPr>
                <w:rFonts w:ascii="Arial" w:cs="Arial" w:eastAsia="Arial" w:hAnsi="Arial"/>
                <w:sz w:val="16"/>
                <w:szCs w:val="16"/>
                <w:color w:val="auto"/>
              </w:rPr>
              <w:t>87.9%</w:t>
            </w:r>
          </w:p>
        </w:tc>
      </w:tr>
      <w:tr>
        <w:trPr>
          <w:trHeight w:val="170"/>
        </w:trPr>
        <w:tc>
          <w:tcPr>
            <w:tcW w:w="3540" w:type="dxa"/>
            <w:vAlign w:val="bottom"/>
            <w:tcBorders>
              <w:top w:val="single" w:sz="8" w:color="E2E8F1"/>
            </w:tcBorders>
          </w:tcPr>
          <w:p>
            <w:pPr>
              <w:spacing w:after="0" w:line="169" w:lineRule="exact"/>
              <w:rPr>
                <w:sz w:val="20"/>
                <w:szCs w:val="20"/>
                <w:color w:val="auto"/>
              </w:rPr>
            </w:pPr>
            <w:r>
              <w:rPr>
                <w:rFonts w:ascii="Arial" w:cs="Arial" w:eastAsia="Arial" w:hAnsi="Arial"/>
                <w:sz w:val="16"/>
                <w:szCs w:val="16"/>
                <w:color w:val="auto"/>
              </w:rPr>
              <w:t>Weighted average shares – diluted</w:t>
            </w:r>
          </w:p>
        </w:tc>
        <w:tc>
          <w:tcPr>
            <w:tcW w:w="3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80"/>
              <w:spacing w:after="0" w:line="169" w:lineRule="exact"/>
              <w:rPr>
                <w:sz w:val="20"/>
                <w:szCs w:val="20"/>
                <w:color w:val="auto"/>
              </w:rPr>
            </w:pPr>
            <w:r>
              <w:rPr>
                <w:rFonts w:ascii="Arial" w:cs="Arial" w:eastAsia="Arial" w:hAnsi="Arial"/>
                <w:sz w:val="16"/>
                <w:szCs w:val="16"/>
                <w:color w:val="auto"/>
              </w:rPr>
              <w:t>48.1</w:t>
            </w:r>
          </w:p>
        </w:tc>
        <w:tc>
          <w:tcPr>
            <w:tcW w:w="120" w:type="dxa"/>
            <w:vAlign w:val="bottom"/>
            <w:tcBorders>
              <w:top w:val="single" w:sz="8" w:color="E2E8F1"/>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100"/>
              <w:spacing w:after="0" w:line="169" w:lineRule="exact"/>
              <w:rPr>
                <w:sz w:val="20"/>
                <w:szCs w:val="20"/>
                <w:color w:val="auto"/>
              </w:rPr>
            </w:pPr>
            <w:r>
              <w:rPr>
                <w:rFonts w:ascii="Arial" w:cs="Arial" w:eastAsia="Arial" w:hAnsi="Arial"/>
                <w:sz w:val="16"/>
                <w:szCs w:val="16"/>
                <w:color w:val="auto"/>
              </w:rPr>
              <w:t>46.9</w:t>
            </w:r>
          </w:p>
        </w:tc>
        <w:tc>
          <w:tcPr>
            <w:tcW w:w="2340" w:type="dxa"/>
            <w:vAlign w:val="bottom"/>
            <w:tcBorders>
              <w:top w:val="single" w:sz="8" w:color="E2E8F1"/>
            </w:tcBorders>
          </w:tcPr>
          <w:p>
            <w:pPr>
              <w:jc w:val="right"/>
              <w:ind w:right="300"/>
              <w:spacing w:after="0" w:line="169" w:lineRule="exact"/>
              <w:rPr>
                <w:sz w:val="20"/>
                <w:szCs w:val="20"/>
                <w:color w:val="auto"/>
              </w:rPr>
            </w:pPr>
            <w:r>
              <w:rPr>
                <w:rFonts w:ascii="Arial" w:cs="Arial" w:eastAsia="Arial" w:hAnsi="Arial"/>
                <w:sz w:val="16"/>
                <w:szCs w:val="16"/>
                <w:color w:val="auto"/>
              </w:rPr>
              <w:t>2.7%</w:t>
            </w:r>
          </w:p>
        </w:tc>
        <w:tc>
          <w:tcPr>
            <w:tcW w:w="1680" w:type="dxa"/>
            <w:vAlign w:val="bottom"/>
            <w:tcBorders>
              <w:top w:val="single" w:sz="8" w:color="E2E8F1"/>
            </w:tcBorders>
          </w:tcPr>
          <w:p>
            <w:pPr>
              <w:spacing w:after="0"/>
              <w:rPr>
                <w:sz w:val="14"/>
                <w:szCs w:val="14"/>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-1182370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-1182370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-445135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-445135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-153670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-153670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6" w:name="page27"/>
    <w:bookmarkEnd w:id="26"/>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revenues from services was 4.4% (5.2% in constant currency and 5.6% in organic constant currency)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primarily attributed to:</w:t>
      </w:r>
    </w:p>
    <w:p>
      <w:pPr>
        <w:spacing w:after="0" w:line="72" w:lineRule="exact"/>
        <w:rPr>
          <w:sz w:val="20"/>
          <w:szCs w:val="20"/>
          <w:color w:val="auto"/>
        </w:rPr>
      </w:pPr>
    </w:p>
    <w:p>
      <w:pPr>
        <w:jc w:val="both"/>
        <w:ind w:left="540" w:hanging="308"/>
        <w:spacing w:after="0" w:line="239" w:lineRule="auto"/>
        <w:tabs>
          <w:tab w:leader="none" w:pos="540" w:val="left"/>
        </w:tabs>
        <w:numPr>
          <w:ilvl w:val="0"/>
          <w:numId w:val="22"/>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the Americas of 13.5% (11.5% increase in constant currency and 13.6% in organic constant currency) primarily driven by a $119.8 increase in demand for our Manpower staffing services and a $21.6 favorable impact of currency exchange rates. The United States, our largest market in the Americas, experienced a revenue increase of 5.5% (8.6% in organic constant currency) primarily driven by a $41.5 increase in demand for our Manpower staffing services and an $11.1 increase in demand in our Experis interim services, partially offset by a $19.2 decrease in our Experis interim services due to the sale of our Jefferson Wells U.S. business. The revenue increase in the United States was accompanied by a revenue increase of 27.0% (21.7% in constant currency) in our Other Americas countries, primarily driven by a $78.3 increase in demand for our Manpower staffing services and a $4.9 increase in demand for our Experis interim services.</w:t>
      </w:r>
    </w:p>
    <w:p>
      <w:pPr>
        <w:spacing w:after="0" w:line="51" w:lineRule="exact"/>
        <w:rPr>
          <w:rFonts w:ascii="Times New Roman" w:cs="Times New Roman" w:eastAsia="Times New Roman" w:hAnsi="Times New Roman"/>
          <w:sz w:val="18"/>
          <w:szCs w:val="18"/>
          <w:color w:val="5B89B4"/>
        </w:rPr>
      </w:pPr>
    </w:p>
    <w:p>
      <w:pPr>
        <w:jc w:val="both"/>
        <w:ind w:left="540" w:hanging="308"/>
        <w:spacing w:after="0"/>
        <w:tabs>
          <w:tab w:leader="none" w:pos="540" w:val="left"/>
        </w:tabs>
        <w:numPr>
          <w:ilvl w:val="0"/>
          <w:numId w:val="22"/>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Southern Europe of 1.0% (2.1% in constant currency) primarily driven by a $39.1 increase in demand for our Manpower staffing services and a $6.4 increase in demand for our Experis interim services, partially offset by a $24.0 unfavorable impact of currency exchange rates. France, the largest market in Southern Europe, experienced a revenue decrease of -3.5% (-1.9% in constant currency) primarily driven by an $18.6 unfavorable impact of currency exchange rates, a $14.1 decrease in demand for our Manpower staffing services, and a $3.2 decrease in demand for our Outcome Based Solutions. Italy, our second-largest market in Southern Europe, experienced a revenue increase of 4.5% (6.2% in constant currency) primarily driven by a $23.3 increase in demand for our Manpower staffing services, partially offset by a $7.9 unfavorable impact of currency exchange rates;</w:t>
      </w:r>
    </w:p>
    <w:p>
      <w:pPr>
        <w:spacing w:after="0" w:line="62" w:lineRule="exact"/>
        <w:rPr>
          <w:rFonts w:ascii="Times New Roman" w:cs="Times New Roman" w:eastAsia="Times New Roman" w:hAnsi="Times New Roman"/>
          <w:sz w:val="18"/>
          <w:szCs w:val="18"/>
          <w:color w:val="5B89B4"/>
        </w:rPr>
      </w:pPr>
    </w:p>
    <w:p>
      <w:pPr>
        <w:jc w:val="both"/>
        <w:ind w:left="540" w:hanging="308"/>
        <w:spacing w:after="0" w:line="243" w:lineRule="auto"/>
        <w:tabs>
          <w:tab w:leader="none" w:pos="540" w:val="left"/>
        </w:tabs>
        <w:numPr>
          <w:ilvl w:val="0"/>
          <w:numId w:val="22"/>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Northern Europe of 5.4% (5.9% in constant currency) primarily driven by a $65.4 increase in demand for our Manpower staffing services, partially offset by an $11.1 decrease in demand for our Experis interim services and a $4.3 unfavorable impact of currency exchange rates. Within our Northern Europe segment, we experienced revenue increases in Germany of $19.8, the United Kingdom of $18.0, Poland of $ 7.8, and the Nordics of $3.7, which represented revenue increases of 19.8%, 6.8%, 11.6% and 2.4%, respectively (21.7%, 7.2%, 15.1%, and a decrease of -0.5%, respectively, in constant currency); and</w:t>
      </w:r>
    </w:p>
    <w:p>
      <w:pPr>
        <w:spacing w:after="0" w:line="58" w:lineRule="exact"/>
        <w:rPr>
          <w:rFonts w:ascii="Times New Roman" w:cs="Times New Roman" w:eastAsia="Times New Roman" w:hAnsi="Times New Roman"/>
          <w:sz w:val="18"/>
          <w:szCs w:val="18"/>
          <w:color w:val="5B89B4"/>
        </w:rPr>
      </w:pPr>
    </w:p>
    <w:p>
      <w:pPr>
        <w:jc w:val="both"/>
        <w:ind w:left="540" w:hanging="308"/>
        <w:spacing w:after="0"/>
        <w:tabs>
          <w:tab w:leader="none" w:pos="540" w:val="left"/>
        </w:tabs>
        <w:numPr>
          <w:ilvl w:val="0"/>
          <w:numId w:val="22"/>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decrease in APME of -1.1% (4.3% increase in constant currency) primarily driven by a $28.0 unfavorable impact of currency exchange rates, partially offset by a $22.2 increase in demand for our Manpower staffing services and a $1.6 increase in demand for our Experis interim services. In Japan, revenue from services decreased by $19.1, or -6.1% (1.4% increase in constant currency), primarily driven by the $23.3 unfavorable impact of currency exchange rates, partially offset by a $4.8 increase in demand for our Manpower staffing services. In India, revenue from services decreased by $3.9, or -5.7% (3.2% increase in constant currency), primarily driven by the $6.1 unfavorable impact of currency exchange rates, partially offset by a $1.9 increase in demand for our Manpower staffing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70 basis point decrease in gross profit margin was primarily attributed to:</w:t>
      </w:r>
    </w:p>
    <w:p>
      <w:pPr>
        <w:spacing w:after="0" w:line="77" w:lineRule="exact"/>
        <w:rPr>
          <w:sz w:val="20"/>
          <w:szCs w:val="20"/>
          <w:color w:val="auto"/>
        </w:rPr>
      </w:pPr>
    </w:p>
    <w:p>
      <w:pPr>
        <w:ind w:left="540" w:hanging="308"/>
        <w:spacing w:after="0"/>
        <w:tabs>
          <w:tab w:leader="none" w:pos="540" w:val="left"/>
        </w:tabs>
        <w:numPr>
          <w:ilvl w:val="0"/>
          <w:numId w:val="23"/>
        </w:numPr>
        <w:rPr>
          <w:rFonts w:ascii="Times New Roman" w:cs="Times New Roman" w:eastAsia="Times New Roman" w:hAnsi="Times New Roman"/>
          <w:sz w:val="18"/>
          <w:szCs w:val="18"/>
          <w:color w:val="5B89B4"/>
        </w:rPr>
      </w:pPr>
      <w:r>
        <w:rPr>
          <w:rFonts w:ascii="Arial" w:cs="Arial" w:eastAsia="Arial" w:hAnsi="Arial"/>
          <w:sz w:val="18"/>
          <w:szCs w:val="18"/>
          <w:color w:val="auto"/>
        </w:rPr>
        <w:t>a 50 basis point unfavorable impact from the decrease in staffing and interim margins due to business mix shifts;</w:t>
      </w:r>
    </w:p>
    <w:p>
      <w:pPr>
        <w:spacing w:after="0" w:line="10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3"/>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decreases in permanent recruitment demand; and</w:t>
      </w:r>
    </w:p>
    <w:p>
      <w:pPr>
        <w:spacing w:after="0" w:line="10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3"/>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lower demand in career transition services.</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-2.5% decrease in selling and administrative expenses in the third quarter of 2026 compared to the third quarter of 2025 (-2.0% in constant currency and -1.3% in organic constant currency) was primarily attributed to:</w:t>
      </w:r>
    </w:p>
    <w:p>
      <w:pPr>
        <w:spacing w:after="0" w:line="19" w:lineRule="exact"/>
        <w:rPr>
          <w:sz w:val="20"/>
          <w:szCs w:val="20"/>
          <w:color w:val="auto"/>
        </w:rPr>
      </w:pPr>
    </w:p>
    <w:p>
      <w:pPr>
        <w:jc w:val="both"/>
        <w:ind w:left="540" w:hanging="308"/>
        <w:spacing w:after="0" w:line="252" w:lineRule="auto"/>
        <w:tabs>
          <w:tab w:leader="none" w:pos="540" w:val="left"/>
        </w:tabs>
        <w:numPr>
          <w:ilvl w:val="0"/>
          <w:numId w:val="24"/>
        </w:numPr>
        <w:rPr>
          <w:rFonts w:ascii="Times New Roman" w:cs="Times New Roman" w:eastAsia="Times New Roman" w:hAnsi="Times New Roman"/>
          <w:sz w:val="18"/>
          <w:szCs w:val="18"/>
          <w:color w:val="5B89B4"/>
        </w:rPr>
      </w:pPr>
      <w:r>
        <w:rPr>
          <w:rFonts w:ascii="Arial" w:cs="Arial" w:eastAsia="Arial" w:hAnsi="Arial"/>
          <w:sz w:val="18"/>
          <w:szCs w:val="18"/>
          <w:color w:val="auto"/>
        </w:rPr>
        <w:t>a $15.9 decrease (-4.0% as reported, -3.5% in constant currency, and -2.6% in organic constant currency) in personnel costs primarily due to a $12.2 decrease in salaries as we saw the effects of restructuring actions previously taken and a $4.4 decrease due to the sale of our Jefferson Wells U.S. business;</w:t>
      </w:r>
    </w:p>
    <w:p>
      <w:pPr>
        <w:spacing w:after="0" w:line="49"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24"/>
        </w:numPr>
        <w:rPr>
          <w:rFonts w:ascii="Times New Roman" w:cs="Times New Roman" w:eastAsia="Times New Roman" w:hAnsi="Times New Roman"/>
          <w:sz w:val="18"/>
          <w:szCs w:val="18"/>
          <w:color w:val="5B89B4"/>
        </w:rPr>
      </w:pPr>
      <w:r>
        <w:rPr>
          <w:rFonts w:ascii="Arial" w:cs="Arial" w:eastAsia="Arial" w:hAnsi="Arial"/>
          <w:sz w:val="18"/>
          <w:szCs w:val="18"/>
          <w:color w:val="auto"/>
        </w:rPr>
        <w:t>a $13.4 decrease (-62.8% as reported, -62.3% in constant currency and organic constant currency) in restructuring costs when compared to the third quarter of 2025; and</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4"/>
        </w:numPr>
        <w:rPr>
          <w:rFonts w:ascii="Times New Roman" w:cs="Times New Roman" w:eastAsia="Times New Roman" w:hAnsi="Times New Roman"/>
          <w:sz w:val="18"/>
          <w:szCs w:val="18"/>
          <w:color w:val="5B89B4"/>
        </w:rPr>
      </w:pPr>
      <w:r>
        <w:rPr>
          <w:rFonts w:ascii="Arial" w:cs="Arial" w:eastAsia="Arial" w:hAnsi="Arial"/>
          <w:sz w:val="18"/>
          <w:szCs w:val="18"/>
          <w:color w:val="auto"/>
        </w:rPr>
        <w:t>a $3.3 decrease due to the impact of changes in currency exchange rates; partially offset by</w:t>
      </w:r>
    </w:p>
    <w:p>
      <w:pPr>
        <w:spacing w:after="0" w:line="89"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4"/>
        </w:numPr>
        <w:rPr>
          <w:rFonts w:ascii="Times New Roman" w:cs="Times New Roman" w:eastAsia="Times New Roman" w:hAnsi="Times New Roman"/>
          <w:sz w:val="18"/>
          <w:szCs w:val="18"/>
          <w:color w:val="5B89B4"/>
        </w:rPr>
      </w:pPr>
      <w:r>
        <w:rPr>
          <w:rFonts w:ascii="Arial" w:cs="Arial" w:eastAsia="Arial" w:hAnsi="Arial"/>
          <w:sz w:val="18"/>
          <w:szCs w:val="18"/>
          <w:color w:val="auto"/>
        </w:rPr>
        <w:t>an $8.4 increase in strategic transformation program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Selling and administrative expenses as a percent of revenues decreased 100 basis points in the third quarter of 2026 compared to the third quarter of 2025 due primarily to:</w:t>
      </w:r>
    </w:p>
    <w:p>
      <w:pPr>
        <w:spacing w:after="0" w:line="32" w:lineRule="exact"/>
        <w:rPr>
          <w:sz w:val="20"/>
          <w:szCs w:val="20"/>
          <w:color w:val="auto"/>
        </w:rPr>
      </w:pPr>
    </w:p>
    <w:p>
      <w:pPr>
        <w:ind w:left="540" w:hanging="308"/>
        <w:spacing w:after="0" w:line="270" w:lineRule="auto"/>
        <w:tabs>
          <w:tab w:leader="none" w:pos="540" w:val="left"/>
        </w:tabs>
        <w:numPr>
          <w:ilvl w:val="0"/>
          <w:numId w:val="25"/>
        </w:numPr>
        <w:rPr>
          <w:rFonts w:ascii="Times New Roman" w:cs="Times New Roman" w:eastAsia="Times New Roman" w:hAnsi="Times New Roman"/>
          <w:sz w:val="18"/>
          <w:szCs w:val="18"/>
          <w:color w:val="5B89B4"/>
        </w:rPr>
      </w:pPr>
      <w:r>
        <w:rPr>
          <w:rFonts w:ascii="Arial" w:cs="Arial" w:eastAsia="Arial" w:hAnsi="Arial"/>
          <w:sz w:val="18"/>
          <w:szCs w:val="18"/>
          <w:color w:val="auto"/>
        </w:rPr>
        <w:t>a 70 basis point favorable impact as a result of lower personnel costs primarily due to a decrease in salaries and other personnel costs due to the effects of restructuring actions previously taken;</w:t>
      </w:r>
    </w:p>
    <w:p>
      <w:pPr>
        <w:spacing w:after="0" w:line="19"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25"/>
        </w:numPr>
        <w:rPr>
          <w:rFonts w:ascii="Times New Roman" w:cs="Times New Roman" w:eastAsia="Times New Roman" w:hAnsi="Times New Roman"/>
          <w:sz w:val="18"/>
          <w:szCs w:val="18"/>
          <w:color w:val="5B89B4"/>
        </w:rPr>
      </w:pPr>
      <w:r>
        <w:rPr>
          <w:rFonts w:ascii="Arial" w:cs="Arial" w:eastAsia="Arial" w:hAnsi="Arial"/>
          <w:sz w:val="18"/>
          <w:szCs w:val="18"/>
          <w:color w:val="auto"/>
        </w:rPr>
        <w:t>a 30 basis point favorable impact as a result of the decrease in restructuring costs incurred in the third quarter of 2026 compared to the third quarter of 2025; and</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5"/>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favorable impact due to currency exchange rates; partially offset by</w:t>
      </w:r>
    </w:p>
    <w:p>
      <w:pPr>
        <w:spacing w:after="0" w:line="10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5"/>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due to our strategic transformation program costs.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those associated with noncontrolling interests. Interest expense, net was $20.2 in the third quarter of 2026 compared to $17.1 in the third quarter of 2025 primarily due to increased interest expense on €500.0 notes due December 2030. Foreign exchange loss, net was $1.3 in the third quarter of 2026 compared to $2.4 in the third quarter of 2025. Miscellaneous income, net was $7.2 in the third quarter of 2026 compared to $5.8 in the third quarter of 2025.</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recorded income tax expense at an effective rate of 49.8% for the three months ended September 30, 2026, as compared to an effective tax rate of 66.0% for the three months ended September 30, 2025. The 2026 rate as compared to the 2025 rate was favorably impacted by the higher level and overall mix of earnings due in part to fewer restructuring costs recorded in the quarter as compared to the amount recorded in 2025. The 49.8% effective tax rate for the three months ended September 30, 2026 was higher than the United States Federal statutory rate of 21% primarily due to the overall mix of earnings, tax losses in certain countries for which we did not recognize a corresponding tax benefit due to valuation allowances, the French exceptional corporate income tax surcharge, and the French business tax.</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Net earnings per share - diluted was $0.71 in the third quarter of 2026 compared to net earnings per share - diluted of $0.38 in the third quarter of 2025. The current year quarter included restructuring costs, strategic transformation program costs, an adjustment related to the sale of our Jefferson Wells U.S. business, and Argentina hyperinflationary related non-cash currency translation losses, which negatively impacted earnings per share by $0.30 in the third quarter of 2026 compared to restructuring costs and a non-cash currency translation charge related to our Argentina business which unfavorably impacted net earnings per share - diluted by approximately $0.45, net of tax, in the third quarter of 2025.</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Weighted average shares - diluted increased to 48.1 million in the third quarter of 2026 from 46.9 million in the third quarter of 2025. The increase was due to a higher share price and additional share-based award grants.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Operating Results - Nine Months Ended September 30, 2026 and 2025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nine months ended September 30, 2026 as compared to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60" w:type="dxa"/>
            <w:vAlign w:val="bottom"/>
            <w:tcBorders>
              <w:top w:val="single" w:sz="8" w:color="auto"/>
            </w:tcBorders>
            <w:shd w:val="clear" w:color="auto" w:fill="98B0CF"/>
          </w:tcPr>
          <w:p>
            <w:pPr>
              <w:spacing w:after="0"/>
              <w:rPr>
                <w:sz w:val="14"/>
                <w:szCs w:val="14"/>
                <w:color w:val="auto"/>
              </w:rPr>
            </w:pPr>
          </w:p>
        </w:tc>
        <w:tc>
          <w:tcPr>
            <w:tcW w:w="260" w:type="dxa"/>
            <w:vAlign w:val="bottom"/>
            <w:tcBorders>
              <w:top w:val="single" w:sz="8" w:color="auto"/>
            </w:tcBorders>
            <w:shd w:val="clear" w:color="auto" w:fill="98B0CF"/>
          </w:tcPr>
          <w:p>
            <w:pPr>
              <w:spacing w:after="0"/>
              <w:rPr>
                <w:sz w:val="14"/>
                <w:szCs w:val="14"/>
                <w:color w:val="auto"/>
              </w:rPr>
            </w:pPr>
          </w:p>
        </w:tc>
        <w:tc>
          <w:tcPr>
            <w:tcW w:w="1080" w:type="dxa"/>
            <w:vAlign w:val="bottom"/>
            <w:tcBorders>
              <w:top w:val="single" w:sz="8" w:color="auto"/>
            </w:tcBorders>
            <w:shd w:val="clear" w:color="auto" w:fill="98B0CF"/>
          </w:tcPr>
          <w:p>
            <w:pPr>
              <w:spacing w:after="0"/>
              <w:rPr>
                <w:sz w:val="14"/>
                <w:szCs w:val="14"/>
                <w:color w:val="auto"/>
              </w:rPr>
            </w:pPr>
          </w:p>
        </w:tc>
        <w:tc>
          <w:tcPr>
            <w:tcW w:w="120" w:type="dxa"/>
            <w:vAlign w:val="bottom"/>
            <w:tcBorders>
              <w:top w:val="single" w:sz="8" w:color="auto"/>
            </w:tcBorders>
            <w:shd w:val="clear" w:color="auto" w:fill="98B0CF"/>
          </w:tcPr>
          <w:p>
            <w:pPr>
              <w:spacing w:after="0"/>
              <w:rPr>
                <w:sz w:val="14"/>
                <w:szCs w:val="14"/>
                <w:color w:val="auto"/>
              </w:rPr>
            </w:pPr>
          </w:p>
        </w:tc>
        <w:tc>
          <w:tcPr>
            <w:tcW w:w="240" w:type="dxa"/>
            <w:vAlign w:val="bottom"/>
            <w:tcBorders>
              <w:top w:val="single" w:sz="8" w:color="auto"/>
            </w:tcBorders>
            <w:shd w:val="clear" w:color="auto" w:fill="98B0CF"/>
          </w:tcPr>
          <w:p>
            <w:pPr>
              <w:spacing w:after="0"/>
              <w:rPr>
                <w:sz w:val="14"/>
                <w:szCs w:val="14"/>
                <w:color w:val="auto"/>
              </w:rPr>
            </w:pPr>
          </w:p>
        </w:tc>
        <w:tc>
          <w:tcPr>
            <w:tcW w:w="1020" w:type="dxa"/>
            <w:vAlign w:val="bottom"/>
            <w:tcBorders>
              <w:top w:val="single" w:sz="8" w:color="auto"/>
            </w:tcBorders>
            <w:shd w:val="clear" w:color="auto" w:fill="98B0CF"/>
          </w:tcPr>
          <w:p>
            <w:pPr>
              <w:spacing w:after="0"/>
              <w:rPr>
                <w:sz w:val="14"/>
                <w:szCs w:val="14"/>
                <w:color w:val="auto"/>
              </w:rPr>
            </w:pPr>
          </w:p>
        </w:tc>
        <w:tc>
          <w:tcPr>
            <w:tcW w:w="1880" w:type="dxa"/>
            <w:vAlign w:val="bottom"/>
            <w:tcBorders>
              <w:top w:val="single" w:sz="8" w:color="auto"/>
            </w:tcBorders>
            <w:shd w:val="clear" w:color="auto" w:fill="98B0CF"/>
          </w:tcPr>
          <w:p>
            <w:pPr>
              <w:spacing w:after="0"/>
              <w:rPr>
                <w:sz w:val="14"/>
                <w:szCs w:val="14"/>
                <w:color w:val="auto"/>
              </w:rPr>
            </w:pPr>
          </w:p>
        </w:tc>
        <w:tc>
          <w:tcPr>
            <w:tcW w:w="1280" w:type="dxa"/>
            <w:vAlign w:val="bottom"/>
            <w:tcBorders>
              <w:top w:val="single" w:sz="8" w:color="auto"/>
            </w:tcBorders>
            <w:shd w:val="clear" w:color="auto" w:fill="98B0CF"/>
          </w:tcPr>
          <w:p>
            <w:pPr>
              <w:ind w:left="180"/>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536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08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240" w:type="dxa"/>
            <w:vAlign w:val="bottom"/>
            <w:shd w:val="clear" w:color="auto" w:fill="98B0CF"/>
          </w:tcPr>
          <w:p>
            <w:pPr>
              <w:spacing w:after="0"/>
              <w:rPr>
                <w:sz w:val="14"/>
                <w:szCs w:val="14"/>
                <w:color w:val="auto"/>
              </w:rPr>
            </w:pPr>
          </w:p>
        </w:tc>
        <w:tc>
          <w:tcPr>
            <w:tcW w:w="1020" w:type="dxa"/>
            <w:vAlign w:val="bottom"/>
            <w:shd w:val="clear" w:color="auto" w:fill="98B0CF"/>
          </w:tcPr>
          <w:p>
            <w:pPr>
              <w:spacing w:after="0"/>
              <w:rPr>
                <w:sz w:val="14"/>
                <w:szCs w:val="14"/>
                <w:color w:val="auto"/>
              </w:rPr>
            </w:pPr>
          </w:p>
        </w:tc>
        <w:tc>
          <w:tcPr>
            <w:tcW w:w="1880" w:type="dxa"/>
            <w:vAlign w:val="bottom"/>
            <w:shd w:val="clear" w:color="auto" w:fill="98B0CF"/>
          </w:tcPr>
          <w:p>
            <w:pPr>
              <w:spacing w:after="0"/>
              <w:rPr>
                <w:sz w:val="14"/>
                <w:szCs w:val="14"/>
                <w:color w:val="auto"/>
              </w:rPr>
            </w:pPr>
          </w:p>
        </w:tc>
        <w:tc>
          <w:tcPr>
            <w:tcW w:w="1280" w:type="dxa"/>
            <w:vAlign w:val="bottom"/>
            <w:shd w:val="clear" w:color="auto" w:fill="98B0CF"/>
          </w:tcPr>
          <w:p>
            <w:pPr>
              <w:ind w:left="180"/>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5360" w:type="dxa"/>
            <w:vAlign w:val="bottom"/>
            <w:tcBorders>
              <w:bottom w:val="single" w:sz="8" w:color="auto"/>
            </w:tcBorders>
            <w:shd w:val="clear" w:color="auto" w:fill="98B0CF"/>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60" w:type="dxa"/>
            <w:vAlign w:val="bottom"/>
            <w:tcBorders>
              <w:bottom w:val="single" w:sz="8" w:color="auto"/>
            </w:tcBorders>
            <w:shd w:val="clear" w:color="auto" w:fill="98B0CF"/>
          </w:tcPr>
          <w:p>
            <w:pPr>
              <w:spacing w:after="0"/>
              <w:rPr>
                <w:sz w:val="14"/>
                <w:szCs w:val="14"/>
                <w:color w:val="auto"/>
              </w:rPr>
            </w:pPr>
          </w:p>
        </w:tc>
        <w:tc>
          <w:tcPr>
            <w:tcW w:w="1080" w:type="dxa"/>
            <w:vAlign w:val="bottom"/>
            <w:tcBorders>
              <w:bottom w:val="single" w:sz="8" w:color="auto"/>
            </w:tcBorders>
            <w:shd w:val="clear" w:color="auto" w:fill="98B0CF"/>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jc w:val="right"/>
              <w:ind w:right="480"/>
              <w:spacing w:after="0"/>
              <w:rPr>
                <w:sz w:val="20"/>
                <w:szCs w:val="20"/>
                <w:color w:val="auto"/>
              </w:rPr>
            </w:pPr>
            <w:r>
              <w:rPr>
                <w:rFonts w:ascii="Arial" w:cs="Arial" w:eastAsia="Arial" w:hAnsi="Arial"/>
                <w:sz w:val="14"/>
                <w:szCs w:val="14"/>
                <w:b w:val="1"/>
                <w:bCs w:val="1"/>
                <w:color w:val="auto"/>
              </w:rPr>
              <w:t>2025</w:t>
            </w:r>
          </w:p>
        </w:tc>
        <w:tc>
          <w:tcPr>
            <w:tcW w:w="1880" w:type="dxa"/>
            <w:vAlign w:val="bottom"/>
            <w:tcBorders>
              <w:bottom w:val="single" w:sz="8" w:color="auto"/>
            </w:tcBorders>
            <w:shd w:val="clear" w:color="auto" w:fill="98B0CF"/>
          </w:tcPr>
          <w:p>
            <w:pPr>
              <w:jc w:val="right"/>
              <w:ind w:right="700"/>
              <w:spacing w:after="0"/>
              <w:rPr>
                <w:sz w:val="20"/>
                <w:szCs w:val="20"/>
                <w:color w:val="auto"/>
              </w:rPr>
            </w:pPr>
            <w:r>
              <w:rPr>
                <w:rFonts w:ascii="Arial" w:cs="Arial" w:eastAsia="Arial" w:hAnsi="Arial"/>
                <w:sz w:val="14"/>
                <w:szCs w:val="14"/>
                <w:b w:val="1"/>
                <w:bCs w:val="1"/>
                <w:color w:val="auto"/>
              </w:rPr>
              <w:t>Variance</w:t>
            </w:r>
          </w:p>
        </w:tc>
        <w:tc>
          <w:tcPr>
            <w:tcW w:w="1280" w:type="dxa"/>
            <w:vAlign w:val="bottom"/>
            <w:tcBorders>
              <w:bottom w:val="single" w:sz="8" w:color="auto"/>
            </w:tcBorders>
            <w:shd w:val="clear" w:color="auto" w:fill="98B0CF"/>
          </w:tcPr>
          <w:p>
            <w:pPr>
              <w:ind w:left="200"/>
              <w:spacing w:after="0"/>
              <w:rPr>
                <w:sz w:val="20"/>
                <w:szCs w:val="20"/>
                <w:color w:val="auto"/>
              </w:rPr>
            </w:pPr>
            <w:r>
              <w:rPr>
                <w:rFonts w:ascii="Arial" w:cs="Arial" w:eastAsia="Arial" w:hAnsi="Arial"/>
                <w:sz w:val="14"/>
                <w:szCs w:val="14"/>
                <w:b w:val="1"/>
                <w:bCs w:val="1"/>
                <w:color w:val="auto"/>
              </w:rPr>
              <w:t>Variance</w:t>
            </w:r>
          </w:p>
        </w:tc>
      </w:tr>
      <w:tr>
        <w:trPr>
          <w:trHeight w:val="183"/>
        </w:trPr>
        <w:tc>
          <w:tcPr>
            <w:tcW w:w="536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Revenues from services</w:t>
            </w:r>
          </w:p>
        </w:tc>
        <w:tc>
          <w:tcPr>
            <w:tcW w:w="260" w:type="dxa"/>
            <w:vAlign w:val="bottom"/>
            <w:shd w:val="clear" w:color="auto" w:fill="E2E8F1"/>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14,210.6</w:t>
            </w:r>
          </w:p>
        </w:tc>
        <w:tc>
          <w:tcPr>
            <w:tcW w:w="360" w:type="dxa"/>
            <w:vAlign w:val="bottom"/>
            <w:gridSpan w:val="2"/>
            <w:shd w:val="clear" w:color="auto" w:fill="E2E8F1"/>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13,244.0</w:t>
            </w:r>
          </w:p>
        </w:tc>
        <w:tc>
          <w:tcPr>
            <w:tcW w:w="1880" w:type="dxa"/>
            <w:vAlign w:val="bottom"/>
            <w:shd w:val="clear" w:color="auto" w:fill="E2E8F1"/>
          </w:tcPr>
          <w:p>
            <w:pPr>
              <w:jc w:val="right"/>
              <w:ind w:right="160"/>
              <w:spacing w:after="0" w:line="183" w:lineRule="exact"/>
              <w:rPr>
                <w:sz w:val="20"/>
                <w:szCs w:val="20"/>
                <w:color w:val="auto"/>
              </w:rPr>
            </w:pPr>
            <w:r>
              <w:rPr>
                <w:rFonts w:ascii="Arial" w:cs="Arial" w:eastAsia="Arial" w:hAnsi="Arial"/>
                <w:sz w:val="16"/>
                <w:szCs w:val="16"/>
                <w:color w:val="auto"/>
              </w:rPr>
              <w:t>7.3%</w:t>
            </w:r>
          </w:p>
        </w:tc>
        <w:tc>
          <w:tcPr>
            <w:tcW w:w="1280" w:type="dxa"/>
            <w:vAlign w:val="bottom"/>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4.7%</w:t>
            </w: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Cost of services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11,940.0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11,013.1</w:t>
            </w:r>
          </w:p>
        </w:tc>
        <w:tc>
          <w:tcPr>
            <w:tcW w:w="1880" w:type="dxa"/>
            <w:vAlign w:val="bottom"/>
          </w:tcPr>
          <w:p>
            <w:pPr>
              <w:jc w:val="right"/>
              <w:ind w:right="160"/>
              <w:spacing w:after="0"/>
              <w:rPr>
                <w:sz w:val="20"/>
                <w:szCs w:val="20"/>
                <w:color w:val="auto"/>
              </w:rPr>
            </w:pPr>
            <w:r>
              <w:rPr>
                <w:rFonts w:ascii="Arial" w:cs="Arial" w:eastAsia="Arial" w:hAnsi="Arial"/>
                <w:sz w:val="16"/>
                <w:szCs w:val="16"/>
                <w:color w:val="auto"/>
              </w:rPr>
              <w:t>8.4%</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5.7%</w:t>
            </w:r>
          </w:p>
        </w:tc>
      </w:tr>
      <w:tr>
        <w:trPr>
          <w:trHeight w:val="183"/>
        </w:trPr>
        <w:tc>
          <w:tcPr>
            <w:tcW w:w="5360" w:type="dxa"/>
            <w:vAlign w:val="bottom"/>
            <w:shd w:val="clear" w:color="auto" w:fill="E2E8F1"/>
          </w:tcPr>
          <w:p>
            <w:pPr>
              <w:ind w:left="100"/>
              <w:spacing w:after="0" w:line="183" w:lineRule="exact"/>
              <w:rPr>
                <w:sz w:val="20"/>
                <w:szCs w:val="20"/>
                <w:color w:val="auto"/>
              </w:rPr>
            </w:pPr>
            <w:r>
              <w:rPr>
                <w:rFonts w:ascii="Arial" w:cs="Arial" w:eastAsia="Arial" w:hAnsi="Arial"/>
                <w:sz w:val="16"/>
                <w:szCs w:val="16"/>
                <w:color w:val="auto"/>
              </w:rPr>
              <w:t>Gross profit</w:t>
            </w:r>
          </w:p>
        </w:tc>
        <w:tc>
          <w:tcPr>
            <w:tcW w:w="260" w:type="dxa"/>
            <w:vAlign w:val="bottom"/>
            <w:shd w:val="clear" w:color="auto" w:fill="E2E8F1"/>
          </w:tcPr>
          <w:p>
            <w:pPr>
              <w:spacing w:after="0"/>
              <w:rPr>
                <w:sz w:val="15"/>
                <w:szCs w:val="15"/>
                <w:color w:val="auto"/>
              </w:rPr>
            </w:pPr>
          </w:p>
        </w:tc>
        <w:tc>
          <w:tcPr>
            <w:tcW w:w="10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2,270.6</w:t>
            </w:r>
          </w:p>
        </w:tc>
        <w:tc>
          <w:tcPr>
            <w:tcW w:w="12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2,230.9</w:t>
            </w:r>
          </w:p>
        </w:tc>
        <w:tc>
          <w:tcPr>
            <w:tcW w:w="1880" w:type="dxa"/>
            <w:vAlign w:val="bottom"/>
            <w:shd w:val="clear" w:color="auto" w:fill="E2E8F1"/>
          </w:tcPr>
          <w:p>
            <w:pPr>
              <w:jc w:val="right"/>
              <w:ind w:right="160"/>
              <w:spacing w:after="0" w:line="183" w:lineRule="exact"/>
              <w:rPr>
                <w:sz w:val="20"/>
                <w:szCs w:val="20"/>
                <w:color w:val="auto"/>
              </w:rPr>
            </w:pPr>
            <w:r>
              <w:rPr>
                <w:rFonts w:ascii="Arial" w:cs="Arial" w:eastAsia="Arial" w:hAnsi="Arial"/>
                <w:sz w:val="16"/>
                <w:szCs w:val="16"/>
                <w:color w:val="auto"/>
              </w:rPr>
              <w:t>1.8%</w:t>
            </w:r>
          </w:p>
        </w:tc>
        <w:tc>
          <w:tcPr>
            <w:tcW w:w="12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(0.5)%</w:t>
            </w:r>
          </w:p>
        </w:tc>
      </w:tr>
      <w:tr>
        <w:trPr>
          <w:trHeight w:val="189"/>
        </w:trPr>
        <w:tc>
          <w:tcPr>
            <w:tcW w:w="5360" w:type="dxa"/>
            <w:vAlign w:val="bottom"/>
          </w:tcPr>
          <w:p>
            <w:pPr>
              <w:ind w:left="100"/>
              <w:spacing w:after="0"/>
              <w:rPr>
                <w:sz w:val="20"/>
                <w:szCs w:val="20"/>
                <w:color w:val="auto"/>
              </w:rPr>
            </w:pPr>
            <w:r>
              <w:rPr>
                <w:rFonts w:ascii="Arial" w:cs="Arial" w:eastAsia="Arial" w:hAnsi="Arial"/>
                <w:sz w:val="16"/>
                <w:szCs w:val="16"/>
                <w:i w:val="1"/>
                <w:iCs w:val="1"/>
                <w:color w:val="auto"/>
              </w:rPr>
              <w:t>Gross profit margin</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16.8%</w:t>
            </w:r>
          </w:p>
        </w:tc>
        <w:tc>
          <w:tcPr>
            <w:tcW w:w="18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5360" w:type="dxa"/>
            <w:vAlign w:val="bottom"/>
            <w:shd w:val="clear" w:color="auto" w:fill="E2E8F1"/>
          </w:tcPr>
          <w:p>
            <w:pPr>
              <w:ind w:left="100"/>
              <w:spacing w:after="0"/>
              <w:rPr>
                <w:sz w:val="20"/>
                <w:szCs w:val="20"/>
                <w:color w:val="auto"/>
              </w:rPr>
            </w:pPr>
            <w:r>
              <w:rPr>
                <w:rFonts w:ascii="Arial" w:cs="Arial" w:eastAsia="Arial" w:hAnsi="Arial"/>
                <w:sz w:val="16"/>
                <w:szCs w:val="16"/>
                <w:color w:val="auto"/>
              </w:rPr>
              <w:t>Selling and administrative expenses, excluding impairment charges</w:t>
            </w:r>
          </w:p>
        </w:tc>
        <w:tc>
          <w:tcPr>
            <w:tcW w:w="260" w:type="dxa"/>
            <w:vAlign w:val="bottom"/>
            <w:shd w:val="clear" w:color="auto" w:fill="E2E8F1"/>
          </w:tcPr>
          <w:p>
            <w:pPr>
              <w:spacing w:after="0"/>
              <w:rPr>
                <w:sz w:val="16"/>
                <w:szCs w:val="16"/>
                <w:color w:val="auto"/>
              </w:rPr>
            </w:pPr>
          </w:p>
        </w:tc>
        <w:tc>
          <w:tcPr>
            <w:tcW w:w="1080" w:type="dxa"/>
            <w:vAlign w:val="bottom"/>
            <w:shd w:val="clear" w:color="auto" w:fill="E2E8F1"/>
          </w:tcPr>
          <w:p>
            <w:pPr>
              <w:jc w:val="right"/>
              <w:ind w:right="100"/>
              <w:spacing w:after="0"/>
              <w:rPr>
                <w:sz w:val="20"/>
                <w:szCs w:val="20"/>
                <w:color w:val="auto"/>
              </w:rPr>
            </w:pPr>
            <w:r>
              <w:rPr>
                <w:rFonts w:ascii="Arial" w:cs="Arial" w:eastAsia="Arial" w:hAnsi="Arial"/>
                <w:sz w:val="16"/>
                <w:szCs w:val="16"/>
                <w:color w:val="auto"/>
              </w:rPr>
              <w:t>2,048.0</w:t>
            </w:r>
          </w:p>
        </w:tc>
        <w:tc>
          <w:tcPr>
            <w:tcW w:w="12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100"/>
              <w:spacing w:after="0"/>
              <w:rPr>
                <w:sz w:val="20"/>
                <w:szCs w:val="20"/>
                <w:color w:val="auto"/>
              </w:rPr>
            </w:pPr>
            <w:r>
              <w:rPr>
                <w:rFonts w:ascii="Arial" w:cs="Arial" w:eastAsia="Arial" w:hAnsi="Arial"/>
                <w:sz w:val="16"/>
                <w:szCs w:val="16"/>
                <w:color w:val="auto"/>
              </w:rPr>
              <w:t>2,072.7</w:t>
            </w:r>
          </w:p>
        </w:tc>
        <w:tc>
          <w:tcPr>
            <w:tcW w:w="1880" w:type="dxa"/>
            <w:vAlign w:val="bottom"/>
            <w:shd w:val="clear" w:color="auto" w:fill="E2E8F1"/>
          </w:tcPr>
          <w:p>
            <w:pPr>
              <w:jc w:val="right"/>
              <w:ind w:right="100"/>
              <w:spacing w:after="0"/>
              <w:rPr>
                <w:sz w:val="20"/>
                <w:szCs w:val="20"/>
                <w:color w:val="auto"/>
              </w:rPr>
            </w:pPr>
            <w:r>
              <w:rPr>
                <w:rFonts w:ascii="Arial" w:cs="Arial" w:eastAsia="Arial" w:hAnsi="Arial"/>
                <w:sz w:val="16"/>
                <w:szCs w:val="16"/>
                <w:color w:val="auto"/>
              </w:rPr>
              <w:t>(1.2)%</w:t>
            </w:r>
          </w:p>
        </w:tc>
        <w:tc>
          <w:tcPr>
            <w:tcW w:w="12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5360" w:type="dxa"/>
            <w:vAlign w:val="bottom"/>
          </w:tcPr>
          <w:p>
            <w:pPr>
              <w:ind w:left="100"/>
              <w:spacing w:after="0"/>
              <w:rPr>
                <w:sz w:val="20"/>
                <w:szCs w:val="20"/>
                <w:color w:val="auto"/>
              </w:rPr>
            </w:pPr>
            <w:r>
              <w:rPr>
                <w:rFonts w:ascii="Arial" w:cs="Arial" w:eastAsia="Arial" w:hAnsi="Arial"/>
                <w:sz w:val="16"/>
                <w:szCs w:val="16"/>
                <w:color w:val="auto"/>
              </w:rPr>
              <w:t>Impairment charges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88.7</w:t>
            </w:r>
          </w:p>
        </w:tc>
        <w:tc>
          <w:tcPr>
            <w:tcW w:w="1880" w:type="dxa"/>
            <w:vAlign w:val="bottom"/>
          </w:tcPr>
          <w:p>
            <w:pPr>
              <w:jc w:val="right"/>
              <w:ind w:right="320"/>
              <w:spacing w:after="0"/>
              <w:rPr>
                <w:sz w:val="20"/>
                <w:szCs w:val="20"/>
                <w:color w:val="auto"/>
              </w:rPr>
            </w:pPr>
            <w:r>
              <w:rPr>
                <w:rFonts w:ascii="Arial" w:cs="Arial" w:eastAsia="Arial" w:hAnsi="Arial"/>
                <w:sz w:val="16"/>
                <w:szCs w:val="16"/>
                <w:color w:val="auto"/>
              </w:rPr>
              <w:t>N/A</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N/A</w:t>
            </w:r>
          </w:p>
        </w:tc>
      </w:tr>
      <w:tr>
        <w:trPr>
          <w:trHeight w:val="183"/>
        </w:trPr>
        <w:tc>
          <w:tcPr>
            <w:tcW w:w="5360" w:type="dxa"/>
            <w:vAlign w:val="bottom"/>
            <w:tcBorders>
              <w:bottom w:val="single" w:sz="8" w:color="E2E8F1"/>
            </w:tcBorders>
            <w:shd w:val="clear" w:color="auto" w:fill="E2E8F1"/>
          </w:tcPr>
          <w:p>
            <w:pPr>
              <w:spacing w:after="0" w:line="183" w:lineRule="exact"/>
              <w:rPr>
                <w:sz w:val="20"/>
                <w:szCs w:val="20"/>
                <w:color w:val="auto"/>
              </w:rPr>
            </w:pPr>
            <w:r>
              <w:rPr>
                <w:rFonts w:ascii="Arial" w:cs="Arial" w:eastAsia="Arial" w:hAnsi="Arial"/>
                <w:sz w:val="16"/>
                <w:szCs w:val="16"/>
                <w:color w:val="auto"/>
              </w:rPr>
              <w:t>Selling and administrative expenses</w:t>
            </w:r>
          </w:p>
        </w:tc>
        <w:tc>
          <w:tcPr>
            <w:tcW w:w="260" w:type="dxa"/>
            <w:vAlign w:val="bottom"/>
            <w:tcBorders>
              <w:bottom w:val="single" w:sz="8" w:color="auto"/>
            </w:tcBorders>
            <w:shd w:val="clear" w:color="auto" w:fill="E2E8F1"/>
          </w:tcPr>
          <w:p>
            <w:pPr>
              <w:spacing w:after="0"/>
              <w:rPr>
                <w:sz w:val="15"/>
                <w:szCs w:val="15"/>
                <w:color w:val="auto"/>
              </w:rPr>
            </w:pPr>
          </w:p>
        </w:tc>
        <w:tc>
          <w:tcPr>
            <w:tcW w:w="1080" w:type="dxa"/>
            <w:vAlign w:val="bottom"/>
            <w:tcBorders>
              <w:bottom w:val="single" w:sz="8" w:color="auto"/>
            </w:tcBorders>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2,048.0</w:t>
            </w:r>
          </w:p>
        </w:tc>
        <w:tc>
          <w:tcPr>
            <w:tcW w:w="120" w:type="dxa"/>
            <w:vAlign w:val="bottom"/>
            <w:tcBorders>
              <w:bottom w:val="single" w:sz="8" w:color="E2E8F1"/>
            </w:tcBorders>
            <w:shd w:val="clear" w:color="auto" w:fill="E2E8F1"/>
          </w:tcPr>
          <w:p>
            <w:pPr>
              <w:spacing w:after="0"/>
              <w:rPr>
                <w:sz w:val="15"/>
                <w:szCs w:val="15"/>
                <w:color w:val="auto"/>
              </w:rPr>
            </w:pPr>
          </w:p>
        </w:tc>
        <w:tc>
          <w:tcPr>
            <w:tcW w:w="240" w:type="dxa"/>
            <w:vAlign w:val="bottom"/>
            <w:tcBorders>
              <w:bottom w:val="single" w:sz="8" w:color="auto"/>
            </w:tcBorders>
            <w:shd w:val="clear" w:color="auto" w:fill="E2E8F1"/>
          </w:tcPr>
          <w:p>
            <w:pPr>
              <w:spacing w:after="0"/>
              <w:rPr>
                <w:sz w:val="15"/>
                <w:szCs w:val="15"/>
                <w:color w:val="auto"/>
              </w:rPr>
            </w:pPr>
          </w:p>
        </w:tc>
        <w:tc>
          <w:tcPr>
            <w:tcW w:w="1020" w:type="dxa"/>
            <w:vAlign w:val="bottom"/>
            <w:tcBorders>
              <w:bottom w:val="single" w:sz="8" w:color="auto"/>
            </w:tcBorders>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2,161.4</w:t>
            </w:r>
          </w:p>
        </w:tc>
        <w:tc>
          <w:tcPr>
            <w:tcW w:w="1880" w:type="dxa"/>
            <w:vAlign w:val="bottom"/>
            <w:tcBorders>
              <w:bottom w:val="single" w:sz="8" w:color="E2E8F1"/>
            </w:tcBorders>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(5.3)%</w:t>
            </w:r>
          </w:p>
        </w:tc>
        <w:tc>
          <w:tcPr>
            <w:tcW w:w="1280" w:type="dxa"/>
            <w:vAlign w:val="bottom"/>
            <w:tcBorders>
              <w:bottom w:val="single" w:sz="8" w:color="E2E8F1"/>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(7.4)%</w:t>
            </w:r>
          </w:p>
        </w:tc>
      </w:tr>
      <w:tr>
        <w:trPr>
          <w:trHeight w:val="183"/>
        </w:trPr>
        <w:tc>
          <w:tcPr>
            <w:tcW w:w="5360" w:type="dxa"/>
            <w:vAlign w:val="bottom"/>
          </w:tcPr>
          <w:p>
            <w:pPr>
              <w:ind w:left="100"/>
              <w:spacing w:after="0" w:line="183" w:lineRule="exact"/>
              <w:rPr>
                <w:sz w:val="20"/>
                <w:szCs w:val="20"/>
                <w:color w:val="auto"/>
              </w:rPr>
            </w:pPr>
            <w:r>
              <w:rPr>
                <w:rFonts w:ascii="Arial" w:cs="Arial" w:eastAsia="Arial" w:hAnsi="Arial"/>
                <w:sz w:val="16"/>
                <w:szCs w:val="16"/>
                <w:color w:val="auto"/>
              </w:rPr>
              <w:t>Operating profit</w:t>
            </w:r>
          </w:p>
        </w:tc>
        <w:tc>
          <w:tcPr>
            <w:tcW w:w="260" w:type="dxa"/>
            <w:vAlign w:val="bottom"/>
          </w:tcPr>
          <w:p>
            <w:pPr>
              <w:spacing w:after="0"/>
              <w:rPr>
                <w:sz w:val="15"/>
                <w:szCs w:val="15"/>
                <w:color w:val="auto"/>
              </w:rPr>
            </w:pPr>
          </w:p>
        </w:tc>
        <w:tc>
          <w:tcPr>
            <w:tcW w:w="108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222.6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69.5</w:t>
            </w:r>
          </w:p>
        </w:tc>
        <w:tc>
          <w:tcPr>
            <w:tcW w:w="1880" w:type="dxa"/>
            <w:vAlign w:val="bottom"/>
          </w:tcPr>
          <w:p>
            <w:pPr>
              <w:jc w:val="right"/>
              <w:ind w:right="160"/>
              <w:spacing w:after="0" w:line="183" w:lineRule="exact"/>
              <w:rPr>
                <w:sz w:val="20"/>
                <w:szCs w:val="20"/>
                <w:color w:val="auto"/>
              </w:rPr>
            </w:pPr>
            <w:r>
              <w:rPr>
                <w:rFonts w:ascii="Arial" w:cs="Arial" w:eastAsia="Arial" w:hAnsi="Arial"/>
                <w:sz w:val="16"/>
                <w:szCs w:val="16"/>
                <w:color w:val="auto"/>
              </w:rPr>
              <w:t>220.4%</w:t>
            </w:r>
          </w:p>
        </w:tc>
        <w:tc>
          <w:tcPr>
            <w:tcW w:w="1280" w:type="dxa"/>
            <w:vAlign w:val="bottom"/>
          </w:tcPr>
          <w:p>
            <w:pPr>
              <w:jc w:val="right"/>
              <w:ind w:right="1"/>
              <w:spacing w:after="0" w:line="183" w:lineRule="exact"/>
              <w:rPr>
                <w:sz w:val="20"/>
                <w:szCs w:val="20"/>
                <w:color w:val="auto"/>
              </w:rPr>
            </w:pPr>
            <w:r>
              <w:rPr>
                <w:rFonts w:ascii="Arial" w:cs="Arial" w:eastAsia="Arial" w:hAnsi="Arial"/>
                <w:sz w:val="16"/>
                <w:szCs w:val="16"/>
                <w:color w:val="auto"/>
              </w:rPr>
              <w:t>213.8%</w:t>
            </w:r>
          </w:p>
        </w:tc>
      </w:tr>
      <w:tr>
        <w:trPr>
          <w:trHeight w:val="189"/>
        </w:trPr>
        <w:tc>
          <w:tcPr>
            <w:tcW w:w="5360" w:type="dxa"/>
            <w:vAlign w:val="bottom"/>
            <w:shd w:val="clear" w:color="auto" w:fill="E2E8F1"/>
          </w:tcPr>
          <w:p>
            <w:pPr>
              <w:ind w:left="100"/>
              <w:spacing w:after="0"/>
              <w:rPr>
                <w:sz w:val="20"/>
                <w:szCs w:val="20"/>
                <w:color w:val="auto"/>
              </w:rPr>
            </w:pPr>
            <w:r>
              <w:rPr>
                <w:rFonts w:ascii="Arial" w:cs="Arial" w:eastAsia="Arial" w:hAnsi="Arial"/>
                <w:sz w:val="16"/>
                <w:szCs w:val="16"/>
                <w:i w:val="1"/>
                <w:iCs w:val="1"/>
                <w:color w:val="auto"/>
              </w:rPr>
              <w:t>Operating profit margin</w:t>
            </w:r>
          </w:p>
        </w:tc>
        <w:tc>
          <w:tcPr>
            <w:tcW w:w="260" w:type="dxa"/>
            <w:vAlign w:val="bottom"/>
            <w:shd w:val="clear" w:color="auto" w:fill="E2E8F1"/>
          </w:tcPr>
          <w:p>
            <w:pPr>
              <w:spacing w:after="0"/>
              <w:rPr>
                <w:sz w:val="16"/>
                <w:szCs w:val="16"/>
                <w:color w:val="auto"/>
              </w:rPr>
            </w:pPr>
          </w:p>
        </w:tc>
        <w:tc>
          <w:tcPr>
            <w:tcW w:w="1080" w:type="dxa"/>
            <w:vAlign w:val="bottom"/>
            <w:shd w:val="clear" w:color="auto" w:fill="E2E8F1"/>
          </w:tcPr>
          <w:p>
            <w:pPr>
              <w:jc w:val="right"/>
              <w:spacing w:after="0"/>
              <w:rPr>
                <w:sz w:val="20"/>
                <w:szCs w:val="20"/>
                <w:color w:val="auto"/>
              </w:rPr>
            </w:pPr>
            <w:r>
              <w:rPr>
                <w:rFonts w:ascii="Arial" w:cs="Arial" w:eastAsia="Arial" w:hAnsi="Arial"/>
                <w:sz w:val="16"/>
                <w:szCs w:val="16"/>
                <w:i w:val="1"/>
                <w:iCs w:val="1"/>
                <w:color w:val="auto"/>
              </w:rPr>
              <w:t>1.6%</w:t>
            </w:r>
          </w:p>
        </w:tc>
        <w:tc>
          <w:tcPr>
            <w:tcW w:w="12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6"/>
                <w:szCs w:val="16"/>
                <w:i w:val="1"/>
                <w:iCs w:val="1"/>
                <w:color w:val="auto"/>
              </w:rPr>
              <w:t>0.5%</w:t>
            </w:r>
          </w:p>
        </w:tc>
        <w:tc>
          <w:tcPr>
            <w:tcW w:w="1880" w:type="dxa"/>
            <w:vAlign w:val="bottom"/>
            <w:shd w:val="clear" w:color="auto" w:fill="E2E8F1"/>
          </w:tcPr>
          <w:p>
            <w:pPr>
              <w:spacing w:after="0"/>
              <w:rPr>
                <w:sz w:val="16"/>
                <w:szCs w:val="16"/>
                <w:color w:val="auto"/>
              </w:rPr>
            </w:pPr>
          </w:p>
        </w:tc>
        <w:tc>
          <w:tcPr>
            <w:tcW w:w="1280" w:type="dxa"/>
            <w:vAlign w:val="bottom"/>
            <w:shd w:val="clear" w:color="auto" w:fill="E2E8F1"/>
          </w:tcPr>
          <w:p>
            <w:pPr>
              <w:spacing w:after="0"/>
              <w:rPr>
                <w:sz w:val="16"/>
                <w:szCs w:val="16"/>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41.7</w:t>
            </w:r>
          </w:p>
        </w:tc>
        <w:tc>
          <w:tcPr>
            <w:tcW w:w="1880" w:type="dxa"/>
            <w:vAlign w:val="bottom"/>
          </w:tcPr>
          <w:p>
            <w:pPr>
              <w:jc w:val="right"/>
              <w:ind w:right="160"/>
              <w:spacing w:after="0"/>
              <w:rPr>
                <w:sz w:val="20"/>
                <w:szCs w:val="20"/>
                <w:color w:val="auto"/>
              </w:rPr>
            </w:pPr>
            <w:r>
              <w:rPr>
                <w:rFonts w:ascii="Arial" w:cs="Arial" w:eastAsia="Arial" w:hAnsi="Arial"/>
                <w:sz w:val="16"/>
                <w:szCs w:val="16"/>
                <w:color w:val="auto"/>
              </w:rPr>
              <w:t>12.4%</w:t>
            </w:r>
          </w:p>
        </w:tc>
        <w:tc>
          <w:tcPr>
            <w:tcW w:w="1280" w:type="dxa"/>
            <w:vAlign w:val="bottom"/>
          </w:tcPr>
          <w:p>
            <w:pPr>
              <w:spacing w:after="0"/>
              <w:rPr>
                <w:sz w:val="16"/>
                <w:szCs w:val="16"/>
                <w:color w:val="auto"/>
              </w:rPr>
            </w:pPr>
          </w:p>
        </w:tc>
      </w:tr>
      <w:tr>
        <w:trPr>
          <w:trHeight w:val="182"/>
        </w:trPr>
        <w:tc>
          <w:tcPr>
            <w:tcW w:w="5360" w:type="dxa"/>
            <w:vAlign w:val="bottom"/>
            <w:shd w:val="clear" w:color="auto" w:fill="E2E8F1"/>
          </w:tcPr>
          <w:p>
            <w:pPr>
              <w:ind w:left="100"/>
              <w:spacing w:after="0" w:line="183" w:lineRule="exact"/>
              <w:rPr>
                <w:sz w:val="20"/>
                <w:szCs w:val="20"/>
                <w:color w:val="auto"/>
              </w:rPr>
            </w:pPr>
            <w:r>
              <w:rPr>
                <w:rFonts w:ascii="Arial" w:cs="Arial" w:eastAsia="Arial" w:hAnsi="Arial"/>
                <w:sz w:val="16"/>
                <w:szCs w:val="16"/>
                <w:color w:val="auto"/>
              </w:rPr>
              <w:t>Earnings before income taxes</w:t>
            </w:r>
          </w:p>
        </w:tc>
        <w:tc>
          <w:tcPr>
            <w:tcW w:w="260" w:type="dxa"/>
            <w:vAlign w:val="bottom"/>
            <w:shd w:val="clear" w:color="auto" w:fill="E2E8F1"/>
          </w:tcPr>
          <w:p>
            <w:pPr>
              <w:spacing w:after="0"/>
              <w:rPr>
                <w:sz w:val="15"/>
                <w:szCs w:val="15"/>
                <w:color w:val="auto"/>
              </w:rPr>
            </w:pPr>
          </w:p>
        </w:tc>
        <w:tc>
          <w:tcPr>
            <w:tcW w:w="10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175.8</w:t>
            </w:r>
          </w:p>
        </w:tc>
        <w:tc>
          <w:tcPr>
            <w:tcW w:w="12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27.8</w:t>
            </w:r>
          </w:p>
        </w:tc>
        <w:tc>
          <w:tcPr>
            <w:tcW w:w="1880" w:type="dxa"/>
            <w:vAlign w:val="bottom"/>
            <w:shd w:val="clear" w:color="auto" w:fill="E2E8F1"/>
          </w:tcPr>
          <w:p>
            <w:pPr>
              <w:jc w:val="right"/>
              <w:ind w:right="160"/>
              <w:spacing w:after="0" w:line="183" w:lineRule="exact"/>
              <w:rPr>
                <w:sz w:val="20"/>
                <w:szCs w:val="20"/>
                <w:color w:val="auto"/>
              </w:rPr>
            </w:pPr>
            <w:r>
              <w:rPr>
                <w:rFonts w:ascii="Arial" w:cs="Arial" w:eastAsia="Arial" w:hAnsi="Arial"/>
                <w:sz w:val="16"/>
                <w:szCs w:val="16"/>
                <w:color w:val="auto"/>
              </w:rPr>
              <w:t>531.5%</w:t>
            </w:r>
          </w:p>
        </w:tc>
        <w:tc>
          <w:tcPr>
            <w:tcW w:w="1280" w:type="dxa"/>
            <w:vAlign w:val="bottom"/>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525.5%</w:t>
            </w: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16"/>
                <w:szCs w:val="16"/>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71.3</w:t>
            </w:r>
          </w:p>
        </w:tc>
        <w:tc>
          <w:tcPr>
            <w:tcW w:w="1880" w:type="dxa"/>
            <w:vAlign w:val="bottom"/>
          </w:tcPr>
          <w:p>
            <w:pPr>
              <w:jc w:val="right"/>
              <w:ind w:right="160"/>
              <w:spacing w:after="0"/>
              <w:rPr>
                <w:sz w:val="20"/>
                <w:szCs w:val="20"/>
                <w:color w:val="auto"/>
              </w:rPr>
            </w:pPr>
            <w:r>
              <w:rPr>
                <w:rFonts w:ascii="Arial" w:cs="Arial" w:eastAsia="Arial" w:hAnsi="Arial"/>
                <w:sz w:val="16"/>
                <w:szCs w:val="16"/>
                <w:color w:val="auto"/>
              </w:rPr>
              <w:t>20.2%</w:t>
            </w:r>
          </w:p>
        </w:tc>
        <w:tc>
          <w:tcPr>
            <w:tcW w:w="1280" w:type="dxa"/>
            <w:vAlign w:val="bottom"/>
          </w:tcPr>
          <w:p>
            <w:pPr>
              <w:spacing w:after="0"/>
              <w:rPr>
                <w:sz w:val="16"/>
                <w:szCs w:val="16"/>
                <w:color w:val="auto"/>
              </w:rPr>
            </w:pPr>
          </w:p>
        </w:tc>
      </w:tr>
      <w:tr>
        <w:trPr>
          <w:trHeight w:val="189"/>
        </w:trPr>
        <w:tc>
          <w:tcPr>
            <w:tcW w:w="536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i w:val="1"/>
                <w:iCs w:val="1"/>
                <w:color w:val="auto"/>
              </w:rPr>
              <w:t>Effective income tax rate</w:t>
            </w:r>
          </w:p>
        </w:tc>
        <w:tc>
          <w:tcPr>
            <w:tcW w:w="26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i w:val="1"/>
                <w:iCs w:val="1"/>
                <w:color w:val="auto"/>
              </w:rPr>
              <w:t>48.7%</w:t>
            </w:r>
          </w:p>
        </w:tc>
        <w:tc>
          <w:tcPr>
            <w:tcW w:w="12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i w:val="1"/>
                <w:iCs w:val="1"/>
                <w:color w:val="auto"/>
              </w:rPr>
              <w:t>256.2%</w:t>
            </w:r>
          </w:p>
        </w:tc>
        <w:tc>
          <w:tcPr>
            <w:tcW w:w="1880" w:type="dxa"/>
            <w:vAlign w:val="bottom"/>
            <w:tcBorders>
              <w:bottom w:val="single" w:sz="8" w:color="E2E8F1"/>
            </w:tcBorders>
            <w:shd w:val="clear" w:color="auto" w:fill="E2E8F1"/>
          </w:tcPr>
          <w:p>
            <w:pPr>
              <w:spacing w:after="0"/>
              <w:rPr>
                <w:sz w:val="16"/>
                <w:szCs w:val="16"/>
                <w:color w:val="auto"/>
              </w:rPr>
            </w:pPr>
          </w:p>
        </w:tc>
        <w:tc>
          <w:tcPr>
            <w:tcW w:w="1280" w:type="dxa"/>
            <w:vAlign w:val="bottom"/>
            <w:tcBorders>
              <w:bottom w:val="single" w:sz="8" w:color="E2E8F1"/>
            </w:tcBorders>
            <w:shd w:val="clear" w:color="auto" w:fill="E2E8F1"/>
          </w:tcPr>
          <w:p>
            <w:pPr>
              <w:spacing w:after="0"/>
              <w:rPr>
                <w:sz w:val="16"/>
                <w:szCs w:val="16"/>
                <w:color w:val="auto"/>
              </w:rPr>
            </w:pPr>
          </w:p>
        </w:tc>
      </w:tr>
      <w:tr>
        <w:trPr>
          <w:trHeight w:val="183"/>
        </w:trPr>
        <w:tc>
          <w:tcPr>
            <w:tcW w:w="5360" w:type="dxa"/>
            <w:vAlign w:val="bottom"/>
          </w:tcPr>
          <w:p>
            <w:pPr>
              <w:ind w:left="100"/>
              <w:spacing w:after="0" w:line="169" w:lineRule="exact"/>
              <w:rPr>
                <w:sz w:val="20"/>
                <w:szCs w:val="20"/>
                <w:color w:val="auto"/>
              </w:rPr>
            </w:pPr>
            <w:r>
              <w:rPr>
                <w:rFonts w:ascii="Arial" w:cs="Arial" w:eastAsia="Arial" w:hAnsi="Arial"/>
                <w:sz w:val="16"/>
                <w:szCs w:val="16"/>
                <w:color w:val="auto"/>
              </w:rPr>
              <w:t>Net earnings (loss)</w:t>
            </w:r>
          </w:p>
        </w:tc>
        <w:tc>
          <w:tcPr>
            <w:tcW w:w="26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0"/>
              <w:spacing w:after="0" w:line="169" w:lineRule="exact"/>
              <w:rPr>
                <w:sz w:val="20"/>
                <w:szCs w:val="20"/>
                <w:color w:val="auto"/>
              </w:rPr>
            </w:pPr>
            <w:r>
              <w:rPr>
                <w:rFonts w:ascii="Arial" w:cs="Arial" w:eastAsia="Arial" w:hAnsi="Arial"/>
                <w:sz w:val="16"/>
                <w:szCs w:val="16"/>
                <w:color w:val="auto"/>
              </w:rPr>
              <w:t>90.1</w:t>
            </w:r>
          </w:p>
        </w:tc>
        <w:tc>
          <w:tcPr>
            <w:tcW w:w="36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line="169" w:lineRule="exact"/>
              <w:rPr>
                <w:sz w:val="20"/>
                <w:szCs w:val="20"/>
                <w:color w:val="auto"/>
              </w:rPr>
            </w:pPr>
            <w:r>
              <w:rPr>
                <w:rFonts w:ascii="Arial" w:cs="Arial" w:eastAsia="Arial" w:hAnsi="Arial"/>
                <w:sz w:val="16"/>
                <w:szCs w:val="16"/>
                <w:color w:val="auto"/>
              </w:rPr>
              <w:t>(43.5)</w:t>
            </w:r>
          </w:p>
        </w:tc>
        <w:tc>
          <w:tcPr>
            <w:tcW w:w="1880" w:type="dxa"/>
            <w:vAlign w:val="bottom"/>
          </w:tcPr>
          <w:p>
            <w:pPr>
              <w:jc w:val="right"/>
              <w:ind w:right="320"/>
              <w:spacing w:after="0" w:line="169" w:lineRule="exact"/>
              <w:rPr>
                <w:sz w:val="20"/>
                <w:szCs w:val="20"/>
                <w:color w:val="auto"/>
              </w:rPr>
            </w:pPr>
            <w:r>
              <w:rPr>
                <w:rFonts w:ascii="Arial" w:cs="Arial" w:eastAsia="Arial" w:hAnsi="Arial"/>
                <w:sz w:val="16"/>
                <w:szCs w:val="16"/>
                <w:color w:val="auto"/>
              </w:rPr>
              <w:t>N/A</w:t>
            </w:r>
          </w:p>
        </w:tc>
        <w:tc>
          <w:tcPr>
            <w:tcW w:w="1280" w:type="dxa"/>
            <w:vAlign w:val="bottom"/>
          </w:tcPr>
          <w:p>
            <w:pPr>
              <w:jc w:val="right"/>
              <w:ind w:right="141"/>
              <w:spacing w:after="0" w:line="169" w:lineRule="exact"/>
              <w:rPr>
                <w:sz w:val="20"/>
                <w:szCs w:val="20"/>
                <w:color w:val="auto"/>
              </w:rPr>
            </w:pPr>
            <w:r>
              <w:rPr>
                <w:rFonts w:ascii="Arial" w:cs="Arial" w:eastAsia="Arial" w:hAnsi="Arial"/>
                <w:sz w:val="16"/>
                <w:szCs w:val="16"/>
                <w:color w:val="auto"/>
              </w:rPr>
              <w:t>N/A</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5360" w:type="dxa"/>
            <w:vAlign w:val="bottom"/>
            <w:shd w:val="clear" w:color="auto" w:fill="E2E8F1"/>
          </w:tcPr>
          <w:p>
            <w:pPr>
              <w:spacing w:after="0" w:line="169" w:lineRule="exact"/>
              <w:rPr>
                <w:sz w:val="20"/>
                <w:szCs w:val="20"/>
                <w:color w:val="auto"/>
              </w:rPr>
            </w:pPr>
            <w:r>
              <w:rPr>
                <w:rFonts w:ascii="Arial" w:cs="Arial" w:eastAsia="Arial" w:hAnsi="Arial"/>
                <w:sz w:val="16"/>
                <w:szCs w:val="16"/>
                <w:color w:val="auto"/>
              </w:rPr>
              <w:t>Net earnings (loss) per share – diluted</w:t>
            </w:r>
          </w:p>
        </w:tc>
        <w:tc>
          <w:tcPr>
            <w:tcW w:w="260" w:type="dxa"/>
            <w:vAlign w:val="bottom"/>
            <w:shd w:val="clear" w:color="auto" w:fill="E2E8F1"/>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E2E8F1"/>
          </w:tcPr>
          <w:p>
            <w:pPr>
              <w:jc w:val="right"/>
              <w:ind w:right="100"/>
              <w:spacing w:after="0" w:line="169" w:lineRule="exact"/>
              <w:rPr>
                <w:sz w:val="20"/>
                <w:szCs w:val="20"/>
                <w:color w:val="auto"/>
              </w:rPr>
            </w:pPr>
            <w:r>
              <w:rPr>
                <w:rFonts w:ascii="Arial" w:cs="Arial" w:eastAsia="Arial" w:hAnsi="Arial"/>
                <w:sz w:val="16"/>
                <w:szCs w:val="16"/>
                <w:color w:val="auto"/>
              </w:rPr>
              <w:t>1.89</w:t>
            </w:r>
          </w:p>
        </w:tc>
        <w:tc>
          <w:tcPr>
            <w:tcW w:w="360" w:type="dxa"/>
            <w:vAlign w:val="bottom"/>
            <w:gridSpan w:val="2"/>
            <w:shd w:val="clear" w:color="auto" w:fill="E2E8F1"/>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20"/>
              <w:spacing w:after="0" w:line="169" w:lineRule="exact"/>
              <w:rPr>
                <w:sz w:val="20"/>
                <w:szCs w:val="20"/>
                <w:color w:val="auto"/>
              </w:rPr>
            </w:pPr>
            <w:r>
              <w:rPr>
                <w:rFonts w:ascii="Arial" w:cs="Arial" w:eastAsia="Arial" w:hAnsi="Arial"/>
                <w:sz w:val="16"/>
                <w:szCs w:val="16"/>
                <w:color w:val="auto"/>
              </w:rPr>
              <w:t>(0.93)</w:t>
            </w:r>
          </w:p>
        </w:tc>
        <w:tc>
          <w:tcPr>
            <w:tcW w:w="1880" w:type="dxa"/>
            <w:vAlign w:val="bottom"/>
            <w:shd w:val="clear" w:color="auto" w:fill="E2E8F1"/>
          </w:tcPr>
          <w:p>
            <w:pPr>
              <w:jc w:val="right"/>
              <w:ind w:right="320"/>
              <w:spacing w:after="0" w:line="169" w:lineRule="exact"/>
              <w:rPr>
                <w:sz w:val="20"/>
                <w:szCs w:val="20"/>
                <w:color w:val="auto"/>
              </w:rPr>
            </w:pPr>
            <w:r>
              <w:rPr>
                <w:rFonts w:ascii="Arial" w:cs="Arial" w:eastAsia="Arial" w:hAnsi="Arial"/>
                <w:sz w:val="16"/>
                <w:szCs w:val="16"/>
                <w:color w:val="auto"/>
              </w:rPr>
              <w:t>N/A</w:t>
            </w:r>
          </w:p>
        </w:tc>
        <w:tc>
          <w:tcPr>
            <w:tcW w:w="1280" w:type="dxa"/>
            <w:vAlign w:val="bottom"/>
            <w:shd w:val="clear" w:color="auto" w:fill="E2E8F1"/>
          </w:tcPr>
          <w:p>
            <w:pPr>
              <w:jc w:val="right"/>
              <w:ind w:right="141"/>
              <w:spacing w:after="0" w:line="169" w:lineRule="exact"/>
              <w:rPr>
                <w:sz w:val="20"/>
                <w:szCs w:val="20"/>
                <w:color w:val="auto"/>
              </w:rPr>
            </w:pPr>
            <w:r>
              <w:rPr>
                <w:rFonts w:ascii="Arial" w:cs="Arial" w:eastAsia="Arial" w:hAnsi="Arial"/>
                <w:sz w:val="16"/>
                <w:szCs w:val="16"/>
                <w:color w:val="auto"/>
              </w:rPr>
              <w:t>N/A</w:t>
            </w:r>
          </w:p>
        </w:tc>
      </w:tr>
      <w:tr>
        <w:trPr>
          <w:trHeight w:val="169"/>
        </w:trPr>
        <w:tc>
          <w:tcPr>
            <w:tcW w:w="5360" w:type="dxa"/>
            <w:vAlign w:val="bottom"/>
            <w:tcBorders>
              <w:top w:val="single" w:sz="8" w:color="E2E8F1"/>
            </w:tcBorders>
          </w:tcPr>
          <w:p>
            <w:pPr>
              <w:spacing w:after="0" w:line="169" w:lineRule="exact"/>
              <w:rPr>
                <w:sz w:val="20"/>
                <w:szCs w:val="20"/>
                <w:color w:val="auto"/>
              </w:rPr>
            </w:pPr>
            <w:r>
              <w:rPr>
                <w:rFonts w:ascii="Arial" w:cs="Arial" w:eastAsia="Arial" w:hAnsi="Arial"/>
                <w:sz w:val="16"/>
                <w:szCs w:val="16"/>
                <w:color w:val="auto"/>
              </w:rPr>
              <w:t>Weighted average shares – diluted</w:t>
            </w: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00"/>
              <w:spacing w:after="0" w:line="169" w:lineRule="exact"/>
              <w:rPr>
                <w:sz w:val="20"/>
                <w:szCs w:val="20"/>
                <w:color w:val="auto"/>
              </w:rPr>
            </w:pPr>
            <w:r>
              <w:rPr>
                <w:rFonts w:ascii="Arial" w:cs="Arial" w:eastAsia="Arial" w:hAnsi="Arial"/>
                <w:sz w:val="16"/>
                <w:szCs w:val="16"/>
                <w:color w:val="auto"/>
              </w:rPr>
              <w:t>47.6</w:t>
            </w:r>
          </w:p>
        </w:tc>
        <w:tc>
          <w:tcPr>
            <w:tcW w:w="120" w:type="dxa"/>
            <w:vAlign w:val="bottom"/>
            <w:tcBorders>
              <w:top w:val="single" w:sz="8" w:color="E2E8F1"/>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00"/>
              <w:spacing w:after="0" w:line="169" w:lineRule="exact"/>
              <w:rPr>
                <w:sz w:val="20"/>
                <w:szCs w:val="20"/>
                <w:color w:val="auto"/>
              </w:rPr>
            </w:pPr>
            <w:r>
              <w:rPr>
                <w:rFonts w:ascii="Arial" w:cs="Arial" w:eastAsia="Arial" w:hAnsi="Arial"/>
                <w:sz w:val="16"/>
                <w:szCs w:val="16"/>
                <w:color w:val="auto"/>
              </w:rPr>
              <w:t>46.6</w:t>
            </w:r>
          </w:p>
        </w:tc>
        <w:tc>
          <w:tcPr>
            <w:tcW w:w="1880" w:type="dxa"/>
            <w:vAlign w:val="bottom"/>
            <w:tcBorders>
              <w:top w:val="single" w:sz="8" w:color="E2E8F1"/>
            </w:tcBorders>
          </w:tcPr>
          <w:p>
            <w:pPr>
              <w:jc w:val="right"/>
              <w:ind w:right="160"/>
              <w:spacing w:after="0" w:line="169" w:lineRule="exact"/>
              <w:rPr>
                <w:sz w:val="20"/>
                <w:szCs w:val="20"/>
                <w:color w:val="auto"/>
              </w:rPr>
            </w:pPr>
            <w:r>
              <w:rPr>
                <w:rFonts w:ascii="Arial" w:cs="Arial" w:eastAsia="Arial" w:hAnsi="Arial"/>
                <w:sz w:val="16"/>
                <w:szCs w:val="16"/>
                <w:color w:val="auto"/>
              </w:rPr>
              <w:t>2.2%</w:t>
            </w:r>
          </w:p>
        </w:tc>
        <w:tc>
          <w:tcPr>
            <w:tcW w:w="1280" w:type="dxa"/>
            <w:vAlign w:val="bottom"/>
            <w:tcBorders>
              <w:top w:val="single" w:sz="8" w:color="E2E8F1"/>
            </w:tcBorders>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-1182370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-1182370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-445135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-153670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-153670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8" w:name="page29"/>
    <w:bookmarkEnd w:id="28"/>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year-over-year increase in revenues from services of 7.3% (4.7% in constant currency and 5.0% in organic constant currency) was attributed to:</w:t>
      </w:r>
    </w:p>
    <w:p>
      <w:pPr>
        <w:spacing w:after="0" w:line="32" w:lineRule="exact"/>
        <w:rPr>
          <w:sz w:val="20"/>
          <w:szCs w:val="20"/>
          <w:color w:val="auto"/>
        </w:rPr>
      </w:pPr>
    </w:p>
    <w:p>
      <w:pPr>
        <w:jc w:val="both"/>
        <w:ind w:left="540" w:hanging="308"/>
        <w:spacing w:after="0" w:line="239" w:lineRule="auto"/>
        <w:tabs>
          <w:tab w:leader="none" w:pos="540" w:val="left"/>
        </w:tabs>
        <w:numPr>
          <w:ilvl w:val="0"/>
          <w:numId w:val="26"/>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the Americas of 11.2% (9.2% in constant currency and 10.3% in organic constant currency) primarily driven by a $323.8 increase in demand for our Manpower staffing services and a $63.3 favorable impact of currency exchange rates, partially offset by a decrease in demand for our Experis interim services of $63.1. The United States, our largest market in the Americas, experienced a revenue increase of 2.2% (3.8% in organic constant currency) primarily driven by a $96.4 increase in demand for our Manpower staffing services and an $18.1 increase in demand for MSP services, partially offset by a $39.3 decrease in demand for our Experis interim services and a $31.6 decrease in revenue for our Experis interim services due to the sale of our Jefferson Wells U.S. business. The revenue increase in the United States was accompanied by an increase in our Other Americas countries, which experienced a revenue increase of 27.1% (21.7% in constant currency), primarily driven by the $227.4 increase in demand for our Manpower staffing services.</w:t>
      </w:r>
    </w:p>
    <w:p>
      <w:pPr>
        <w:spacing w:after="0" w:line="47" w:lineRule="exact"/>
        <w:rPr>
          <w:rFonts w:ascii="Times New Roman" w:cs="Times New Roman" w:eastAsia="Times New Roman" w:hAnsi="Times New Roman"/>
          <w:sz w:val="18"/>
          <w:szCs w:val="18"/>
          <w:color w:val="5B89B4"/>
        </w:rPr>
      </w:pPr>
    </w:p>
    <w:p>
      <w:pPr>
        <w:jc w:val="both"/>
        <w:ind w:left="540" w:hanging="308"/>
        <w:spacing w:after="0" w:line="239" w:lineRule="auto"/>
        <w:tabs>
          <w:tab w:leader="none" w:pos="540" w:val="left"/>
        </w:tabs>
        <w:numPr>
          <w:ilvl w:val="0"/>
          <w:numId w:val="26"/>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Southern Europe of 7.3% (3.0% in constant currency) primarily driven by the $261.3 favorable impact of currency exchange rates, a $176.3 increase in demand for our Manpower staffing services, and a $14.3 increase in demand for our Experis interim services. France, the largest market in Southern Europe, experienced a revenue increase of 2.8% (-0.8% decrease in constant currency) primarily driven by the $115.2 favorable impact of currency exchange rates, partially offset by an $11.9 decrease in our Outcome Based Solutions and a $2.6 decrease in demand for our Manpower staffing services. Italy, our second-largest market in Southern Europe, experienced a revenue increase of 10.7% (6.9% in constant currency) primarily driven by a $79.8 increase in demand for our Manpower staffing services, the $51.6 favorable impact of currency exchange rates, and a $5.7 increase in demand for our Experis interim services.</w:t>
      </w:r>
    </w:p>
    <w:p>
      <w:pPr>
        <w:spacing w:after="0" w:line="64" w:lineRule="exact"/>
        <w:rPr>
          <w:rFonts w:ascii="Times New Roman" w:cs="Times New Roman" w:eastAsia="Times New Roman" w:hAnsi="Times New Roman"/>
          <w:sz w:val="18"/>
          <w:szCs w:val="18"/>
          <w:color w:val="5B89B4"/>
        </w:rPr>
      </w:pPr>
    </w:p>
    <w:p>
      <w:pPr>
        <w:jc w:val="both"/>
        <w:ind w:left="540" w:hanging="308"/>
        <w:spacing w:after="0" w:line="242" w:lineRule="auto"/>
        <w:tabs>
          <w:tab w:leader="none" w:pos="540" w:val="left"/>
        </w:tabs>
        <w:numPr>
          <w:ilvl w:val="0"/>
          <w:numId w:val="26"/>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Northern Europe of 5.7% (2.0% increase in constant currency) primarily driven by a $118.6 increase in demand for our Manpower staffing services and the $88.2 favorable impact of currency exchange rates, partially offset by a $51.5 decrease in demand for our Experis interim services. Within our Northern Europe segment, we experienced revenue increases in the United Kingdom of $35.8, the Nordics of $35.1, Poland of $33.4, Germany of $14.8, and Belgium of $4.4, which represented revenue increases of 4.6%, 7.8%, 17.7%, 5.1%, and 1.8%, respectively (2.4%, 0.2%, 14.5%, 2.0%, and -1.5% decrease, respectively, in constant currency); and</w:t>
      </w:r>
    </w:p>
    <w:p>
      <w:pPr>
        <w:spacing w:after="0" w:line="56" w:lineRule="exact"/>
        <w:rPr>
          <w:rFonts w:ascii="Times New Roman" w:cs="Times New Roman" w:eastAsia="Times New Roman" w:hAnsi="Times New Roman"/>
          <w:sz w:val="18"/>
          <w:szCs w:val="18"/>
          <w:color w:val="5B89B4"/>
        </w:rPr>
      </w:pPr>
    </w:p>
    <w:p>
      <w:pPr>
        <w:jc w:val="both"/>
        <w:ind w:left="540" w:hanging="308"/>
        <w:spacing w:after="0"/>
        <w:tabs>
          <w:tab w:leader="none" w:pos="540" w:val="left"/>
        </w:tabs>
        <w:numPr>
          <w:ilvl w:val="0"/>
          <w:numId w:val="26"/>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APME of 1.4% (5.7% in constant currency) primarily driven by a $78.7 increase in demand for our Manpower staffing services and a $9.1 increase in demand for our Experis interim services, partially offset by a $65.4 unfavorable impact of currency exchange rates. In Japan, revenues from services decreased by $32.5, or -3.6% (3.3% increase in constant currency), primarily driven by a $63.0 unfavorable impact of currency exchange rates, partially offset by a $27.7 increase in demand for our Manpower staffing services. In India, revenues from services decreased by $5.6, or -2.8% (5.5% increase in constant currency), primarily driven by a $16.7 unfavorable impact of currency exchange rates, partially offset by a $7.0 increase in demand for our Manpower staffing services and a $2.4 increase in demand for our Experis interim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80 basis point decrease in gross profit margin was primarily attributed to:</w:t>
      </w:r>
    </w:p>
    <w:p>
      <w:pPr>
        <w:spacing w:after="0" w:line="77" w:lineRule="exact"/>
        <w:rPr>
          <w:sz w:val="20"/>
          <w:szCs w:val="20"/>
          <w:color w:val="auto"/>
        </w:rPr>
      </w:pPr>
    </w:p>
    <w:p>
      <w:pPr>
        <w:ind w:left="540" w:hanging="308"/>
        <w:spacing w:after="0" w:line="270" w:lineRule="auto"/>
        <w:tabs>
          <w:tab w:leader="none" w:pos="540" w:val="left"/>
        </w:tabs>
        <w:numPr>
          <w:ilvl w:val="0"/>
          <w:numId w:val="27"/>
        </w:numPr>
        <w:rPr>
          <w:rFonts w:ascii="Times New Roman" w:cs="Times New Roman" w:eastAsia="Times New Roman" w:hAnsi="Times New Roman"/>
          <w:sz w:val="18"/>
          <w:szCs w:val="18"/>
          <w:color w:val="5B89B4"/>
        </w:rPr>
      </w:pPr>
      <w:r>
        <w:rPr>
          <w:rFonts w:ascii="Arial" w:cs="Arial" w:eastAsia="Arial" w:hAnsi="Arial"/>
          <w:sz w:val="18"/>
          <w:szCs w:val="18"/>
          <w:color w:val="auto"/>
        </w:rPr>
        <w:t>a 50 basis point unfavorable impact from the decrease in staffing and interim margins from business mix shifts and the sale of the higher-margin Jefferson Wells U.S. business;</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7"/>
        </w:numPr>
        <w:rPr>
          <w:rFonts w:ascii="Times New Roman" w:cs="Times New Roman" w:eastAsia="Times New Roman" w:hAnsi="Times New Roman"/>
          <w:sz w:val="18"/>
          <w:szCs w:val="18"/>
          <w:color w:val="5B89B4"/>
        </w:rPr>
      </w:pPr>
      <w:r>
        <w:rPr>
          <w:rFonts w:ascii="Arial" w:cs="Arial" w:eastAsia="Arial" w:hAnsi="Arial"/>
          <w:sz w:val="18"/>
          <w:szCs w:val="18"/>
          <w:color w:val="auto"/>
        </w:rPr>
        <w:t>a 20 basis point unfavorable impact from decreases in permanent recruitment due to lower levels of activity; and</w:t>
      </w:r>
    </w:p>
    <w:p>
      <w:pPr>
        <w:spacing w:after="0" w:line="10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7"/>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the decrease in margins in our MSP business.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-5.3% decrease in selling and administrative expenses in the first nine months of 2026 compared to the first nine months of 2025 (-7.4% in constant currency and -7.0% in organic constant currency) was primarily attributed to:</w:t>
      </w:r>
    </w:p>
    <w:p>
      <w:pPr>
        <w:spacing w:after="0" w:line="19" w:lineRule="exact"/>
        <w:rPr>
          <w:sz w:val="20"/>
          <w:szCs w:val="20"/>
          <w:color w:val="auto"/>
        </w:rPr>
      </w:pPr>
    </w:p>
    <w:p>
      <w:pPr>
        <w:ind w:left="540" w:hanging="308"/>
        <w:spacing w:after="0" w:line="270" w:lineRule="auto"/>
        <w:tabs>
          <w:tab w:leader="none" w:pos="540" w:val="left"/>
        </w:tabs>
        <w:numPr>
          <w:ilvl w:val="0"/>
          <w:numId w:val="28"/>
        </w:numPr>
        <w:rPr>
          <w:rFonts w:ascii="Times New Roman" w:cs="Times New Roman" w:eastAsia="Times New Roman" w:hAnsi="Times New Roman"/>
          <w:sz w:val="18"/>
          <w:szCs w:val="18"/>
          <w:color w:val="5B89B4"/>
        </w:rPr>
      </w:pPr>
      <w:r>
        <w:rPr>
          <w:rFonts w:ascii="Arial" w:cs="Arial" w:eastAsia="Arial" w:hAnsi="Arial"/>
          <w:sz w:val="18"/>
          <w:szCs w:val="18"/>
          <w:color w:val="auto"/>
        </w:rPr>
        <w:t>an $88.7 impact of goodwill and indefinite-lived intangible asset impairment charges which were related to our Switzerland and United Kingdom reporting units in the first nine months of 2025 compared to no impairment charges in the first nine months of 2026;</w:t>
      </w:r>
    </w:p>
    <w:p>
      <w:pPr>
        <w:spacing w:after="0" w:line="32" w:lineRule="exact"/>
        <w:rPr>
          <w:rFonts w:ascii="Times New Roman" w:cs="Times New Roman" w:eastAsia="Times New Roman" w:hAnsi="Times New Roman"/>
          <w:sz w:val="18"/>
          <w:szCs w:val="18"/>
          <w:color w:val="5B89B4"/>
        </w:rPr>
      </w:pPr>
    </w:p>
    <w:p>
      <w:pPr>
        <w:jc w:val="both"/>
        <w:ind w:left="540" w:hanging="308"/>
        <w:spacing w:after="0" w:line="252" w:lineRule="auto"/>
        <w:tabs>
          <w:tab w:leader="none" w:pos="540" w:val="left"/>
        </w:tabs>
        <w:numPr>
          <w:ilvl w:val="0"/>
          <w:numId w:val="28"/>
        </w:numPr>
        <w:rPr>
          <w:rFonts w:ascii="Times New Roman" w:cs="Times New Roman" w:eastAsia="Times New Roman" w:hAnsi="Times New Roman"/>
          <w:sz w:val="18"/>
          <w:szCs w:val="18"/>
          <w:color w:val="5B89B4"/>
        </w:rPr>
      </w:pPr>
      <w:r>
        <w:rPr>
          <w:rFonts w:ascii="Arial" w:cs="Arial" w:eastAsia="Arial" w:hAnsi="Arial"/>
          <w:sz w:val="18"/>
          <w:szCs w:val="18"/>
          <w:color w:val="auto"/>
        </w:rPr>
        <w:t>a $40.1 decrease (-0.5% as reported, -3.0% in constant currency, and -2.4% in organic constant currency) in personnel costs primarily due to a $28.8 decrease in salaries as we saw the effects of restructuring actions previously taken and an $8.3 decrease due to the sale of our Jefferson Wells U.S. business;</w:t>
      </w:r>
    </w:p>
    <w:p>
      <w:pPr>
        <w:spacing w:after="0" w:line="49"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8"/>
        </w:numPr>
        <w:rPr>
          <w:rFonts w:ascii="Times New Roman" w:cs="Times New Roman" w:eastAsia="Times New Roman" w:hAnsi="Times New Roman"/>
          <w:sz w:val="18"/>
          <w:szCs w:val="18"/>
          <w:color w:val="5B89B4"/>
        </w:rPr>
      </w:pPr>
      <w:r>
        <w:rPr>
          <w:rFonts w:ascii="Arial" w:cs="Arial" w:eastAsia="Arial" w:hAnsi="Arial"/>
          <w:sz w:val="18"/>
          <w:szCs w:val="18"/>
          <w:color w:val="auto"/>
        </w:rPr>
        <w:t>a $28.3 positive impact from the gain on the sale of our Jefferson Wells U.S. business in the first nine months of 2026;</w:t>
      </w:r>
    </w:p>
    <w:p>
      <w:pPr>
        <w:spacing w:after="0" w:line="89"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28"/>
        </w:numPr>
        <w:rPr>
          <w:rFonts w:ascii="Times New Roman" w:cs="Times New Roman" w:eastAsia="Times New Roman" w:hAnsi="Times New Roman"/>
          <w:sz w:val="18"/>
          <w:szCs w:val="18"/>
          <w:color w:val="5B89B4"/>
        </w:rPr>
      </w:pPr>
      <w:r>
        <w:rPr>
          <w:rFonts w:ascii="Arial" w:cs="Arial" w:eastAsia="Arial" w:hAnsi="Arial"/>
          <w:sz w:val="18"/>
          <w:szCs w:val="18"/>
          <w:color w:val="auto"/>
        </w:rPr>
        <w:t>a $21.2 decrease (-39.9% as reported and -42.5% in constant currency and organic constant currency) in restructuring costs incurred in the first nine months of 2026 compared to the first nine months of 2025; 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0" w:hanging="308"/>
        <w:spacing w:after="0" w:line="270" w:lineRule="auto"/>
        <w:tabs>
          <w:tab w:leader="none" w:pos="540" w:val="left"/>
        </w:tabs>
        <w:numPr>
          <w:ilvl w:val="0"/>
          <w:numId w:val="29"/>
        </w:numPr>
        <w:rPr>
          <w:rFonts w:ascii="Times New Roman" w:cs="Times New Roman" w:eastAsia="Times New Roman" w:hAnsi="Times New Roman"/>
          <w:sz w:val="18"/>
          <w:szCs w:val="18"/>
          <w:color w:val="5B89B4"/>
        </w:rPr>
      </w:pPr>
      <w:r>
        <w:rPr>
          <w:rFonts w:ascii="Arial" w:cs="Arial" w:eastAsia="Arial" w:hAnsi="Arial"/>
          <w:sz w:val="18"/>
          <w:szCs w:val="18"/>
          <w:color w:val="auto"/>
        </w:rPr>
        <w:t>an $11.6 decrease in office leases and occupancy costs (-4.8% as reported, -7.4% in constant currency, and -7.2% in organic constant currency); partially offset by</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9"/>
        </w:numPr>
        <w:rPr>
          <w:rFonts w:ascii="Times New Roman" w:cs="Times New Roman" w:eastAsia="Times New Roman" w:hAnsi="Times New Roman"/>
          <w:sz w:val="18"/>
          <w:szCs w:val="18"/>
          <w:color w:val="5B89B4"/>
        </w:rPr>
      </w:pPr>
      <w:r>
        <w:rPr>
          <w:rFonts w:ascii="Arial" w:cs="Arial" w:eastAsia="Arial" w:hAnsi="Arial"/>
          <w:sz w:val="18"/>
          <w:szCs w:val="18"/>
          <w:color w:val="auto"/>
        </w:rPr>
        <w:t>a $45.7 increase due to the impact of currency exchange rates; and</w:t>
      </w:r>
    </w:p>
    <w:p>
      <w:pPr>
        <w:spacing w:after="0" w:line="89"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29"/>
        </w:numPr>
        <w:rPr>
          <w:rFonts w:ascii="Times New Roman" w:cs="Times New Roman" w:eastAsia="Times New Roman" w:hAnsi="Times New Roman"/>
          <w:sz w:val="18"/>
          <w:szCs w:val="18"/>
          <w:color w:val="5B89B4"/>
        </w:rPr>
      </w:pPr>
      <w:r>
        <w:rPr>
          <w:rFonts w:ascii="Arial" w:cs="Arial" w:eastAsia="Arial" w:hAnsi="Arial"/>
          <w:sz w:val="18"/>
          <w:szCs w:val="18"/>
          <w:color w:val="auto"/>
        </w:rPr>
        <w:t>a $25.6 increase in strategic transformation program costs related to our global transformation initiative in the first nine months of 2026 when compared to none in the first nine months of 2025.</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Selling and administrative expenses as a percent of revenues decreased 190 basis points in the first nine months of 2026 compared to the first nine months of 2025 due primarily to:</w:t>
      </w:r>
    </w:p>
    <w:p>
      <w:pPr>
        <w:spacing w:after="0" w:line="32" w:lineRule="exact"/>
        <w:rPr>
          <w:sz w:val="20"/>
          <w:szCs w:val="20"/>
          <w:color w:val="auto"/>
        </w:rPr>
      </w:pPr>
    </w:p>
    <w:p>
      <w:pPr>
        <w:jc w:val="both"/>
        <w:ind w:left="540" w:hanging="308"/>
        <w:spacing w:after="0" w:line="252" w:lineRule="auto"/>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a 70 basis point decrease attributable to goodwill and indefinite-lived intangible asset impairment charges which were related to our Switzerland and United Kingdom reporting units in the first nine months of 2025 compared to no impairment charges in the first nine months of 2026;</w:t>
      </w:r>
    </w:p>
    <w:p>
      <w:pPr>
        <w:spacing w:after="0" w:line="49" w:lineRule="exact"/>
        <w:rPr>
          <w:rFonts w:ascii="Times New Roman" w:cs="Times New Roman" w:eastAsia="Times New Roman" w:hAnsi="Times New Roman"/>
          <w:sz w:val="18"/>
          <w:szCs w:val="18"/>
          <w:color w:val="5B89B4"/>
        </w:rPr>
      </w:pPr>
    </w:p>
    <w:p>
      <w:pPr>
        <w:ind w:left="540" w:right="20" w:hanging="308"/>
        <w:spacing w:after="0" w:line="270" w:lineRule="auto"/>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a 70 basis point favorable impact as personnel costs decreased as a percent of revenues primarily due to decreased salaries due to previous restructuring actions;</w:t>
      </w:r>
    </w:p>
    <w:p>
      <w:pPr>
        <w:spacing w:after="0" w:line="19"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a 20 basis point favorable impact due to the gain on the sale of our Jefferson Wells U.S. business during the first nine months of 2026;</w:t>
      </w:r>
    </w:p>
    <w:p>
      <w:pPr>
        <w:spacing w:after="0" w:line="10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a 20 basis point favorable impact due to decreases in office lease and occupancy expense and other non-personnel costs;</w:t>
      </w:r>
    </w:p>
    <w:p>
      <w:pPr>
        <w:spacing w:after="0" w:line="102"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a 20 basis point favorable impact as a result of the decrease in restructuring costs incurred in the first nine months of 2026 compared to the first nine months of 2025; partially offset by</w:t>
      </w:r>
    </w:p>
    <w:p>
      <w:pPr>
        <w:spacing w:after="0" w:line="19"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due to our strategic transformation program costs.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those associated with noncontrolling interests. Interest expense, net was $58.8 in the first nine months of 2026 compared to $50.5 in the first nine months of 2025 primarily due to increased interest expense on the €500.0 notes due December 2030 during the period. Foreign exchange loss, net was $ 3.6 in the first nine months of 2026 compared to $4.6 in the first nine months of 2025. Miscellaneous income, net was $15.6 in the first nine months of 2026 compared to $13.4 in the first nine months of 2025.</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recorded income tax expense at an effective rate of 48.7% for the nine months ended September 30, 2026, as compared to an effective tax rate of 256.2% for the nine months ended September 30, 2025. The 2026 rate was favorably impacted by the overall mix of earnings and the gain on the sale of our Jefferson Wells U.S. business recorded in the second quarter. The 2025 rate was unfavorably impacted by the goodwill and indefinite-lived intangible asset impairment charges recorded in Switzerland and the United Kingdom and losses on the disposals of South Africa and New Caledonia, all of which are non-deductible. The 48.7% effective tax rate for the nine months ended September 30, 2026 was higher than the United States Federal statutory rate of 21% primarily due to the overall mix of earnings, tax losses in certain countries for which we did not recognize a corresponding tax benefit due to valuation allowances, the French exceptional corporate income tax surcharge, and the French business tax.</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earnings per share - diluted was $1.89 in the first nine months of 2026 compared to net loss per share - diluted of -$0.93 in the first nine months of 2025. The current year-to-date period included restructuring costs, strategic transformation program costs, the sale of our Jefferson Wells U.S. business, a discontinued business liquidation charge, and Argentina hyperinflationary related non-cash currency translation losses which, in aggregate, reduced earnings per share by $0.62. In the first nine months of 2025, goodwill and intangible asset impairment charges recorded in the first nine months of 2025 unfavorably impacted net loss per share - diluted by $1.79, restructuring costs and other items unfavorably impacted net loss per share - diluted by approximately $1.10, net of tax, and the loss from the disposition of subsidiaries recorded unfavorably impacted net earnings per share - diluted by approximately $0.13, net of tax.</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Weighted average shares - diluted increased to 47.6 in the first nine months of 2026 from 46.6 in the first nine months of 2025. The increase was attributable to the inclusion of certain dilutive securities in the nine months of 2026 weighted average share count, a higher share price and additional share-based award grants. In the nine months of 2025, all dilutive securities were excluded due to the net loss incurred during the period.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Segment Operating Results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Americas</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Americas, revenues from services increased 13.5% (11.5% increase in constant currency and 13.6% in organic constant currency) in the third quarter of 2026 compared to the third quarter of 2025 primarily due to a $119.8 increase in demand for our Manpower staffing services and a $21.6 favorable impact of currency exchange rates. In the United States (which represented 58% of the Americas' revenues), revenues from services increased 5.5% (8.6% in organic constant currency) in the third quarter of 2026 compared to the third quarter of 2025, primarily driven by a $41.5 increase in demand for our Manpower staffing services and an $ 11.1 increase in demand for our Experis interim services, partially offset by a $19.2 decrease in our Experis interim services due to the sale of our Jefferson Wells U.S. business. In Other Americas, revenues from services increased 27.0% (21.7% in constant currency) in the third quarter of 2026 compared to the third quarter of 2025, primarily driven by a $78.3 increase in demand for our Manpower staffing services and a $4.9 increase in demand for our Experis interim services. Within our Other Americas segment, we experienced an increase in Colombia of $17.8, Chile of $14.8, Brazil of $14.8, Mexico of $6.0, and Argentina of $6.0, which represented increases of 36.0%, 31.2%, 48.4%, 9.9%, and 19.2%, respectively (8.3%, 27.6%, 40.1%, 1.8%, and 34.4%, respectively, in constant currency).</w:t>
      </w:r>
    </w:p>
    <w:p>
      <w:pPr>
        <w:spacing w:after="0" w:line="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Americas, revenues from services increased 11.2% (9.2% increase in constant currency and 10.3% in organic constant currency) in the first nine months of 2026 compared to the first nine months of 2025 primarily due to a $ 323.8 increase in demand for our Manpower staffing services and a $63.3 favorable impact due to currency exchange rates, partially offset by a decrease in demand for Experis interim services of $63.1. In the United States, revenues from services increased 2.2% (3.8% in organic constant currency) in the first nine months of 2026 compared to the first nine months of 2025, primarily driven by a $96.4 increase in demand for our Manpower staffing services and an $18.1 increase in demand for MSP services, partially offset by a $ 39.3 decrease in demand for our Experis interim services and a $31.6 decrease in revenue for our Experis interim services due to the sale of our Jefferson Wells U.S. business. In Other Americas, revenues from services increased 27.1% (21.7% in constant currency) in the first nine months of 2026 compared to the first nine months of 2025, primarily driven by the $227.4 increase in demand for our Manpower staffing services. Within our Other Americas segment, we experienced an increase in Colombia of $61.6, Chile of $48.3, Brazil of $30.4, Mexico of $25.0, Peru of $ 17.8, and Canada of $11.6, which represented increases of 44.8%, 36.5%, 34.2%, 14.3%, 15.9%, and 5.3%, respectively (22.5%, 29.5%, 22.7%, 2.1%, 8.7%, and 4.5%, respectively, in constant currency).</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Gross profit margin decreased 210 basis points in the third quarter of 2026 compared to the third quarter of 2025. This decrease was primarily due to decreased activity in our Experis interim services, which contributed 60 basis points to the decrease, lower margins due to the sale of our Jefferson Wells U.S. business, which contributed 50 basis points to the decrease, decreased activity in our permanent recruitment services, which contributed 40 basis points to the decrease, decreased activity in our outplacement services, which contributed 30 basis points to the decrease, decreased margin in our MSP business, which contributed 20 basis points to the decrease, and decreased activity in our consulting business which contributed 10 basis points to the decrease, respectively.</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Gross profit margin decreased 200 basis points in the first nine months of 2026 compared to the first nine months of 2025. This decrease was primarily due to decreased activity in our Experis interim services, which contributed 100 basis points to the decrease, lower margins due to the sale of our Jefferson Wells U.S. business, which contributed 30 basis points to the decrease, decreased activity in our permanent recruitment services, which contributed 30 basis points to the decrease, decreased activity in our outplacement services, which contributed 20 basis points to the decrease, and decreased margin in our MSP business which contributed 20 basis points to the decrease, respectively.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decreased -1.1% (-2.2% in constant currency and 0.2% increase in organic constant currency) in the third quarter of 2026 compared to the third quarter of 2025, primarily driven by a $4.9 decrease due to the sale of our Jefferson Wells U.S. business, partially offset by a $2.3 unfavorable impact due to currency exchange rates.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Selling and administrative expenses decreased -4.8% (-6.1% in constant currency and -4.7% in organic constant currency) in the first nine months of 2026 compared to the first nine months of 2025, primarily driven by a $28.3 favorable impact from the gain on sale of the Jefferson Wells U.S. business during the first nine months of 2026, lower personnel costs of $16.4 as we saw the effects of restructuring actions previously taken, and a $7.6 decrease in personnel costs due to the sale of our Jefferson Wells U.S. business, partially offset by an $8.2 increase in restructuring costs and a $7.5 unfavorable impact due to currency exchange rates.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1" w:name="page32"/>
    <w:bookmarkEnd w:id="31"/>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OUP increased 25.0% (22.6% in constant currency and 30.5% in organic constant currency) in the third quarter of 2026, which represented a 3.8% OUP margin, an increase from the 3.4% in the third quarter of 2025. This OUP increase was primarily due to the United States' margin improvement. In the United States, OUP margin increased to 3.3% in the third quarter of 2026 from 3.0% in the third quarter of 2025 primarily due to a decrease in selling and administrative expenses as a percent of revenue. Other Americas OUP margin increased to 4.5% in the third quarter of 2026 from 4.3% in the third quarter of 2025 primarily due to a decrease in selling and administrative expenses as a percent of revenue.</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OUP increased 39.1% (36.6% in constant currency and 41.2% in organic constant currency) in the first nine months of 2026, which represented a 3.9% OUP margin, an increase from 3.1% in the first nine months of 2025. This OUP increase was primarily due to the impact of the gain on the sale of our Jefferson Wells U.S. business. In the United States, OUP margin increased to 3.8% in the first nine months of 2026 from 2.5% in the first nine months of 2025 primarily due to the gain on the sale of our Jefferson Wells U.S. business. Other Americas OUP margin decreased to 4.0% in the first nine months of 2026 from 4.1% in the first nine months of 2025 primarily due to a decrease in our gross profit margin.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Southern Europe</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Southern Europe, revenues from services increased 1.0% (2.1% in constant currency) in the third quarter of 2026 compared to the third quarter of 2025 primarily due to a $39.1 increase in demand for our Manpower staffing services and a $6.4 increase in demand for our Experis interim services, partially offset by a $24.0 unfavorable impact of currency exchange rates. In France (which represented 51% of Southern Europe’s revenues), revenues from services decreased -3.5% (-1.9% in constant currency) in the third quarter of 2026 compared to the third quarter of 2025, primarily driven by an $ 18.6 unfavorable impact of currency exchange rates, a $14.1 decrease in demand for our Manpower staffing services, and a $3.2 decrease in demand for our Outcome Based Solutions. In Italy (which represented 22% of Southern Europe’s revenues), revenues from services increased 4.5% (6.2% in constant currency) in the third quarter of 2026 compared to the third quarter of 2025, primarily driven by a $23.3 increase in demand for our Manpower staffing service, partially offset by the $7.9 unfavorable impact of currency exchange rates. In Other Southern Europe, revenues from services increased 7.5% (7.0% in constant currency) in the third quarter of 2026 compared to the third quarter of 2025, primarily due to a $29.9 increase in demand for our Manpower staffing services, a $6.0 increase in demand for our Outcome Based Solutions, a $4.3 increase in demand for our Experis interim services, and the $2.5 favorable impact of currency exchange rates. Within our Other Southern Europe segment, we experienced revenue increases in Israel of $19.2, or 17.3% (5.4% in constant currency) and Spain of $11.3, or 6.8% (8.6% in constant currency).</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Southern Europe, revenues from services increased 7.3% (3.0% in constant currency) in the first nine months of 2026 compared to the first nine months of 2025 primarily due to the $261.3 favorable impact of currency exchange rates, a $176.3 increase in our Manpower staffing services, and a $14.3 increase in demand for our Experis interim services. In France, revenues from services increased 2.8% (-0.8% decrease in constant currency) in the first nine months of 2026 compared to the first nine months of 2025, primarily driven by the $115.2 favorable impact of currency exchange rates, partially offset by an $11.9 decrease in our Outcome Based Solutions and a $ 2.6 decrease in demand for our Manpower staffing services. In Italy, revenues from services increased 10.7% (6.9% in constant currency) in the first nine months of 2026 compared to the first nine months of 2025, primarily driven by a $79.8 increase in demand for our Manpower staffing services, the $51.6 favorable impact of currency exchange rates, and a $5.7 increase in demand for our Experis interim services. In Other Southern Europe, revenues from services increased 13.8% (7.7% in constant currency) in the first nine months of 2026 compared to the first nine months of 2025, primarily due to a $99.1 increase in demand for our Manpower staffing services and a $ 94.4 favorable impact of currency exchange rates. Within our Other Southern Europe segment, we experienced a revenue increase in Israel of $73.1, or 23.8% (6.9% in constant currency) and Spain of $72.3, or 16.7% (12.9% in constant currency).</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decreased 20 basis points in the third quarter of 2026 compared to the third quarter of 2025. This decrease was primarily due to decreased margins in our Manpower staffing services, which contributed 20 basis points to the decrease, and decreased demand in our permanent recruitment services, which contributed 10 basis points to the decrease, partially offset by an increase of 10 basis points due to the favorable impact of currency exchange rates.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decreased 30 basis points in the first nine months of 2026 compared to the first nine months of 2025. This decrease was primarily due to decreased margins in our Manpower staffing services, which contributed 30 basis points to the decrease and decreased demand in our permanent recruitment services, which contributed 10 basis points to the decrease, partially offset by an increase of 10 basis points due to the favorable impact of currency exchange rates.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decreased -0.4% (0.5% increase in constant currency) during the third quarter of 2026 compared to the third quarter of 2025, primarily due to the $2.3 favorable impact of currency exchange rates, partially offset by an increase of $1.7 in bonuses and sales commission and an increase of $0.3 in non-personnel costs.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increased 5.0% (0.5% in constant currency) during the first nine months of 2026 compared to the first nine months of 2025, primarily due to the $30.9 unfavorable impact of currency exchange rates and an increase of $4.0 in personnel costs, partially offset by a decrease of $5.2 in non-personnel costs incurred.</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OUP decreased -1.7% (-1.0% in constant currency) in the third quarter of 2026, which represented a 2.9% OUP margin, a decrease from 3.0% in the third quarter of 2025. This OUP decrease was primarily due to decreased margins in our Manpower staffing services, the unfavorable impact of currency exchange rates, and increased restructuring costs. In France, the OUP margin decreased to 2.0% for the third quarter of 2026 compared to 2.6% for the third quarter of 2025, primarily due to a decrease in revenue and gross profit margin. In Italy, the OUP margin decreased to 5.7% for the third quarter of 2026 compared to 5.8% for the third quarter of 2025 primarily due to a decrease in gross profit margin in our staffing business due to business mix shifts. In Other Southern Europe, the OUP margin increased to 2.3% for the third quarter of 2026 from 1.4% for the third quarter of 2025.</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OUP increased 2.5% (-1.3% in constant currency) in the first nine months of 2026, which represented a 2.9% OUP margin, a decrease from 3.1% in the first nine months of 2025. This OUP increase was primarily due to the favorable impact of currency exchange rates, partially offset by an increase in selling and administrative expenses due to increased restructuring costs. In France, the OUP margin decreased to 2.0% for the first nine months of 2026 compared to 2.6% for the first nine months of 2025, primarily due to a decrease in gross profit margin due to business mix shifts. In Italy, the OUP margin decreased to 6.1% for the first nine months of 2026 compared to 6.2% for the first nine months of 2025 primarily due to a decrease in gross profit margin in our staffing business due to business mix shifts. In Other Southern Europe, the OUP margin increased to 2.0% for the first nine months of 2026 from 1.4% for the first nine months of 2025 primarily due to increased activity in our Manpower staffing solutions.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Northern Europe</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Northern Europe, the largest country operations include the United Kingdom, the Nordics, Germany, the Netherlands and Belgium (comprising 33%, 18%, 14%, 11% and 11%, respectively, of Northern Europe’s revenues). In Northern Europe, revenues from services increased 5.4% (5.9% in constant currency) in the third quarter of 2026 compared to the third quarter of 2025, primarily driven by a $ 65.4 increase in demand for our Manpower staffing services partially offset by an $11.1 decrease in demand for our Experis interim services and the $4.3 unfavorable impact of currency exchange rates. Within our Northern Europe segment, we experienced revenue increases in Germany of $ 19.8, the United Kingdom of $18.0, Poland of $7.8, and the Nordics of $3.7, which represented revenue increases of 19.8%, 6.8%, 11.6%, and 2.4%, respectively (21.7%, 7.2%, 15.1%, and -0.5% decrease, respectively, in constant currency). These increases were partially offset by decreases in the Netherlands of $4.0, and Belgium of $4.0, which represented revenue decreases of -4.2%, and -4.2% respectively (-2.7% and -2.7%, respectively, in constant currency).</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Northern Europe, revenues from services increased 5.7% (2.0% in constant currency) in the first nine months of 2026 compared to the first nine months of 2025, primarily driven by a $118.6 increase in demand for our Manpower staffing services and the $88.2 favorable impact of currency exchange rates, partially offset by a $51.5 decrease in demand for our Experis interim services. Within our Northern Europe segment, we experienced revenue increases in the United Kingdom of $35.8, the Nordics of $35.1, Poland of $33.4, Germany of $14.8, and Belgium of $4.4, which represented revenue increases of 4.6%, 7.8%, 17.7%, 5.1%, and 1.8%, respectively (2.4%, 0.2%, 14.5%, 2.0% and -1.5% decrease, respectively, in constant currency).</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margin decreased by 70 basis points in the third quarter of 2026 compared to the third quarter of 2025. The decrease was primarily due to a decrease in demand for our Experis interim services, which had a 60 basis point impact and decreased activity in our higher-margin permanent recruitment business, which had a 10 basis point impact.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margin decreased by 90 basis points in the first nine months of 2026 compared to the first nine months of 2025. The decrease was primarily due to a decrease in demand for our Experis interim services, which had a 70 basis point impact and decreased activity in our higher-margin permanent recruitment business, which had a 20 basis point impact.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decreased -14.3% (-13.9% in constant currency) in the third quarter of 2026 compared to the third quarter of 2025. The decrease was primarily driven by a $13.5 decrease in restructuring costs taken in the third quarter of 2026 compared to the third quarter of 2025 and a $3.8 decrease in personnel costs as we experienced the impacts of restructuring actions previously taken.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Selling and administrative expenses decreased -10.1% (-13.7% in constant currency) in the first nine months of 2026 compared to the first nine months of 2025. The decrease was primarily driven by a decrease of $32.2 in restructuring costs incurred in the first nine months of 2026 compared to the first nine months of 2025 and a $21.6 decrease in personnel costs as we experienced the impacts of restructuring actions previously taken, partially offset by a $15.8 unfavorable impact due to currency exchange rates.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OUP in Northern Europe increased $22.4 in the third quarter of 2026, which represented a 0.9% OUP margin, an increase from -1.8% in the third quarter of 2025. This OUP margin increase was primarily driven by OUP increases in Germany of $13.9 and the United Kingdom of $4.3 resulting from a decrease in selling and administrative expenses as a percentage of revenue, partially offset by a decrease in gross profit margin.</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OUP in Northern Europe increased $43.4 in the first nine months of 2026, which represented a 0.1% OUP margin, an increase from -1.8% in the first nine months of 2025. This OUP margin increase was primarily driven by an OUP increase in Germany of $ 21.6, the Nordics of $11.8, and the United Kingdom of $ 7.1 resulting from a decrease in selling and administrative expenses as a percentage of revenue, partially offset by a decrease in gross profit margin.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APME</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Revenues from services decreased -1.1% (4.3% increase in constant currency) in the third quarter of 2026 compared to the third quarter of 2025 primarily driven by the $28.0 unfavorable impact of currency exchange rates, partially offset by a $22.2 increase in demand for our Manpower staffing services and a $ 1.6 increase in demand for our Experis interim services. In Japan (which represented 57% of APME’s revenues), revenues from services decreased by $19.1, or -6.1% (1.4% increase in constant currency), primarily driven by the $23.3 unfavorable impact of currency exchange rates, partially offset by a $4.8 increase in demand for our Manpower staffing services. In India (which represented 13% of APME’s revenues), revenues from services decreased by $3.9, or -5.7% (3.2% increase in constant currency), primarily driven by the $6.1 unfavorable impact of currency exchange rates, partially offset by a $1.9 increase in demand for our Manpower staffing services.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Revenues from services increased 1.4% (5.7% in constant currency) in the first nine months of 2026 compared to the first nine months of 2025 primarily driven by a $78.7 increase in demand for our Manpower staffing services and a $9.1 increase in demand for our Experis interim services, partially offset by a $65.4 unfavorable impact of currency exchange rates. In Japan, revenues from services decreased by $32.5, or -3.6% (3.3% increase in constant currency), primarily driven by a $63.0 unfavorable impact of currency exchange rates, partially offset by a $27.7 increase in demand for our Manpower staffing services. In India, revenues from services decreased by $5.6, or -2.8% (5.5% increase in constant currency), primarily driven by a $16.7 unfavorable impact of currency exchange rates, partially offset by a $7.0 increase in demand for our Manpower staffing services and a $2.4 increase in demand for our Experis interim services.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decreased by 90 basis points in the third quarter of 2026 compared to the third quarter of 2025, primarily due to decreased margins for our Manpower staffing services, which contributed 30 basis points to the decrease, decreased margins in our MSP business, which contributed 20 basis points to the decrease, and decreased activity in our permanent recruitment services and our Experis interim services, which each contributed 20 basis points to the decrease.</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decreased by 70 basis points in the first nine months of 2026 compared to the first nine months of 2025, primarily due to decreased margins for our Manpower staffing services, decreased activity in our permanent recruitment services, and decreased margins in our MSP business, which each contributed 20 basis points to the decrease, and decreased margins for our Outcome Based Solutions, which contributed 10 basis points to the decrease.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decreased -4.4% (increased 0.4% in constant currency) in the third quarter of 2026 compared to the third quarter of 2025. The decrease is primarily due to the $2.9 favorable impact of currency exchange rates and $1.1 decrease in personnel costs.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decreased -2.4% (increased 1.3% in constant currency) in the first nine months of 2026 compared to the first nine months of 2025. The decrease is primarily due to the $6.8 favorable impact of currency exchange rates, partially offset by a $1.4 increase in personnel costs.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OUP in APME decreased -10.1% (-3.7% decrease in constant currency) in the third quarter of 2026, which represented a 4.6% OUP margin, a decrease from 5.1% in the third quarter of 2025. This OUP margin decrease was primarily driven by the unfavorable impact due to currency exchange rates and a decrease in gross profit.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OUP in APME decreased -4.7% (1.8% increase in constant currency) in the first nine months of 2026, which represented a 4.5% OUP margin, a decrease from 4.8% in the first nine months of 2025. This OUP margin decrease was primarily driven by the unfavorable impact of currency exchange rates.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Financial Measures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Constant Currency and Organic Constant Currency Reconciliation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Borders>
              <w:top w:val="single" w:sz="8" w:color="auto"/>
              <w:bottom w:val="single" w:sz="8" w:color="98B0CF"/>
            </w:tcBorders>
            <w:shd w:val="clear" w:color="auto" w:fill="98B0CF"/>
          </w:tcPr>
          <w:p>
            <w:pPr>
              <w:spacing w:after="0"/>
              <w:rPr>
                <w:sz w:val="15"/>
                <w:szCs w:val="15"/>
                <w:color w:val="auto"/>
              </w:rPr>
            </w:pPr>
          </w:p>
        </w:tc>
        <w:tc>
          <w:tcPr>
            <w:tcW w:w="10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auto"/>
            </w:tcBorders>
            <w:shd w:val="clear" w:color="auto" w:fill="98B0CF"/>
          </w:tcPr>
          <w:p>
            <w:pPr>
              <w:spacing w:after="0"/>
              <w:rPr>
                <w:sz w:val="15"/>
                <w:szCs w:val="15"/>
                <w:color w:val="auto"/>
              </w:rPr>
            </w:pPr>
          </w:p>
        </w:tc>
        <w:tc>
          <w:tcPr>
            <w:tcW w:w="960" w:type="dxa"/>
            <w:vAlign w:val="bottom"/>
            <w:tcBorders>
              <w:top w:val="single" w:sz="8" w:color="auto"/>
              <w:bottom w:val="single" w:sz="8" w:color="auto"/>
            </w:tcBorders>
            <w:shd w:val="clear" w:color="auto" w:fill="98B0CF"/>
          </w:tcPr>
          <w:p>
            <w:pPr>
              <w:spacing w:after="0"/>
              <w:rPr>
                <w:sz w:val="15"/>
                <w:szCs w:val="15"/>
                <w:color w:val="auto"/>
              </w:rPr>
            </w:pPr>
          </w:p>
        </w:tc>
        <w:tc>
          <w:tcPr>
            <w:tcW w:w="5740" w:type="dxa"/>
            <w:vAlign w:val="bottom"/>
            <w:tcBorders>
              <w:top w:val="single" w:sz="8" w:color="auto"/>
              <w:bottom w:val="single" w:sz="8" w:color="auto"/>
            </w:tcBorders>
            <w:gridSpan w:val="4"/>
            <w:shd w:val="clear" w:color="auto" w:fill="98B0CF"/>
          </w:tcPr>
          <w:p>
            <w:pPr>
              <w:jc w:val="right"/>
              <w:ind w:right="668"/>
              <w:spacing w:after="0"/>
              <w:rPr>
                <w:sz w:val="20"/>
                <w:szCs w:val="20"/>
                <w:color w:val="auto"/>
              </w:rPr>
            </w:pPr>
            <w:r>
              <w:rPr>
                <w:rFonts w:ascii="Arial" w:cs="Arial" w:eastAsia="Arial" w:hAnsi="Arial"/>
                <w:sz w:val="14"/>
                <w:szCs w:val="14"/>
                <w:b w:val="1"/>
                <w:bCs w:val="1"/>
                <w:color w:val="auto"/>
              </w:rPr>
              <w:t>Three Months Ended September 30, 2026, Compared to 2025</w:t>
            </w:r>
          </w:p>
        </w:tc>
        <w:tc>
          <w:tcPr>
            <w:tcW w:w="1400" w:type="dxa"/>
            <w:vAlign w:val="bottom"/>
            <w:tcBorders>
              <w:top w:val="single" w:sz="8" w:color="auto"/>
              <w:bottom w:val="single" w:sz="8" w:color="auto"/>
            </w:tcBorders>
            <w:shd w:val="clear" w:color="auto" w:fill="98B0CF"/>
          </w:tcPr>
          <w:p>
            <w:pPr>
              <w:spacing w:after="0"/>
              <w:rPr>
                <w:sz w:val="15"/>
                <w:szCs w:val="15"/>
                <w:color w:val="auto"/>
              </w:rPr>
            </w:pPr>
          </w:p>
        </w:tc>
      </w:tr>
      <w:tr>
        <w:trPr>
          <w:trHeight w:val="146"/>
        </w:trPr>
        <w:tc>
          <w:tcPr>
            <w:tcW w:w="292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1400" w:type="dxa"/>
            <w:vAlign w:val="bottom"/>
            <w:shd w:val="clear" w:color="auto" w:fill="98B0CF"/>
          </w:tcPr>
          <w:p>
            <w:pPr>
              <w:spacing w:after="0"/>
              <w:rPr>
                <w:sz w:val="12"/>
                <w:szCs w:val="12"/>
                <w:color w:val="auto"/>
              </w:rPr>
            </w:pPr>
          </w:p>
        </w:tc>
        <w:tc>
          <w:tcPr>
            <w:tcW w:w="1280" w:type="dxa"/>
            <w:vAlign w:val="bottom"/>
            <w:shd w:val="clear" w:color="auto" w:fill="98B0CF"/>
          </w:tcPr>
          <w:p>
            <w:pPr>
              <w:spacing w:after="0"/>
              <w:rPr>
                <w:sz w:val="12"/>
                <w:szCs w:val="12"/>
                <w:color w:val="auto"/>
              </w:rPr>
            </w:pPr>
          </w:p>
        </w:tc>
        <w:tc>
          <w:tcPr>
            <w:tcW w:w="1320" w:type="dxa"/>
            <w:vAlign w:val="bottom"/>
            <w:shd w:val="clear" w:color="auto" w:fill="98B0CF"/>
          </w:tcPr>
          <w:p>
            <w:pPr>
              <w:spacing w:after="0"/>
              <w:rPr>
                <w:sz w:val="12"/>
                <w:szCs w:val="12"/>
                <w:color w:val="auto"/>
              </w:rPr>
            </w:pPr>
          </w:p>
        </w:tc>
        <w:tc>
          <w:tcPr>
            <w:tcW w:w="1740" w:type="dxa"/>
            <w:vAlign w:val="bottom"/>
            <w:shd w:val="clear" w:color="auto" w:fill="98B0CF"/>
          </w:tcPr>
          <w:p>
            <w:pPr>
              <w:jc w:val="center"/>
              <w:ind w:right="428"/>
              <w:spacing w:after="0" w:line="147" w:lineRule="exact"/>
              <w:rPr>
                <w:sz w:val="20"/>
                <w:szCs w:val="20"/>
                <w:color w:val="auto"/>
              </w:rPr>
            </w:pPr>
            <w:r>
              <w:rPr>
                <w:rFonts w:ascii="Arial" w:cs="Arial" w:eastAsia="Arial" w:hAnsi="Arial"/>
                <w:sz w:val="14"/>
                <w:szCs w:val="14"/>
                <w:b w:val="1"/>
                <w:bCs w:val="1"/>
                <w:color w:val="auto"/>
              </w:rPr>
              <w:t>Impact of</w:t>
            </w:r>
          </w:p>
        </w:tc>
        <w:tc>
          <w:tcPr>
            <w:tcW w:w="1400" w:type="dxa"/>
            <w:vAlign w:val="bottom"/>
            <w:shd w:val="clear" w:color="auto" w:fill="98B0CF"/>
          </w:tcPr>
          <w:p>
            <w:pPr>
              <w:spacing w:after="0"/>
              <w:rPr>
                <w:sz w:val="12"/>
                <w:szCs w:val="12"/>
                <w:color w:val="auto"/>
              </w:rPr>
            </w:pPr>
          </w:p>
        </w:tc>
      </w:tr>
      <w:tr>
        <w:trPr>
          <w:trHeight w:val="162"/>
        </w:trPr>
        <w:tc>
          <w:tcPr>
            <w:tcW w:w="29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1400" w:type="dxa"/>
            <w:vAlign w:val="bottom"/>
            <w:shd w:val="clear" w:color="auto" w:fill="98B0CF"/>
          </w:tcPr>
          <w:p>
            <w:pPr>
              <w:spacing w:after="0"/>
              <w:rPr>
                <w:sz w:val="14"/>
                <w:szCs w:val="14"/>
                <w:color w:val="auto"/>
              </w:rPr>
            </w:pPr>
          </w:p>
        </w:tc>
        <w:tc>
          <w:tcPr>
            <w:tcW w:w="1280" w:type="dxa"/>
            <w:vAlign w:val="bottom"/>
            <w:shd w:val="clear" w:color="auto" w:fill="98B0CF"/>
          </w:tcPr>
          <w:p>
            <w:pPr>
              <w:spacing w:after="0"/>
              <w:rPr>
                <w:sz w:val="14"/>
                <w:szCs w:val="14"/>
                <w:color w:val="auto"/>
              </w:rPr>
            </w:pPr>
          </w:p>
        </w:tc>
        <w:tc>
          <w:tcPr>
            <w:tcW w:w="1320" w:type="dxa"/>
            <w:vAlign w:val="bottom"/>
            <w:shd w:val="clear" w:color="auto" w:fill="98B0CF"/>
          </w:tcPr>
          <w:p>
            <w:pPr>
              <w:spacing w:after="0"/>
              <w:rPr>
                <w:sz w:val="14"/>
                <w:szCs w:val="14"/>
                <w:color w:val="auto"/>
              </w:rPr>
            </w:pPr>
          </w:p>
        </w:tc>
        <w:tc>
          <w:tcPr>
            <w:tcW w:w="1740" w:type="dxa"/>
            <w:vAlign w:val="bottom"/>
            <w:shd w:val="clear" w:color="auto" w:fill="98B0CF"/>
          </w:tcPr>
          <w:p>
            <w:pPr>
              <w:jc w:val="center"/>
              <w:ind w:right="408"/>
              <w:spacing w:after="0"/>
              <w:rPr>
                <w:sz w:val="20"/>
                <w:szCs w:val="20"/>
                <w:color w:val="auto"/>
              </w:rPr>
            </w:pPr>
            <w:r>
              <w:rPr>
                <w:rFonts w:ascii="Arial" w:cs="Arial" w:eastAsia="Arial" w:hAnsi="Arial"/>
                <w:sz w:val="14"/>
                <w:szCs w:val="14"/>
                <w:b w:val="1"/>
                <w:bCs w:val="1"/>
                <w:color w:val="auto"/>
              </w:rPr>
              <w:t>Acquisitions</w:t>
            </w:r>
          </w:p>
        </w:tc>
        <w:tc>
          <w:tcPr>
            <w:tcW w:w="1400" w:type="dxa"/>
            <w:vAlign w:val="bottom"/>
            <w:shd w:val="clear" w:color="auto" w:fill="98B0CF"/>
          </w:tcPr>
          <w:p>
            <w:pPr>
              <w:spacing w:after="0"/>
              <w:rPr>
                <w:sz w:val="14"/>
                <w:szCs w:val="14"/>
                <w:color w:val="auto"/>
              </w:rPr>
            </w:pPr>
          </w:p>
        </w:tc>
      </w:tr>
      <w:tr>
        <w:trPr>
          <w:trHeight w:val="162"/>
        </w:trPr>
        <w:tc>
          <w:tcPr>
            <w:tcW w:w="29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1400" w:type="dxa"/>
            <w:vAlign w:val="bottom"/>
            <w:shd w:val="clear" w:color="auto" w:fill="98B0CF"/>
          </w:tcPr>
          <w:p>
            <w:pPr>
              <w:spacing w:after="0"/>
              <w:rPr>
                <w:sz w:val="14"/>
                <w:szCs w:val="14"/>
                <w:color w:val="auto"/>
              </w:rPr>
            </w:pPr>
          </w:p>
        </w:tc>
        <w:tc>
          <w:tcPr>
            <w:tcW w:w="1280" w:type="dxa"/>
            <w:vAlign w:val="bottom"/>
            <w:shd w:val="clear" w:color="auto" w:fill="98B0CF"/>
          </w:tcPr>
          <w:p>
            <w:pPr>
              <w:spacing w:after="0"/>
              <w:rPr>
                <w:sz w:val="14"/>
                <w:szCs w:val="14"/>
                <w:color w:val="auto"/>
              </w:rPr>
            </w:pPr>
          </w:p>
        </w:tc>
        <w:tc>
          <w:tcPr>
            <w:tcW w:w="1320" w:type="dxa"/>
            <w:vAlign w:val="bottom"/>
            <w:shd w:val="clear" w:color="auto" w:fill="98B0CF"/>
          </w:tcPr>
          <w:p>
            <w:pPr>
              <w:spacing w:after="0"/>
              <w:rPr>
                <w:sz w:val="14"/>
                <w:szCs w:val="14"/>
                <w:color w:val="auto"/>
              </w:rPr>
            </w:pPr>
          </w:p>
        </w:tc>
        <w:tc>
          <w:tcPr>
            <w:tcW w:w="1740" w:type="dxa"/>
            <w:vAlign w:val="bottom"/>
            <w:shd w:val="clear" w:color="auto" w:fill="98B0CF"/>
          </w:tcPr>
          <w:p>
            <w:pPr>
              <w:jc w:val="center"/>
              <w:ind w:right="408"/>
              <w:spacing w:after="0"/>
              <w:rPr>
                <w:sz w:val="20"/>
                <w:szCs w:val="20"/>
                <w:color w:val="auto"/>
              </w:rPr>
            </w:pPr>
            <w:r>
              <w:rPr>
                <w:rFonts w:ascii="Arial" w:cs="Arial" w:eastAsia="Arial" w:hAnsi="Arial"/>
                <w:sz w:val="14"/>
                <w:szCs w:val="14"/>
                <w:b w:val="1"/>
                <w:bCs w:val="1"/>
                <w:color w:val="auto"/>
              </w:rPr>
              <w:t>and</w:t>
            </w:r>
          </w:p>
        </w:tc>
        <w:tc>
          <w:tcPr>
            <w:tcW w:w="140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Organic</w:t>
            </w:r>
          </w:p>
        </w:tc>
      </w:tr>
      <w:tr>
        <w:trPr>
          <w:trHeight w:val="162"/>
        </w:trPr>
        <w:tc>
          <w:tcPr>
            <w:tcW w:w="29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1400" w:type="dxa"/>
            <w:vAlign w:val="bottom"/>
            <w:shd w:val="clear" w:color="auto" w:fill="98B0CF"/>
          </w:tcPr>
          <w:p>
            <w:pPr>
              <w:spacing w:after="0"/>
              <w:rPr>
                <w:sz w:val="14"/>
                <w:szCs w:val="14"/>
                <w:color w:val="auto"/>
              </w:rPr>
            </w:pPr>
          </w:p>
        </w:tc>
        <w:tc>
          <w:tcPr>
            <w:tcW w:w="1280" w:type="dxa"/>
            <w:vAlign w:val="bottom"/>
            <w:shd w:val="clear" w:color="auto" w:fill="98B0CF"/>
          </w:tcPr>
          <w:p>
            <w:pPr>
              <w:spacing w:after="0"/>
              <w:rPr>
                <w:sz w:val="14"/>
                <w:szCs w:val="14"/>
                <w:color w:val="auto"/>
              </w:rPr>
            </w:pPr>
          </w:p>
        </w:tc>
        <w:tc>
          <w:tcPr>
            <w:tcW w:w="1320" w:type="dxa"/>
            <w:vAlign w:val="bottom"/>
            <w:shd w:val="clear" w:color="auto" w:fill="98B0CF"/>
          </w:tcPr>
          <w:p>
            <w:pPr>
              <w:ind w:left="140"/>
              <w:spacing w:after="0"/>
              <w:rPr>
                <w:sz w:val="20"/>
                <w:szCs w:val="20"/>
                <w:color w:val="auto"/>
              </w:rPr>
            </w:pPr>
            <w:r>
              <w:rPr>
                <w:rFonts w:ascii="Arial" w:cs="Arial" w:eastAsia="Arial" w:hAnsi="Arial"/>
                <w:sz w:val="14"/>
                <w:szCs w:val="14"/>
                <w:b w:val="1"/>
                <w:bCs w:val="1"/>
                <w:color w:val="auto"/>
              </w:rPr>
              <w:t>Constant</w:t>
            </w:r>
          </w:p>
        </w:tc>
        <w:tc>
          <w:tcPr>
            <w:tcW w:w="1740" w:type="dxa"/>
            <w:vAlign w:val="bottom"/>
            <w:shd w:val="clear" w:color="auto" w:fill="98B0CF"/>
          </w:tcPr>
          <w:p>
            <w:pPr>
              <w:jc w:val="center"/>
              <w:ind w:right="408"/>
              <w:spacing w:after="0"/>
              <w:rPr>
                <w:sz w:val="20"/>
                <w:szCs w:val="20"/>
                <w:color w:val="auto"/>
              </w:rPr>
            </w:pPr>
            <w:r>
              <w:rPr>
                <w:rFonts w:ascii="Arial" w:cs="Arial" w:eastAsia="Arial" w:hAnsi="Arial"/>
                <w:sz w:val="14"/>
                <w:szCs w:val="14"/>
                <w:b w:val="1"/>
                <w:bCs w:val="1"/>
                <w:color w:val="auto"/>
              </w:rPr>
              <w:t>Dispositions</w:t>
            </w:r>
          </w:p>
        </w:tc>
        <w:tc>
          <w:tcPr>
            <w:tcW w:w="140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29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jc w:val="right"/>
              <w:ind w:right="208"/>
              <w:spacing w:after="0"/>
              <w:rPr>
                <w:sz w:val="20"/>
                <w:szCs w:val="20"/>
                <w:color w:val="auto"/>
              </w:rPr>
            </w:pPr>
            <w:r>
              <w:rPr>
                <w:rFonts w:ascii="Arial" w:cs="Arial" w:eastAsia="Arial" w:hAnsi="Arial"/>
                <w:sz w:val="14"/>
                <w:szCs w:val="14"/>
                <w:b w:val="1"/>
                <w:bCs w:val="1"/>
                <w:color w:val="auto"/>
              </w:rPr>
              <w:t>Reported</w:t>
            </w:r>
          </w:p>
        </w:tc>
        <w:tc>
          <w:tcPr>
            <w:tcW w:w="1400" w:type="dxa"/>
            <w:vAlign w:val="bottom"/>
            <w:shd w:val="clear" w:color="auto" w:fill="98B0CF"/>
          </w:tcPr>
          <w:p>
            <w:pPr>
              <w:jc w:val="right"/>
              <w:ind w:right="428"/>
              <w:spacing w:after="0"/>
              <w:rPr>
                <w:sz w:val="20"/>
                <w:szCs w:val="20"/>
                <w:color w:val="auto"/>
              </w:rPr>
            </w:pPr>
            <w:r>
              <w:rPr>
                <w:rFonts w:ascii="Arial" w:cs="Arial" w:eastAsia="Arial" w:hAnsi="Arial"/>
                <w:sz w:val="14"/>
                <w:szCs w:val="14"/>
                <w:b w:val="1"/>
                <w:bCs w:val="1"/>
                <w:color w:val="auto"/>
              </w:rPr>
              <w:t>Reported</w:t>
            </w:r>
          </w:p>
        </w:tc>
        <w:tc>
          <w:tcPr>
            <w:tcW w:w="1280" w:type="dxa"/>
            <w:vAlign w:val="bottom"/>
            <w:shd w:val="clear" w:color="auto" w:fill="98B0CF"/>
          </w:tcPr>
          <w:p>
            <w:pPr>
              <w:jc w:val="right"/>
              <w:ind w:right="428"/>
              <w:spacing w:after="0"/>
              <w:rPr>
                <w:sz w:val="20"/>
                <w:szCs w:val="20"/>
                <w:color w:val="auto"/>
              </w:rPr>
            </w:pPr>
            <w:r>
              <w:rPr>
                <w:rFonts w:ascii="Arial" w:cs="Arial" w:eastAsia="Arial" w:hAnsi="Arial"/>
                <w:sz w:val="14"/>
                <w:szCs w:val="14"/>
                <w:b w:val="1"/>
                <w:bCs w:val="1"/>
                <w:color w:val="auto"/>
              </w:rPr>
              <w:t>Impact of</w:t>
            </w:r>
          </w:p>
        </w:tc>
        <w:tc>
          <w:tcPr>
            <w:tcW w:w="1320" w:type="dxa"/>
            <w:vAlign w:val="bottom"/>
            <w:shd w:val="clear" w:color="auto" w:fill="98B0CF"/>
          </w:tcPr>
          <w:p>
            <w:pPr>
              <w:ind w:left="140"/>
              <w:spacing w:after="0"/>
              <w:rPr>
                <w:sz w:val="20"/>
                <w:szCs w:val="20"/>
                <w:color w:val="auto"/>
              </w:rPr>
            </w:pPr>
            <w:r>
              <w:rPr>
                <w:rFonts w:ascii="Arial" w:cs="Arial" w:eastAsia="Arial" w:hAnsi="Arial"/>
                <w:sz w:val="14"/>
                <w:szCs w:val="14"/>
                <w:b w:val="1"/>
                <w:bCs w:val="1"/>
                <w:color w:val="auto"/>
              </w:rPr>
              <w:t>Currency</w:t>
            </w:r>
          </w:p>
        </w:tc>
        <w:tc>
          <w:tcPr>
            <w:tcW w:w="1740" w:type="dxa"/>
            <w:vAlign w:val="bottom"/>
            <w:shd w:val="clear" w:color="auto" w:fill="98B0CF"/>
          </w:tcPr>
          <w:p>
            <w:pPr>
              <w:jc w:val="center"/>
              <w:ind w:right="428"/>
              <w:spacing w:after="0"/>
              <w:rPr>
                <w:sz w:val="20"/>
                <w:szCs w:val="20"/>
                <w:color w:val="auto"/>
              </w:rPr>
            </w:pPr>
            <w:r>
              <w:rPr>
                <w:rFonts w:ascii="Arial" w:cs="Arial" w:eastAsia="Arial" w:hAnsi="Arial"/>
                <w:sz w:val="14"/>
                <w:szCs w:val="14"/>
                <w:b w:val="1"/>
                <w:bCs w:val="1"/>
                <w:color w:val="auto"/>
              </w:rPr>
              <w:t>(In Constant</w:t>
            </w:r>
          </w:p>
        </w:tc>
        <w:tc>
          <w:tcPr>
            <w:tcW w:w="140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292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960" w:type="dxa"/>
            <w:vAlign w:val="bottom"/>
            <w:tcBorders>
              <w:bottom w:val="single" w:sz="8" w:color="auto"/>
            </w:tcBorders>
            <w:shd w:val="clear" w:color="auto" w:fill="98B0CF"/>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1400" w:type="dxa"/>
            <w:vAlign w:val="bottom"/>
            <w:tcBorders>
              <w:bottom w:val="single" w:sz="8" w:color="auto"/>
            </w:tcBorders>
            <w:shd w:val="clear" w:color="auto" w:fill="98B0CF"/>
          </w:tcPr>
          <w:p>
            <w:pPr>
              <w:jc w:val="right"/>
              <w:ind w:right="448"/>
              <w:spacing w:after="0"/>
              <w:rPr>
                <w:sz w:val="20"/>
                <w:szCs w:val="20"/>
                <w:color w:val="auto"/>
              </w:rPr>
            </w:pPr>
            <w:r>
              <w:rPr>
                <w:rFonts w:ascii="Arial" w:cs="Arial" w:eastAsia="Arial" w:hAnsi="Arial"/>
                <w:sz w:val="14"/>
                <w:szCs w:val="14"/>
                <w:b w:val="1"/>
                <w:bCs w:val="1"/>
                <w:color w:val="auto"/>
              </w:rPr>
              <w:t>Variance</w:t>
            </w:r>
          </w:p>
        </w:tc>
        <w:tc>
          <w:tcPr>
            <w:tcW w:w="1280" w:type="dxa"/>
            <w:vAlign w:val="bottom"/>
            <w:tcBorders>
              <w:bottom w:val="single" w:sz="8" w:color="auto"/>
            </w:tcBorders>
            <w:shd w:val="clear" w:color="auto" w:fill="98B0CF"/>
          </w:tcPr>
          <w:p>
            <w:pPr>
              <w:jc w:val="right"/>
              <w:ind w:right="428"/>
              <w:spacing w:after="0"/>
              <w:rPr>
                <w:sz w:val="20"/>
                <w:szCs w:val="20"/>
                <w:color w:val="auto"/>
              </w:rPr>
            </w:pPr>
            <w:r>
              <w:rPr>
                <w:rFonts w:ascii="Arial" w:cs="Arial" w:eastAsia="Arial" w:hAnsi="Arial"/>
                <w:sz w:val="14"/>
                <w:szCs w:val="14"/>
                <w:b w:val="1"/>
                <w:bCs w:val="1"/>
                <w:color w:val="auto"/>
              </w:rPr>
              <w:t>Currency</w:t>
            </w:r>
          </w:p>
        </w:tc>
        <w:tc>
          <w:tcPr>
            <w:tcW w:w="1320" w:type="dxa"/>
            <w:vAlign w:val="bottom"/>
            <w:tcBorders>
              <w:bottom w:val="single" w:sz="8" w:color="auto"/>
            </w:tcBorders>
            <w:shd w:val="clear" w:color="auto" w:fill="98B0CF"/>
          </w:tcPr>
          <w:p>
            <w:pPr>
              <w:ind w:left="160"/>
              <w:spacing w:after="0"/>
              <w:rPr>
                <w:sz w:val="20"/>
                <w:szCs w:val="20"/>
                <w:color w:val="auto"/>
              </w:rPr>
            </w:pPr>
            <w:r>
              <w:rPr>
                <w:rFonts w:ascii="Arial" w:cs="Arial" w:eastAsia="Arial" w:hAnsi="Arial"/>
                <w:sz w:val="14"/>
                <w:szCs w:val="14"/>
                <w:b w:val="1"/>
                <w:bCs w:val="1"/>
                <w:color w:val="auto"/>
              </w:rPr>
              <w:t>Variance</w:t>
            </w:r>
          </w:p>
        </w:tc>
        <w:tc>
          <w:tcPr>
            <w:tcW w:w="1740" w:type="dxa"/>
            <w:vAlign w:val="bottom"/>
            <w:tcBorders>
              <w:bottom w:val="single" w:sz="8" w:color="auto"/>
            </w:tcBorders>
            <w:shd w:val="clear" w:color="auto" w:fill="98B0CF"/>
          </w:tcPr>
          <w:p>
            <w:pPr>
              <w:jc w:val="center"/>
              <w:ind w:right="428"/>
              <w:spacing w:after="0"/>
              <w:rPr>
                <w:sz w:val="20"/>
                <w:szCs w:val="20"/>
                <w:color w:val="auto"/>
              </w:rPr>
            </w:pPr>
            <w:r>
              <w:rPr>
                <w:rFonts w:ascii="Arial" w:cs="Arial" w:eastAsia="Arial" w:hAnsi="Arial"/>
                <w:sz w:val="14"/>
                <w:szCs w:val="14"/>
                <w:b w:val="1"/>
                <w:bCs w:val="1"/>
                <w:color w:val="auto"/>
              </w:rPr>
              <w:t>Currency)</w:t>
            </w:r>
          </w:p>
        </w:tc>
        <w:tc>
          <w:tcPr>
            <w:tcW w:w="1400" w:type="dxa"/>
            <w:vAlign w:val="bottom"/>
            <w:tcBorders>
              <w:bottom w:val="single" w:sz="8" w:color="auto"/>
            </w:tcBorders>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w w:val="99"/>
              </w:rPr>
              <w:t>Variance</w:t>
            </w:r>
          </w:p>
        </w:tc>
      </w:tr>
      <w:tr>
        <w:trPr>
          <w:trHeight w:val="155"/>
        </w:trPr>
        <w:tc>
          <w:tcPr>
            <w:tcW w:w="292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Revenues from services:</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400" w:type="dxa"/>
            <w:vAlign w:val="bottom"/>
            <w:shd w:val="clear" w:color="auto" w:fill="E2E8F1"/>
          </w:tcPr>
          <w:p>
            <w:pPr>
              <w:spacing w:after="0"/>
              <w:rPr>
                <w:sz w:val="13"/>
                <w:szCs w:val="13"/>
                <w:color w:val="auto"/>
              </w:rPr>
            </w:pPr>
          </w:p>
        </w:tc>
        <w:tc>
          <w:tcPr>
            <w:tcW w:w="1280" w:type="dxa"/>
            <w:vAlign w:val="bottom"/>
            <w:shd w:val="clear" w:color="auto" w:fill="E2E8F1"/>
          </w:tcPr>
          <w:p>
            <w:pPr>
              <w:spacing w:after="0"/>
              <w:rPr>
                <w:sz w:val="13"/>
                <w:szCs w:val="13"/>
                <w:color w:val="auto"/>
              </w:rPr>
            </w:pPr>
          </w:p>
        </w:tc>
        <w:tc>
          <w:tcPr>
            <w:tcW w:w="1320" w:type="dxa"/>
            <w:vAlign w:val="bottom"/>
            <w:shd w:val="clear" w:color="auto" w:fill="E2E8F1"/>
          </w:tcPr>
          <w:p>
            <w:pPr>
              <w:spacing w:after="0"/>
              <w:rPr>
                <w:sz w:val="13"/>
                <w:szCs w:val="13"/>
                <w:color w:val="auto"/>
              </w:rPr>
            </w:pPr>
          </w:p>
        </w:tc>
        <w:tc>
          <w:tcPr>
            <w:tcW w:w="1740" w:type="dxa"/>
            <w:vAlign w:val="bottom"/>
            <w:shd w:val="clear" w:color="auto" w:fill="E2E8F1"/>
          </w:tcPr>
          <w:p>
            <w:pPr>
              <w:spacing w:after="0"/>
              <w:rPr>
                <w:sz w:val="13"/>
                <w:szCs w:val="13"/>
                <w:color w:val="auto"/>
              </w:rPr>
            </w:pPr>
          </w:p>
        </w:tc>
        <w:tc>
          <w:tcPr>
            <w:tcW w:w="1400" w:type="dxa"/>
            <w:vAlign w:val="bottom"/>
            <w:shd w:val="clear" w:color="auto" w:fill="E2E8F1"/>
          </w:tcPr>
          <w:p>
            <w:pPr>
              <w:spacing w:after="0"/>
              <w:rPr>
                <w:sz w:val="13"/>
                <w:szCs w:val="13"/>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Americas: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2920" w:type="dxa"/>
            <w:vAlign w:val="bottom"/>
            <w:shd w:val="clear" w:color="auto" w:fill="E2E8F1"/>
          </w:tcPr>
          <w:p>
            <w:pPr>
              <w:ind w:left="60"/>
              <w:spacing w:after="0"/>
              <w:rPr>
                <w:sz w:val="20"/>
                <w:szCs w:val="20"/>
                <w:color w:val="auto"/>
              </w:rPr>
            </w:pPr>
            <w:r>
              <w:rPr>
                <w:rFonts w:ascii="Arial" w:cs="Arial" w:eastAsia="Arial" w:hAnsi="Arial"/>
                <w:sz w:val="14"/>
                <w:szCs w:val="14"/>
                <w:color w:val="auto"/>
              </w:rPr>
              <w:t>United States</w:t>
            </w:r>
          </w:p>
        </w:tc>
        <w:tc>
          <w:tcPr>
            <w:tcW w:w="22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728.8</w:t>
            </w:r>
          </w:p>
        </w:tc>
        <w:tc>
          <w:tcPr>
            <w:tcW w:w="1400" w:type="dxa"/>
            <w:vAlign w:val="bottom"/>
            <w:shd w:val="clear" w:color="auto" w:fill="E2E8F1"/>
          </w:tcPr>
          <w:p>
            <w:pPr>
              <w:jc w:val="right"/>
              <w:ind w:right="128"/>
              <w:spacing w:after="0"/>
              <w:rPr>
                <w:sz w:val="20"/>
                <w:szCs w:val="20"/>
                <w:color w:val="auto"/>
              </w:rPr>
            </w:pPr>
            <w:r>
              <w:rPr>
                <w:rFonts w:ascii="Arial" w:cs="Arial" w:eastAsia="Arial" w:hAnsi="Arial"/>
                <w:sz w:val="14"/>
                <w:szCs w:val="14"/>
                <w:color w:val="auto"/>
              </w:rPr>
              <w:t>5.5%</w:t>
            </w:r>
          </w:p>
        </w:tc>
        <w:tc>
          <w:tcPr>
            <w:tcW w:w="1280" w:type="dxa"/>
            <w:vAlign w:val="bottom"/>
            <w:shd w:val="clear" w:color="auto" w:fill="E2E8F1"/>
          </w:tcPr>
          <w:p>
            <w:pPr>
              <w:jc w:val="right"/>
              <w:ind w:right="2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2E8F1"/>
          </w:tcPr>
          <w:p>
            <w:pPr>
              <w:jc w:val="right"/>
              <w:ind w:right="168"/>
              <w:spacing w:after="0"/>
              <w:rPr>
                <w:sz w:val="20"/>
                <w:szCs w:val="20"/>
                <w:color w:val="auto"/>
              </w:rPr>
            </w:pPr>
            <w:r>
              <w:rPr>
                <w:rFonts w:ascii="Arial" w:cs="Arial" w:eastAsia="Arial" w:hAnsi="Arial"/>
                <w:sz w:val="14"/>
                <w:szCs w:val="14"/>
                <w:color w:val="auto"/>
              </w:rPr>
              <w:t>5.5%</w:t>
            </w:r>
          </w:p>
        </w:tc>
        <w:tc>
          <w:tcPr>
            <w:tcW w:w="1740" w:type="dxa"/>
            <w:vAlign w:val="bottom"/>
            <w:shd w:val="clear" w:color="auto" w:fill="E2E8F1"/>
          </w:tcPr>
          <w:p>
            <w:pPr>
              <w:jc w:val="right"/>
              <w:ind w:right="148"/>
              <w:spacing w:after="0"/>
              <w:rPr>
                <w:sz w:val="20"/>
                <w:szCs w:val="20"/>
                <w:color w:val="auto"/>
              </w:rPr>
            </w:pPr>
            <w:r>
              <w:rPr>
                <w:rFonts w:ascii="Arial" w:cs="Arial" w:eastAsia="Arial" w:hAnsi="Arial"/>
                <w:sz w:val="14"/>
                <w:szCs w:val="14"/>
                <w:color w:val="auto"/>
              </w:rPr>
              <w:t>(3.1)%</w:t>
            </w:r>
          </w:p>
        </w:tc>
        <w:tc>
          <w:tcPr>
            <w:tcW w:w="14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8.6%</w:t>
            </w:r>
          </w:p>
        </w:tc>
      </w:tr>
      <w:tr>
        <w:trPr>
          <w:trHeight w:val="162"/>
        </w:trPr>
        <w:tc>
          <w:tcPr>
            <w:tcW w:w="2920" w:type="dxa"/>
            <w:vAlign w:val="bottom"/>
          </w:tcPr>
          <w:p>
            <w:pPr>
              <w:ind w:left="60"/>
              <w:spacing w:after="0"/>
              <w:rPr>
                <w:sz w:val="20"/>
                <w:szCs w:val="20"/>
                <w:color w:val="auto"/>
              </w:rPr>
            </w:pPr>
            <w:r>
              <w:rPr>
                <w:rFonts w:ascii="Arial" w:cs="Arial" w:eastAsia="Arial" w:hAnsi="Arial"/>
                <w:sz w:val="14"/>
                <w:szCs w:val="14"/>
                <w:color w:val="auto"/>
              </w:rPr>
              <w:t>Other Americas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517.9</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27.0%</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5.3%</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21.7%</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155"/>
        </w:trPr>
        <w:tc>
          <w:tcPr>
            <w:tcW w:w="29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96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1,246.7</w:t>
            </w:r>
          </w:p>
        </w:tc>
        <w:tc>
          <w:tcPr>
            <w:tcW w:w="1400" w:type="dxa"/>
            <w:vAlign w:val="bottom"/>
            <w:tcBorders>
              <w:bottom w:val="single" w:sz="8" w:color="E2E8F1"/>
            </w:tcBorders>
            <w:shd w:val="clear" w:color="auto" w:fill="E2E8F1"/>
          </w:tcPr>
          <w:p>
            <w:pPr>
              <w:jc w:val="right"/>
              <w:ind w:right="128"/>
              <w:spacing w:after="0" w:line="155" w:lineRule="exact"/>
              <w:rPr>
                <w:sz w:val="20"/>
                <w:szCs w:val="20"/>
                <w:color w:val="auto"/>
              </w:rPr>
            </w:pPr>
            <w:r>
              <w:rPr>
                <w:rFonts w:ascii="Arial" w:cs="Arial" w:eastAsia="Arial" w:hAnsi="Arial"/>
                <w:sz w:val="14"/>
                <w:szCs w:val="14"/>
                <w:color w:val="auto"/>
              </w:rPr>
              <w:t>13.5%</w:t>
            </w:r>
          </w:p>
        </w:tc>
        <w:tc>
          <w:tcPr>
            <w:tcW w:w="1280" w:type="dxa"/>
            <w:vAlign w:val="bottom"/>
            <w:tcBorders>
              <w:bottom w:val="single" w:sz="8" w:color="E2E8F1"/>
            </w:tcBorders>
            <w:shd w:val="clear" w:color="auto" w:fill="E2E8F1"/>
          </w:tcPr>
          <w:p>
            <w:pPr>
              <w:jc w:val="right"/>
              <w:ind w:right="128"/>
              <w:spacing w:after="0" w:line="155" w:lineRule="exact"/>
              <w:rPr>
                <w:sz w:val="20"/>
                <w:szCs w:val="20"/>
                <w:color w:val="auto"/>
              </w:rPr>
            </w:pPr>
            <w:r>
              <w:rPr>
                <w:rFonts w:ascii="Arial" w:cs="Arial" w:eastAsia="Arial" w:hAnsi="Arial"/>
                <w:sz w:val="14"/>
                <w:szCs w:val="14"/>
                <w:color w:val="auto"/>
              </w:rPr>
              <w:t>2.0%</w:t>
            </w:r>
          </w:p>
        </w:tc>
        <w:tc>
          <w:tcPr>
            <w:tcW w:w="1320" w:type="dxa"/>
            <w:vAlign w:val="bottom"/>
            <w:tcBorders>
              <w:bottom w:val="single" w:sz="8" w:color="E2E8F1"/>
            </w:tcBorders>
            <w:shd w:val="clear" w:color="auto" w:fill="E2E8F1"/>
          </w:tcPr>
          <w:p>
            <w:pPr>
              <w:jc w:val="right"/>
              <w:ind w:right="168"/>
              <w:spacing w:after="0" w:line="155" w:lineRule="exact"/>
              <w:rPr>
                <w:sz w:val="20"/>
                <w:szCs w:val="20"/>
                <w:color w:val="auto"/>
              </w:rPr>
            </w:pPr>
            <w:r>
              <w:rPr>
                <w:rFonts w:ascii="Arial" w:cs="Arial" w:eastAsia="Arial" w:hAnsi="Arial"/>
                <w:sz w:val="14"/>
                <w:szCs w:val="14"/>
                <w:color w:val="auto"/>
              </w:rPr>
              <w:t>11.5%</w:t>
            </w:r>
          </w:p>
        </w:tc>
        <w:tc>
          <w:tcPr>
            <w:tcW w:w="1740" w:type="dxa"/>
            <w:vAlign w:val="bottom"/>
            <w:tcBorders>
              <w:bottom w:val="single" w:sz="8" w:color="E2E8F1"/>
            </w:tcBorders>
            <w:shd w:val="clear" w:color="auto" w:fill="E2E8F1"/>
          </w:tcPr>
          <w:p>
            <w:pPr>
              <w:jc w:val="right"/>
              <w:ind w:right="148"/>
              <w:spacing w:after="0" w:line="155" w:lineRule="exact"/>
              <w:rPr>
                <w:sz w:val="20"/>
                <w:szCs w:val="20"/>
                <w:color w:val="auto"/>
              </w:rPr>
            </w:pPr>
            <w:r>
              <w:rPr>
                <w:rFonts w:ascii="Arial" w:cs="Arial" w:eastAsia="Arial" w:hAnsi="Arial"/>
                <w:sz w:val="14"/>
                <w:szCs w:val="14"/>
                <w:color w:val="auto"/>
              </w:rPr>
              <w:t>(2.1)%</w:t>
            </w:r>
          </w:p>
        </w:tc>
        <w:tc>
          <w:tcPr>
            <w:tcW w:w="140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13.6%</w:t>
            </w: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Southern Europe: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2"/>
        </w:trPr>
        <w:tc>
          <w:tcPr>
            <w:tcW w:w="2920" w:type="dxa"/>
            <w:vAlign w:val="bottom"/>
            <w:shd w:val="clear" w:color="auto" w:fill="E2E8F1"/>
          </w:tcPr>
          <w:p>
            <w:pPr>
              <w:ind w:left="60"/>
              <w:spacing w:after="0"/>
              <w:rPr>
                <w:sz w:val="20"/>
                <w:szCs w:val="20"/>
                <w:color w:val="auto"/>
              </w:rPr>
            </w:pPr>
            <w:r>
              <w:rPr>
                <w:rFonts w:ascii="Arial" w:cs="Arial" w:eastAsia="Arial" w:hAnsi="Arial"/>
                <w:sz w:val="14"/>
                <w:szCs w:val="14"/>
                <w:color w:val="auto"/>
              </w:rPr>
              <w:t>France</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9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1,132.9</w:t>
            </w:r>
          </w:p>
        </w:tc>
        <w:tc>
          <w:tcPr>
            <w:tcW w:w="1400" w:type="dxa"/>
            <w:vAlign w:val="bottom"/>
            <w:shd w:val="clear" w:color="auto" w:fill="E2E8F1"/>
          </w:tcPr>
          <w:p>
            <w:pPr>
              <w:jc w:val="right"/>
              <w:ind w:right="68"/>
              <w:spacing w:after="0"/>
              <w:rPr>
                <w:sz w:val="20"/>
                <w:szCs w:val="20"/>
                <w:color w:val="auto"/>
              </w:rPr>
            </w:pPr>
            <w:r>
              <w:rPr>
                <w:rFonts w:ascii="Arial" w:cs="Arial" w:eastAsia="Arial" w:hAnsi="Arial"/>
                <w:sz w:val="14"/>
                <w:szCs w:val="14"/>
                <w:color w:val="auto"/>
              </w:rPr>
              <w:t>(3.5)%</w:t>
            </w:r>
          </w:p>
        </w:tc>
        <w:tc>
          <w:tcPr>
            <w:tcW w:w="1280" w:type="dxa"/>
            <w:vAlign w:val="bottom"/>
            <w:shd w:val="clear" w:color="auto" w:fill="E2E8F1"/>
          </w:tcPr>
          <w:p>
            <w:pPr>
              <w:jc w:val="right"/>
              <w:ind w:right="68"/>
              <w:spacing w:after="0"/>
              <w:rPr>
                <w:sz w:val="20"/>
                <w:szCs w:val="20"/>
                <w:color w:val="auto"/>
              </w:rPr>
            </w:pPr>
            <w:r>
              <w:rPr>
                <w:rFonts w:ascii="Arial" w:cs="Arial" w:eastAsia="Arial" w:hAnsi="Arial"/>
                <w:sz w:val="14"/>
                <w:szCs w:val="14"/>
                <w:color w:val="auto"/>
              </w:rPr>
              <w:t>(1.6)%</w:t>
            </w:r>
          </w:p>
        </w:tc>
        <w:tc>
          <w:tcPr>
            <w:tcW w:w="1320" w:type="dxa"/>
            <w:vAlign w:val="bottom"/>
            <w:shd w:val="clear" w:color="auto" w:fill="E2E8F1"/>
          </w:tcPr>
          <w:p>
            <w:pPr>
              <w:jc w:val="right"/>
              <w:ind w:right="128"/>
              <w:spacing w:after="0"/>
              <w:rPr>
                <w:sz w:val="20"/>
                <w:szCs w:val="20"/>
                <w:color w:val="auto"/>
              </w:rPr>
            </w:pPr>
            <w:r>
              <w:rPr>
                <w:rFonts w:ascii="Arial" w:cs="Arial" w:eastAsia="Arial" w:hAnsi="Arial"/>
                <w:sz w:val="14"/>
                <w:szCs w:val="14"/>
                <w:color w:val="auto"/>
              </w:rPr>
              <w:t>(1.9)%</w:t>
            </w:r>
          </w:p>
        </w:tc>
        <w:tc>
          <w:tcPr>
            <w:tcW w:w="1740" w:type="dxa"/>
            <w:vAlign w:val="bottom"/>
            <w:shd w:val="clear" w:color="auto" w:fill="E2E8F1"/>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(1.9)%</w:t>
            </w:r>
          </w:p>
        </w:tc>
      </w:tr>
      <w:tr>
        <w:trPr>
          <w:trHeight w:val="162"/>
        </w:trPr>
        <w:tc>
          <w:tcPr>
            <w:tcW w:w="2920" w:type="dxa"/>
            <w:vAlign w:val="bottom"/>
          </w:tcPr>
          <w:p>
            <w:pPr>
              <w:ind w:left="60"/>
              <w:spacing w:after="0"/>
              <w:rPr>
                <w:sz w:val="20"/>
                <w:szCs w:val="20"/>
                <w:color w:val="auto"/>
              </w:rPr>
            </w:pPr>
            <w:r>
              <w:rPr>
                <w:rFonts w:ascii="Arial" w:cs="Arial" w:eastAsia="Arial" w:hAnsi="Arial"/>
                <w:sz w:val="14"/>
                <w:szCs w:val="14"/>
                <w:color w:val="auto"/>
              </w:rPr>
              <w:t>Italy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483.1</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4.5%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6.2%</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62"/>
        </w:trPr>
        <w:tc>
          <w:tcPr>
            <w:tcW w:w="292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4"/>
                <w:szCs w:val="14"/>
                <w:color w:val="auto"/>
              </w:rPr>
              <w:t>Other Southern Europe</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611.9</w:t>
            </w:r>
          </w:p>
        </w:tc>
        <w:tc>
          <w:tcPr>
            <w:tcW w:w="1400" w:type="dxa"/>
            <w:vAlign w:val="bottom"/>
            <w:tcBorders>
              <w:bottom w:val="single" w:sz="8" w:color="E2E8F1"/>
            </w:tcBorders>
            <w:shd w:val="clear" w:color="auto" w:fill="E2E8F1"/>
          </w:tcPr>
          <w:p>
            <w:pPr>
              <w:jc w:val="right"/>
              <w:ind w:right="128"/>
              <w:spacing w:after="0"/>
              <w:rPr>
                <w:sz w:val="20"/>
                <w:szCs w:val="20"/>
                <w:color w:val="auto"/>
              </w:rPr>
            </w:pPr>
            <w:r>
              <w:rPr>
                <w:rFonts w:ascii="Arial" w:cs="Arial" w:eastAsia="Arial" w:hAnsi="Arial"/>
                <w:sz w:val="14"/>
                <w:szCs w:val="14"/>
                <w:color w:val="auto"/>
              </w:rPr>
              <w:t>7.5%</w:t>
            </w:r>
          </w:p>
        </w:tc>
        <w:tc>
          <w:tcPr>
            <w:tcW w:w="1280" w:type="dxa"/>
            <w:vAlign w:val="bottom"/>
            <w:tcBorders>
              <w:bottom w:val="single" w:sz="8" w:color="E2E8F1"/>
            </w:tcBorders>
            <w:shd w:val="clear" w:color="auto" w:fill="E2E8F1"/>
          </w:tcPr>
          <w:p>
            <w:pPr>
              <w:jc w:val="right"/>
              <w:ind w:right="128"/>
              <w:spacing w:after="0"/>
              <w:rPr>
                <w:sz w:val="20"/>
                <w:szCs w:val="20"/>
                <w:color w:val="auto"/>
              </w:rPr>
            </w:pPr>
            <w:r>
              <w:rPr>
                <w:rFonts w:ascii="Arial" w:cs="Arial" w:eastAsia="Arial" w:hAnsi="Arial"/>
                <w:sz w:val="14"/>
                <w:szCs w:val="14"/>
                <w:color w:val="auto"/>
              </w:rPr>
              <w:t>0.5%</w:t>
            </w:r>
          </w:p>
        </w:tc>
        <w:tc>
          <w:tcPr>
            <w:tcW w:w="1320" w:type="dxa"/>
            <w:vAlign w:val="bottom"/>
            <w:tcBorders>
              <w:bottom w:val="single" w:sz="8" w:color="E2E8F1"/>
            </w:tcBorders>
            <w:shd w:val="clear" w:color="auto" w:fill="E2E8F1"/>
          </w:tcPr>
          <w:p>
            <w:pPr>
              <w:jc w:val="right"/>
              <w:ind w:right="168"/>
              <w:spacing w:after="0"/>
              <w:rPr>
                <w:sz w:val="20"/>
                <w:szCs w:val="20"/>
                <w:color w:val="auto"/>
              </w:rPr>
            </w:pPr>
            <w:r>
              <w:rPr>
                <w:rFonts w:ascii="Arial" w:cs="Arial" w:eastAsia="Arial" w:hAnsi="Arial"/>
                <w:sz w:val="14"/>
                <w:szCs w:val="14"/>
                <w:color w:val="auto"/>
              </w:rPr>
              <w:t>7.0%</w:t>
            </w:r>
          </w:p>
        </w:tc>
        <w:tc>
          <w:tcPr>
            <w:tcW w:w="1740" w:type="dxa"/>
            <w:vAlign w:val="bottom"/>
            <w:tcBorders>
              <w:bottom w:val="single" w:sz="8" w:color="E2E8F1"/>
            </w:tcBorders>
            <w:shd w:val="clear" w:color="auto" w:fill="E2E8F1"/>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E2E8F1"/>
            </w:tcBorders>
            <w:shd w:val="clear" w:color="auto" w:fill="E2E8F1"/>
          </w:tcPr>
          <w:p>
            <w:pPr>
              <w:jc w:val="right"/>
              <w:spacing w:after="0"/>
              <w:rPr>
                <w:sz w:val="20"/>
                <w:szCs w:val="20"/>
                <w:color w:val="auto"/>
              </w:rPr>
            </w:pPr>
            <w:r>
              <w:rPr>
                <w:rFonts w:ascii="Arial" w:cs="Arial" w:eastAsia="Arial" w:hAnsi="Arial"/>
                <w:sz w:val="14"/>
                <w:szCs w:val="14"/>
                <w:color w:val="auto"/>
              </w:rPr>
              <w:t>7.0%</w:t>
            </w:r>
          </w:p>
        </w:tc>
      </w:tr>
      <w:tr>
        <w:trPr>
          <w:trHeight w:val="155"/>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2,227.9</w:t>
            </w:r>
          </w:p>
        </w:tc>
        <w:tc>
          <w:tcPr>
            <w:tcW w:w="140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1.0%</w:t>
            </w:r>
          </w:p>
        </w:tc>
        <w:tc>
          <w:tcPr>
            <w:tcW w:w="12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(1.1)%</w:t>
            </w:r>
          </w:p>
        </w:tc>
        <w:tc>
          <w:tcPr>
            <w:tcW w:w="132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2.1%</w:t>
            </w:r>
          </w:p>
        </w:tc>
        <w:tc>
          <w:tcPr>
            <w:tcW w:w="174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2.1%</w:t>
            </w:r>
          </w:p>
        </w:tc>
      </w:tr>
      <w:tr>
        <w:trPr>
          <w:trHeight w:val="155"/>
        </w:trPr>
        <w:tc>
          <w:tcPr>
            <w:tcW w:w="292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Northern Europe</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960" w:type="dxa"/>
            <w:vAlign w:val="bottom"/>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860.6</w:t>
            </w:r>
          </w:p>
        </w:tc>
        <w:tc>
          <w:tcPr>
            <w:tcW w:w="1400" w:type="dxa"/>
            <w:vAlign w:val="bottom"/>
            <w:shd w:val="clear" w:color="auto" w:fill="E2E8F1"/>
          </w:tcPr>
          <w:p>
            <w:pPr>
              <w:jc w:val="right"/>
              <w:ind w:right="128"/>
              <w:spacing w:after="0" w:line="155" w:lineRule="exact"/>
              <w:rPr>
                <w:sz w:val="20"/>
                <w:szCs w:val="20"/>
                <w:color w:val="auto"/>
              </w:rPr>
            </w:pPr>
            <w:r>
              <w:rPr>
                <w:rFonts w:ascii="Arial" w:cs="Arial" w:eastAsia="Arial" w:hAnsi="Arial"/>
                <w:sz w:val="14"/>
                <w:szCs w:val="14"/>
                <w:color w:val="auto"/>
              </w:rPr>
              <w:t>5.4%</w:t>
            </w:r>
          </w:p>
        </w:tc>
        <w:tc>
          <w:tcPr>
            <w:tcW w:w="1280" w:type="dxa"/>
            <w:vAlign w:val="bottom"/>
            <w:shd w:val="clear" w:color="auto" w:fill="E2E8F1"/>
          </w:tcPr>
          <w:p>
            <w:pPr>
              <w:jc w:val="right"/>
              <w:ind w:right="68"/>
              <w:spacing w:after="0" w:line="155" w:lineRule="exact"/>
              <w:rPr>
                <w:sz w:val="20"/>
                <w:szCs w:val="20"/>
                <w:color w:val="auto"/>
              </w:rPr>
            </w:pPr>
            <w:r>
              <w:rPr>
                <w:rFonts w:ascii="Arial" w:cs="Arial" w:eastAsia="Arial" w:hAnsi="Arial"/>
                <w:sz w:val="14"/>
                <w:szCs w:val="14"/>
                <w:color w:val="auto"/>
              </w:rPr>
              <w:t>(0.5)%</w:t>
            </w:r>
          </w:p>
        </w:tc>
        <w:tc>
          <w:tcPr>
            <w:tcW w:w="1320" w:type="dxa"/>
            <w:vAlign w:val="bottom"/>
            <w:shd w:val="clear" w:color="auto" w:fill="E2E8F1"/>
          </w:tcPr>
          <w:p>
            <w:pPr>
              <w:jc w:val="right"/>
              <w:ind w:right="168"/>
              <w:spacing w:after="0" w:line="155" w:lineRule="exact"/>
              <w:rPr>
                <w:sz w:val="20"/>
                <w:szCs w:val="20"/>
                <w:color w:val="auto"/>
              </w:rPr>
            </w:pPr>
            <w:r>
              <w:rPr>
                <w:rFonts w:ascii="Arial" w:cs="Arial" w:eastAsia="Arial" w:hAnsi="Arial"/>
                <w:sz w:val="14"/>
                <w:szCs w:val="14"/>
                <w:color w:val="auto"/>
              </w:rPr>
              <w:t>5.9%</w:t>
            </w:r>
          </w:p>
        </w:tc>
        <w:tc>
          <w:tcPr>
            <w:tcW w:w="1740" w:type="dxa"/>
            <w:vAlign w:val="bottom"/>
            <w:shd w:val="clear" w:color="auto" w:fill="E2E8F1"/>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400" w:type="dxa"/>
            <w:vAlign w:val="bottom"/>
            <w:shd w:val="clear" w:color="auto" w:fill="E2E8F1"/>
          </w:tcPr>
          <w:p>
            <w:pPr>
              <w:jc w:val="right"/>
              <w:spacing w:after="0" w:line="155" w:lineRule="exact"/>
              <w:rPr>
                <w:sz w:val="20"/>
                <w:szCs w:val="20"/>
                <w:color w:val="auto"/>
              </w:rPr>
            </w:pPr>
            <w:r>
              <w:rPr>
                <w:rFonts w:ascii="Arial" w:cs="Arial" w:eastAsia="Arial" w:hAnsi="Arial"/>
                <w:sz w:val="14"/>
                <w:szCs w:val="14"/>
                <w:color w:val="auto"/>
              </w:rPr>
              <w:t>5.9%</w:t>
            </w: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APME</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514.9</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(5.4)%</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4.3%</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55"/>
        </w:trPr>
        <w:tc>
          <w:tcPr>
            <w:tcW w:w="29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96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4,850.1</w:t>
            </w:r>
          </w:p>
        </w:tc>
        <w:tc>
          <w:tcPr>
            <w:tcW w:w="1400" w:type="dxa"/>
            <w:vAlign w:val="bottom"/>
            <w:tcBorders>
              <w:bottom w:val="single" w:sz="8" w:color="E2E8F1"/>
            </w:tcBorders>
            <w:shd w:val="clear" w:color="auto" w:fill="E2E8F1"/>
          </w:tcPr>
          <w:p>
            <w:pPr>
              <w:spacing w:after="0"/>
              <w:rPr>
                <w:sz w:val="13"/>
                <w:szCs w:val="13"/>
                <w:color w:val="auto"/>
              </w:rPr>
            </w:pPr>
          </w:p>
        </w:tc>
        <w:tc>
          <w:tcPr>
            <w:tcW w:w="1280" w:type="dxa"/>
            <w:vAlign w:val="bottom"/>
            <w:tcBorders>
              <w:bottom w:val="single" w:sz="8" w:color="E2E8F1"/>
            </w:tcBorders>
            <w:shd w:val="clear" w:color="auto" w:fill="E2E8F1"/>
          </w:tcPr>
          <w:p>
            <w:pPr>
              <w:spacing w:after="0"/>
              <w:rPr>
                <w:sz w:val="13"/>
                <w:szCs w:val="13"/>
                <w:color w:val="auto"/>
              </w:rPr>
            </w:pPr>
          </w:p>
        </w:tc>
        <w:tc>
          <w:tcPr>
            <w:tcW w:w="1320" w:type="dxa"/>
            <w:vAlign w:val="bottom"/>
            <w:tcBorders>
              <w:bottom w:val="single" w:sz="8" w:color="E2E8F1"/>
            </w:tcBorders>
            <w:shd w:val="clear" w:color="auto" w:fill="E2E8F1"/>
          </w:tcPr>
          <w:p>
            <w:pPr>
              <w:spacing w:after="0"/>
              <w:rPr>
                <w:sz w:val="13"/>
                <w:szCs w:val="13"/>
                <w:color w:val="auto"/>
              </w:rPr>
            </w:pPr>
          </w:p>
        </w:tc>
        <w:tc>
          <w:tcPr>
            <w:tcW w:w="1740" w:type="dxa"/>
            <w:vAlign w:val="bottom"/>
            <w:tcBorders>
              <w:bottom w:val="single" w:sz="8" w:color="E2E8F1"/>
            </w:tcBorders>
            <w:shd w:val="clear" w:color="auto" w:fill="E2E8F1"/>
          </w:tcPr>
          <w:p>
            <w:pPr>
              <w:spacing w:after="0"/>
              <w:rPr>
                <w:sz w:val="13"/>
                <w:szCs w:val="13"/>
                <w:color w:val="auto"/>
              </w:rPr>
            </w:pPr>
          </w:p>
        </w:tc>
        <w:tc>
          <w:tcPr>
            <w:tcW w:w="1400" w:type="dxa"/>
            <w:vAlign w:val="bottom"/>
            <w:tcBorders>
              <w:bottom w:val="single" w:sz="8" w:color="E2E8F1"/>
            </w:tcBorders>
            <w:shd w:val="clear" w:color="auto" w:fill="E2E8F1"/>
          </w:tcPr>
          <w:p>
            <w:pPr>
              <w:spacing w:after="0"/>
              <w:rPr>
                <w:sz w:val="13"/>
                <w:szCs w:val="13"/>
                <w:color w:val="auto"/>
              </w:rPr>
            </w:pP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Intercompany Eliminations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w:t>
            </w:r>
          </w:p>
        </w:tc>
        <w:tc>
          <w:tcPr>
            <w:tcW w:w="1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5"/>
        </w:trPr>
        <w:tc>
          <w:tcPr>
            <w:tcW w:w="2920" w:type="dxa"/>
            <w:vAlign w:val="bottom"/>
            <w:tcBorders>
              <w:bottom w:val="single" w:sz="8" w:color="E2E8F1"/>
            </w:tcBorders>
            <w:shd w:val="clear" w:color="auto" w:fill="E2E8F1"/>
          </w:tcPr>
          <w:p>
            <w:pPr>
              <w:spacing w:after="0" w:line="155" w:lineRule="exact"/>
              <w:rPr>
                <w:sz w:val="20"/>
                <w:szCs w:val="20"/>
                <w:color w:val="auto"/>
              </w:rPr>
            </w:pPr>
            <w:r>
              <w:rPr>
                <w:rFonts w:ascii="Arial" w:cs="Arial" w:eastAsia="Arial" w:hAnsi="Arial"/>
                <w:sz w:val="14"/>
                <w:szCs w:val="14"/>
                <w:color w:val="auto"/>
              </w:rPr>
              <w:t>Consolidated</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E2E8F1"/>
          </w:tcPr>
          <w:p>
            <w:pPr>
              <w:jc w:val="right"/>
              <w:ind w:right="48"/>
              <w:spacing w:after="0" w:line="142" w:lineRule="exact"/>
              <w:rPr>
                <w:sz w:val="20"/>
                <w:szCs w:val="20"/>
                <w:color w:val="auto"/>
              </w:rPr>
            </w:pPr>
            <w:r>
              <w:rPr>
                <w:rFonts w:ascii="Arial" w:cs="Arial" w:eastAsia="Arial" w:hAnsi="Arial"/>
                <w:sz w:val="14"/>
                <w:szCs w:val="14"/>
                <w:color w:val="auto"/>
              </w:rPr>
              <w:t>4,840.0</w:t>
            </w:r>
          </w:p>
        </w:tc>
        <w:tc>
          <w:tcPr>
            <w:tcW w:w="1400" w:type="dxa"/>
            <w:vAlign w:val="bottom"/>
            <w:tcBorders>
              <w:bottom w:val="single" w:sz="8" w:color="E2E8F1"/>
            </w:tcBorders>
            <w:shd w:val="clear" w:color="auto" w:fill="E2E8F1"/>
          </w:tcPr>
          <w:p>
            <w:pPr>
              <w:jc w:val="right"/>
              <w:ind w:right="128"/>
              <w:spacing w:after="0" w:line="155" w:lineRule="exact"/>
              <w:rPr>
                <w:sz w:val="20"/>
                <w:szCs w:val="20"/>
                <w:color w:val="auto"/>
              </w:rPr>
            </w:pPr>
            <w:r>
              <w:rPr>
                <w:rFonts w:ascii="Arial" w:cs="Arial" w:eastAsia="Arial" w:hAnsi="Arial"/>
                <w:sz w:val="14"/>
                <w:szCs w:val="14"/>
                <w:color w:val="auto"/>
              </w:rPr>
              <w:t>4.4%</w:t>
            </w:r>
          </w:p>
        </w:tc>
        <w:tc>
          <w:tcPr>
            <w:tcW w:w="1280" w:type="dxa"/>
            <w:vAlign w:val="bottom"/>
            <w:tcBorders>
              <w:bottom w:val="single" w:sz="8" w:color="E2E8F1"/>
            </w:tcBorders>
            <w:shd w:val="clear" w:color="auto" w:fill="E2E8F1"/>
          </w:tcPr>
          <w:p>
            <w:pPr>
              <w:jc w:val="right"/>
              <w:ind w:right="68"/>
              <w:spacing w:after="0" w:line="155" w:lineRule="exact"/>
              <w:rPr>
                <w:sz w:val="20"/>
                <w:szCs w:val="20"/>
                <w:color w:val="auto"/>
              </w:rPr>
            </w:pPr>
            <w:r>
              <w:rPr>
                <w:rFonts w:ascii="Arial" w:cs="Arial" w:eastAsia="Arial" w:hAnsi="Arial"/>
                <w:sz w:val="14"/>
                <w:szCs w:val="14"/>
                <w:color w:val="auto"/>
              </w:rPr>
              <w:t>(0.8)%</w:t>
            </w:r>
          </w:p>
        </w:tc>
        <w:tc>
          <w:tcPr>
            <w:tcW w:w="1320" w:type="dxa"/>
            <w:vAlign w:val="bottom"/>
            <w:tcBorders>
              <w:bottom w:val="single" w:sz="8" w:color="E2E8F1"/>
            </w:tcBorders>
            <w:shd w:val="clear" w:color="auto" w:fill="E2E8F1"/>
          </w:tcPr>
          <w:p>
            <w:pPr>
              <w:jc w:val="right"/>
              <w:ind w:right="168"/>
              <w:spacing w:after="0" w:line="155" w:lineRule="exact"/>
              <w:rPr>
                <w:sz w:val="20"/>
                <w:szCs w:val="20"/>
                <w:color w:val="auto"/>
              </w:rPr>
            </w:pPr>
            <w:r>
              <w:rPr>
                <w:rFonts w:ascii="Arial" w:cs="Arial" w:eastAsia="Arial" w:hAnsi="Arial"/>
                <w:sz w:val="14"/>
                <w:szCs w:val="14"/>
                <w:color w:val="auto"/>
              </w:rPr>
              <w:t>5.2%</w:t>
            </w:r>
          </w:p>
        </w:tc>
        <w:tc>
          <w:tcPr>
            <w:tcW w:w="1740" w:type="dxa"/>
            <w:vAlign w:val="bottom"/>
            <w:tcBorders>
              <w:bottom w:val="single" w:sz="8" w:color="E2E8F1"/>
            </w:tcBorders>
            <w:shd w:val="clear" w:color="auto" w:fill="E2E8F1"/>
          </w:tcPr>
          <w:p>
            <w:pPr>
              <w:jc w:val="right"/>
              <w:ind w:right="148"/>
              <w:spacing w:after="0" w:line="155" w:lineRule="exact"/>
              <w:rPr>
                <w:sz w:val="20"/>
                <w:szCs w:val="20"/>
                <w:color w:val="auto"/>
              </w:rPr>
            </w:pPr>
            <w:r>
              <w:rPr>
                <w:rFonts w:ascii="Arial" w:cs="Arial" w:eastAsia="Arial" w:hAnsi="Arial"/>
                <w:sz w:val="14"/>
                <w:szCs w:val="14"/>
                <w:color w:val="auto"/>
              </w:rPr>
              <w:t>(0.4)%</w:t>
            </w:r>
          </w:p>
        </w:tc>
        <w:tc>
          <w:tcPr>
            <w:tcW w:w="140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5.6%</w:t>
            </w:r>
          </w:p>
        </w:tc>
      </w:tr>
      <w:tr>
        <w:trPr>
          <w:trHeight w:val="143"/>
        </w:trPr>
        <w:tc>
          <w:tcPr>
            <w:tcW w:w="2920" w:type="dxa"/>
            <w:vAlign w:val="bottom"/>
          </w:tcPr>
          <w:p>
            <w:pPr>
              <w:spacing w:after="0" w:line="143" w:lineRule="exact"/>
              <w:rPr>
                <w:sz w:val="20"/>
                <w:szCs w:val="20"/>
                <w:color w:val="auto"/>
              </w:rPr>
            </w:pPr>
            <w:r>
              <w:rPr>
                <w:rFonts w:ascii="Arial" w:cs="Arial" w:eastAsia="Arial" w:hAnsi="Arial"/>
                <w:sz w:val="14"/>
                <w:szCs w:val="14"/>
                <w:color w:val="auto"/>
              </w:rPr>
              <w:t>Gross Profit</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767.3</w:t>
            </w:r>
          </w:p>
        </w:tc>
        <w:tc>
          <w:tcPr>
            <w:tcW w:w="1400" w:type="dxa"/>
            <w:vAlign w:val="bottom"/>
          </w:tcPr>
          <w:p>
            <w:pPr>
              <w:jc w:val="right"/>
              <w:ind w:right="68"/>
              <w:spacing w:after="0" w:line="143" w:lineRule="exact"/>
              <w:rPr>
                <w:sz w:val="20"/>
                <w:szCs w:val="20"/>
                <w:color w:val="auto"/>
              </w:rPr>
            </w:pPr>
            <w:r>
              <w:rPr>
                <w:rFonts w:ascii="Arial" w:cs="Arial" w:eastAsia="Arial" w:hAnsi="Arial"/>
                <w:sz w:val="14"/>
                <w:szCs w:val="14"/>
                <w:color w:val="auto"/>
              </w:rPr>
              <w:t>(0.2)%</w:t>
            </w:r>
          </w:p>
        </w:tc>
        <w:tc>
          <w:tcPr>
            <w:tcW w:w="1280" w:type="dxa"/>
            <w:vAlign w:val="bottom"/>
          </w:tcPr>
          <w:p>
            <w:pPr>
              <w:jc w:val="right"/>
              <w:ind w:right="68"/>
              <w:spacing w:after="0" w:line="143" w:lineRule="exact"/>
              <w:rPr>
                <w:sz w:val="20"/>
                <w:szCs w:val="20"/>
                <w:color w:val="auto"/>
              </w:rPr>
            </w:pPr>
            <w:r>
              <w:rPr>
                <w:rFonts w:ascii="Arial" w:cs="Arial" w:eastAsia="Arial" w:hAnsi="Arial"/>
                <w:sz w:val="14"/>
                <w:szCs w:val="14"/>
                <w:color w:val="auto"/>
              </w:rPr>
              <w:t>(0.6)%</w:t>
            </w:r>
          </w:p>
        </w:tc>
        <w:tc>
          <w:tcPr>
            <w:tcW w:w="1320" w:type="dxa"/>
            <w:vAlign w:val="bottom"/>
          </w:tcPr>
          <w:p>
            <w:pPr>
              <w:jc w:val="right"/>
              <w:ind w:right="168"/>
              <w:spacing w:after="0" w:line="143" w:lineRule="exact"/>
              <w:rPr>
                <w:sz w:val="20"/>
                <w:szCs w:val="20"/>
                <w:color w:val="auto"/>
              </w:rPr>
            </w:pPr>
            <w:r>
              <w:rPr>
                <w:rFonts w:ascii="Arial" w:cs="Arial" w:eastAsia="Arial" w:hAnsi="Arial"/>
                <w:sz w:val="14"/>
                <w:szCs w:val="14"/>
                <w:color w:val="auto"/>
              </w:rPr>
              <w:t>0.4%</w:t>
            </w:r>
          </w:p>
        </w:tc>
        <w:tc>
          <w:tcPr>
            <w:tcW w:w="1740" w:type="dxa"/>
            <w:vAlign w:val="bottom"/>
          </w:tcPr>
          <w:p>
            <w:pPr>
              <w:jc w:val="right"/>
              <w:ind w:right="148"/>
              <w:spacing w:after="0" w:line="143" w:lineRule="exact"/>
              <w:rPr>
                <w:sz w:val="20"/>
                <w:szCs w:val="20"/>
                <w:color w:val="auto"/>
              </w:rPr>
            </w:pPr>
            <w:r>
              <w:rPr>
                <w:rFonts w:ascii="Arial" w:cs="Arial" w:eastAsia="Arial" w:hAnsi="Arial"/>
                <w:sz w:val="14"/>
                <w:szCs w:val="14"/>
                <w:color w:val="auto"/>
              </w:rPr>
              <w:t>(1.0)%</w:t>
            </w:r>
          </w:p>
        </w:tc>
        <w:tc>
          <w:tcPr>
            <w:tcW w:w="1400" w:type="dxa"/>
            <w:vAlign w:val="bottom"/>
          </w:tcPr>
          <w:p>
            <w:pPr>
              <w:jc w:val="right"/>
              <w:spacing w:after="0" w:line="143" w:lineRule="exact"/>
              <w:rPr>
                <w:sz w:val="20"/>
                <w:szCs w:val="20"/>
                <w:color w:val="auto"/>
              </w:rPr>
            </w:pPr>
            <w:r>
              <w:rPr>
                <w:rFonts w:ascii="Arial" w:cs="Arial" w:eastAsia="Arial" w:hAnsi="Arial"/>
                <w:sz w:val="14"/>
                <w:szCs w:val="14"/>
                <w:color w:val="auto"/>
              </w:rPr>
              <w:t>1.4%</w:t>
            </w:r>
          </w:p>
        </w:tc>
      </w:tr>
      <w:tr>
        <w:trPr>
          <w:trHeight w:val="162"/>
        </w:trPr>
        <w:tc>
          <w:tcPr>
            <w:tcW w:w="2920" w:type="dxa"/>
            <w:vAlign w:val="bottom"/>
            <w:shd w:val="clear" w:color="auto" w:fill="E2E8F1"/>
          </w:tcPr>
          <w:p>
            <w:pPr>
              <w:spacing w:after="0"/>
              <w:rPr>
                <w:sz w:val="20"/>
                <w:szCs w:val="20"/>
                <w:color w:val="auto"/>
              </w:rPr>
            </w:pPr>
            <w:r>
              <w:rPr>
                <w:rFonts w:ascii="Arial" w:cs="Arial" w:eastAsia="Arial" w:hAnsi="Arial"/>
                <w:sz w:val="14"/>
                <w:szCs w:val="14"/>
                <w:color w:val="auto"/>
              </w:rPr>
              <w:t>Selling and Administrative Expenses</w:t>
            </w:r>
          </w:p>
        </w:tc>
        <w:tc>
          <w:tcPr>
            <w:tcW w:w="22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685.0</w:t>
            </w:r>
          </w:p>
        </w:tc>
        <w:tc>
          <w:tcPr>
            <w:tcW w:w="1400" w:type="dxa"/>
            <w:vAlign w:val="bottom"/>
            <w:shd w:val="clear" w:color="auto" w:fill="E2E8F1"/>
          </w:tcPr>
          <w:p>
            <w:pPr>
              <w:jc w:val="right"/>
              <w:ind w:right="68"/>
              <w:spacing w:after="0"/>
              <w:rPr>
                <w:sz w:val="20"/>
                <w:szCs w:val="20"/>
                <w:color w:val="auto"/>
              </w:rPr>
            </w:pPr>
            <w:r>
              <w:rPr>
                <w:rFonts w:ascii="Arial" w:cs="Arial" w:eastAsia="Arial" w:hAnsi="Arial"/>
                <w:sz w:val="14"/>
                <w:szCs w:val="14"/>
                <w:color w:val="auto"/>
              </w:rPr>
              <w:t>(2.5)%</w:t>
            </w:r>
          </w:p>
        </w:tc>
        <w:tc>
          <w:tcPr>
            <w:tcW w:w="1280" w:type="dxa"/>
            <w:vAlign w:val="bottom"/>
            <w:shd w:val="clear" w:color="auto" w:fill="E2E8F1"/>
          </w:tcPr>
          <w:p>
            <w:pPr>
              <w:jc w:val="right"/>
              <w:ind w:right="68"/>
              <w:spacing w:after="0"/>
              <w:rPr>
                <w:sz w:val="20"/>
                <w:szCs w:val="20"/>
                <w:color w:val="auto"/>
              </w:rPr>
            </w:pPr>
            <w:r>
              <w:rPr>
                <w:rFonts w:ascii="Arial" w:cs="Arial" w:eastAsia="Arial" w:hAnsi="Arial"/>
                <w:sz w:val="14"/>
                <w:szCs w:val="14"/>
                <w:color w:val="auto"/>
              </w:rPr>
              <w:t>(0.5)%</w:t>
            </w:r>
          </w:p>
        </w:tc>
        <w:tc>
          <w:tcPr>
            <w:tcW w:w="1320" w:type="dxa"/>
            <w:vAlign w:val="bottom"/>
            <w:shd w:val="clear" w:color="auto" w:fill="E2E8F1"/>
          </w:tcPr>
          <w:p>
            <w:pPr>
              <w:jc w:val="right"/>
              <w:ind w:right="128"/>
              <w:spacing w:after="0"/>
              <w:rPr>
                <w:sz w:val="20"/>
                <w:szCs w:val="20"/>
                <w:color w:val="auto"/>
              </w:rPr>
            </w:pPr>
            <w:r>
              <w:rPr>
                <w:rFonts w:ascii="Arial" w:cs="Arial" w:eastAsia="Arial" w:hAnsi="Arial"/>
                <w:sz w:val="14"/>
                <w:szCs w:val="14"/>
                <w:color w:val="auto"/>
              </w:rPr>
              <w:t>(2.0)%</w:t>
            </w:r>
          </w:p>
        </w:tc>
        <w:tc>
          <w:tcPr>
            <w:tcW w:w="1740" w:type="dxa"/>
            <w:vAlign w:val="bottom"/>
            <w:shd w:val="clear" w:color="auto" w:fill="E2E8F1"/>
          </w:tcPr>
          <w:p>
            <w:pPr>
              <w:jc w:val="right"/>
              <w:ind w:right="148"/>
              <w:spacing w:after="0"/>
              <w:rPr>
                <w:sz w:val="20"/>
                <w:szCs w:val="20"/>
                <w:color w:val="auto"/>
              </w:rPr>
            </w:pPr>
            <w:r>
              <w:rPr>
                <w:rFonts w:ascii="Arial" w:cs="Arial" w:eastAsia="Arial" w:hAnsi="Arial"/>
                <w:sz w:val="14"/>
                <w:szCs w:val="14"/>
                <w:color w:val="auto"/>
              </w:rPr>
              <w:t>(0.7)%</w:t>
            </w:r>
          </w:p>
        </w:tc>
        <w:tc>
          <w:tcPr>
            <w:tcW w:w="14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w:t>
            </w:r>
          </w:p>
        </w:tc>
      </w:tr>
      <w:tr>
        <w:trPr>
          <w:trHeight w:val="190"/>
        </w:trPr>
        <w:tc>
          <w:tcPr>
            <w:tcW w:w="2920" w:type="dxa"/>
            <w:vAlign w:val="bottom"/>
          </w:tcPr>
          <w:p>
            <w:pPr>
              <w:spacing w:after="0"/>
              <w:rPr>
                <w:sz w:val="20"/>
                <w:szCs w:val="20"/>
                <w:color w:val="auto"/>
              </w:rPr>
            </w:pPr>
            <w:r>
              <w:rPr>
                <w:rFonts w:ascii="Arial" w:cs="Arial" w:eastAsia="Arial" w:hAnsi="Arial"/>
                <w:sz w:val="14"/>
                <w:szCs w:val="14"/>
                <w:color w:val="auto"/>
              </w:rPr>
              <w:t>Operating Profit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82.3</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23.7%</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26.2%</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(4.5)%</w:t>
            </w:r>
          </w:p>
        </w:tc>
        <w:tc>
          <w:tcPr>
            <w:tcW w:w="1400" w:type="dxa"/>
            <w:vAlign w:val="bottom"/>
          </w:tcPr>
          <w:p>
            <w:pPr>
              <w:jc w:val="right"/>
              <w:spacing w:after="0"/>
              <w:rPr>
                <w:sz w:val="20"/>
                <w:szCs w:val="20"/>
                <w:color w:val="auto"/>
              </w:rPr>
            </w:pPr>
            <w:r>
              <w:rPr>
                <w:rFonts w:ascii="Arial" w:cs="Arial" w:eastAsia="Arial" w:hAnsi="Arial"/>
                <w:sz w:val="14"/>
                <w:szCs w:val="14"/>
                <w:color w:val="auto"/>
              </w:rPr>
              <w:t>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-1431925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-1011555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-574675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-351790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-334645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2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80" w:type="dxa"/>
            <w:vAlign w:val="bottom"/>
            <w:tcBorders>
              <w:top w:val="single" w:sz="8" w:color="auto"/>
              <w:bottom w:val="single" w:sz="8" w:color="auto"/>
            </w:tcBorders>
            <w:shd w:val="clear" w:color="auto" w:fill="98B0CF"/>
          </w:tcPr>
          <w:p>
            <w:pPr>
              <w:spacing w:after="0"/>
              <w:rPr>
                <w:sz w:val="15"/>
                <w:szCs w:val="15"/>
                <w:color w:val="auto"/>
              </w:rPr>
            </w:pPr>
          </w:p>
        </w:tc>
        <w:tc>
          <w:tcPr>
            <w:tcW w:w="780" w:type="dxa"/>
            <w:vAlign w:val="bottom"/>
            <w:tcBorders>
              <w:top w:val="single" w:sz="8" w:color="auto"/>
              <w:bottom w:val="single" w:sz="8" w:color="auto"/>
            </w:tcBorders>
            <w:shd w:val="clear" w:color="auto" w:fill="98B0CF"/>
          </w:tcPr>
          <w:p>
            <w:pPr>
              <w:spacing w:after="0"/>
              <w:rPr>
                <w:sz w:val="15"/>
                <w:szCs w:val="15"/>
                <w:color w:val="auto"/>
              </w:rPr>
            </w:pPr>
          </w:p>
        </w:tc>
        <w:tc>
          <w:tcPr>
            <w:tcW w:w="5120" w:type="dxa"/>
            <w:vAlign w:val="bottom"/>
            <w:tcBorders>
              <w:top w:val="single" w:sz="8" w:color="auto"/>
              <w:bottom w:val="single" w:sz="8" w:color="auto"/>
            </w:tcBorders>
            <w:gridSpan w:val="4"/>
            <w:shd w:val="clear" w:color="auto" w:fill="98B0CF"/>
          </w:tcPr>
          <w:p>
            <w:pPr>
              <w:ind w:left="920"/>
              <w:spacing w:after="0"/>
              <w:rPr>
                <w:sz w:val="20"/>
                <w:szCs w:val="20"/>
                <w:color w:val="auto"/>
              </w:rPr>
            </w:pPr>
            <w:r>
              <w:rPr>
                <w:rFonts w:ascii="Arial" w:cs="Arial" w:eastAsia="Arial" w:hAnsi="Arial"/>
                <w:sz w:val="14"/>
                <w:szCs w:val="14"/>
                <w:b w:val="1"/>
                <w:bCs w:val="1"/>
                <w:color w:val="auto"/>
              </w:rPr>
              <w:t>Nine Months Ended September 30, 2026, Compared to 2025</w:t>
            </w:r>
          </w:p>
        </w:tc>
        <w:tc>
          <w:tcPr>
            <w:tcW w:w="760" w:type="dxa"/>
            <w:vAlign w:val="bottom"/>
            <w:tcBorders>
              <w:top w:val="single" w:sz="8" w:color="auto"/>
              <w:bottom w:val="single" w:sz="8" w:color="auto"/>
            </w:tcBorders>
            <w:shd w:val="clear" w:color="auto" w:fill="98B0CF"/>
          </w:tcPr>
          <w:p>
            <w:pPr>
              <w:spacing w:after="0"/>
              <w:rPr>
                <w:sz w:val="15"/>
                <w:szCs w:val="15"/>
                <w:color w:val="auto"/>
              </w:rPr>
            </w:pPr>
          </w:p>
        </w:tc>
        <w:tc>
          <w:tcPr>
            <w:tcW w:w="1060" w:type="dxa"/>
            <w:vAlign w:val="bottom"/>
            <w:tcBorders>
              <w:top w:val="single" w:sz="8" w:color="auto"/>
              <w:bottom w:val="single" w:sz="8" w:color="auto"/>
            </w:tcBorders>
            <w:shd w:val="clear" w:color="auto" w:fill="98B0CF"/>
          </w:tcPr>
          <w:p>
            <w:pPr>
              <w:spacing w:after="0"/>
              <w:rPr>
                <w:sz w:val="15"/>
                <w:szCs w:val="15"/>
                <w:color w:val="auto"/>
              </w:rPr>
            </w:pPr>
          </w:p>
        </w:tc>
      </w:tr>
      <w:tr>
        <w:trPr>
          <w:trHeight w:val="146"/>
        </w:trPr>
        <w:tc>
          <w:tcPr>
            <w:tcW w:w="332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780" w:type="dxa"/>
            <w:vAlign w:val="bottom"/>
            <w:shd w:val="clear" w:color="auto" w:fill="98B0CF"/>
          </w:tcPr>
          <w:p>
            <w:pPr>
              <w:spacing w:after="0"/>
              <w:rPr>
                <w:sz w:val="12"/>
                <w:szCs w:val="12"/>
                <w:color w:val="auto"/>
              </w:rPr>
            </w:pPr>
          </w:p>
        </w:tc>
        <w:tc>
          <w:tcPr>
            <w:tcW w:w="1260" w:type="dxa"/>
            <w:vAlign w:val="bottom"/>
            <w:shd w:val="clear" w:color="auto" w:fill="98B0CF"/>
          </w:tcPr>
          <w:p>
            <w:pPr>
              <w:spacing w:after="0"/>
              <w:rPr>
                <w:sz w:val="12"/>
                <w:szCs w:val="12"/>
                <w:color w:val="auto"/>
              </w:rPr>
            </w:pPr>
          </w:p>
        </w:tc>
        <w:tc>
          <w:tcPr>
            <w:tcW w:w="1180" w:type="dxa"/>
            <w:vAlign w:val="bottom"/>
            <w:shd w:val="clear" w:color="auto" w:fill="98B0CF"/>
          </w:tcPr>
          <w:p>
            <w:pPr>
              <w:spacing w:after="0"/>
              <w:rPr>
                <w:sz w:val="12"/>
                <w:szCs w:val="12"/>
                <w:color w:val="auto"/>
              </w:rPr>
            </w:pPr>
          </w:p>
        </w:tc>
        <w:tc>
          <w:tcPr>
            <w:tcW w:w="1380" w:type="dxa"/>
            <w:vAlign w:val="bottom"/>
            <w:shd w:val="clear" w:color="auto" w:fill="98B0CF"/>
          </w:tcPr>
          <w:p>
            <w:pPr>
              <w:spacing w:after="0"/>
              <w:rPr>
                <w:sz w:val="12"/>
                <w:szCs w:val="12"/>
                <w:color w:val="auto"/>
              </w:rPr>
            </w:pPr>
          </w:p>
        </w:tc>
        <w:tc>
          <w:tcPr>
            <w:tcW w:w="1300" w:type="dxa"/>
            <w:vAlign w:val="bottom"/>
            <w:shd w:val="clear" w:color="auto" w:fill="98B0CF"/>
          </w:tcPr>
          <w:p>
            <w:pPr>
              <w:jc w:val="center"/>
              <w:ind w:left="188"/>
              <w:spacing w:after="0" w:line="147" w:lineRule="exact"/>
              <w:rPr>
                <w:sz w:val="20"/>
                <w:szCs w:val="20"/>
                <w:color w:val="auto"/>
              </w:rPr>
            </w:pPr>
            <w:r>
              <w:rPr>
                <w:rFonts w:ascii="Arial" w:cs="Arial" w:eastAsia="Arial" w:hAnsi="Arial"/>
                <w:sz w:val="14"/>
                <w:szCs w:val="14"/>
                <w:b w:val="1"/>
                <w:bCs w:val="1"/>
                <w:color w:val="auto"/>
              </w:rPr>
              <w:t>Impact of</w:t>
            </w:r>
          </w:p>
        </w:tc>
        <w:tc>
          <w:tcPr>
            <w:tcW w:w="760" w:type="dxa"/>
            <w:vAlign w:val="bottom"/>
            <w:shd w:val="clear" w:color="auto" w:fill="98B0CF"/>
          </w:tcPr>
          <w:p>
            <w:pPr>
              <w:spacing w:after="0"/>
              <w:rPr>
                <w:sz w:val="12"/>
                <w:szCs w:val="12"/>
                <w:color w:val="auto"/>
              </w:rPr>
            </w:pPr>
          </w:p>
        </w:tc>
        <w:tc>
          <w:tcPr>
            <w:tcW w:w="1060" w:type="dxa"/>
            <w:vAlign w:val="bottom"/>
            <w:shd w:val="clear" w:color="auto" w:fill="98B0CF"/>
          </w:tcPr>
          <w:p>
            <w:pPr>
              <w:spacing w:after="0"/>
              <w:rPr>
                <w:sz w:val="12"/>
                <w:szCs w:val="12"/>
                <w:color w:val="auto"/>
              </w:rPr>
            </w:pPr>
          </w:p>
        </w:tc>
      </w:tr>
      <w:tr>
        <w:trPr>
          <w:trHeight w:val="162"/>
        </w:trPr>
        <w:tc>
          <w:tcPr>
            <w:tcW w:w="33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8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60" w:type="dxa"/>
            <w:vAlign w:val="bottom"/>
            <w:shd w:val="clear" w:color="auto" w:fill="98B0CF"/>
          </w:tcPr>
          <w:p>
            <w:pPr>
              <w:spacing w:after="0"/>
              <w:rPr>
                <w:sz w:val="14"/>
                <w:szCs w:val="14"/>
                <w:color w:val="auto"/>
              </w:rPr>
            </w:pPr>
          </w:p>
        </w:tc>
        <w:tc>
          <w:tcPr>
            <w:tcW w:w="1180" w:type="dxa"/>
            <w:vAlign w:val="bottom"/>
            <w:shd w:val="clear" w:color="auto" w:fill="98B0CF"/>
          </w:tcPr>
          <w:p>
            <w:pPr>
              <w:spacing w:after="0"/>
              <w:rPr>
                <w:sz w:val="14"/>
                <w:szCs w:val="14"/>
                <w:color w:val="auto"/>
              </w:rPr>
            </w:pPr>
          </w:p>
        </w:tc>
        <w:tc>
          <w:tcPr>
            <w:tcW w:w="1380" w:type="dxa"/>
            <w:vAlign w:val="bottom"/>
            <w:shd w:val="clear" w:color="auto" w:fill="98B0CF"/>
          </w:tcPr>
          <w:p>
            <w:pPr>
              <w:spacing w:after="0"/>
              <w:rPr>
                <w:sz w:val="14"/>
                <w:szCs w:val="14"/>
                <w:color w:val="auto"/>
              </w:rPr>
            </w:pPr>
          </w:p>
        </w:tc>
        <w:tc>
          <w:tcPr>
            <w:tcW w:w="1300" w:type="dxa"/>
            <w:vAlign w:val="bottom"/>
            <w:shd w:val="clear" w:color="auto" w:fill="98B0CF"/>
          </w:tcPr>
          <w:p>
            <w:pPr>
              <w:jc w:val="center"/>
              <w:ind w:left="168"/>
              <w:spacing w:after="0"/>
              <w:rPr>
                <w:sz w:val="20"/>
                <w:szCs w:val="20"/>
                <w:color w:val="auto"/>
              </w:rPr>
            </w:pPr>
            <w:r>
              <w:rPr>
                <w:rFonts w:ascii="Arial" w:cs="Arial" w:eastAsia="Arial" w:hAnsi="Arial"/>
                <w:sz w:val="14"/>
                <w:szCs w:val="14"/>
                <w:b w:val="1"/>
                <w:bCs w:val="1"/>
                <w:color w:val="auto"/>
              </w:rPr>
              <w:t>Acquisitions</w:t>
            </w:r>
          </w:p>
        </w:tc>
        <w:tc>
          <w:tcPr>
            <w:tcW w:w="760" w:type="dxa"/>
            <w:vAlign w:val="bottom"/>
            <w:shd w:val="clear" w:color="auto" w:fill="98B0CF"/>
          </w:tcPr>
          <w:p>
            <w:pPr>
              <w:spacing w:after="0"/>
              <w:rPr>
                <w:sz w:val="14"/>
                <w:szCs w:val="14"/>
                <w:color w:val="auto"/>
              </w:rPr>
            </w:pPr>
          </w:p>
        </w:tc>
        <w:tc>
          <w:tcPr>
            <w:tcW w:w="1060" w:type="dxa"/>
            <w:vAlign w:val="bottom"/>
            <w:shd w:val="clear" w:color="auto" w:fill="98B0CF"/>
          </w:tcPr>
          <w:p>
            <w:pPr>
              <w:spacing w:after="0"/>
              <w:rPr>
                <w:sz w:val="14"/>
                <w:szCs w:val="14"/>
                <w:color w:val="auto"/>
              </w:rPr>
            </w:pPr>
          </w:p>
        </w:tc>
      </w:tr>
      <w:tr>
        <w:trPr>
          <w:trHeight w:val="162"/>
        </w:trPr>
        <w:tc>
          <w:tcPr>
            <w:tcW w:w="33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8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60" w:type="dxa"/>
            <w:vAlign w:val="bottom"/>
            <w:shd w:val="clear" w:color="auto" w:fill="98B0CF"/>
          </w:tcPr>
          <w:p>
            <w:pPr>
              <w:spacing w:after="0"/>
              <w:rPr>
                <w:sz w:val="14"/>
                <w:szCs w:val="14"/>
                <w:color w:val="auto"/>
              </w:rPr>
            </w:pPr>
          </w:p>
        </w:tc>
        <w:tc>
          <w:tcPr>
            <w:tcW w:w="1180" w:type="dxa"/>
            <w:vAlign w:val="bottom"/>
            <w:shd w:val="clear" w:color="auto" w:fill="98B0CF"/>
          </w:tcPr>
          <w:p>
            <w:pPr>
              <w:spacing w:after="0"/>
              <w:rPr>
                <w:sz w:val="14"/>
                <w:szCs w:val="14"/>
                <w:color w:val="auto"/>
              </w:rPr>
            </w:pPr>
          </w:p>
        </w:tc>
        <w:tc>
          <w:tcPr>
            <w:tcW w:w="1380" w:type="dxa"/>
            <w:vAlign w:val="bottom"/>
            <w:shd w:val="clear" w:color="auto" w:fill="98B0CF"/>
          </w:tcPr>
          <w:p>
            <w:pPr>
              <w:spacing w:after="0"/>
              <w:rPr>
                <w:sz w:val="14"/>
                <w:szCs w:val="14"/>
                <w:color w:val="auto"/>
              </w:rPr>
            </w:pPr>
          </w:p>
        </w:tc>
        <w:tc>
          <w:tcPr>
            <w:tcW w:w="1300" w:type="dxa"/>
            <w:vAlign w:val="bottom"/>
            <w:shd w:val="clear" w:color="auto" w:fill="98B0CF"/>
          </w:tcPr>
          <w:p>
            <w:pPr>
              <w:jc w:val="center"/>
              <w:ind w:left="168"/>
              <w:spacing w:after="0"/>
              <w:rPr>
                <w:sz w:val="20"/>
                <w:szCs w:val="20"/>
                <w:color w:val="auto"/>
              </w:rPr>
            </w:pPr>
            <w:r>
              <w:rPr>
                <w:rFonts w:ascii="Arial" w:cs="Arial" w:eastAsia="Arial" w:hAnsi="Arial"/>
                <w:sz w:val="14"/>
                <w:szCs w:val="14"/>
                <w:b w:val="1"/>
                <w:bCs w:val="1"/>
                <w:color w:val="auto"/>
              </w:rPr>
              <w:t>and</w:t>
            </w:r>
          </w:p>
        </w:tc>
        <w:tc>
          <w:tcPr>
            <w:tcW w:w="76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Organic</w:t>
            </w:r>
          </w:p>
        </w:tc>
      </w:tr>
      <w:tr>
        <w:trPr>
          <w:trHeight w:val="162"/>
        </w:trPr>
        <w:tc>
          <w:tcPr>
            <w:tcW w:w="33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8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60" w:type="dxa"/>
            <w:vAlign w:val="bottom"/>
            <w:shd w:val="clear" w:color="auto" w:fill="98B0CF"/>
          </w:tcPr>
          <w:p>
            <w:pPr>
              <w:spacing w:after="0"/>
              <w:rPr>
                <w:sz w:val="14"/>
                <w:szCs w:val="14"/>
                <w:color w:val="auto"/>
              </w:rPr>
            </w:pPr>
          </w:p>
        </w:tc>
        <w:tc>
          <w:tcPr>
            <w:tcW w:w="1180" w:type="dxa"/>
            <w:vAlign w:val="bottom"/>
            <w:shd w:val="clear" w:color="auto" w:fill="98B0CF"/>
          </w:tcPr>
          <w:p>
            <w:pPr>
              <w:spacing w:after="0"/>
              <w:rPr>
                <w:sz w:val="14"/>
                <w:szCs w:val="14"/>
                <w:color w:val="auto"/>
              </w:rPr>
            </w:pPr>
          </w:p>
        </w:tc>
        <w:tc>
          <w:tcPr>
            <w:tcW w:w="1380" w:type="dxa"/>
            <w:vAlign w:val="bottom"/>
            <w:shd w:val="clear" w:color="auto" w:fill="98B0CF"/>
          </w:tcPr>
          <w:p>
            <w:pPr>
              <w:ind w:left="120"/>
              <w:spacing w:after="0"/>
              <w:rPr>
                <w:sz w:val="20"/>
                <w:szCs w:val="20"/>
                <w:color w:val="auto"/>
              </w:rPr>
            </w:pPr>
            <w:r>
              <w:rPr>
                <w:rFonts w:ascii="Arial" w:cs="Arial" w:eastAsia="Arial" w:hAnsi="Arial"/>
                <w:sz w:val="14"/>
                <w:szCs w:val="14"/>
                <w:b w:val="1"/>
                <w:bCs w:val="1"/>
                <w:color w:val="auto"/>
              </w:rPr>
              <w:t>Constant</w:t>
            </w:r>
          </w:p>
        </w:tc>
        <w:tc>
          <w:tcPr>
            <w:tcW w:w="1300" w:type="dxa"/>
            <w:vAlign w:val="bottom"/>
            <w:shd w:val="clear" w:color="auto" w:fill="98B0CF"/>
          </w:tcPr>
          <w:p>
            <w:pPr>
              <w:jc w:val="center"/>
              <w:ind w:left="168"/>
              <w:spacing w:after="0"/>
              <w:rPr>
                <w:sz w:val="20"/>
                <w:szCs w:val="20"/>
                <w:color w:val="auto"/>
              </w:rPr>
            </w:pPr>
            <w:r>
              <w:rPr>
                <w:rFonts w:ascii="Arial" w:cs="Arial" w:eastAsia="Arial" w:hAnsi="Arial"/>
                <w:sz w:val="14"/>
                <w:szCs w:val="14"/>
                <w:b w:val="1"/>
                <w:bCs w:val="1"/>
                <w:color w:val="auto"/>
              </w:rPr>
              <w:t>Dispositions</w:t>
            </w:r>
          </w:p>
        </w:tc>
        <w:tc>
          <w:tcPr>
            <w:tcW w:w="76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33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860" w:type="dxa"/>
            <w:vAlign w:val="bottom"/>
            <w:gridSpan w:val="2"/>
            <w:shd w:val="clear" w:color="auto" w:fill="98B0CF"/>
          </w:tcPr>
          <w:p>
            <w:pPr>
              <w:jc w:val="right"/>
              <w:ind w:right="108"/>
              <w:spacing w:after="0"/>
              <w:rPr>
                <w:sz w:val="20"/>
                <w:szCs w:val="20"/>
                <w:color w:val="auto"/>
              </w:rPr>
            </w:pPr>
            <w:r>
              <w:rPr>
                <w:rFonts w:ascii="Arial" w:cs="Arial" w:eastAsia="Arial" w:hAnsi="Arial"/>
                <w:sz w:val="14"/>
                <w:szCs w:val="14"/>
                <w:b w:val="1"/>
                <w:bCs w:val="1"/>
                <w:color w:val="auto"/>
              </w:rPr>
              <w:t>Reported</w:t>
            </w:r>
          </w:p>
        </w:tc>
        <w:tc>
          <w:tcPr>
            <w:tcW w:w="1260" w:type="dxa"/>
            <w:vAlign w:val="bottom"/>
            <w:shd w:val="clear" w:color="auto" w:fill="98B0CF"/>
          </w:tcPr>
          <w:p>
            <w:pPr>
              <w:jc w:val="right"/>
              <w:ind w:right="328"/>
              <w:spacing w:after="0"/>
              <w:rPr>
                <w:sz w:val="20"/>
                <w:szCs w:val="20"/>
                <w:color w:val="auto"/>
              </w:rPr>
            </w:pPr>
            <w:r>
              <w:rPr>
                <w:rFonts w:ascii="Arial" w:cs="Arial" w:eastAsia="Arial" w:hAnsi="Arial"/>
                <w:sz w:val="14"/>
                <w:szCs w:val="14"/>
                <w:b w:val="1"/>
                <w:bCs w:val="1"/>
                <w:color w:val="auto"/>
              </w:rPr>
              <w:t>Reported</w:t>
            </w:r>
          </w:p>
        </w:tc>
        <w:tc>
          <w:tcPr>
            <w:tcW w:w="1180" w:type="dxa"/>
            <w:vAlign w:val="bottom"/>
            <w:shd w:val="clear" w:color="auto" w:fill="98B0CF"/>
          </w:tcPr>
          <w:p>
            <w:pPr>
              <w:jc w:val="right"/>
              <w:ind w:right="348"/>
              <w:spacing w:after="0"/>
              <w:rPr>
                <w:sz w:val="20"/>
                <w:szCs w:val="20"/>
                <w:color w:val="auto"/>
              </w:rPr>
            </w:pPr>
            <w:r>
              <w:rPr>
                <w:rFonts w:ascii="Arial" w:cs="Arial" w:eastAsia="Arial" w:hAnsi="Arial"/>
                <w:sz w:val="14"/>
                <w:szCs w:val="14"/>
                <w:b w:val="1"/>
                <w:bCs w:val="1"/>
                <w:color w:val="auto"/>
              </w:rPr>
              <w:t>Impact of</w:t>
            </w:r>
          </w:p>
        </w:tc>
        <w:tc>
          <w:tcPr>
            <w:tcW w:w="1380" w:type="dxa"/>
            <w:vAlign w:val="bottom"/>
            <w:shd w:val="clear" w:color="auto" w:fill="98B0CF"/>
          </w:tcPr>
          <w:p>
            <w:pPr>
              <w:ind w:left="120"/>
              <w:spacing w:after="0"/>
              <w:rPr>
                <w:sz w:val="20"/>
                <w:szCs w:val="20"/>
                <w:color w:val="auto"/>
              </w:rPr>
            </w:pPr>
            <w:r>
              <w:rPr>
                <w:rFonts w:ascii="Arial" w:cs="Arial" w:eastAsia="Arial" w:hAnsi="Arial"/>
                <w:sz w:val="14"/>
                <w:szCs w:val="14"/>
                <w:b w:val="1"/>
                <w:bCs w:val="1"/>
                <w:color w:val="auto"/>
              </w:rPr>
              <w:t>Currency</w:t>
            </w:r>
          </w:p>
        </w:tc>
        <w:tc>
          <w:tcPr>
            <w:tcW w:w="1300" w:type="dxa"/>
            <w:vAlign w:val="bottom"/>
            <w:shd w:val="clear" w:color="auto" w:fill="98B0CF"/>
          </w:tcPr>
          <w:p>
            <w:pPr>
              <w:jc w:val="center"/>
              <w:ind w:left="188"/>
              <w:spacing w:after="0"/>
              <w:rPr>
                <w:sz w:val="20"/>
                <w:szCs w:val="20"/>
                <w:color w:val="auto"/>
              </w:rPr>
            </w:pPr>
            <w:r>
              <w:rPr>
                <w:rFonts w:ascii="Arial" w:cs="Arial" w:eastAsia="Arial" w:hAnsi="Arial"/>
                <w:sz w:val="14"/>
                <w:szCs w:val="14"/>
                <w:b w:val="1"/>
                <w:bCs w:val="1"/>
                <w:color w:val="auto"/>
              </w:rPr>
              <w:t>(In Constant</w:t>
            </w:r>
          </w:p>
        </w:tc>
        <w:tc>
          <w:tcPr>
            <w:tcW w:w="76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332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80" w:type="dxa"/>
            <w:vAlign w:val="bottom"/>
            <w:tcBorders>
              <w:bottom w:val="single" w:sz="8" w:color="auto"/>
            </w:tcBorders>
            <w:shd w:val="clear" w:color="auto" w:fill="98B0CF"/>
          </w:tcPr>
          <w:p>
            <w:pPr>
              <w:spacing w:after="0"/>
              <w:rPr>
                <w:sz w:val="14"/>
                <w:szCs w:val="14"/>
                <w:color w:val="auto"/>
              </w:rPr>
            </w:pPr>
          </w:p>
        </w:tc>
        <w:tc>
          <w:tcPr>
            <w:tcW w:w="780" w:type="dxa"/>
            <w:vAlign w:val="bottom"/>
            <w:tcBorders>
              <w:bottom w:val="single" w:sz="8" w:color="auto"/>
            </w:tcBorders>
            <w:shd w:val="clear" w:color="auto" w:fill="98B0CF"/>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bottom w:val="single" w:sz="8" w:color="auto"/>
            </w:tcBorders>
            <w:shd w:val="clear" w:color="auto" w:fill="98B0CF"/>
          </w:tcPr>
          <w:p>
            <w:pPr>
              <w:jc w:val="right"/>
              <w:ind w:right="348"/>
              <w:spacing w:after="0"/>
              <w:rPr>
                <w:sz w:val="20"/>
                <w:szCs w:val="20"/>
                <w:color w:val="auto"/>
              </w:rPr>
            </w:pPr>
            <w:r>
              <w:rPr>
                <w:rFonts w:ascii="Arial" w:cs="Arial" w:eastAsia="Arial" w:hAnsi="Arial"/>
                <w:sz w:val="14"/>
                <w:szCs w:val="14"/>
                <w:b w:val="1"/>
                <w:bCs w:val="1"/>
                <w:color w:val="auto"/>
              </w:rPr>
              <w:t>Variance</w:t>
            </w:r>
          </w:p>
        </w:tc>
        <w:tc>
          <w:tcPr>
            <w:tcW w:w="1180" w:type="dxa"/>
            <w:vAlign w:val="bottom"/>
            <w:tcBorders>
              <w:bottom w:val="single" w:sz="8" w:color="auto"/>
            </w:tcBorders>
            <w:shd w:val="clear" w:color="auto" w:fill="98B0CF"/>
          </w:tcPr>
          <w:p>
            <w:pPr>
              <w:jc w:val="right"/>
              <w:ind w:right="348"/>
              <w:spacing w:after="0"/>
              <w:rPr>
                <w:sz w:val="20"/>
                <w:szCs w:val="20"/>
                <w:color w:val="auto"/>
              </w:rPr>
            </w:pPr>
            <w:r>
              <w:rPr>
                <w:rFonts w:ascii="Arial" w:cs="Arial" w:eastAsia="Arial" w:hAnsi="Arial"/>
                <w:sz w:val="14"/>
                <w:szCs w:val="14"/>
                <w:b w:val="1"/>
                <w:bCs w:val="1"/>
                <w:color w:val="auto"/>
              </w:rPr>
              <w:t>Currency</w:t>
            </w:r>
          </w:p>
        </w:tc>
        <w:tc>
          <w:tcPr>
            <w:tcW w:w="1380" w:type="dxa"/>
            <w:vAlign w:val="bottom"/>
            <w:tcBorders>
              <w:bottom w:val="single" w:sz="8" w:color="auto"/>
            </w:tcBorders>
            <w:shd w:val="clear" w:color="auto" w:fill="98B0CF"/>
          </w:tcPr>
          <w:p>
            <w:pPr>
              <w:ind w:left="14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shd w:val="clear" w:color="auto" w:fill="98B0CF"/>
          </w:tcPr>
          <w:p>
            <w:pPr>
              <w:jc w:val="center"/>
              <w:ind w:left="188"/>
              <w:spacing w:after="0"/>
              <w:rPr>
                <w:sz w:val="20"/>
                <w:szCs w:val="20"/>
                <w:color w:val="auto"/>
              </w:rPr>
            </w:pPr>
            <w:r>
              <w:rPr>
                <w:rFonts w:ascii="Arial" w:cs="Arial" w:eastAsia="Arial" w:hAnsi="Arial"/>
                <w:sz w:val="14"/>
                <w:szCs w:val="14"/>
                <w:b w:val="1"/>
                <w:bCs w:val="1"/>
                <w:color w:val="auto"/>
              </w:rPr>
              <w:t>Currency)</w:t>
            </w:r>
          </w:p>
        </w:tc>
        <w:tc>
          <w:tcPr>
            <w:tcW w:w="760" w:type="dxa"/>
            <w:vAlign w:val="bottom"/>
            <w:tcBorders>
              <w:bottom w:val="single" w:sz="8" w:color="auto"/>
            </w:tcBorders>
            <w:shd w:val="clear" w:color="auto" w:fill="98B0CF"/>
          </w:tcPr>
          <w:p>
            <w:pPr>
              <w:spacing w:after="0"/>
              <w:rPr>
                <w:sz w:val="14"/>
                <w:szCs w:val="14"/>
                <w:color w:val="auto"/>
              </w:rPr>
            </w:pPr>
          </w:p>
        </w:tc>
        <w:tc>
          <w:tcPr>
            <w:tcW w:w="1060" w:type="dxa"/>
            <w:vAlign w:val="bottom"/>
            <w:tcBorders>
              <w:bottom w:val="single" w:sz="8" w:color="auto"/>
            </w:tcBorders>
            <w:shd w:val="clear" w:color="auto" w:fill="98B0CF"/>
          </w:tcPr>
          <w:p>
            <w:pPr>
              <w:jc w:val="center"/>
              <w:ind w:right="148"/>
              <w:spacing w:after="0"/>
              <w:rPr>
                <w:sz w:val="20"/>
                <w:szCs w:val="20"/>
                <w:color w:val="auto"/>
              </w:rPr>
            </w:pPr>
            <w:r>
              <w:rPr>
                <w:rFonts w:ascii="Arial" w:cs="Arial" w:eastAsia="Arial" w:hAnsi="Arial"/>
                <w:sz w:val="14"/>
                <w:szCs w:val="14"/>
                <w:b w:val="1"/>
                <w:bCs w:val="1"/>
                <w:color w:val="auto"/>
              </w:rPr>
              <w:t>Variance</w:t>
            </w:r>
          </w:p>
        </w:tc>
      </w:tr>
      <w:tr>
        <w:trPr>
          <w:trHeight w:val="155"/>
        </w:trPr>
        <w:tc>
          <w:tcPr>
            <w:tcW w:w="332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Revenues from services:</w:t>
            </w:r>
          </w:p>
        </w:tc>
        <w:tc>
          <w:tcPr>
            <w:tcW w:w="120" w:type="dxa"/>
            <w:vAlign w:val="bottom"/>
            <w:shd w:val="clear" w:color="auto" w:fill="E2E8F1"/>
          </w:tcPr>
          <w:p>
            <w:pPr>
              <w:spacing w:after="0"/>
              <w:rPr>
                <w:sz w:val="13"/>
                <w:szCs w:val="13"/>
                <w:color w:val="auto"/>
              </w:rPr>
            </w:pPr>
          </w:p>
        </w:tc>
        <w:tc>
          <w:tcPr>
            <w:tcW w:w="80" w:type="dxa"/>
            <w:vAlign w:val="bottom"/>
            <w:shd w:val="clear" w:color="auto" w:fill="E2E8F1"/>
          </w:tcPr>
          <w:p>
            <w:pPr>
              <w:spacing w:after="0"/>
              <w:rPr>
                <w:sz w:val="13"/>
                <w:szCs w:val="13"/>
                <w:color w:val="auto"/>
              </w:rPr>
            </w:pPr>
          </w:p>
        </w:tc>
        <w:tc>
          <w:tcPr>
            <w:tcW w:w="780" w:type="dxa"/>
            <w:vAlign w:val="bottom"/>
            <w:shd w:val="clear" w:color="auto" w:fill="E2E8F1"/>
          </w:tcPr>
          <w:p>
            <w:pPr>
              <w:spacing w:after="0"/>
              <w:rPr>
                <w:sz w:val="13"/>
                <w:szCs w:val="13"/>
                <w:color w:val="auto"/>
              </w:rPr>
            </w:pPr>
          </w:p>
        </w:tc>
        <w:tc>
          <w:tcPr>
            <w:tcW w:w="1260" w:type="dxa"/>
            <w:vAlign w:val="bottom"/>
            <w:shd w:val="clear" w:color="auto" w:fill="E2E8F1"/>
          </w:tcPr>
          <w:p>
            <w:pPr>
              <w:spacing w:after="0"/>
              <w:rPr>
                <w:sz w:val="13"/>
                <w:szCs w:val="13"/>
                <w:color w:val="auto"/>
              </w:rPr>
            </w:pPr>
          </w:p>
        </w:tc>
        <w:tc>
          <w:tcPr>
            <w:tcW w:w="1180" w:type="dxa"/>
            <w:vAlign w:val="bottom"/>
            <w:shd w:val="clear" w:color="auto" w:fill="E2E8F1"/>
          </w:tcPr>
          <w:p>
            <w:pPr>
              <w:spacing w:after="0"/>
              <w:rPr>
                <w:sz w:val="13"/>
                <w:szCs w:val="13"/>
                <w:color w:val="auto"/>
              </w:rPr>
            </w:pPr>
          </w:p>
        </w:tc>
        <w:tc>
          <w:tcPr>
            <w:tcW w:w="1380" w:type="dxa"/>
            <w:vAlign w:val="bottom"/>
            <w:shd w:val="clear" w:color="auto" w:fill="E2E8F1"/>
          </w:tcPr>
          <w:p>
            <w:pPr>
              <w:spacing w:after="0"/>
              <w:rPr>
                <w:sz w:val="13"/>
                <w:szCs w:val="13"/>
                <w:color w:val="auto"/>
              </w:rPr>
            </w:pPr>
          </w:p>
        </w:tc>
        <w:tc>
          <w:tcPr>
            <w:tcW w:w="1300" w:type="dxa"/>
            <w:vAlign w:val="bottom"/>
            <w:shd w:val="clear" w:color="auto" w:fill="E2E8F1"/>
          </w:tcPr>
          <w:p>
            <w:pPr>
              <w:spacing w:after="0"/>
              <w:rPr>
                <w:sz w:val="13"/>
                <w:szCs w:val="13"/>
                <w:color w:val="auto"/>
              </w:rPr>
            </w:pPr>
          </w:p>
        </w:tc>
        <w:tc>
          <w:tcPr>
            <w:tcW w:w="760" w:type="dxa"/>
            <w:vAlign w:val="bottom"/>
            <w:shd w:val="clear" w:color="auto" w:fill="E2E8F1"/>
          </w:tcPr>
          <w:p>
            <w:pPr>
              <w:spacing w:after="0"/>
              <w:rPr>
                <w:sz w:val="13"/>
                <w:szCs w:val="13"/>
                <w:color w:val="auto"/>
              </w:rPr>
            </w:pPr>
          </w:p>
        </w:tc>
        <w:tc>
          <w:tcPr>
            <w:tcW w:w="1060" w:type="dxa"/>
            <w:vAlign w:val="bottom"/>
            <w:shd w:val="clear" w:color="auto" w:fill="E2E8F1"/>
          </w:tcPr>
          <w:p>
            <w:pPr>
              <w:spacing w:after="0"/>
              <w:rPr>
                <w:sz w:val="13"/>
                <w:szCs w:val="13"/>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Americas: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320" w:type="dxa"/>
            <w:vAlign w:val="bottom"/>
            <w:shd w:val="clear" w:color="auto" w:fill="E2E8F1"/>
          </w:tcPr>
          <w:p>
            <w:pPr>
              <w:ind w:left="60"/>
              <w:spacing w:after="0"/>
              <w:rPr>
                <w:sz w:val="20"/>
                <w:szCs w:val="20"/>
                <w:color w:val="auto"/>
              </w:rPr>
            </w:pPr>
            <w:r>
              <w:rPr>
                <w:rFonts w:ascii="Arial" w:cs="Arial" w:eastAsia="Arial" w:hAnsi="Arial"/>
                <w:sz w:val="14"/>
                <w:szCs w:val="14"/>
                <w:color w:val="auto"/>
              </w:rPr>
              <w:t>United States</w:t>
            </w:r>
          </w:p>
        </w:tc>
        <w:tc>
          <w:tcPr>
            <w:tcW w:w="20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2,098.0</w:t>
            </w:r>
          </w:p>
        </w:tc>
        <w:tc>
          <w:tcPr>
            <w:tcW w:w="1260" w:type="dxa"/>
            <w:vAlign w:val="bottom"/>
            <w:shd w:val="clear" w:color="auto" w:fill="E2E8F1"/>
          </w:tcPr>
          <w:p>
            <w:pPr>
              <w:jc w:val="right"/>
              <w:ind w:right="88"/>
              <w:spacing w:after="0"/>
              <w:rPr>
                <w:sz w:val="20"/>
                <w:szCs w:val="20"/>
                <w:color w:val="auto"/>
              </w:rPr>
            </w:pPr>
            <w:r>
              <w:rPr>
                <w:rFonts w:ascii="Arial" w:cs="Arial" w:eastAsia="Arial" w:hAnsi="Arial"/>
                <w:sz w:val="14"/>
                <w:szCs w:val="14"/>
                <w:color w:val="auto"/>
              </w:rPr>
              <w:t>2.2%</w:t>
            </w:r>
          </w:p>
        </w:tc>
        <w:tc>
          <w:tcPr>
            <w:tcW w:w="1180" w:type="dxa"/>
            <w:vAlign w:val="bottom"/>
            <w:shd w:val="clear" w:color="auto" w:fill="E2E8F1"/>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2E8F1"/>
          </w:tcPr>
          <w:p>
            <w:pPr>
              <w:jc w:val="right"/>
              <w:ind w:right="288"/>
              <w:spacing w:after="0"/>
              <w:rPr>
                <w:sz w:val="20"/>
                <w:szCs w:val="20"/>
                <w:color w:val="auto"/>
              </w:rPr>
            </w:pPr>
            <w:r>
              <w:rPr>
                <w:rFonts w:ascii="Arial" w:cs="Arial" w:eastAsia="Arial" w:hAnsi="Arial"/>
                <w:sz w:val="14"/>
                <w:szCs w:val="14"/>
                <w:color w:val="auto"/>
              </w:rPr>
              <w:t>2.2%</w:t>
            </w:r>
          </w:p>
        </w:tc>
        <w:tc>
          <w:tcPr>
            <w:tcW w:w="1300" w:type="dxa"/>
            <w:vAlign w:val="bottom"/>
            <w:shd w:val="clear" w:color="auto" w:fill="E2E8F1"/>
          </w:tcPr>
          <w:p>
            <w:pPr>
              <w:spacing w:after="0"/>
              <w:rPr>
                <w:sz w:val="14"/>
                <w:szCs w:val="14"/>
                <w:color w:val="auto"/>
              </w:rPr>
            </w:pPr>
          </w:p>
        </w:tc>
        <w:tc>
          <w:tcPr>
            <w:tcW w:w="7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(1.6)%</w:t>
            </w:r>
          </w:p>
        </w:tc>
        <w:tc>
          <w:tcPr>
            <w:tcW w:w="10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3.8%</w:t>
            </w:r>
          </w:p>
        </w:tc>
      </w:tr>
      <w:tr>
        <w:trPr>
          <w:trHeight w:val="162"/>
        </w:trPr>
        <w:tc>
          <w:tcPr>
            <w:tcW w:w="3320" w:type="dxa"/>
            <w:vAlign w:val="bottom"/>
          </w:tcPr>
          <w:p>
            <w:pPr>
              <w:ind w:left="60"/>
              <w:spacing w:after="0"/>
              <w:rPr>
                <w:sz w:val="20"/>
                <w:szCs w:val="20"/>
                <w:color w:val="auto"/>
              </w:rPr>
            </w:pPr>
            <w:r>
              <w:rPr>
                <w:rFonts w:ascii="Arial" w:cs="Arial" w:eastAsia="Arial" w:hAnsi="Arial"/>
                <w:sz w:val="14"/>
                <w:szCs w:val="14"/>
                <w:color w:val="auto"/>
              </w:rPr>
              <w:t>Other Americas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1,476.6</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27.1%</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21.7%</w:t>
            </w:r>
          </w:p>
        </w:tc>
        <w:tc>
          <w:tcPr>
            <w:tcW w:w="130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155"/>
        </w:trPr>
        <w:tc>
          <w:tcPr>
            <w:tcW w:w="332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80" w:type="dxa"/>
            <w:vAlign w:val="bottom"/>
            <w:tcBorders>
              <w:bottom w:val="single" w:sz="8" w:color="auto"/>
            </w:tcBorders>
            <w:shd w:val="clear" w:color="auto" w:fill="E2E8F1"/>
          </w:tcPr>
          <w:p>
            <w:pPr>
              <w:spacing w:after="0"/>
              <w:rPr>
                <w:sz w:val="13"/>
                <w:szCs w:val="13"/>
                <w:color w:val="auto"/>
              </w:rPr>
            </w:pPr>
          </w:p>
        </w:tc>
        <w:tc>
          <w:tcPr>
            <w:tcW w:w="78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3,574.6</w:t>
            </w:r>
          </w:p>
        </w:tc>
        <w:tc>
          <w:tcPr>
            <w:tcW w:w="1260" w:type="dxa"/>
            <w:vAlign w:val="bottom"/>
            <w:tcBorders>
              <w:bottom w:val="single" w:sz="8" w:color="E2E8F1"/>
            </w:tcBorders>
            <w:shd w:val="clear" w:color="auto" w:fill="E2E8F1"/>
          </w:tcPr>
          <w:p>
            <w:pPr>
              <w:jc w:val="right"/>
              <w:ind w:right="88"/>
              <w:spacing w:after="0" w:line="155" w:lineRule="exact"/>
              <w:rPr>
                <w:sz w:val="20"/>
                <w:szCs w:val="20"/>
                <w:color w:val="auto"/>
              </w:rPr>
            </w:pPr>
            <w:r>
              <w:rPr>
                <w:rFonts w:ascii="Arial" w:cs="Arial" w:eastAsia="Arial" w:hAnsi="Arial"/>
                <w:sz w:val="14"/>
                <w:szCs w:val="14"/>
                <w:color w:val="auto"/>
              </w:rPr>
              <w:t>11.2%</w:t>
            </w:r>
          </w:p>
        </w:tc>
        <w:tc>
          <w:tcPr>
            <w:tcW w:w="1180" w:type="dxa"/>
            <w:vAlign w:val="bottom"/>
            <w:tcBorders>
              <w:bottom w:val="single" w:sz="8" w:color="E2E8F1"/>
            </w:tcBorders>
            <w:shd w:val="clear" w:color="auto" w:fill="E2E8F1"/>
          </w:tcPr>
          <w:p>
            <w:pPr>
              <w:jc w:val="right"/>
              <w:ind w:right="88"/>
              <w:spacing w:after="0" w:line="155" w:lineRule="exact"/>
              <w:rPr>
                <w:sz w:val="20"/>
                <w:szCs w:val="20"/>
                <w:color w:val="auto"/>
              </w:rPr>
            </w:pPr>
            <w:r>
              <w:rPr>
                <w:rFonts w:ascii="Arial" w:cs="Arial" w:eastAsia="Arial" w:hAnsi="Arial"/>
                <w:sz w:val="14"/>
                <w:szCs w:val="14"/>
                <w:color w:val="auto"/>
              </w:rPr>
              <w:t>2.0%</w:t>
            </w:r>
          </w:p>
        </w:tc>
        <w:tc>
          <w:tcPr>
            <w:tcW w:w="1380" w:type="dxa"/>
            <w:vAlign w:val="bottom"/>
            <w:tcBorders>
              <w:bottom w:val="single" w:sz="8" w:color="E2E8F1"/>
            </w:tcBorders>
            <w:shd w:val="clear" w:color="auto" w:fill="E2E8F1"/>
          </w:tcPr>
          <w:p>
            <w:pPr>
              <w:jc w:val="right"/>
              <w:ind w:right="288"/>
              <w:spacing w:after="0" w:line="155" w:lineRule="exact"/>
              <w:rPr>
                <w:sz w:val="20"/>
                <w:szCs w:val="20"/>
                <w:color w:val="auto"/>
              </w:rPr>
            </w:pPr>
            <w:r>
              <w:rPr>
                <w:rFonts w:ascii="Arial" w:cs="Arial" w:eastAsia="Arial" w:hAnsi="Arial"/>
                <w:sz w:val="14"/>
                <w:szCs w:val="14"/>
                <w:color w:val="auto"/>
              </w:rPr>
              <w:t>9.2%</w:t>
            </w:r>
          </w:p>
        </w:tc>
        <w:tc>
          <w:tcPr>
            <w:tcW w:w="1300" w:type="dxa"/>
            <w:vAlign w:val="bottom"/>
            <w:tcBorders>
              <w:bottom w:val="single" w:sz="8" w:color="E2E8F1"/>
            </w:tcBorders>
            <w:shd w:val="clear" w:color="auto" w:fill="E2E8F1"/>
          </w:tcPr>
          <w:p>
            <w:pPr>
              <w:spacing w:after="0"/>
              <w:rPr>
                <w:sz w:val="13"/>
                <w:szCs w:val="13"/>
                <w:color w:val="auto"/>
              </w:rPr>
            </w:pPr>
          </w:p>
        </w:tc>
        <w:tc>
          <w:tcPr>
            <w:tcW w:w="760" w:type="dxa"/>
            <w:vAlign w:val="bottom"/>
            <w:tcBorders>
              <w:bottom w:val="single" w:sz="8" w:color="E2E8F1"/>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(1.1)%</w:t>
            </w:r>
          </w:p>
        </w:tc>
        <w:tc>
          <w:tcPr>
            <w:tcW w:w="106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10.3%</w:t>
            </w:r>
          </w:p>
        </w:tc>
      </w:tr>
      <w:tr>
        <w:trPr>
          <w:trHeight w:val="156"/>
        </w:trPr>
        <w:tc>
          <w:tcPr>
            <w:tcW w:w="3320" w:type="dxa"/>
            <w:vAlign w:val="bottom"/>
          </w:tcPr>
          <w:p>
            <w:pPr>
              <w:spacing w:after="0" w:line="155" w:lineRule="exact"/>
              <w:rPr>
                <w:sz w:val="20"/>
                <w:szCs w:val="20"/>
                <w:color w:val="auto"/>
              </w:rPr>
            </w:pPr>
            <w:r>
              <w:rPr>
                <w:rFonts w:ascii="Arial" w:cs="Arial" w:eastAsia="Arial" w:hAnsi="Arial"/>
                <w:sz w:val="14"/>
                <w:szCs w:val="14"/>
                <w:color w:val="auto"/>
              </w:rPr>
              <w:t>Southern Europe: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3320" w:type="dxa"/>
            <w:vAlign w:val="bottom"/>
            <w:shd w:val="clear" w:color="auto" w:fill="E2E8F1"/>
          </w:tcPr>
          <w:p>
            <w:pPr>
              <w:ind w:left="60"/>
              <w:spacing w:after="0"/>
              <w:rPr>
                <w:sz w:val="20"/>
                <w:szCs w:val="20"/>
                <w:color w:val="auto"/>
              </w:rPr>
            </w:pPr>
            <w:r>
              <w:rPr>
                <w:rFonts w:ascii="Arial" w:cs="Arial" w:eastAsia="Arial" w:hAnsi="Arial"/>
                <w:sz w:val="14"/>
                <w:szCs w:val="14"/>
                <w:color w:val="auto"/>
              </w:rPr>
              <w:t>France</w:t>
            </w:r>
          </w:p>
        </w:tc>
        <w:tc>
          <w:tcPr>
            <w:tcW w:w="12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78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3,379.1</w:t>
            </w:r>
          </w:p>
        </w:tc>
        <w:tc>
          <w:tcPr>
            <w:tcW w:w="1260" w:type="dxa"/>
            <w:vAlign w:val="bottom"/>
            <w:shd w:val="clear" w:color="auto" w:fill="E2E8F1"/>
          </w:tcPr>
          <w:p>
            <w:pPr>
              <w:jc w:val="right"/>
              <w:ind w:right="88"/>
              <w:spacing w:after="0"/>
              <w:rPr>
                <w:sz w:val="20"/>
                <w:szCs w:val="20"/>
                <w:color w:val="auto"/>
              </w:rPr>
            </w:pPr>
            <w:r>
              <w:rPr>
                <w:rFonts w:ascii="Arial" w:cs="Arial" w:eastAsia="Arial" w:hAnsi="Arial"/>
                <w:sz w:val="14"/>
                <w:szCs w:val="14"/>
                <w:color w:val="auto"/>
              </w:rPr>
              <w:t>2.8%</w:t>
            </w:r>
          </w:p>
        </w:tc>
        <w:tc>
          <w:tcPr>
            <w:tcW w:w="1180" w:type="dxa"/>
            <w:vAlign w:val="bottom"/>
            <w:shd w:val="clear" w:color="auto" w:fill="E2E8F1"/>
          </w:tcPr>
          <w:p>
            <w:pPr>
              <w:jc w:val="right"/>
              <w:ind w:right="88"/>
              <w:spacing w:after="0"/>
              <w:rPr>
                <w:sz w:val="20"/>
                <w:szCs w:val="20"/>
                <w:color w:val="auto"/>
              </w:rPr>
            </w:pPr>
            <w:r>
              <w:rPr>
                <w:rFonts w:ascii="Arial" w:cs="Arial" w:eastAsia="Arial" w:hAnsi="Arial"/>
                <w:sz w:val="14"/>
                <w:szCs w:val="14"/>
                <w:color w:val="auto"/>
              </w:rPr>
              <w:t>3.6%</w:t>
            </w:r>
          </w:p>
        </w:tc>
        <w:tc>
          <w:tcPr>
            <w:tcW w:w="1380" w:type="dxa"/>
            <w:vAlign w:val="bottom"/>
            <w:shd w:val="clear" w:color="auto" w:fill="E2E8F1"/>
          </w:tcPr>
          <w:p>
            <w:pPr>
              <w:jc w:val="right"/>
              <w:ind w:right="248"/>
              <w:spacing w:after="0"/>
              <w:rPr>
                <w:sz w:val="20"/>
                <w:szCs w:val="20"/>
                <w:color w:val="auto"/>
              </w:rPr>
            </w:pPr>
            <w:r>
              <w:rPr>
                <w:rFonts w:ascii="Arial" w:cs="Arial" w:eastAsia="Arial" w:hAnsi="Arial"/>
                <w:sz w:val="14"/>
                <w:szCs w:val="14"/>
                <w:color w:val="auto"/>
              </w:rPr>
              <w:t>(0.8)%</w:t>
            </w:r>
          </w:p>
        </w:tc>
        <w:tc>
          <w:tcPr>
            <w:tcW w:w="1300" w:type="dxa"/>
            <w:vAlign w:val="bottom"/>
            <w:shd w:val="clear" w:color="auto" w:fill="E2E8F1"/>
          </w:tcPr>
          <w:p>
            <w:pPr>
              <w:spacing w:after="0"/>
              <w:rPr>
                <w:sz w:val="14"/>
                <w:szCs w:val="14"/>
                <w:color w:val="auto"/>
              </w:rPr>
            </w:pPr>
          </w:p>
        </w:tc>
        <w:tc>
          <w:tcPr>
            <w:tcW w:w="760" w:type="dxa"/>
            <w:vAlign w:val="bottom"/>
            <w:shd w:val="clear" w:color="auto" w:fill="E2E8F1"/>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(0.8)%</w:t>
            </w:r>
          </w:p>
        </w:tc>
      </w:tr>
      <w:tr>
        <w:trPr>
          <w:trHeight w:val="162"/>
        </w:trPr>
        <w:tc>
          <w:tcPr>
            <w:tcW w:w="3320" w:type="dxa"/>
            <w:vAlign w:val="bottom"/>
          </w:tcPr>
          <w:p>
            <w:pPr>
              <w:ind w:left="60"/>
              <w:spacing w:after="0"/>
              <w:rPr>
                <w:sz w:val="20"/>
                <w:szCs w:val="20"/>
                <w:color w:val="auto"/>
              </w:rPr>
            </w:pPr>
            <w:r>
              <w:rPr>
                <w:rFonts w:ascii="Arial" w:cs="Arial" w:eastAsia="Arial" w:hAnsi="Arial"/>
                <w:sz w:val="14"/>
                <w:szCs w:val="14"/>
                <w:color w:val="auto"/>
              </w:rPr>
              <w:t>Italy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1,479.7</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6.9%</w:t>
            </w:r>
          </w:p>
        </w:tc>
        <w:tc>
          <w:tcPr>
            <w:tcW w:w="130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2"/>
        </w:trPr>
        <w:tc>
          <w:tcPr>
            <w:tcW w:w="332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4"/>
                <w:szCs w:val="14"/>
                <w:color w:val="auto"/>
              </w:rPr>
              <w:t>Other Southern Europe</w:t>
            </w:r>
          </w:p>
        </w:tc>
        <w:tc>
          <w:tcPr>
            <w:tcW w:w="120" w:type="dxa"/>
            <w:vAlign w:val="bottom"/>
            <w:tcBorders>
              <w:bottom w:val="single" w:sz="8" w:color="E2E8F1"/>
            </w:tcBorders>
            <w:shd w:val="clear" w:color="auto" w:fill="E2E8F1"/>
          </w:tcPr>
          <w:p>
            <w:pPr>
              <w:spacing w:after="0"/>
              <w:rPr>
                <w:sz w:val="14"/>
                <w:szCs w:val="14"/>
                <w:color w:val="auto"/>
              </w:rPr>
            </w:pPr>
          </w:p>
        </w:tc>
        <w:tc>
          <w:tcPr>
            <w:tcW w:w="80" w:type="dxa"/>
            <w:vAlign w:val="bottom"/>
            <w:tcBorders>
              <w:bottom w:val="single" w:sz="8" w:color="auto"/>
            </w:tcBorders>
            <w:shd w:val="clear" w:color="auto" w:fill="E2E8F1"/>
          </w:tcPr>
          <w:p>
            <w:pPr>
              <w:spacing w:after="0"/>
              <w:rPr>
                <w:sz w:val="14"/>
                <w:szCs w:val="14"/>
                <w:color w:val="auto"/>
              </w:rPr>
            </w:pPr>
          </w:p>
        </w:tc>
        <w:tc>
          <w:tcPr>
            <w:tcW w:w="78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1,779.1</w:t>
            </w:r>
          </w:p>
        </w:tc>
        <w:tc>
          <w:tcPr>
            <w:tcW w:w="1260" w:type="dxa"/>
            <w:vAlign w:val="bottom"/>
            <w:tcBorders>
              <w:bottom w:val="single" w:sz="8" w:color="E2E8F1"/>
            </w:tcBorders>
            <w:shd w:val="clear" w:color="auto" w:fill="E2E8F1"/>
          </w:tcPr>
          <w:p>
            <w:pPr>
              <w:jc w:val="right"/>
              <w:ind w:right="88"/>
              <w:spacing w:after="0"/>
              <w:rPr>
                <w:sz w:val="20"/>
                <w:szCs w:val="20"/>
                <w:color w:val="auto"/>
              </w:rPr>
            </w:pPr>
            <w:r>
              <w:rPr>
                <w:rFonts w:ascii="Arial" w:cs="Arial" w:eastAsia="Arial" w:hAnsi="Arial"/>
                <w:sz w:val="14"/>
                <w:szCs w:val="14"/>
                <w:color w:val="auto"/>
              </w:rPr>
              <w:t>13.8%</w:t>
            </w:r>
          </w:p>
        </w:tc>
        <w:tc>
          <w:tcPr>
            <w:tcW w:w="1180" w:type="dxa"/>
            <w:vAlign w:val="bottom"/>
            <w:tcBorders>
              <w:bottom w:val="single" w:sz="8" w:color="E2E8F1"/>
            </w:tcBorders>
            <w:shd w:val="clear" w:color="auto" w:fill="E2E8F1"/>
          </w:tcPr>
          <w:p>
            <w:pPr>
              <w:jc w:val="right"/>
              <w:ind w:right="88"/>
              <w:spacing w:after="0"/>
              <w:rPr>
                <w:sz w:val="20"/>
                <w:szCs w:val="20"/>
                <w:color w:val="auto"/>
              </w:rPr>
            </w:pPr>
            <w:r>
              <w:rPr>
                <w:rFonts w:ascii="Arial" w:cs="Arial" w:eastAsia="Arial" w:hAnsi="Arial"/>
                <w:sz w:val="14"/>
                <w:szCs w:val="14"/>
                <w:color w:val="auto"/>
              </w:rPr>
              <w:t>6.1%</w:t>
            </w:r>
          </w:p>
        </w:tc>
        <w:tc>
          <w:tcPr>
            <w:tcW w:w="1380" w:type="dxa"/>
            <w:vAlign w:val="bottom"/>
            <w:tcBorders>
              <w:bottom w:val="single" w:sz="8" w:color="E2E8F1"/>
            </w:tcBorders>
            <w:shd w:val="clear" w:color="auto" w:fill="E2E8F1"/>
          </w:tcPr>
          <w:p>
            <w:pPr>
              <w:jc w:val="right"/>
              <w:ind w:right="288"/>
              <w:spacing w:after="0"/>
              <w:rPr>
                <w:sz w:val="20"/>
                <w:szCs w:val="20"/>
                <w:color w:val="auto"/>
              </w:rPr>
            </w:pPr>
            <w:r>
              <w:rPr>
                <w:rFonts w:ascii="Arial" w:cs="Arial" w:eastAsia="Arial" w:hAnsi="Arial"/>
                <w:sz w:val="14"/>
                <w:szCs w:val="14"/>
                <w:color w:val="auto"/>
              </w:rPr>
              <w:t>7.7%</w:t>
            </w:r>
          </w:p>
        </w:tc>
        <w:tc>
          <w:tcPr>
            <w:tcW w:w="1300" w:type="dxa"/>
            <w:vAlign w:val="bottom"/>
            <w:tcBorders>
              <w:bottom w:val="single" w:sz="8" w:color="E2E8F1"/>
            </w:tcBorders>
            <w:shd w:val="clear" w:color="auto" w:fill="E2E8F1"/>
          </w:tcPr>
          <w:p>
            <w:pPr>
              <w:spacing w:after="0"/>
              <w:rPr>
                <w:sz w:val="14"/>
                <w:szCs w:val="14"/>
                <w:color w:val="auto"/>
              </w:rPr>
            </w:pPr>
          </w:p>
        </w:tc>
        <w:tc>
          <w:tcPr>
            <w:tcW w:w="760" w:type="dxa"/>
            <w:vAlign w:val="bottom"/>
            <w:tcBorders>
              <w:bottom w:val="single" w:sz="8" w:color="E2E8F1"/>
            </w:tcBorders>
            <w:shd w:val="clear" w:color="auto" w:fill="E2E8F1"/>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2E8F1"/>
            </w:tcBorders>
            <w:shd w:val="clear" w:color="auto" w:fill="E2E8F1"/>
          </w:tcPr>
          <w:p>
            <w:pPr>
              <w:jc w:val="right"/>
              <w:spacing w:after="0"/>
              <w:rPr>
                <w:sz w:val="20"/>
                <w:szCs w:val="20"/>
                <w:color w:val="auto"/>
              </w:rPr>
            </w:pPr>
            <w:r>
              <w:rPr>
                <w:rFonts w:ascii="Arial" w:cs="Arial" w:eastAsia="Arial" w:hAnsi="Arial"/>
                <w:sz w:val="14"/>
                <w:szCs w:val="14"/>
                <w:color w:val="auto"/>
              </w:rPr>
              <w:t>7.7%</w:t>
            </w:r>
          </w:p>
        </w:tc>
      </w:tr>
      <w:tr>
        <w:trPr>
          <w:trHeight w:val="155"/>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6,637.9</w:t>
            </w:r>
          </w:p>
        </w:tc>
        <w:tc>
          <w:tcPr>
            <w:tcW w:w="12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7.3%</w:t>
            </w:r>
          </w:p>
        </w:tc>
        <w:tc>
          <w:tcPr>
            <w:tcW w:w="11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4.3%</w:t>
            </w:r>
          </w:p>
        </w:tc>
        <w:tc>
          <w:tcPr>
            <w:tcW w:w="138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3.0%</w:t>
            </w:r>
          </w:p>
        </w:tc>
        <w:tc>
          <w:tcPr>
            <w:tcW w:w="1300" w:type="dxa"/>
            <w:vAlign w:val="bottom"/>
          </w:tcPr>
          <w:p>
            <w:pPr>
              <w:spacing w:after="0"/>
              <w:rPr>
                <w:sz w:val="13"/>
                <w:szCs w:val="13"/>
                <w:color w:val="auto"/>
              </w:rPr>
            </w:pPr>
          </w:p>
        </w:tc>
        <w:tc>
          <w:tcPr>
            <w:tcW w:w="7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3.0%</w:t>
            </w:r>
          </w:p>
        </w:tc>
      </w:tr>
      <w:tr>
        <w:trPr>
          <w:trHeight w:val="156"/>
        </w:trPr>
        <w:tc>
          <w:tcPr>
            <w:tcW w:w="332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Northern Europe</w:t>
            </w:r>
          </w:p>
        </w:tc>
        <w:tc>
          <w:tcPr>
            <w:tcW w:w="120" w:type="dxa"/>
            <w:vAlign w:val="bottom"/>
            <w:shd w:val="clear" w:color="auto" w:fill="E2E8F1"/>
          </w:tcPr>
          <w:p>
            <w:pPr>
              <w:spacing w:after="0"/>
              <w:rPr>
                <w:sz w:val="13"/>
                <w:szCs w:val="13"/>
                <w:color w:val="auto"/>
              </w:rPr>
            </w:pPr>
          </w:p>
        </w:tc>
        <w:tc>
          <w:tcPr>
            <w:tcW w:w="80" w:type="dxa"/>
            <w:vAlign w:val="bottom"/>
            <w:shd w:val="clear" w:color="auto" w:fill="E2E8F1"/>
          </w:tcPr>
          <w:p>
            <w:pPr>
              <w:spacing w:after="0"/>
              <w:rPr>
                <w:sz w:val="13"/>
                <w:szCs w:val="13"/>
                <w:color w:val="auto"/>
              </w:rPr>
            </w:pPr>
          </w:p>
        </w:tc>
        <w:tc>
          <w:tcPr>
            <w:tcW w:w="780" w:type="dxa"/>
            <w:vAlign w:val="bottom"/>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2,476.2</w:t>
            </w:r>
          </w:p>
        </w:tc>
        <w:tc>
          <w:tcPr>
            <w:tcW w:w="1260" w:type="dxa"/>
            <w:vAlign w:val="bottom"/>
            <w:shd w:val="clear" w:color="auto" w:fill="E2E8F1"/>
          </w:tcPr>
          <w:p>
            <w:pPr>
              <w:jc w:val="right"/>
              <w:ind w:right="88"/>
              <w:spacing w:after="0" w:line="155" w:lineRule="exact"/>
              <w:rPr>
                <w:sz w:val="20"/>
                <w:szCs w:val="20"/>
                <w:color w:val="auto"/>
              </w:rPr>
            </w:pPr>
            <w:r>
              <w:rPr>
                <w:rFonts w:ascii="Arial" w:cs="Arial" w:eastAsia="Arial" w:hAnsi="Arial"/>
                <w:sz w:val="14"/>
                <w:szCs w:val="14"/>
                <w:color w:val="auto"/>
              </w:rPr>
              <w:t>5.7%</w:t>
            </w:r>
          </w:p>
        </w:tc>
        <w:tc>
          <w:tcPr>
            <w:tcW w:w="1180" w:type="dxa"/>
            <w:vAlign w:val="bottom"/>
            <w:shd w:val="clear" w:color="auto" w:fill="E2E8F1"/>
          </w:tcPr>
          <w:p>
            <w:pPr>
              <w:jc w:val="right"/>
              <w:ind w:right="88"/>
              <w:spacing w:after="0" w:line="155" w:lineRule="exact"/>
              <w:rPr>
                <w:sz w:val="20"/>
                <w:szCs w:val="20"/>
                <w:color w:val="auto"/>
              </w:rPr>
            </w:pPr>
            <w:r>
              <w:rPr>
                <w:rFonts w:ascii="Arial" w:cs="Arial" w:eastAsia="Arial" w:hAnsi="Arial"/>
                <w:sz w:val="14"/>
                <w:szCs w:val="14"/>
                <w:color w:val="auto"/>
              </w:rPr>
              <w:t>3.7%</w:t>
            </w:r>
          </w:p>
        </w:tc>
        <w:tc>
          <w:tcPr>
            <w:tcW w:w="1380" w:type="dxa"/>
            <w:vAlign w:val="bottom"/>
            <w:shd w:val="clear" w:color="auto" w:fill="E2E8F1"/>
          </w:tcPr>
          <w:p>
            <w:pPr>
              <w:jc w:val="right"/>
              <w:ind w:right="288"/>
              <w:spacing w:after="0" w:line="155" w:lineRule="exact"/>
              <w:rPr>
                <w:sz w:val="20"/>
                <w:szCs w:val="20"/>
                <w:color w:val="auto"/>
              </w:rPr>
            </w:pPr>
            <w:r>
              <w:rPr>
                <w:rFonts w:ascii="Arial" w:cs="Arial" w:eastAsia="Arial" w:hAnsi="Arial"/>
                <w:sz w:val="14"/>
                <w:szCs w:val="14"/>
                <w:color w:val="auto"/>
              </w:rPr>
              <w:t>2.0%</w:t>
            </w:r>
          </w:p>
        </w:tc>
        <w:tc>
          <w:tcPr>
            <w:tcW w:w="1300" w:type="dxa"/>
            <w:vAlign w:val="bottom"/>
            <w:shd w:val="clear" w:color="auto" w:fill="E2E8F1"/>
          </w:tcPr>
          <w:p>
            <w:pPr>
              <w:spacing w:after="0"/>
              <w:rPr>
                <w:sz w:val="13"/>
                <w:szCs w:val="13"/>
                <w:color w:val="auto"/>
              </w:rPr>
            </w:pPr>
          </w:p>
        </w:tc>
        <w:tc>
          <w:tcPr>
            <w:tcW w:w="760" w:type="dxa"/>
            <w:vAlign w:val="bottom"/>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1060" w:type="dxa"/>
            <w:vAlign w:val="bottom"/>
            <w:shd w:val="clear" w:color="auto" w:fill="E2E8F1"/>
          </w:tcPr>
          <w:p>
            <w:pPr>
              <w:jc w:val="right"/>
              <w:spacing w:after="0" w:line="155" w:lineRule="exact"/>
              <w:rPr>
                <w:sz w:val="20"/>
                <w:szCs w:val="20"/>
                <w:color w:val="auto"/>
              </w:rPr>
            </w:pPr>
            <w:r>
              <w:rPr>
                <w:rFonts w:ascii="Arial" w:cs="Arial" w:eastAsia="Arial" w:hAnsi="Arial"/>
                <w:sz w:val="14"/>
                <w:szCs w:val="14"/>
                <w:color w:val="auto"/>
              </w:rPr>
              <w:t>2.2%</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APME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1,544.1</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5.7%</w:t>
            </w:r>
          </w:p>
        </w:tc>
        <w:tc>
          <w:tcPr>
            <w:tcW w:w="13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56"/>
        </w:trPr>
        <w:tc>
          <w:tcPr>
            <w:tcW w:w="332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80" w:type="dxa"/>
            <w:vAlign w:val="bottom"/>
            <w:tcBorders>
              <w:bottom w:val="single" w:sz="8" w:color="auto"/>
            </w:tcBorders>
            <w:shd w:val="clear" w:color="auto" w:fill="E2E8F1"/>
          </w:tcPr>
          <w:p>
            <w:pPr>
              <w:spacing w:after="0"/>
              <w:rPr>
                <w:sz w:val="13"/>
                <w:szCs w:val="13"/>
                <w:color w:val="auto"/>
              </w:rPr>
            </w:pPr>
          </w:p>
        </w:tc>
        <w:tc>
          <w:tcPr>
            <w:tcW w:w="78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14,232.8</w:t>
            </w:r>
          </w:p>
        </w:tc>
        <w:tc>
          <w:tcPr>
            <w:tcW w:w="1260" w:type="dxa"/>
            <w:vAlign w:val="bottom"/>
            <w:tcBorders>
              <w:bottom w:val="single" w:sz="8" w:color="E2E8F1"/>
            </w:tcBorders>
            <w:shd w:val="clear" w:color="auto" w:fill="E2E8F1"/>
          </w:tcPr>
          <w:p>
            <w:pPr>
              <w:spacing w:after="0"/>
              <w:rPr>
                <w:sz w:val="13"/>
                <w:szCs w:val="13"/>
                <w:color w:val="auto"/>
              </w:rPr>
            </w:pPr>
          </w:p>
        </w:tc>
        <w:tc>
          <w:tcPr>
            <w:tcW w:w="1180" w:type="dxa"/>
            <w:vAlign w:val="bottom"/>
            <w:tcBorders>
              <w:bottom w:val="single" w:sz="8" w:color="E2E8F1"/>
            </w:tcBorders>
            <w:shd w:val="clear" w:color="auto" w:fill="E2E8F1"/>
          </w:tcPr>
          <w:p>
            <w:pPr>
              <w:spacing w:after="0"/>
              <w:rPr>
                <w:sz w:val="13"/>
                <w:szCs w:val="13"/>
                <w:color w:val="auto"/>
              </w:rPr>
            </w:pPr>
          </w:p>
        </w:tc>
        <w:tc>
          <w:tcPr>
            <w:tcW w:w="1380" w:type="dxa"/>
            <w:vAlign w:val="bottom"/>
            <w:tcBorders>
              <w:bottom w:val="single" w:sz="8" w:color="E2E8F1"/>
            </w:tcBorders>
            <w:shd w:val="clear" w:color="auto" w:fill="E2E8F1"/>
          </w:tcPr>
          <w:p>
            <w:pPr>
              <w:spacing w:after="0"/>
              <w:rPr>
                <w:sz w:val="13"/>
                <w:szCs w:val="13"/>
                <w:color w:val="auto"/>
              </w:rPr>
            </w:pPr>
          </w:p>
        </w:tc>
        <w:tc>
          <w:tcPr>
            <w:tcW w:w="1300" w:type="dxa"/>
            <w:vAlign w:val="bottom"/>
            <w:tcBorders>
              <w:bottom w:val="single" w:sz="8" w:color="E2E8F1"/>
            </w:tcBorders>
            <w:shd w:val="clear" w:color="auto" w:fill="E2E8F1"/>
          </w:tcPr>
          <w:p>
            <w:pPr>
              <w:spacing w:after="0"/>
              <w:rPr>
                <w:sz w:val="13"/>
                <w:szCs w:val="13"/>
                <w:color w:val="auto"/>
              </w:rPr>
            </w:pPr>
          </w:p>
        </w:tc>
        <w:tc>
          <w:tcPr>
            <w:tcW w:w="760" w:type="dxa"/>
            <w:vAlign w:val="bottom"/>
            <w:tcBorders>
              <w:bottom w:val="single" w:sz="8" w:color="E2E8F1"/>
            </w:tcBorders>
            <w:shd w:val="clear" w:color="auto" w:fill="E2E8F1"/>
          </w:tcPr>
          <w:p>
            <w:pPr>
              <w:spacing w:after="0"/>
              <w:rPr>
                <w:sz w:val="13"/>
                <w:szCs w:val="13"/>
                <w:color w:val="auto"/>
              </w:rPr>
            </w:pPr>
          </w:p>
        </w:tc>
        <w:tc>
          <w:tcPr>
            <w:tcW w:w="1060" w:type="dxa"/>
            <w:vAlign w:val="bottom"/>
            <w:tcBorders>
              <w:bottom w:val="single" w:sz="8" w:color="E2E8F1"/>
            </w:tcBorders>
            <w:shd w:val="clear" w:color="auto" w:fill="E2E8F1"/>
          </w:tcPr>
          <w:p>
            <w:pPr>
              <w:spacing w:after="0"/>
              <w:rPr>
                <w:sz w:val="13"/>
                <w:szCs w:val="13"/>
                <w:color w:val="auto"/>
              </w:rPr>
            </w:pPr>
          </w:p>
        </w:tc>
      </w:tr>
      <w:tr>
        <w:trPr>
          <w:trHeight w:val="156"/>
        </w:trPr>
        <w:tc>
          <w:tcPr>
            <w:tcW w:w="3320" w:type="dxa"/>
            <w:vAlign w:val="bottom"/>
          </w:tcPr>
          <w:p>
            <w:pPr>
              <w:spacing w:after="0" w:line="155" w:lineRule="exact"/>
              <w:rPr>
                <w:sz w:val="20"/>
                <w:szCs w:val="20"/>
                <w:color w:val="auto"/>
              </w:rPr>
            </w:pPr>
            <w:r>
              <w:rPr>
                <w:rFonts w:ascii="Arial" w:cs="Arial" w:eastAsia="Arial" w:hAnsi="Arial"/>
                <w:sz w:val="14"/>
                <w:szCs w:val="14"/>
                <w:color w:val="auto"/>
              </w:rPr>
              <w:t>Intercompany Eliminations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w:t>
            </w: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5"/>
        </w:trPr>
        <w:tc>
          <w:tcPr>
            <w:tcW w:w="3320" w:type="dxa"/>
            <w:vAlign w:val="bottom"/>
            <w:tcBorders>
              <w:bottom w:val="single" w:sz="8" w:color="E2E8F1"/>
            </w:tcBorders>
            <w:shd w:val="clear" w:color="auto" w:fill="E2E8F1"/>
          </w:tcPr>
          <w:p>
            <w:pPr>
              <w:spacing w:after="0" w:line="155" w:lineRule="exact"/>
              <w:rPr>
                <w:sz w:val="20"/>
                <w:szCs w:val="20"/>
                <w:color w:val="auto"/>
              </w:rPr>
            </w:pPr>
            <w:r>
              <w:rPr>
                <w:rFonts w:ascii="Arial" w:cs="Arial" w:eastAsia="Arial" w:hAnsi="Arial"/>
                <w:sz w:val="14"/>
                <w:szCs w:val="14"/>
                <w:color w:val="auto"/>
              </w:rPr>
              <w:t>Consolidated</w:t>
            </w:r>
          </w:p>
        </w:tc>
        <w:tc>
          <w:tcPr>
            <w:tcW w:w="120" w:type="dxa"/>
            <w:vAlign w:val="bottom"/>
            <w:tcBorders>
              <w:bottom w:val="single" w:sz="8" w:color="E2E8F1"/>
            </w:tcBorders>
            <w:shd w:val="clear" w:color="auto" w:fill="E2E8F1"/>
          </w:tcPr>
          <w:p>
            <w:pPr>
              <w:spacing w:after="0"/>
              <w:rPr>
                <w:sz w:val="17"/>
                <w:szCs w:val="17"/>
                <w:color w:val="auto"/>
              </w:rPr>
            </w:pPr>
          </w:p>
        </w:tc>
        <w:tc>
          <w:tcPr>
            <w:tcW w:w="8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E2E8F1"/>
          </w:tcPr>
          <w:p>
            <w:pPr>
              <w:jc w:val="right"/>
              <w:ind w:right="48"/>
              <w:spacing w:after="0" w:line="142" w:lineRule="exact"/>
              <w:rPr>
                <w:sz w:val="20"/>
                <w:szCs w:val="20"/>
                <w:color w:val="auto"/>
              </w:rPr>
            </w:pPr>
            <w:r>
              <w:rPr>
                <w:rFonts w:ascii="Arial" w:cs="Arial" w:eastAsia="Arial" w:hAnsi="Arial"/>
                <w:sz w:val="14"/>
                <w:szCs w:val="14"/>
                <w:color w:val="auto"/>
              </w:rPr>
              <w:t>14,210.6</w:t>
            </w:r>
          </w:p>
        </w:tc>
        <w:tc>
          <w:tcPr>
            <w:tcW w:w="1260" w:type="dxa"/>
            <w:vAlign w:val="bottom"/>
            <w:tcBorders>
              <w:bottom w:val="single" w:sz="8" w:color="E2E8F1"/>
            </w:tcBorders>
            <w:shd w:val="clear" w:color="auto" w:fill="E2E8F1"/>
          </w:tcPr>
          <w:p>
            <w:pPr>
              <w:jc w:val="right"/>
              <w:ind w:right="88"/>
              <w:spacing w:after="0" w:line="155" w:lineRule="exact"/>
              <w:rPr>
                <w:sz w:val="20"/>
                <w:szCs w:val="20"/>
                <w:color w:val="auto"/>
              </w:rPr>
            </w:pPr>
            <w:r>
              <w:rPr>
                <w:rFonts w:ascii="Arial" w:cs="Arial" w:eastAsia="Arial" w:hAnsi="Arial"/>
                <w:sz w:val="14"/>
                <w:szCs w:val="14"/>
                <w:color w:val="auto"/>
              </w:rPr>
              <w:t>7.3%</w:t>
            </w:r>
          </w:p>
        </w:tc>
        <w:tc>
          <w:tcPr>
            <w:tcW w:w="1180" w:type="dxa"/>
            <w:vAlign w:val="bottom"/>
            <w:tcBorders>
              <w:bottom w:val="single" w:sz="8" w:color="E2E8F1"/>
            </w:tcBorders>
            <w:shd w:val="clear" w:color="auto" w:fill="E2E8F1"/>
          </w:tcPr>
          <w:p>
            <w:pPr>
              <w:jc w:val="right"/>
              <w:ind w:right="88"/>
              <w:spacing w:after="0" w:line="155" w:lineRule="exact"/>
              <w:rPr>
                <w:sz w:val="20"/>
                <w:szCs w:val="20"/>
                <w:color w:val="auto"/>
              </w:rPr>
            </w:pPr>
            <w:r>
              <w:rPr>
                <w:rFonts w:ascii="Arial" w:cs="Arial" w:eastAsia="Arial" w:hAnsi="Arial"/>
                <w:sz w:val="14"/>
                <w:szCs w:val="14"/>
                <w:color w:val="auto"/>
              </w:rPr>
              <w:t>2.6%</w:t>
            </w:r>
          </w:p>
        </w:tc>
        <w:tc>
          <w:tcPr>
            <w:tcW w:w="1380" w:type="dxa"/>
            <w:vAlign w:val="bottom"/>
            <w:tcBorders>
              <w:bottom w:val="single" w:sz="8" w:color="E2E8F1"/>
            </w:tcBorders>
            <w:shd w:val="clear" w:color="auto" w:fill="E2E8F1"/>
          </w:tcPr>
          <w:p>
            <w:pPr>
              <w:jc w:val="right"/>
              <w:ind w:right="288"/>
              <w:spacing w:after="0" w:line="155" w:lineRule="exact"/>
              <w:rPr>
                <w:sz w:val="20"/>
                <w:szCs w:val="20"/>
                <w:color w:val="auto"/>
              </w:rPr>
            </w:pPr>
            <w:r>
              <w:rPr>
                <w:rFonts w:ascii="Arial" w:cs="Arial" w:eastAsia="Arial" w:hAnsi="Arial"/>
                <w:sz w:val="14"/>
                <w:szCs w:val="14"/>
                <w:color w:val="auto"/>
              </w:rPr>
              <w:t>4.7%</w:t>
            </w:r>
          </w:p>
        </w:tc>
        <w:tc>
          <w:tcPr>
            <w:tcW w:w="1300" w:type="dxa"/>
            <w:vAlign w:val="bottom"/>
            <w:tcBorders>
              <w:bottom w:val="single" w:sz="8" w:color="E2E8F1"/>
            </w:tcBorders>
            <w:shd w:val="clear" w:color="auto" w:fill="E2E8F1"/>
          </w:tcPr>
          <w:p>
            <w:pPr>
              <w:spacing w:after="0"/>
              <w:rPr>
                <w:sz w:val="17"/>
                <w:szCs w:val="17"/>
                <w:color w:val="auto"/>
              </w:rPr>
            </w:pPr>
          </w:p>
        </w:tc>
        <w:tc>
          <w:tcPr>
            <w:tcW w:w="760" w:type="dxa"/>
            <w:vAlign w:val="bottom"/>
            <w:tcBorders>
              <w:bottom w:val="single" w:sz="8" w:color="E2E8F1"/>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(0.3)%</w:t>
            </w:r>
          </w:p>
        </w:tc>
        <w:tc>
          <w:tcPr>
            <w:tcW w:w="106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5.0%</w:t>
            </w: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Gross Profit</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line="143" w:lineRule="exact"/>
              <w:rPr>
                <w:sz w:val="20"/>
                <w:szCs w:val="20"/>
                <w:color w:val="auto"/>
              </w:rPr>
            </w:pPr>
            <w:r>
              <w:rPr>
                <w:rFonts w:ascii="Arial" w:cs="Arial" w:eastAsia="Arial" w:hAnsi="Arial"/>
                <w:sz w:val="14"/>
                <w:szCs w:val="14"/>
                <w:color w:val="auto"/>
              </w:rPr>
              <w:t>2,270.6</w:t>
            </w:r>
          </w:p>
        </w:tc>
        <w:tc>
          <w:tcPr>
            <w:tcW w:w="1260" w:type="dxa"/>
            <w:vAlign w:val="bottom"/>
          </w:tcPr>
          <w:p>
            <w:pPr>
              <w:jc w:val="right"/>
              <w:ind w:right="88"/>
              <w:spacing w:after="0" w:line="143" w:lineRule="exact"/>
              <w:rPr>
                <w:sz w:val="20"/>
                <w:szCs w:val="20"/>
                <w:color w:val="auto"/>
              </w:rPr>
            </w:pPr>
            <w:r>
              <w:rPr>
                <w:rFonts w:ascii="Arial" w:cs="Arial" w:eastAsia="Arial" w:hAnsi="Arial"/>
                <w:sz w:val="14"/>
                <w:szCs w:val="14"/>
                <w:color w:val="auto"/>
              </w:rPr>
              <w:t>1.8%</w:t>
            </w:r>
          </w:p>
        </w:tc>
        <w:tc>
          <w:tcPr>
            <w:tcW w:w="1180" w:type="dxa"/>
            <w:vAlign w:val="bottom"/>
          </w:tcPr>
          <w:p>
            <w:pPr>
              <w:jc w:val="right"/>
              <w:ind w:right="88"/>
              <w:spacing w:after="0" w:line="143" w:lineRule="exact"/>
              <w:rPr>
                <w:sz w:val="20"/>
                <w:szCs w:val="20"/>
                <w:color w:val="auto"/>
              </w:rPr>
            </w:pPr>
            <w:r>
              <w:rPr>
                <w:rFonts w:ascii="Arial" w:cs="Arial" w:eastAsia="Arial" w:hAnsi="Arial"/>
                <w:sz w:val="14"/>
                <w:szCs w:val="14"/>
                <w:color w:val="auto"/>
              </w:rPr>
              <w:t>2.3%</w:t>
            </w:r>
          </w:p>
        </w:tc>
        <w:tc>
          <w:tcPr>
            <w:tcW w:w="1380" w:type="dxa"/>
            <w:vAlign w:val="bottom"/>
          </w:tcPr>
          <w:p>
            <w:pPr>
              <w:jc w:val="right"/>
              <w:ind w:right="248"/>
              <w:spacing w:after="0" w:line="143" w:lineRule="exact"/>
              <w:rPr>
                <w:sz w:val="20"/>
                <w:szCs w:val="20"/>
                <w:color w:val="auto"/>
              </w:rPr>
            </w:pPr>
            <w:r>
              <w:rPr>
                <w:rFonts w:ascii="Arial" w:cs="Arial" w:eastAsia="Arial" w:hAnsi="Arial"/>
                <w:sz w:val="14"/>
                <w:szCs w:val="14"/>
                <w:color w:val="auto"/>
              </w:rPr>
              <w:t>(0.5)%</w:t>
            </w:r>
          </w:p>
        </w:tc>
        <w:tc>
          <w:tcPr>
            <w:tcW w:w="1300" w:type="dxa"/>
            <w:vAlign w:val="bottom"/>
          </w:tcPr>
          <w:p>
            <w:pPr>
              <w:spacing w:after="0"/>
              <w:rPr>
                <w:sz w:val="12"/>
                <w:szCs w:val="12"/>
                <w:color w:val="auto"/>
              </w:rPr>
            </w:pPr>
          </w:p>
        </w:tc>
        <w:tc>
          <w:tcPr>
            <w:tcW w:w="7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(0.6)%</w:t>
            </w: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0.1%</w:t>
            </w:r>
          </w:p>
        </w:tc>
      </w:tr>
      <w:tr>
        <w:trPr>
          <w:trHeight w:val="162"/>
        </w:trPr>
        <w:tc>
          <w:tcPr>
            <w:tcW w:w="3320" w:type="dxa"/>
            <w:vAlign w:val="bottom"/>
            <w:shd w:val="clear" w:color="auto" w:fill="E2E8F1"/>
          </w:tcPr>
          <w:p>
            <w:pPr>
              <w:spacing w:after="0"/>
              <w:rPr>
                <w:sz w:val="20"/>
                <w:szCs w:val="20"/>
                <w:color w:val="auto"/>
              </w:rPr>
            </w:pPr>
            <w:r>
              <w:rPr>
                <w:rFonts w:ascii="Arial" w:cs="Arial" w:eastAsia="Arial" w:hAnsi="Arial"/>
                <w:sz w:val="14"/>
                <w:szCs w:val="14"/>
                <w:color w:val="auto"/>
              </w:rPr>
              <w:t>Selling and Administrative Expenses</w:t>
            </w:r>
          </w:p>
        </w:tc>
        <w:tc>
          <w:tcPr>
            <w:tcW w:w="20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2,048.0</w:t>
            </w:r>
          </w:p>
        </w:tc>
        <w:tc>
          <w:tcPr>
            <w:tcW w:w="12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(5.3)%</w:t>
            </w:r>
          </w:p>
        </w:tc>
        <w:tc>
          <w:tcPr>
            <w:tcW w:w="1180" w:type="dxa"/>
            <w:vAlign w:val="bottom"/>
            <w:shd w:val="clear" w:color="auto" w:fill="E2E8F1"/>
          </w:tcPr>
          <w:p>
            <w:pPr>
              <w:jc w:val="right"/>
              <w:ind w:right="88"/>
              <w:spacing w:after="0"/>
              <w:rPr>
                <w:sz w:val="20"/>
                <w:szCs w:val="20"/>
                <w:color w:val="auto"/>
              </w:rPr>
            </w:pPr>
            <w:r>
              <w:rPr>
                <w:rFonts w:ascii="Arial" w:cs="Arial" w:eastAsia="Arial" w:hAnsi="Arial"/>
                <w:sz w:val="14"/>
                <w:szCs w:val="14"/>
                <w:color w:val="auto"/>
              </w:rPr>
              <w:t>2.1%</w:t>
            </w:r>
          </w:p>
        </w:tc>
        <w:tc>
          <w:tcPr>
            <w:tcW w:w="1380" w:type="dxa"/>
            <w:vAlign w:val="bottom"/>
            <w:shd w:val="clear" w:color="auto" w:fill="E2E8F1"/>
          </w:tcPr>
          <w:p>
            <w:pPr>
              <w:jc w:val="right"/>
              <w:ind w:right="248"/>
              <w:spacing w:after="0"/>
              <w:rPr>
                <w:sz w:val="20"/>
                <w:szCs w:val="20"/>
                <w:color w:val="auto"/>
              </w:rPr>
            </w:pPr>
            <w:r>
              <w:rPr>
                <w:rFonts w:ascii="Arial" w:cs="Arial" w:eastAsia="Arial" w:hAnsi="Arial"/>
                <w:sz w:val="14"/>
                <w:szCs w:val="14"/>
                <w:color w:val="auto"/>
              </w:rPr>
              <w:t>(7.4)%</w:t>
            </w:r>
          </w:p>
        </w:tc>
        <w:tc>
          <w:tcPr>
            <w:tcW w:w="1300" w:type="dxa"/>
            <w:vAlign w:val="bottom"/>
            <w:shd w:val="clear" w:color="auto" w:fill="E2E8F1"/>
          </w:tcPr>
          <w:p>
            <w:pPr>
              <w:spacing w:after="0"/>
              <w:rPr>
                <w:sz w:val="14"/>
                <w:szCs w:val="14"/>
                <w:color w:val="auto"/>
              </w:rPr>
            </w:pPr>
          </w:p>
        </w:tc>
        <w:tc>
          <w:tcPr>
            <w:tcW w:w="7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(0.4)%</w:t>
            </w:r>
          </w:p>
        </w:tc>
        <w:tc>
          <w:tcPr>
            <w:tcW w:w="10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(7.0)%</w:t>
            </w:r>
          </w:p>
        </w:tc>
      </w:tr>
      <w:tr>
        <w:trPr>
          <w:trHeight w:val="190"/>
        </w:trPr>
        <w:tc>
          <w:tcPr>
            <w:tcW w:w="3320" w:type="dxa"/>
            <w:vAlign w:val="bottom"/>
          </w:tcPr>
          <w:p>
            <w:pPr>
              <w:spacing w:after="0"/>
              <w:rPr>
                <w:sz w:val="20"/>
                <w:szCs w:val="20"/>
                <w:color w:val="auto"/>
              </w:rPr>
            </w:pPr>
            <w:r>
              <w:rPr>
                <w:rFonts w:ascii="Arial" w:cs="Arial" w:eastAsia="Arial" w:hAnsi="Arial"/>
                <w:sz w:val="14"/>
                <w:szCs w:val="14"/>
                <w:color w:val="auto"/>
              </w:rPr>
              <w:t>Operating Profit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222.6</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220.4%</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213.8%</w:t>
            </w:r>
          </w:p>
        </w:tc>
        <w:tc>
          <w:tcPr>
            <w:tcW w:w="13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60" w:type="dxa"/>
            <w:vAlign w:val="bottom"/>
          </w:tcPr>
          <w:p>
            <w:pPr>
              <w:jc w:val="right"/>
              <w:spacing w:after="0"/>
              <w:rPr>
                <w:sz w:val="20"/>
                <w:szCs w:val="20"/>
                <w:color w:val="auto"/>
              </w:rPr>
            </w:pPr>
            <w:r>
              <w:rPr>
                <w:rFonts w:ascii="Arial" w:cs="Arial" w:eastAsia="Arial" w:hAnsi="Arial"/>
                <w:sz w:val="14"/>
                <w:szCs w:val="14"/>
                <w:color w:val="auto"/>
              </w:rPr>
              <w:t>229.2%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-1431925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-1011555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-574675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-351790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-334645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Liquidity and Capital Resources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September 30, 2026, we had $184.3 of cash held by foreign subsidiaries. We have historically made and anticipate future cash repatriations to the United States from certain foreign subsidiaries to fund domestic operations.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nature of our operations is such that our most significant current asset is accounts receivable and our most significant current liabilities are payroll-related costs, which are generally paid either weekly or monthly. As the demand for our services increases, we generally experience an increase in our working capital needs, as we continue to pay our associates on a weekly or monthly basis while the related accounts receivable are outstanding for much longer, which may result in a decline in operating cash flows.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Conversely, as the demand for our services declines, we generally experience a decrease in our working capital needs. This occurs as the existing accounts receivable are collected and not replaced at the same level, and thus our accounts receivable balance declines. There is less of an effect on current liabilities due to the shorter cycle time of the payroll-related items. While this may result in an increase in our operating cash flows, longer payment terms and timing of payroll, tax and supplier-related payments significantly impact our cash position and cash flows each period. Any increase in operating cash flows from an economic slowdown would not be sustained in the event that a downturn continues for an extended period.</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used in operating activities was $137.0 and $283.0 for the nine months ended September 30, 2026 and September 30, 2025, respectively. Changes in operating assets and liabilities utilized $303.5 and $408.3 of cash during the nine months ended September 30, 2026 and 2025, respectively. These changes were primarily attributable to the timing of collections and payments. Accounts receivable decreased to $4,619.4 as of September 30, 2026 from $4,770.3 as of December 31, 2025 due to the impact of changes in currency exchange rates, partially offset by higher revenue during the third quarter of 2026. Days Sales Outstanding ("DSO") increased by four days from December 31, 2025 to 59 days as of September 30, 2026.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6" w:name="page37"/>
    <w:bookmarkEnd w:id="36"/>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investing activities was $65.3 for the nine months ended September 30, 2026 compared to $48.7 used for the nine months ended September 30, 2025. The increase in 2026 was due to the $87.5 proceeds from the sale of our Jefferson Wells U.S. business. Capital expenditures were $23.6 and $46.4 for the nine months ended September 30, 2026 and 2025, respectively. These expenditures were primarily comprised of purchases of computer equipment, office furniture and other costs related to office openings and refurbishments, as well as capitalized software costs. The decrease in 2026 was mainly due to lower investments in capitalized software. Our investing activities also include acquisitions and investments in companies throughout the world, including franchises. Total cash consideration paid for acquisitions, net of cash acquired, was $0.8 and $2.3 for the nine months ended September 30, 2026 and 2025, respectively.</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Cash used in financing activities was $568.6 for the nine months ended September 30, 2026 compared to $59.5 provided in the nine months ended September 30, 2025. Net debt repayments were $ 531.2 for the nine months ended September 30, 2026 compared to net borrowings of $138.3 in the nine months ended September 30, 2025. The larger repayments in 2026 were due to the redemption in January 2026 of our </w:t>
      </w:r>
      <w:r>
        <w:rPr>
          <w:rFonts w:ascii="Arial" w:cs="Arial" w:eastAsia="Arial" w:hAnsi="Arial"/>
          <w:sz w:val="18"/>
          <w:szCs w:val="18"/>
          <w:color w:val="231F20"/>
        </w:rPr>
        <w:t xml:space="preserve">€500.0 </w:t>
      </w:r>
      <w:r>
        <w:rPr>
          <w:rFonts w:ascii="Arial" w:cs="Arial" w:eastAsia="Arial" w:hAnsi="Arial"/>
          <w:sz w:val="18"/>
          <w:szCs w:val="18"/>
          <w:color w:val="000000"/>
        </w:rPr>
        <w:t>notes originally issued in 2018. The borrowings in 2025 included $73.0 proceeds from our revolving debt facility, compared to $50.0</w:t>
      </w:r>
      <w:r>
        <w:rPr>
          <w:rFonts w:ascii="Arial" w:cs="Arial" w:eastAsia="Arial" w:hAnsi="Arial"/>
          <w:sz w:val="18"/>
          <w:szCs w:val="18"/>
          <w:color w:val="231F20"/>
        </w:rPr>
        <w:t xml:space="preserve"> </w:t>
      </w:r>
      <w:r>
        <w:rPr>
          <w:rFonts w:ascii="Arial" w:cs="Arial" w:eastAsia="Arial" w:hAnsi="Arial"/>
          <w:sz w:val="18"/>
          <w:szCs w:val="18"/>
          <w:color w:val="000000"/>
        </w:rPr>
        <w:t>for the nine months ended September 30, 2026.</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€400.0 notes and €500.0 notes are due June 2027 and December 2030, respectively. We plan to refinance the notes at maturity, or prior to maturity, with new borrowings. The credit terms, including interest rate and facility fees, of any replacement borrowings will be dependent upon the condition of the credit markets at that time. We currently do not anticipate any problems accessing the credit markets for replacement of those notes.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$600.0 revolving credit agreement maturing December 15, 2030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exclusion of certain restructuring expenses is also allowed in the determination of EBITDA in the agreement. As defined in the agreement, we had a Net Debt-to-EBITDA ratio of 2.59 to 1 and a fixed charge coverage ratio of 3.00 to 1 as of September 30, 2026. Based on our current forecast, we expect to be in compliance with our financial covenants for the next 12 months.</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September 30, 2026, we had $0.4 letters of credit outstanding, $50.0 drawn under our $600.0 credit facility, and $10.0 drawn under our $150.0 working capital facility. As a result, $549.6 and $140.0 were available for borrowing under the respective facilities.</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the working capital needs of our subsidiary operations. As of September 30, 2026, such uncommitted credit lines totaled $364.0, of which $335.8 was unused. Under the revolving credit agreement, total subsidiary borrowings cannot exceed $300.0 in the first, second and fourth quarters, and $600.0 in the third quarter of each year. Additional borrowings of $335.8 could have been made under these lines as of September 30, 2026.</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assessed our liquidity position as of September 30, 2026 and for the near future. As of September 30, 2026, our cash and cash equivalents balance was $ 233.1. We also have access to the previously mentioned revolving and uncommitted credit facilities that could have immediately provided us with up to $600.0 and $150.0 of additional cash, respectively, less any outstanding borrowings and letters of credit. We have an option to request an increase to the total availability under the revolving credit facility by an additional $300.0 and each lender may participate in the requested increase at their discretion. In addition, we have access to the previously mentioned credit lines to meet the working capital needs of our subsidiaries, of which $335.8 was available to use as of September 30, 2026. Our € 400.0 ($452.5) notes mature in June 2027, and our €500.0 ($562.7) notes mature in December 2030. Based on the above, we believe we have sufficient liquidity and capital resources to satisfy future requirements and meet our obligations currently and in the near future.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informational summary of our liquidity and capital structure as of:</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Borders>
              <w:top w:val="single" w:sz="8" w:color="auto"/>
            </w:tcBorders>
            <w:shd w:val="clear" w:color="auto" w:fill="98B0CF"/>
          </w:tcPr>
          <w:p>
            <w:pPr>
              <w:spacing w:after="0"/>
              <w:rPr>
                <w:sz w:val="15"/>
                <w:szCs w:val="15"/>
                <w:color w:val="auto"/>
              </w:rPr>
            </w:pPr>
          </w:p>
        </w:tc>
        <w:tc>
          <w:tcPr>
            <w:tcW w:w="460" w:type="dxa"/>
            <w:vAlign w:val="bottom"/>
            <w:tcBorders>
              <w:top w:val="single" w:sz="8" w:color="auto"/>
            </w:tcBorders>
            <w:shd w:val="clear" w:color="auto" w:fill="98B0CF"/>
          </w:tcPr>
          <w:p>
            <w:pPr>
              <w:spacing w:after="0"/>
              <w:rPr>
                <w:sz w:val="15"/>
                <w:szCs w:val="15"/>
                <w:color w:val="auto"/>
              </w:rPr>
            </w:pPr>
          </w:p>
        </w:tc>
        <w:tc>
          <w:tcPr>
            <w:tcW w:w="1900" w:type="dxa"/>
            <w:vAlign w:val="bottom"/>
            <w:tcBorders>
              <w:top w:val="single" w:sz="8" w:color="auto"/>
            </w:tcBorders>
            <w:shd w:val="clear" w:color="auto" w:fill="98B0CF"/>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top w:val="single" w:sz="8" w:color="auto"/>
            </w:tcBorders>
            <w:shd w:val="clear" w:color="auto" w:fill="98B0CF"/>
          </w:tcPr>
          <w:p>
            <w:pPr>
              <w:spacing w:after="0"/>
              <w:rPr>
                <w:sz w:val="15"/>
                <w:szCs w:val="15"/>
                <w:color w:val="auto"/>
              </w:rPr>
            </w:pPr>
          </w:p>
        </w:tc>
        <w:tc>
          <w:tcPr>
            <w:tcW w:w="1580" w:type="dxa"/>
            <w:vAlign w:val="bottom"/>
            <w:tcBorders>
              <w:top w:val="single" w:sz="8" w:color="auto"/>
            </w:tcBorders>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6980" w:type="dxa"/>
            <w:vAlign w:val="bottom"/>
            <w:tcBorders>
              <w:bottom w:val="single" w:sz="8" w:color="auto"/>
            </w:tcBorders>
            <w:shd w:val="clear" w:color="auto" w:fill="98B0CF"/>
          </w:tcPr>
          <w:p>
            <w:pPr>
              <w:spacing w:after="0"/>
              <w:rPr>
                <w:sz w:val="14"/>
                <w:szCs w:val="14"/>
                <w:color w:val="auto"/>
              </w:rPr>
            </w:pPr>
          </w:p>
        </w:tc>
        <w:tc>
          <w:tcPr>
            <w:tcW w:w="460" w:type="dxa"/>
            <w:vAlign w:val="bottom"/>
            <w:tcBorders>
              <w:bottom w:val="single" w:sz="8" w:color="auto"/>
            </w:tcBorders>
            <w:shd w:val="clear" w:color="auto" w:fill="98B0CF"/>
          </w:tcPr>
          <w:p>
            <w:pPr>
              <w:spacing w:after="0"/>
              <w:rPr>
                <w:sz w:val="14"/>
                <w:szCs w:val="14"/>
                <w:color w:val="auto"/>
              </w:rPr>
            </w:pPr>
          </w:p>
        </w:tc>
        <w:tc>
          <w:tcPr>
            <w:tcW w:w="1900" w:type="dxa"/>
            <w:vAlign w:val="bottom"/>
            <w:tcBorders>
              <w:bottom w:val="single" w:sz="8" w:color="auto"/>
            </w:tcBorders>
            <w:shd w:val="clear" w:color="auto" w:fill="98B0CF"/>
          </w:tcPr>
          <w:p>
            <w:pPr>
              <w:jc w:val="right"/>
              <w:ind w:right="980"/>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shd w:val="clear" w:color="auto" w:fill="98B0CF"/>
          </w:tcPr>
          <w:p>
            <w:pPr>
              <w:spacing w:after="0"/>
              <w:rPr>
                <w:sz w:val="14"/>
                <w:szCs w:val="14"/>
                <w:color w:val="auto"/>
              </w:rPr>
            </w:pPr>
          </w:p>
        </w:tc>
        <w:tc>
          <w:tcPr>
            <w:tcW w:w="1580" w:type="dxa"/>
            <w:vAlign w:val="bottom"/>
            <w:tcBorders>
              <w:bottom w:val="single" w:sz="8" w:color="auto"/>
            </w:tcBorders>
            <w:shd w:val="clear" w:color="auto" w:fill="98B0CF"/>
          </w:tcPr>
          <w:p>
            <w:pPr>
              <w:jc w:val="right"/>
              <w:ind w:right="760"/>
              <w:spacing w:after="0"/>
              <w:rPr>
                <w:sz w:val="20"/>
                <w:szCs w:val="20"/>
                <w:color w:val="auto"/>
              </w:rPr>
            </w:pPr>
            <w:r>
              <w:rPr>
                <w:rFonts w:ascii="Arial" w:cs="Arial" w:eastAsia="Arial" w:hAnsi="Arial"/>
                <w:sz w:val="14"/>
                <w:szCs w:val="14"/>
                <w:b w:val="1"/>
                <w:bCs w:val="1"/>
                <w:color w:val="auto"/>
              </w:rPr>
              <w:t>2025</w:t>
            </w:r>
          </w:p>
        </w:tc>
      </w:tr>
      <w:tr>
        <w:trPr>
          <w:trHeight w:val="183"/>
        </w:trPr>
        <w:tc>
          <w:tcPr>
            <w:tcW w:w="698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Cash and cash equivalents</w:t>
            </w:r>
          </w:p>
        </w:tc>
        <w:tc>
          <w:tcPr>
            <w:tcW w:w="460" w:type="dxa"/>
            <w:vAlign w:val="bottom"/>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900" w:type="dxa"/>
            <w:vAlign w:val="bottom"/>
            <w:shd w:val="clear" w:color="auto" w:fill="E2E8F1"/>
          </w:tcPr>
          <w:p>
            <w:pPr>
              <w:jc w:val="right"/>
              <w:ind w:right="180"/>
              <w:spacing w:after="0" w:line="183" w:lineRule="exact"/>
              <w:rPr>
                <w:sz w:val="20"/>
                <w:szCs w:val="20"/>
                <w:color w:val="auto"/>
              </w:rPr>
            </w:pPr>
            <w:r>
              <w:rPr>
                <w:rFonts w:ascii="Arial" w:cs="Arial" w:eastAsia="Arial" w:hAnsi="Arial"/>
                <w:sz w:val="16"/>
                <w:szCs w:val="16"/>
                <w:color w:val="auto"/>
              </w:rPr>
              <w:t>233.1</w:t>
            </w:r>
          </w:p>
        </w:tc>
        <w:tc>
          <w:tcPr>
            <w:tcW w:w="32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871.0</w:t>
            </w:r>
          </w:p>
        </w:tc>
      </w:tr>
      <w:tr>
        <w:trPr>
          <w:trHeight w:val="203"/>
        </w:trPr>
        <w:tc>
          <w:tcPr>
            <w:tcW w:w="6980" w:type="dxa"/>
            <w:vAlign w:val="bottom"/>
          </w:tcPr>
          <w:p>
            <w:pPr>
              <w:ind w:left="80"/>
              <w:spacing w:after="0" w:line="203" w:lineRule="exact"/>
              <w:rPr>
                <w:sz w:val="20"/>
                <w:szCs w:val="20"/>
                <w:color w:val="auto"/>
              </w:rPr>
            </w:pPr>
            <w:r>
              <w:rPr>
                <w:rFonts w:ascii="Arial" w:cs="Arial" w:eastAsia="Arial" w:hAnsi="Arial"/>
                <w:sz w:val="16"/>
                <w:szCs w:val="16"/>
                <w:color w:val="auto"/>
              </w:rPr>
              <w:t>Available capacity under the revolving credit facility</w:t>
            </w:r>
            <w:r>
              <w:rPr>
                <w:rFonts w:ascii="Arial" w:cs="Arial" w:eastAsia="Arial" w:hAnsi="Arial"/>
                <w:sz w:val="21"/>
                <w:szCs w:val="21"/>
                <w:color w:val="auto"/>
                <w:vertAlign w:val="superscript"/>
              </w:rPr>
              <w:t>(a)</w:t>
            </w:r>
          </w:p>
        </w:tc>
        <w:tc>
          <w:tcPr>
            <w:tcW w:w="460" w:type="dxa"/>
            <w:vAlign w:val="bottom"/>
          </w:tcPr>
          <w:p>
            <w:pPr>
              <w:spacing w:after="0"/>
              <w:rPr>
                <w:sz w:val="17"/>
                <w:szCs w:val="17"/>
                <w:color w:val="auto"/>
              </w:rPr>
            </w:pPr>
          </w:p>
        </w:tc>
        <w:tc>
          <w:tcPr>
            <w:tcW w:w="1900" w:type="dxa"/>
            <w:vAlign w:val="bottom"/>
          </w:tcPr>
          <w:p>
            <w:pPr>
              <w:jc w:val="right"/>
              <w:ind w:right="180"/>
              <w:spacing w:after="0"/>
              <w:rPr>
                <w:sz w:val="20"/>
                <w:szCs w:val="20"/>
                <w:color w:val="auto"/>
              </w:rPr>
            </w:pPr>
            <w:r>
              <w:rPr>
                <w:rFonts w:ascii="Arial" w:cs="Arial" w:eastAsia="Arial" w:hAnsi="Arial"/>
                <w:sz w:val="16"/>
                <w:szCs w:val="16"/>
                <w:color w:val="auto"/>
              </w:rPr>
              <w:t>549.6</w:t>
            </w:r>
          </w:p>
        </w:tc>
        <w:tc>
          <w:tcPr>
            <w:tcW w:w="320" w:type="dxa"/>
            <w:vAlign w:val="bottom"/>
          </w:tcPr>
          <w:p>
            <w:pPr>
              <w:spacing w:after="0"/>
              <w:rPr>
                <w:sz w:val="17"/>
                <w:szCs w:val="17"/>
                <w:color w:val="auto"/>
              </w:rPr>
            </w:pPr>
          </w:p>
        </w:tc>
        <w:tc>
          <w:tcPr>
            <w:tcW w:w="1580" w:type="dxa"/>
            <w:vAlign w:val="bottom"/>
          </w:tcPr>
          <w:p>
            <w:pPr>
              <w:jc w:val="right"/>
              <w:ind w:right="100"/>
              <w:spacing w:after="0"/>
              <w:rPr>
                <w:sz w:val="20"/>
                <w:szCs w:val="20"/>
                <w:color w:val="auto"/>
              </w:rPr>
            </w:pPr>
            <w:r>
              <w:rPr>
                <w:rFonts w:ascii="Arial" w:cs="Arial" w:eastAsia="Arial" w:hAnsi="Arial"/>
                <w:sz w:val="16"/>
                <w:szCs w:val="16"/>
                <w:color w:val="auto"/>
              </w:rPr>
              <w:t>599.6</w:t>
            </w:r>
          </w:p>
        </w:tc>
      </w:tr>
      <w:tr>
        <w:trPr>
          <w:trHeight w:val="203"/>
        </w:trPr>
        <w:tc>
          <w:tcPr>
            <w:tcW w:w="6980" w:type="dxa"/>
            <w:vAlign w:val="bottom"/>
            <w:tcBorders>
              <w:bottom w:val="single" w:sz="8" w:color="auto"/>
            </w:tcBorders>
            <w:shd w:val="clear" w:color="auto" w:fill="E2E8F1"/>
          </w:tcPr>
          <w:p>
            <w:pPr>
              <w:ind w:left="80"/>
              <w:spacing w:after="0" w:line="203" w:lineRule="exact"/>
              <w:rPr>
                <w:sz w:val="20"/>
                <w:szCs w:val="20"/>
                <w:color w:val="auto"/>
              </w:rPr>
            </w:pPr>
            <w:r>
              <w:rPr>
                <w:rFonts w:ascii="Arial" w:cs="Arial" w:eastAsia="Arial" w:hAnsi="Arial"/>
                <w:sz w:val="16"/>
                <w:szCs w:val="16"/>
                <w:color w:val="auto"/>
              </w:rPr>
              <w:t>Available capacity under the working capital facility</w:t>
            </w:r>
            <w:r>
              <w:rPr>
                <w:rFonts w:ascii="Arial" w:cs="Arial" w:eastAsia="Arial" w:hAnsi="Arial"/>
                <w:sz w:val="21"/>
                <w:szCs w:val="21"/>
                <w:color w:val="auto"/>
                <w:vertAlign w:val="superscript"/>
              </w:rPr>
              <w:t>(b)</w:t>
            </w:r>
          </w:p>
        </w:tc>
        <w:tc>
          <w:tcPr>
            <w:tcW w:w="460" w:type="dxa"/>
            <w:vAlign w:val="bottom"/>
            <w:tcBorders>
              <w:bottom w:val="single" w:sz="8" w:color="auto"/>
            </w:tcBorders>
            <w:shd w:val="clear" w:color="auto" w:fill="E2E8F1"/>
          </w:tcPr>
          <w:p>
            <w:pPr>
              <w:spacing w:after="0"/>
              <w:rPr>
                <w:sz w:val="17"/>
                <w:szCs w:val="17"/>
                <w:color w:val="auto"/>
              </w:rPr>
            </w:pPr>
          </w:p>
        </w:tc>
        <w:tc>
          <w:tcPr>
            <w:tcW w:w="1900" w:type="dxa"/>
            <w:vAlign w:val="bottom"/>
            <w:tcBorders>
              <w:bottom w:val="single" w:sz="8" w:color="auto"/>
            </w:tcBorders>
            <w:shd w:val="clear" w:color="auto" w:fill="E2E8F1"/>
          </w:tcPr>
          <w:p>
            <w:pPr>
              <w:jc w:val="right"/>
              <w:ind w:right="180"/>
              <w:spacing w:after="0"/>
              <w:rPr>
                <w:sz w:val="20"/>
                <w:szCs w:val="20"/>
                <w:color w:val="auto"/>
              </w:rPr>
            </w:pPr>
            <w:r>
              <w:rPr>
                <w:rFonts w:ascii="Arial" w:cs="Arial" w:eastAsia="Arial" w:hAnsi="Arial"/>
                <w:sz w:val="16"/>
                <w:szCs w:val="16"/>
                <w:color w:val="auto"/>
              </w:rPr>
              <w:t>140.0</w:t>
            </w:r>
          </w:p>
        </w:tc>
        <w:tc>
          <w:tcPr>
            <w:tcW w:w="320" w:type="dxa"/>
            <w:vAlign w:val="bottom"/>
            <w:tcBorders>
              <w:bottom w:val="single" w:sz="8" w:color="auto"/>
            </w:tcBorders>
            <w:shd w:val="clear" w:color="auto" w:fill="E2E8F1"/>
          </w:tcPr>
          <w:p>
            <w:pPr>
              <w:spacing w:after="0"/>
              <w:rPr>
                <w:sz w:val="17"/>
                <w:szCs w:val="17"/>
                <w:color w:val="auto"/>
              </w:rPr>
            </w:pPr>
          </w:p>
        </w:tc>
        <w:tc>
          <w:tcPr>
            <w:tcW w:w="1580" w:type="dxa"/>
            <w:vAlign w:val="bottom"/>
            <w:tcBorders>
              <w:bottom w:val="single" w:sz="8" w:color="auto"/>
            </w:tcBorders>
            <w:shd w:val="clear" w:color="auto" w:fill="E2E8F1"/>
          </w:tcPr>
          <w:p>
            <w:pPr>
              <w:jc w:val="right"/>
              <w:ind w:right="100"/>
              <w:spacing w:after="0"/>
              <w:rPr>
                <w:sz w:val="20"/>
                <w:szCs w:val="20"/>
                <w:color w:val="auto"/>
              </w:rPr>
            </w:pPr>
            <w:r>
              <w:rPr>
                <w:rFonts w:ascii="Arial" w:cs="Arial" w:eastAsia="Arial" w:hAnsi="Arial"/>
                <w:sz w:val="16"/>
                <w:szCs w:val="16"/>
                <w:color w:val="auto"/>
              </w:rPr>
              <w:t>150.0</w:t>
            </w:r>
          </w:p>
        </w:tc>
      </w:tr>
      <w:tr>
        <w:trPr>
          <w:trHeight w:val="183"/>
        </w:trPr>
        <w:tc>
          <w:tcPr>
            <w:tcW w:w="6980" w:type="dxa"/>
            <w:vAlign w:val="bottom"/>
          </w:tcPr>
          <w:p>
            <w:pPr>
              <w:ind w:left="200"/>
              <w:spacing w:after="0" w:line="183" w:lineRule="exact"/>
              <w:rPr>
                <w:sz w:val="20"/>
                <w:szCs w:val="20"/>
                <w:color w:val="auto"/>
              </w:rPr>
            </w:pPr>
            <w:r>
              <w:rPr>
                <w:rFonts w:ascii="Arial" w:cs="Arial" w:eastAsia="Arial" w:hAnsi="Arial"/>
                <w:sz w:val="16"/>
                <w:szCs w:val="16"/>
                <w:color w:val="auto"/>
              </w:rPr>
              <w:t>Available liquidity</w:t>
            </w:r>
          </w:p>
        </w:tc>
        <w:tc>
          <w:tcPr>
            <w:tcW w:w="4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900" w:type="dxa"/>
            <w:vAlign w:val="bottom"/>
          </w:tcPr>
          <w:p>
            <w:pPr>
              <w:jc w:val="right"/>
              <w:ind w:right="180"/>
              <w:spacing w:after="0" w:line="183" w:lineRule="exact"/>
              <w:rPr>
                <w:sz w:val="20"/>
                <w:szCs w:val="20"/>
                <w:color w:val="auto"/>
              </w:rPr>
            </w:pPr>
            <w:r>
              <w:rPr>
                <w:rFonts w:ascii="Arial" w:cs="Arial" w:eastAsia="Arial" w:hAnsi="Arial"/>
                <w:sz w:val="16"/>
                <w:szCs w:val="16"/>
                <w:color w:val="auto"/>
              </w:rPr>
              <w:t>922.7</w:t>
            </w:r>
          </w:p>
        </w:tc>
        <w:tc>
          <w:tcPr>
            <w:tcW w:w="3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1,620.6</w:t>
            </w:r>
          </w:p>
        </w:tc>
      </w:tr>
      <w:tr>
        <w:trPr>
          <w:trHeight w:val="189"/>
        </w:trPr>
        <w:tc>
          <w:tcPr>
            <w:tcW w:w="6980" w:type="dxa"/>
            <w:vAlign w:val="bottom"/>
            <w:shd w:val="clear" w:color="auto" w:fill="E2E8F1"/>
          </w:tcPr>
          <w:p>
            <w:pPr>
              <w:spacing w:after="0"/>
              <w:rPr>
                <w:sz w:val="16"/>
                <w:szCs w:val="16"/>
                <w:color w:val="auto"/>
              </w:rPr>
            </w:pPr>
          </w:p>
        </w:tc>
        <w:tc>
          <w:tcPr>
            <w:tcW w:w="460" w:type="dxa"/>
            <w:vAlign w:val="bottom"/>
            <w:shd w:val="clear" w:color="auto" w:fill="E2E8F1"/>
          </w:tcPr>
          <w:p>
            <w:pPr>
              <w:spacing w:after="0"/>
              <w:rPr>
                <w:sz w:val="16"/>
                <w:szCs w:val="16"/>
                <w:color w:val="auto"/>
              </w:rPr>
            </w:pPr>
          </w:p>
        </w:tc>
        <w:tc>
          <w:tcPr>
            <w:tcW w:w="19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1580" w:type="dxa"/>
            <w:vAlign w:val="bottom"/>
            <w:shd w:val="clear" w:color="auto" w:fill="E2E8F1"/>
          </w:tcPr>
          <w:p>
            <w:pPr>
              <w:spacing w:after="0"/>
              <w:rPr>
                <w:sz w:val="16"/>
                <w:szCs w:val="16"/>
                <w:color w:val="auto"/>
              </w:rPr>
            </w:pPr>
          </w:p>
        </w:tc>
      </w:tr>
      <w:tr>
        <w:trPr>
          <w:trHeight w:val="189"/>
        </w:trPr>
        <w:tc>
          <w:tcPr>
            <w:tcW w:w="6980" w:type="dxa"/>
            <w:vAlign w:val="bottom"/>
          </w:tcPr>
          <w:p>
            <w:pPr>
              <w:ind w:left="80"/>
              <w:spacing w:after="0"/>
              <w:rPr>
                <w:sz w:val="20"/>
                <w:szCs w:val="20"/>
                <w:color w:val="auto"/>
              </w:rPr>
            </w:pPr>
            <w:r>
              <w:rPr>
                <w:rFonts w:ascii="Arial" w:cs="Arial" w:eastAsia="Arial" w:hAnsi="Arial"/>
                <w:sz w:val="16"/>
                <w:szCs w:val="16"/>
                <w:color w:val="auto"/>
              </w:rPr>
              <w:t>Short-term borrowings</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80"/>
              <w:spacing w:after="0"/>
              <w:rPr>
                <w:sz w:val="20"/>
                <w:szCs w:val="20"/>
                <w:color w:val="auto"/>
              </w:rPr>
            </w:pPr>
            <w:r>
              <w:rPr>
                <w:rFonts w:ascii="Arial" w:cs="Arial" w:eastAsia="Arial" w:hAnsi="Arial"/>
                <w:sz w:val="16"/>
                <w:szCs w:val="16"/>
                <w:color w:val="auto"/>
              </w:rPr>
              <w:t>35.3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00"/>
              <w:spacing w:after="0"/>
              <w:rPr>
                <w:sz w:val="20"/>
                <w:szCs w:val="20"/>
                <w:color w:val="auto"/>
              </w:rPr>
            </w:pPr>
            <w:r>
              <w:rPr>
                <w:rFonts w:ascii="Arial" w:cs="Arial" w:eastAsia="Arial" w:hAnsi="Arial"/>
                <w:sz w:val="16"/>
                <w:szCs w:val="16"/>
                <w:color w:val="auto"/>
              </w:rPr>
              <w:t>34.6</w:t>
            </w:r>
          </w:p>
        </w:tc>
      </w:tr>
      <w:tr>
        <w:trPr>
          <w:trHeight w:val="189"/>
        </w:trPr>
        <w:tc>
          <w:tcPr>
            <w:tcW w:w="6980" w:type="dxa"/>
            <w:vAlign w:val="bottom"/>
            <w:shd w:val="clear" w:color="auto" w:fill="E2E8F1"/>
          </w:tcPr>
          <w:p>
            <w:pPr>
              <w:ind w:left="80"/>
              <w:spacing w:after="0"/>
              <w:rPr>
                <w:sz w:val="20"/>
                <w:szCs w:val="20"/>
                <w:color w:val="auto"/>
              </w:rPr>
            </w:pPr>
            <w:r>
              <w:rPr>
                <w:rFonts w:ascii="Arial" w:cs="Arial" w:eastAsia="Arial" w:hAnsi="Arial"/>
                <w:sz w:val="16"/>
                <w:szCs w:val="16"/>
                <w:color w:val="auto"/>
              </w:rPr>
              <w:t>Current maturities of long-term debt</w:t>
            </w:r>
          </w:p>
        </w:tc>
        <w:tc>
          <w:tcPr>
            <w:tcW w:w="460" w:type="dxa"/>
            <w:vAlign w:val="bottom"/>
            <w:shd w:val="clear" w:color="auto" w:fill="E2E8F1"/>
          </w:tcPr>
          <w:p>
            <w:pPr>
              <w:spacing w:after="0"/>
              <w:rPr>
                <w:sz w:val="16"/>
                <w:szCs w:val="16"/>
                <w:color w:val="auto"/>
              </w:rPr>
            </w:pPr>
          </w:p>
        </w:tc>
        <w:tc>
          <w:tcPr>
            <w:tcW w:w="1900" w:type="dxa"/>
            <w:vAlign w:val="bottom"/>
            <w:shd w:val="clear" w:color="auto" w:fill="E2E8F1"/>
          </w:tcPr>
          <w:p>
            <w:pPr>
              <w:jc w:val="right"/>
              <w:ind w:right="180"/>
              <w:spacing w:after="0"/>
              <w:rPr>
                <w:sz w:val="20"/>
                <w:szCs w:val="20"/>
                <w:color w:val="auto"/>
              </w:rPr>
            </w:pPr>
            <w:r>
              <w:rPr>
                <w:rFonts w:ascii="Arial" w:cs="Arial" w:eastAsia="Arial" w:hAnsi="Arial"/>
                <w:sz w:val="16"/>
                <w:szCs w:val="16"/>
                <w:color w:val="auto"/>
              </w:rPr>
              <w:t>505.3</w:t>
            </w:r>
          </w:p>
        </w:tc>
        <w:tc>
          <w:tcPr>
            <w:tcW w:w="320" w:type="dxa"/>
            <w:vAlign w:val="bottom"/>
            <w:shd w:val="clear" w:color="auto" w:fill="E2E8F1"/>
          </w:tcPr>
          <w:p>
            <w:pPr>
              <w:spacing w:after="0"/>
              <w:rPr>
                <w:sz w:val="16"/>
                <w:szCs w:val="16"/>
                <w:color w:val="auto"/>
              </w:rPr>
            </w:pPr>
          </w:p>
        </w:tc>
        <w:tc>
          <w:tcPr>
            <w:tcW w:w="1580" w:type="dxa"/>
            <w:vAlign w:val="bottom"/>
            <w:shd w:val="clear" w:color="auto" w:fill="E2E8F1"/>
          </w:tcPr>
          <w:p>
            <w:pPr>
              <w:jc w:val="right"/>
              <w:ind w:right="100"/>
              <w:spacing w:after="0"/>
              <w:rPr>
                <w:sz w:val="20"/>
                <w:szCs w:val="20"/>
                <w:color w:val="auto"/>
              </w:rPr>
            </w:pPr>
            <w:r>
              <w:rPr>
                <w:rFonts w:ascii="Arial" w:cs="Arial" w:eastAsia="Arial" w:hAnsi="Arial"/>
                <w:sz w:val="16"/>
                <w:szCs w:val="16"/>
                <w:color w:val="auto"/>
              </w:rPr>
              <w:t>590.4</w:t>
            </w:r>
          </w:p>
        </w:tc>
      </w:tr>
      <w:tr>
        <w:trPr>
          <w:trHeight w:val="189"/>
        </w:trPr>
        <w:tc>
          <w:tcPr>
            <w:tcW w:w="69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562.8</w:t>
            </w: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1,052.1</w:t>
            </w:r>
          </w:p>
        </w:tc>
      </w:tr>
      <w:tr>
        <w:trPr>
          <w:trHeight w:val="183"/>
        </w:trPr>
        <w:tc>
          <w:tcPr>
            <w:tcW w:w="6980" w:type="dxa"/>
            <w:vAlign w:val="bottom"/>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debt</w:t>
            </w:r>
          </w:p>
        </w:tc>
        <w:tc>
          <w:tcPr>
            <w:tcW w:w="460" w:type="dxa"/>
            <w:vAlign w:val="bottom"/>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900" w:type="dxa"/>
            <w:vAlign w:val="bottom"/>
            <w:shd w:val="clear" w:color="auto" w:fill="E2E8F1"/>
          </w:tcPr>
          <w:p>
            <w:pPr>
              <w:jc w:val="right"/>
              <w:ind w:right="180"/>
              <w:spacing w:after="0" w:line="183" w:lineRule="exact"/>
              <w:rPr>
                <w:sz w:val="20"/>
                <w:szCs w:val="20"/>
                <w:color w:val="auto"/>
              </w:rPr>
            </w:pPr>
            <w:r>
              <w:rPr>
                <w:rFonts w:ascii="Arial" w:cs="Arial" w:eastAsia="Arial" w:hAnsi="Arial"/>
                <w:sz w:val="16"/>
                <w:szCs w:val="16"/>
                <w:color w:val="auto"/>
              </w:rPr>
              <w:t>1,103.4</w:t>
            </w:r>
          </w:p>
        </w:tc>
        <w:tc>
          <w:tcPr>
            <w:tcW w:w="32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1,677.1</w:t>
            </w:r>
          </w:p>
        </w:tc>
      </w:tr>
      <w:tr>
        <w:trPr>
          <w:trHeight w:val="189"/>
        </w:trPr>
        <w:tc>
          <w:tcPr>
            <w:tcW w:w="69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 shareholders' equity (excludes noncontrolling interests)</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2,140.4</w:t>
            </w: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2,059.6</w:t>
            </w:r>
          </w:p>
        </w:tc>
      </w:tr>
      <w:tr>
        <w:trPr>
          <w:trHeight w:val="183"/>
        </w:trPr>
        <w:tc>
          <w:tcPr>
            <w:tcW w:w="6980" w:type="dxa"/>
            <w:vAlign w:val="bottom"/>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capitalization</w:t>
            </w:r>
          </w:p>
        </w:tc>
        <w:tc>
          <w:tcPr>
            <w:tcW w:w="460" w:type="dxa"/>
            <w:vAlign w:val="bottom"/>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900" w:type="dxa"/>
            <w:vAlign w:val="bottom"/>
            <w:shd w:val="clear" w:color="auto" w:fill="E2E8F1"/>
          </w:tcPr>
          <w:p>
            <w:pPr>
              <w:jc w:val="right"/>
              <w:ind w:right="180"/>
              <w:spacing w:after="0" w:line="183" w:lineRule="exact"/>
              <w:rPr>
                <w:sz w:val="20"/>
                <w:szCs w:val="20"/>
                <w:color w:val="auto"/>
              </w:rPr>
            </w:pPr>
            <w:r>
              <w:rPr>
                <w:rFonts w:ascii="Arial" w:cs="Arial" w:eastAsia="Arial" w:hAnsi="Arial"/>
                <w:sz w:val="16"/>
                <w:szCs w:val="16"/>
                <w:color w:val="auto"/>
              </w:rPr>
              <w:t>3,243.8</w:t>
            </w:r>
          </w:p>
        </w:tc>
        <w:tc>
          <w:tcPr>
            <w:tcW w:w="32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3,736.7</w:t>
            </w:r>
          </w:p>
        </w:tc>
      </w:tr>
      <w:tr>
        <w:trPr>
          <w:trHeight w:val="189"/>
        </w:trPr>
        <w:tc>
          <w:tcPr>
            <w:tcW w:w="6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6980" w:type="dxa"/>
            <w:vAlign w:val="bottom"/>
            <w:shd w:val="clear" w:color="auto" w:fill="E2E8F1"/>
          </w:tcPr>
          <w:p>
            <w:pPr>
              <w:ind w:left="80"/>
              <w:spacing w:after="0"/>
              <w:rPr>
                <w:sz w:val="20"/>
                <w:szCs w:val="20"/>
                <w:color w:val="auto"/>
              </w:rPr>
            </w:pPr>
            <w:r>
              <w:rPr>
                <w:rFonts w:ascii="Arial" w:cs="Arial" w:eastAsia="Arial" w:hAnsi="Arial"/>
                <w:sz w:val="16"/>
                <w:szCs w:val="16"/>
                <w:color w:val="auto"/>
              </w:rPr>
              <w:t>Debt to capitalization</w:t>
            </w:r>
          </w:p>
        </w:tc>
        <w:tc>
          <w:tcPr>
            <w:tcW w:w="460" w:type="dxa"/>
            <w:vAlign w:val="bottom"/>
            <w:shd w:val="clear" w:color="auto" w:fill="E2E8F1"/>
          </w:tcPr>
          <w:p>
            <w:pPr>
              <w:spacing w:after="0"/>
              <w:rPr>
                <w:sz w:val="16"/>
                <w:szCs w:val="16"/>
                <w:color w:val="auto"/>
              </w:rPr>
            </w:pPr>
          </w:p>
        </w:tc>
        <w:tc>
          <w:tcPr>
            <w:tcW w:w="1900" w:type="dxa"/>
            <w:vAlign w:val="bottom"/>
            <w:shd w:val="clear" w:color="auto" w:fill="E2E8F1"/>
          </w:tcPr>
          <w:p>
            <w:pPr>
              <w:jc w:val="right"/>
              <w:ind w:right="20"/>
              <w:spacing w:after="0"/>
              <w:rPr>
                <w:sz w:val="20"/>
                <w:szCs w:val="20"/>
                <w:color w:val="auto"/>
              </w:rPr>
            </w:pPr>
            <w:r>
              <w:rPr>
                <w:rFonts w:ascii="Arial" w:cs="Arial" w:eastAsia="Arial" w:hAnsi="Arial"/>
                <w:sz w:val="16"/>
                <w:szCs w:val="16"/>
                <w:color w:val="auto"/>
              </w:rPr>
              <w:t>34.0%</w:t>
            </w:r>
          </w:p>
        </w:tc>
        <w:tc>
          <w:tcPr>
            <w:tcW w:w="320" w:type="dxa"/>
            <w:vAlign w:val="bottom"/>
            <w:shd w:val="clear" w:color="auto" w:fill="E2E8F1"/>
          </w:tcPr>
          <w:p>
            <w:pPr>
              <w:spacing w:after="0"/>
              <w:rPr>
                <w:sz w:val="16"/>
                <w:szCs w:val="16"/>
                <w:color w:val="auto"/>
              </w:rPr>
            </w:pPr>
          </w:p>
        </w:tc>
        <w:tc>
          <w:tcPr>
            <w:tcW w:w="15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44.9%</w:t>
            </w:r>
          </w:p>
        </w:tc>
      </w:tr>
      <w:tr>
        <w:trPr>
          <w:trHeight w:val="215"/>
        </w:trPr>
        <w:tc>
          <w:tcPr>
            <w:tcW w:w="6980" w:type="dxa"/>
            <w:vAlign w:val="bottom"/>
          </w:tcPr>
          <w:p>
            <w:pPr>
              <w:ind w:left="80"/>
              <w:spacing w:after="0"/>
              <w:rPr>
                <w:sz w:val="20"/>
                <w:szCs w:val="20"/>
                <w:color w:val="auto"/>
              </w:rPr>
            </w:pPr>
            <w:r>
              <w:rPr>
                <w:rFonts w:ascii="Arial" w:cs="Arial" w:eastAsia="Arial" w:hAnsi="Arial"/>
                <w:sz w:val="16"/>
                <w:szCs w:val="16"/>
                <w:color w:val="auto"/>
              </w:rPr>
              <w:t>Long-term debt to total debt</w:t>
            </w:r>
          </w:p>
        </w:tc>
        <w:tc>
          <w:tcPr>
            <w:tcW w:w="460" w:type="dxa"/>
            <w:vAlign w:val="bottom"/>
          </w:tcPr>
          <w:p>
            <w:pPr>
              <w:spacing w:after="0"/>
              <w:rPr>
                <w:sz w:val="18"/>
                <w:szCs w:val="18"/>
                <w:color w:val="auto"/>
              </w:rPr>
            </w:pP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51.0%</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62.7%</w:t>
            </w:r>
          </w:p>
        </w:tc>
      </w:tr>
    </w:tbl>
    <w:p>
      <w:pPr>
        <w:spacing w:after="0" w:line="73"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Available capacity under the revolving credit facility represents $600.0 of total borrowing capacity less outstanding borrowings and letters of credit.</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Available capacity under the working capital facility represents $150.0 of total borrowing capacity less outstanding borrowings and letters of credit.</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declared a semi-annual dividend of $0.72 per share on May 8, 2026 and May 2, 2025, respectively. The 2026 dividends were paid on June 15, 2026 to shareholders of record as of June 1, 2026. The 2025 dividends were paid on June 16, 2025 to shareholders of record as of June 2, 2025.</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During the nine months ended September 30, 2026, we did not repurchase any shares under the 2023 authorization. During the nine months ended September 30, 2025, we repurchased 0.7 million shares under the 2023 authorization at a cost of $37.0. As of September 30, 2026, there were 1.9 million shares remaining authorized for repurchase under the 2023 authorization.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had aggregate commitments of $2,463.9 as of September 30, 2026 related to debt, operating leases, severance and office closure costs, and certain other commitments compared to $3,146.5 as of December 31, 2025.</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entered into guarantee contracts and stand-by letters of credit totaling $656.7 and $626.1 as of September 30, 2026 and December 31, 2025, respectively ($614.4 and $582.3 for guarantees as of September 30, 2026 and December 31, 2025, respectively, and $42.3 and $43.8 for stand-by letters of credit, respectively).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were $1.3 for both the nine months ended September 30, 2026 and 2025.</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nine months ended September 30, 2026, we recorded $30.6 in restructuring costs, of which $8.0 was recorded during the three months ended September 30, 2026. During the three and nine months ended September 30, 2025, we recorded restructuring costs of $21.4 and $51.6, respectively. Payments made from the restructuring reserve were $14.2 and $46.2 during the three and nine months ended September 30, 2026, respectively. We use our restructuring reserve for severance, office closures, office consolidations, and professional and other fees related to restructuring in multiple countries and territories. We expect a majority of the remaining $19.0 reserve will be paid by the end of 2026.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Application of Critical Accounting Policies</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is supplementing the critical accounting policies as described in the 2025 Annual Report with the following critical accounting estimates.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8" w:name="page39"/>
    <w:bookmarkEnd w:id="38"/>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3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We evaluate the following assumptions which are used in our goodwill impairment tests: expected future revenue growth rates, operating unit profit (OUP) margins, working capital levels, discount rates, and terminal value revenue growth rate. We consider expected future revenue growth rates, OUP margins and discount rates to be the more significant assumptions. The expected future revenue growth rates and OUP margins are determined after taking into consideration historical performance, our assessment of future market potential, and expected future business performance conditions. We believe that the discounted cash flow model provides the most reasonable and meaningful estimate of fair value, consistent with how market participants would value our reporting units in an orderly transaction.</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Management closely monitors the financial and operating results relative to the assumptions used in our fair value estimates, as well as macroeconomic conditions and strategic initiatives that may impact the reporting units and indefinite-lived intangible assets. During the third quarter of 2026, we completed the annual impairment test of our goodwill and indefinite-lived intangible assets. </w:t>
      </w:r>
      <w:r>
        <w:rPr>
          <w:rFonts w:ascii="Arial" w:cs="Arial" w:eastAsia="Arial" w:hAnsi="Arial"/>
          <w:sz w:val="18"/>
          <w:szCs w:val="18"/>
          <w:color w:val="231F20"/>
        </w:rPr>
        <w:t>The fair value exceeded the</w:t>
      </w:r>
      <w:r>
        <w:rPr>
          <w:rFonts w:ascii="Arial" w:cs="Arial" w:eastAsia="Arial" w:hAnsi="Arial"/>
          <w:sz w:val="18"/>
          <w:szCs w:val="18"/>
          <w:color w:val="auto"/>
        </w:rPr>
        <w:t xml:space="preserve"> </w:t>
      </w:r>
      <w:r>
        <w:rPr>
          <w:rFonts w:ascii="Arial" w:cs="Arial" w:eastAsia="Arial" w:hAnsi="Arial"/>
          <w:sz w:val="18"/>
          <w:szCs w:val="18"/>
          <w:color w:val="231F20"/>
        </w:rPr>
        <w:t xml:space="preserve">carrying amount by more than 10% for all reporting units with the exception of Switzerland. </w:t>
      </w:r>
      <w:r>
        <w:rPr>
          <w:rFonts w:ascii="Arial" w:cs="Arial" w:eastAsia="Arial" w:hAnsi="Arial"/>
          <w:sz w:val="18"/>
          <w:szCs w:val="18"/>
          <w:color w:val="000000"/>
        </w:rPr>
        <w:t>The carrying value of the Switzerland reporting</w:t>
      </w:r>
      <w:r>
        <w:rPr>
          <w:rFonts w:ascii="Arial" w:cs="Arial" w:eastAsia="Arial" w:hAnsi="Arial"/>
          <w:sz w:val="18"/>
          <w:szCs w:val="18"/>
          <w:color w:val="231F20"/>
        </w:rPr>
        <w:t xml:space="preserve"> </w:t>
      </w:r>
      <w:r>
        <w:rPr>
          <w:rFonts w:ascii="Arial" w:cs="Arial" w:eastAsia="Arial" w:hAnsi="Arial"/>
          <w:sz w:val="18"/>
          <w:szCs w:val="18"/>
          <w:color w:val="000000"/>
        </w:rPr>
        <w:t>unit had previously been adjusted to fair value as a result of an impairment charge recognized during the second quarter of 2025. As of September 30, 2026, the goodwill balance related to our Switzerland reporting unit was $32.4.</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Key assumptions for our United States reporting unit in our Americas segment, which represents the reporting unit with the most significant goodwill balance, included a discount rate of 9.2%, revenue growth rates for the next 10 years ranging from 3.0% to 8.0% and average OUP margins of 4.8%. Management closely monitors the performance and assumptions used in our fair value estimates, along with macroeconomic and operational developments that may impact future impairment assessments.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have recently had stable activity levels in certain markets, and in prior periods, we have experienced decreases in our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There could be further decreases in our operating results, which may result in the recognition of goodwill impairments.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Recently Issued Accounting Standards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3 – Quantitative and Qualitative Disclosures About Market Risk</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2025 Annual Report on Form 10-K contains certain disclosures about market risks affecting us. There have been no material changes to the information provided which would require additional disclosures as of the date of this filing.</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4 – Controls and Procedures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first nine months of 2026, we completed the implementation of a new enterprise resource planning (ERP) system Oracle Cloud ERP in our France and Italy businesses, which are part of our Southern Europe segment and which replaced several legacy systems used for procurement, invoice to cash processes and general ledger functions. As a result, we have made changes to our internal control over financial reporting to reflect the changes in the system environment and related processes.</w:t>
      </w:r>
    </w:p>
    <w:p>
      <w:pPr>
        <w:spacing w:after="0" w:line="14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There were no other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5B89B4"/>
        </w:rPr>
        <w:t>PART II – OTHER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1A – Risk Factors</w:t>
      </w:r>
    </w:p>
    <w:p>
      <w:pPr>
        <w:spacing w:after="0" w:line="1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the date of this filing, the Company and its operations continue to be subject to the risk factors previously disclosed in the “Risk Factors” sections contained in the 2025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2 – Unregistered Sales of Equity Securities and Use of Proceeds</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third quarter of 2026. As of September 30, 2026, there were 1.9 million shares remaining authorized for repurchase under the 2023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483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48360"/>
                    </a:xfrm>
                    <a:prstGeom prst="rect">
                      <a:avLst/>
                    </a:prstGeom>
                    <a:noFill/>
                  </pic:spPr>
                </pic:pic>
              </a:graphicData>
            </a:graphic>
          </wp:anchor>
        </w:drawing>
      </w:r>
    </w:p>
    <w:p>
      <w:pPr>
        <w:spacing w:after="0" w:line="8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left="188"/>
              <w:spacing w:after="0" w:line="147" w:lineRule="exact"/>
              <w:rPr>
                <w:sz w:val="20"/>
                <w:szCs w:val="20"/>
                <w:color w:val="auto"/>
              </w:rPr>
            </w:pPr>
            <w:r>
              <w:rPr>
                <w:rFonts w:ascii="Arial" w:cs="Arial" w:eastAsia="Arial" w:hAnsi="Arial"/>
                <w:sz w:val="14"/>
                <w:szCs w:val="14"/>
                <w:b w:val="1"/>
                <w:bCs w:val="1"/>
                <w:color w:val="auto"/>
              </w:rPr>
              <w:t>Total number</w:t>
            </w:r>
          </w:p>
        </w:tc>
        <w:tc>
          <w:tcPr>
            <w:tcW w:w="38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r>
      <w:tr>
        <w:trPr>
          <w:trHeight w:val="162"/>
        </w:trPr>
        <w:tc>
          <w:tcPr>
            <w:tcW w:w="3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rPr>
              <w:t>of shares</w:t>
            </w:r>
          </w:p>
        </w:tc>
        <w:tc>
          <w:tcPr>
            <w:tcW w:w="3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rPr>
              <w:t>purchased as</w:t>
            </w:r>
          </w:p>
        </w:tc>
        <w:tc>
          <w:tcPr>
            <w:tcW w:w="3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r>
      <w:tr>
        <w:trPr>
          <w:trHeight w:val="162"/>
        </w:trPr>
        <w:tc>
          <w:tcPr>
            <w:tcW w:w="3600" w:type="dxa"/>
            <w:vAlign w:val="bottom"/>
          </w:tcPr>
          <w:p>
            <w:pPr>
              <w:spacing w:after="0"/>
              <w:rPr>
                <w:sz w:val="14"/>
                <w:szCs w:val="14"/>
                <w:color w:val="auto"/>
              </w:rPr>
            </w:pPr>
          </w:p>
        </w:tc>
        <w:tc>
          <w:tcPr>
            <w:tcW w:w="1420" w:type="dxa"/>
            <w:vAlign w:val="bottom"/>
          </w:tcPr>
          <w:p>
            <w:pPr>
              <w:jc w:val="center"/>
              <w:ind w:left="248"/>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rPr>
              <w:t>part of</w:t>
            </w:r>
          </w:p>
        </w:tc>
        <w:tc>
          <w:tcPr>
            <w:tcW w:w="3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3600" w:type="dxa"/>
            <w:vAlign w:val="bottom"/>
          </w:tcPr>
          <w:p>
            <w:pPr>
              <w:spacing w:after="0"/>
              <w:rPr>
                <w:sz w:val="14"/>
                <w:szCs w:val="14"/>
                <w:color w:val="auto"/>
              </w:rPr>
            </w:pPr>
          </w:p>
        </w:tc>
        <w:tc>
          <w:tcPr>
            <w:tcW w:w="1420" w:type="dxa"/>
            <w:vAlign w:val="bottom"/>
          </w:tcPr>
          <w:p>
            <w:pPr>
              <w:jc w:val="center"/>
              <w:ind w:left="268"/>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left="168"/>
              <w:spacing w:after="0"/>
              <w:rPr>
                <w:sz w:val="20"/>
                <w:szCs w:val="20"/>
                <w:color w:val="auto"/>
              </w:rPr>
            </w:pPr>
            <w:r>
              <w:rPr>
                <w:rFonts w:ascii="Arial" w:cs="Arial" w:eastAsia="Arial" w:hAnsi="Arial"/>
                <w:sz w:val="14"/>
                <w:szCs w:val="14"/>
                <w:b w:val="1"/>
                <w:bCs w:val="1"/>
                <w:color w:val="auto"/>
              </w:rPr>
              <w:t>publicly</w:t>
            </w:r>
          </w:p>
        </w:tc>
        <w:tc>
          <w:tcPr>
            <w:tcW w:w="3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shares that</w:t>
            </w:r>
          </w:p>
        </w:tc>
      </w:tr>
      <w:tr>
        <w:trPr>
          <w:trHeight w:val="162"/>
        </w:trPr>
        <w:tc>
          <w:tcPr>
            <w:tcW w:w="3600" w:type="dxa"/>
            <w:vAlign w:val="bottom"/>
          </w:tcPr>
          <w:p>
            <w:pPr>
              <w:spacing w:after="0"/>
              <w:rPr>
                <w:sz w:val="14"/>
                <w:szCs w:val="14"/>
                <w:color w:val="auto"/>
              </w:rPr>
            </w:pPr>
          </w:p>
        </w:tc>
        <w:tc>
          <w:tcPr>
            <w:tcW w:w="1420" w:type="dxa"/>
            <w:vAlign w:val="bottom"/>
          </w:tcPr>
          <w:p>
            <w:pPr>
              <w:jc w:val="center"/>
              <w:ind w:left="268"/>
              <w:spacing w:after="0"/>
              <w:rPr>
                <w:sz w:val="20"/>
                <w:szCs w:val="20"/>
                <w:color w:val="auto"/>
              </w:rPr>
            </w:pPr>
            <w:r>
              <w:rPr>
                <w:rFonts w:ascii="Arial" w:cs="Arial" w:eastAsia="Arial" w:hAnsi="Arial"/>
                <w:sz w:val="14"/>
                <w:szCs w:val="14"/>
                <w:b w:val="1"/>
                <w:bCs w:val="1"/>
                <w:color w:val="auto"/>
              </w:rPr>
              <w:t>of shares</w:t>
            </w:r>
          </w:p>
        </w:tc>
        <w:tc>
          <w:tcPr>
            <w:tcW w:w="460" w:type="dxa"/>
            <w:vAlign w:val="bottom"/>
          </w:tcPr>
          <w:p>
            <w:pPr>
              <w:spacing w:after="0"/>
              <w:rPr>
                <w:sz w:val="14"/>
                <w:szCs w:val="14"/>
                <w:color w:val="auto"/>
              </w:rPr>
            </w:pPr>
          </w:p>
        </w:tc>
        <w:tc>
          <w:tcPr>
            <w:tcW w:w="1580" w:type="dxa"/>
            <w:vAlign w:val="bottom"/>
          </w:tcPr>
          <w:p>
            <w:pPr>
              <w:jc w:val="right"/>
              <w:ind w:right="22"/>
              <w:spacing w:after="0"/>
              <w:rPr>
                <w:sz w:val="20"/>
                <w:szCs w:val="20"/>
                <w:color w:val="auto"/>
              </w:rPr>
            </w:pPr>
            <w:r>
              <w:rPr>
                <w:rFonts w:ascii="Arial" w:cs="Arial" w:eastAsia="Arial" w:hAnsi="Arial"/>
                <w:sz w:val="14"/>
                <w:szCs w:val="14"/>
                <w:b w:val="1"/>
                <w:bCs w:val="1"/>
                <w:color w:val="auto"/>
              </w:rPr>
              <w:t>Average price</w:t>
            </w:r>
          </w:p>
        </w:tc>
        <w:tc>
          <w:tcPr>
            <w:tcW w:w="460" w:type="dxa"/>
            <w:vAlign w:val="bottom"/>
          </w:tcPr>
          <w:p>
            <w:pPr>
              <w:spacing w:after="0"/>
              <w:rPr>
                <w:sz w:val="14"/>
                <w:szCs w:val="14"/>
                <w:color w:val="auto"/>
              </w:rPr>
            </w:pP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rPr>
              <w:t>announced</w:t>
            </w:r>
          </w:p>
        </w:tc>
        <w:tc>
          <w:tcPr>
            <w:tcW w:w="3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may yet be</w:t>
            </w:r>
          </w:p>
        </w:tc>
      </w:tr>
      <w:tr>
        <w:trPr>
          <w:trHeight w:val="171"/>
        </w:trPr>
        <w:tc>
          <w:tcPr>
            <w:tcW w:w="36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purchased</w:t>
            </w: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paid per share</w:t>
            </w: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7"/>
              </w:rPr>
              <w:t>plan</w:t>
            </w: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r>
      <w:tr>
        <w:trPr>
          <w:trHeight w:val="183"/>
        </w:trPr>
        <w:tc>
          <w:tcPr>
            <w:tcW w:w="5020" w:type="dxa"/>
            <w:vAlign w:val="bottom"/>
            <w:gridSpan w:val="2"/>
            <w:shd w:val="clear" w:color="auto" w:fill="E2E8F1"/>
          </w:tcPr>
          <w:p>
            <w:pPr>
              <w:spacing w:after="0" w:line="183" w:lineRule="exact"/>
              <w:rPr>
                <w:sz w:val="20"/>
                <w:szCs w:val="20"/>
                <w:color w:val="auto"/>
              </w:rPr>
            </w:pPr>
            <w:r>
              <w:rPr>
                <w:rFonts w:ascii="Arial" w:cs="Arial" w:eastAsia="Arial" w:hAnsi="Arial"/>
                <w:sz w:val="16"/>
                <w:szCs w:val="16"/>
                <w:color w:val="auto"/>
              </w:rPr>
              <w:t>July 1 - 31, 2026</w:t>
            </w:r>
          </w:p>
        </w:tc>
        <w:tc>
          <w:tcPr>
            <w:tcW w:w="460" w:type="dxa"/>
            <w:vAlign w:val="bottom"/>
            <w:shd w:val="clear" w:color="auto" w:fill="E2E8F1"/>
          </w:tcPr>
          <w:p>
            <w:pPr>
              <w:ind w:left="180"/>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E2E8F1"/>
          </w:tcPr>
          <w:p>
            <w:pPr>
              <w:jc w:val="right"/>
              <w:ind w:right="1202"/>
              <w:spacing w:after="0" w:line="183" w:lineRule="exact"/>
              <w:rPr>
                <w:sz w:val="20"/>
                <w:szCs w:val="20"/>
                <w:color w:val="auto"/>
              </w:rPr>
            </w:pPr>
            <w:r>
              <w:rPr>
                <w:rFonts w:ascii="Arial" w:cs="Arial" w:eastAsia="Arial" w:hAnsi="Arial"/>
                <w:sz w:val="16"/>
                <w:szCs w:val="16"/>
                <w:color w:val="auto"/>
              </w:rPr>
              <w:t>$</w:t>
            </w:r>
          </w:p>
        </w:tc>
        <w:tc>
          <w:tcPr>
            <w:tcW w:w="1840" w:type="dxa"/>
            <w:vAlign w:val="bottom"/>
            <w:gridSpan w:val="2"/>
            <w:shd w:val="clear" w:color="auto" w:fill="E2E8F1"/>
          </w:tcPr>
          <w:p>
            <w:pPr>
              <w:ind w:left="60"/>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E2E8F1"/>
          </w:tcPr>
          <w:p>
            <w:pPr>
              <w:ind w:left="100"/>
              <w:spacing w:after="0" w:line="183" w:lineRule="exact"/>
              <w:rPr>
                <w:sz w:val="20"/>
                <w:szCs w:val="20"/>
                <w:color w:val="auto"/>
              </w:rPr>
            </w:pPr>
            <w:r>
              <w:rPr>
                <w:rFonts w:ascii="Arial" w:cs="Arial" w:eastAsia="Arial" w:hAnsi="Arial"/>
                <w:sz w:val="16"/>
                <w:szCs w:val="16"/>
                <w:color w:val="auto"/>
              </w:rPr>
              <w:t>—</w:t>
            </w:r>
          </w:p>
        </w:tc>
        <w:tc>
          <w:tcPr>
            <w:tcW w:w="1960" w:type="dxa"/>
            <w:vAlign w:val="bottom"/>
            <w:shd w:val="clear" w:color="auto" w:fill="E2E8F1"/>
          </w:tcPr>
          <w:p>
            <w:pPr>
              <w:jc w:val="right"/>
              <w:ind w:right="44"/>
              <w:spacing w:after="0" w:line="183" w:lineRule="exact"/>
              <w:rPr>
                <w:sz w:val="20"/>
                <w:szCs w:val="20"/>
                <w:color w:val="auto"/>
              </w:rPr>
            </w:pPr>
            <w:r>
              <w:rPr>
                <w:rFonts w:ascii="Arial" w:cs="Arial" w:eastAsia="Arial" w:hAnsi="Arial"/>
                <w:sz w:val="16"/>
                <w:szCs w:val="16"/>
                <w:color w:val="auto"/>
              </w:rPr>
              <w:t>1,931,551</w:t>
            </w:r>
          </w:p>
        </w:tc>
      </w:tr>
      <w:tr>
        <w:trPr>
          <w:trHeight w:val="189"/>
        </w:trPr>
        <w:tc>
          <w:tcPr>
            <w:tcW w:w="5020" w:type="dxa"/>
            <w:vAlign w:val="bottom"/>
            <w:gridSpan w:val="2"/>
          </w:tcPr>
          <w:p>
            <w:pPr>
              <w:spacing w:after="0"/>
              <w:rPr>
                <w:sz w:val="20"/>
                <w:szCs w:val="20"/>
                <w:color w:val="auto"/>
              </w:rPr>
            </w:pPr>
            <w:r>
              <w:rPr>
                <w:rFonts w:ascii="Arial" w:cs="Arial" w:eastAsia="Arial" w:hAnsi="Arial"/>
                <w:sz w:val="16"/>
                <w:szCs w:val="16"/>
                <w:color w:val="auto"/>
              </w:rPr>
              <w:t>August 1 - 31, 2026</w:t>
            </w:r>
          </w:p>
        </w:tc>
        <w:tc>
          <w:tcPr>
            <w:tcW w:w="460" w:type="dxa"/>
            <w:vAlign w:val="bottom"/>
          </w:tcPr>
          <w:p>
            <w:pPr>
              <w:ind w:left="18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202"/>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80" w:type="dxa"/>
            <w:vAlign w:val="bottom"/>
          </w:tcPr>
          <w:p>
            <w:pPr>
              <w:ind w:left="100"/>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44"/>
              <w:spacing w:after="0"/>
              <w:rPr>
                <w:sz w:val="20"/>
                <w:szCs w:val="20"/>
                <w:color w:val="auto"/>
              </w:rPr>
            </w:pPr>
            <w:r>
              <w:rPr>
                <w:rFonts w:ascii="Arial" w:cs="Arial" w:eastAsia="Arial" w:hAnsi="Arial"/>
                <w:sz w:val="16"/>
                <w:szCs w:val="16"/>
                <w:color w:val="auto"/>
              </w:rPr>
              <w:t>1,931,551</w:t>
            </w:r>
          </w:p>
        </w:tc>
      </w:tr>
      <w:tr>
        <w:trPr>
          <w:trHeight w:val="189"/>
        </w:trPr>
        <w:tc>
          <w:tcPr>
            <w:tcW w:w="360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color w:val="auto"/>
              </w:rPr>
              <w:t>September 1 - 30, 2026</w:t>
            </w:r>
          </w:p>
        </w:tc>
        <w:tc>
          <w:tcPr>
            <w:tcW w:w="1420" w:type="dxa"/>
            <w:vAlign w:val="bottom"/>
            <w:tcBorders>
              <w:bottom w:val="single" w:sz="8" w:color="auto"/>
            </w:tcBorders>
            <w:shd w:val="clear" w:color="auto" w:fill="E2E8F1"/>
          </w:tcPr>
          <w:p>
            <w:pPr>
              <w:spacing w:after="0"/>
              <w:rPr>
                <w:sz w:val="16"/>
                <w:szCs w:val="16"/>
                <w:color w:val="auto"/>
              </w:rPr>
            </w:pPr>
          </w:p>
        </w:tc>
        <w:tc>
          <w:tcPr>
            <w:tcW w:w="460" w:type="dxa"/>
            <w:vAlign w:val="bottom"/>
            <w:tcBorders>
              <w:bottom w:val="single" w:sz="8" w:color="auto"/>
            </w:tcBorders>
            <w:shd w:val="clear" w:color="auto" w:fill="E2E8F1"/>
          </w:tcPr>
          <w:p>
            <w:pPr>
              <w:ind w:left="18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2E8F1"/>
            </w:tcBorders>
            <w:shd w:val="clear" w:color="auto" w:fill="E2E8F1"/>
          </w:tcPr>
          <w:p>
            <w:pPr>
              <w:jc w:val="right"/>
              <w:ind w:right="120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E2E8F1"/>
          </w:tcPr>
          <w:p>
            <w:pPr>
              <w:spacing w:after="0"/>
              <w:rPr>
                <w:sz w:val="16"/>
                <w:szCs w:val="16"/>
                <w:color w:val="auto"/>
              </w:rPr>
            </w:pPr>
          </w:p>
        </w:tc>
        <w:tc>
          <w:tcPr>
            <w:tcW w:w="380" w:type="dxa"/>
            <w:vAlign w:val="bottom"/>
            <w:tcBorders>
              <w:bottom w:val="single" w:sz="8" w:color="auto"/>
            </w:tcBorders>
            <w:shd w:val="clear" w:color="auto" w:fill="E2E8F1"/>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E2E8F1"/>
            </w:tcBorders>
            <w:shd w:val="clear" w:color="auto" w:fill="E2E8F1"/>
          </w:tcPr>
          <w:p>
            <w:pPr>
              <w:jc w:val="right"/>
              <w:ind w:right="44"/>
              <w:spacing w:after="0"/>
              <w:rPr>
                <w:sz w:val="20"/>
                <w:szCs w:val="20"/>
                <w:color w:val="auto"/>
              </w:rPr>
            </w:pPr>
            <w:r>
              <w:rPr>
                <w:rFonts w:ascii="Arial" w:cs="Arial" w:eastAsia="Arial" w:hAnsi="Arial"/>
                <w:sz w:val="16"/>
                <w:szCs w:val="16"/>
                <w:color w:val="auto"/>
              </w:rPr>
              <w:t>1,931,551</w:t>
            </w:r>
          </w:p>
        </w:tc>
      </w:tr>
      <w:tr>
        <w:trPr>
          <w:trHeight w:val="183"/>
        </w:trPr>
        <w:tc>
          <w:tcPr>
            <w:tcW w:w="5020" w:type="dxa"/>
            <w:vAlign w:val="bottom"/>
            <w:gridSpan w:val="2"/>
          </w:tcPr>
          <w:p>
            <w:pPr>
              <w:spacing w:after="0" w:line="169" w:lineRule="exact"/>
              <w:rPr>
                <w:sz w:val="20"/>
                <w:szCs w:val="20"/>
                <w:color w:val="auto"/>
              </w:rPr>
            </w:pPr>
            <w:r>
              <w:rPr>
                <w:rFonts w:ascii="Arial" w:cs="Arial" w:eastAsia="Arial" w:hAnsi="Arial"/>
                <w:sz w:val="16"/>
                <w:szCs w:val="16"/>
                <w:color w:val="auto"/>
              </w:rPr>
              <w:t>Total</w:t>
            </w:r>
          </w:p>
        </w:tc>
        <w:tc>
          <w:tcPr>
            <w:tcW w:w="460" w:type="dxa"/>
            <w:vAlign w:val="bottom"/>
          </w:tcPr>
          <w:p>
            <w:pPr>
              <w:ind w:left="180"/>
              <w:spacing w:after="0" w:line="169"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1202"/>
              <w:spacing w:after="0" w:line="169" w:lineRule="exact"/>
              <w:rPr>
                <w:sz w:val="20"/>
                <w:szCs w:val="20"/>
                <w:color w:val="auto"/>
              </w:rPr>
            </w:pPr>
            <w:r>
              <w:rPr>
                <w:rFonts w:ascii="Arial" w:cs="Arial" w:eastAsia="Arial" w:hAnsi="Arial"/>
                <w:sz w:val="16"/>
                <w:szCs w:val="16"/>
                <w:color w:val="auto"/>
              </w:rPr>
              <w:t>$</w:t>
            </w:r>
          </w:p>
        </w:tc>
        <w:tc>
          <w:tcPr>
            <w:tcW w:w="1840" w:type="dxa"/>
            <w:vAlign w:val="bottom"/>
            <w:gridSpan w:val="2"/>
          </w:tcPr>
          <w:p>
            <w:pPr>
              <w:ind w:left="60"/>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ind w:left="100"/>
              <w:spacing w:after="0" w:line="169" w:lineRule="exact"/>
              <w:rPr>
                <w:sz w:val="20"/>
                <w:szCs w:val="20"/>
                <w:color w:val="auto"/>
              </w:rPr>
            </w:pPr>
            <w:r>
              <w:rPr>
                <w:rFonts w:ascii="Arial" w:cs="Arial" w:eastAsia="Arial" w:hAnsi="Arial"/>
                <w:sz w:val="16"/>
                <w:szCs w:val="16"/>
                <w:color w:val="auto"/>
              </w:rPr>
              <w:t>—</w:t>
            </w:r>
          </w:p>
        </w:tc>
        <w:tc>
          <w:tcPr>
            <w:tcW w:w="1960" w:type="dxa"/>
            <w:vAlign w:val="bottom"/>
          </w:tcPr>
          <w:p>
            <w:pPr>
              <w:jc w:val="right"/>
              <w:ind w:right="44"/>
              <w:spacing w:after="0" w:line="169" w:lineRule="exact"/>
              <w:rPr>
                <w:sz w:val="20"/>
                <w:szCs w:val="20"/>
                <w:color w:val="auto"/>
              </w:rPr>
            </w:pPr>
            <w:r>
              <w:rPr>
                <w:rFonts w:ascii="Arial" w:cs="Arial" w:eastAsia="Arial" w:hAnsi="Arial"/>
                <w:sz w:val="16"/>
                <w:szCs w:val="16"/>
                <w:color w:val="auto"/>
              </w:rPr>
              <w:t>1,931,551</w:t>
            </w:r>
          </w:p>
        </w:tc>
      </w:tr>
      <w:tr>
        <w:trPr>
          <w:trHeight w:val="20"/>
        </w:trPr>
        <w:tc>
          <w:tcPr>
            <w:tcW w:w="36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-153670</wp:posOffset>
            </wp:positionV>
            <wp:extent cx="1289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5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Audit Committee Approval of Audit-Related and Non-Audit Services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2026:</w:t>
      </w:r>
    </w:p>
    <w:p>
      <w:pPr>
        <w:spacing w:after="0" w:line="46" w:lineRule="exact"/>
        <w:rPr>
          <w:sz w:val="20"/>
          <w:szCs w:val="20"/>
          <w:color w:val="auto"/>
        </w:rPr>
      </w:pPr>
    </w:p>
    <w:p>
      <w:pPr>
        <w:ind w:left="320" w:right="20" w:hanging="312"/>
        <w:spacing w:after="0" w:line="271"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45" w:lineRule="exact"/>
        <w:rPr>
          <w:rFonts w:ascii="Arial" w:cs="Arial" w:eastAsia="Arial" w:hAnsi="Arial"/>
          <w:sz w:val="18"/>
          <w:szCs w:val="18"/>
          <w:color w:val="auto"/>
        </w:rPr>
      </w:pPr>
    </w:p>
    <w:p>
      <w:pPr>
        <w:ind w:left="320" w:right="20" w:hanging="312"/>
        <w:spacing w:after="0" w:line="271"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w:t>
      </w:r>
    </w:p>
    <w:p>
      <w:pPr>
        <w:spacing w:after="0" w:line="45"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 and</w:t>
      </w:r>
    </w:p>
    <w:p>
      <w:pPr>
        <w:spacing w:after="0" w:line="103" w:lineRule="exact"/>
        <w:rPr>
          <w:rFonts w:ascii="Arial" w:cs="Arial" w:eastAsia="Arial" w:hAnsi="Arial"/>
          <w:sz w:val="18"/>
          <w:szCs w:val="18"/>
          <w:color w:val="auto"/>
        </w:rPr>
      </w:pPr>
    </w:p>
    <w:p>
      <w:pPr>
        <w:ind w:left="320" w:hanging="312"/>
        <w:spacing w:after="0" w:line="271"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advice regarding the company's sustainability program and compliance with and interpretation of sustainability regulations such as Corporate Sustainability Reporting Directive (“CSRD”).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Trading Plans</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the quarter ended September 30, 2026, no director or Section 16 officer adopted or terminated any "Rule 10b5-1 trading arrangements" or "non-Rule 10b5-1 trading arrangements" as each term is defined in Item 408(a) of Regulation S-K.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41" w:name="page42"/>
    <w:bookmarkEnd w:id="41"/>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040"/>
          </w:cols>
          <w:pgMar w:left="320" w:top="782" w:right="53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6 – Exhibits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71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auto"/>
                <w:w w:val="99"/>
              </w:rPr>
              <w:t>Letter Agreement between Jonas Prising and the Company dated as of October 14, 2026.</w:t>
            </w:r>
          </w:p>
        </w:tc>
        <w:tc>
          <w:tcPr>
            <w:tcW w:w="2760" w:type="dxa"/>
            <w:vAlign w:val="bottom"/>
            <w:gridSpan w:val="4"/>
          </w:tcPr>
          <w:p>
            <w:pPr>
              <w:spacing w:after="0"/>
              <w:rPr>
                <w:sz w:val="17"/>
                <w:szCs w:val="17"/>
                <w:color w:val="auto"/>
              </w:rPr>
            </w:pPr>
          </w:p>
        </w:tc>
      </w:tr>
      <w:tr>
        <w:trPr>
          <w:trHeight w:val="398"/>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9920" w:type="dxa"/>
            <w:vAlign w:val="bottom"/>
            <w:gridSpan w:val="7"/>
          </w:tcPr>
          <w:p>
            <w:pPr>
              <w:spacing w:after="0"/>
              <w:rPr>
                <w:sz w:val="20"/>
                <w:szCs w:val="20"/>
                <w:color w:val="auto"/>
              </w:rPr>
            </w:pPr>
            <w:r>
              <w:rPr>
                <w:rFonts w:ascii="Arial" w:cs="Arial" w:eastAsia="Arial" w:hAnsi="Arial"/>
                <w:sz w:val="18"/>
                <w:szCs w:val="18"/>
                <w:color w:val="auto"/>
              </w:rPr>
              <w:t>Amended and Restated Letter Agreement between Becky Frankiewicz and the Company dated as of October 14, 2026.</w:t>
            </w:r>
          </w:p>
        </w:tc>
      </w:tr>
      <w:tr>
        <w:trPr>
          <w:trHeight w:val="20"/>
        </w:trPr>
        <w:tc>
          <w:tcPr>
            <w:tcW w:w="1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rPr>
              <w:t>Certification of Jonas Prising, Chief Executive Officer, pursuant to Section 13a-14(a) of the Securities Exchange Act of 1934.</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gridSpan w:val="7"/>
          </w:tcPr>
          <w:p>
            <w:pPr>
              <w:spacing w:after="0"/>
              <w:rPr>
                <w:sz w:val="20"/>
                <w:szCs w:val="20"/>
                <w:color w:val="auto"/>
              </w:rPr>
            </w:pPr>
            <w:r>
              <w:rPr>
                <w:rFonts w:ascii="Arial" w:cs="Arial" w:eastAsia="Arial" w:hAnsi="Arial"/>
                <w:sz w:val="18"/>
                <w:szCs w:val="18"/>
                <w:color w:val="auto"/>
              </w:rPr>
              <w:t>Certification of John T. McGinnis, Executive Vice President and Chief Financial Officer, pursuant to Section 13a-14(a) of the</w:t>
            </w:r>
          </w:p>
        </w:tc>
      </w:tr>
      <w:tr>
        <w:trPr>
          <w:trHeight w:val="182"/>
        </w:trPr>
        <w:tc>
          <w:tcPr>
            <w:tcW w:w="1140" w:type="dxa"/>
            <w:vAlign w:val="bottom"/>
          </w:tcPr>
          <w:p>
            <w:pPr>
              <w:spacing w:after="0"/>
              <w:rPr>
                <w:sz w:val="15"/>
                <w:szCs w:val="15"/>
                <w:color w:val="auto"/>
              </w:rPr>
            </w:pPr>
          </w:p>
        </w:tc>
        <w:tc>
          <w:tcPr>
            <w:tcW w:w="26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9"/>
              </w:rPr>
              <w:t>Securities Exchange Act of 1934.</w:t>
            </w:r>
          </w:p>
        </w:tc>
        <w:tc>
          <w:tcPr>
            <w:tcW w:w="724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99"/>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67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auto"/>
                <w:w w:val="99"/>
              </w:rPr>
              <w:t>Statement of Jonas Prising, Chief Executive Officer, pursuant to 18 U.S.C. ss. 1350.</w:t>
            </w:r>
          </w:p>
        </w:tc>
        <w:tc>
          <w:tcPr>
            <w:tcW w:w="3220" w:type="dxa"/>
            <w:vAlign w:val="bottom"/>
            <w:gridSpan w:val="5"/>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gridSpan w:val="7"/>
          </w:tcPr>
          <w:p>
            <w:pPr>
              <w:spacing w:after="0"/>
              <w:rPr>
                <w:sz w:val="20"/>
                <w:szCs w:val="20"/>
                <w:color w:val="auto"/>
              </w:rPr>
            </w:pPr>
            <w:r>
              <w:rPr>
                <w:rFonts w:ascii="Arial" w:cs="Arial" w:eastAsia="Arial" w:hAnsi="Arial"/>
                <w:sz w:val="18"/>
                <w:szCs w:val="18"/>
                <w:color w:val="auto"/>
              </w:rPr>
              <w:t>Statement of John T. McGinnis, Executive Vice President and Chief Financial Officer, pursuant to 18 U.S.C. ss. 1350.</w:t>
            </w:r>
          </w:p>
        </w:tc>
      </w:tr>
      <w:tr>
        <w:trPr>
          <w:trHeight w:val="20"/>
        </w:trPr>
        <w:tc>
          <w:tcPr>
            <w:tcW w:w="1140" w:type="dxa"/>
            <w:vAlign w:val="bottom"/>
          </w:tcPr>
          <w:p>
            <w:pPr>
              <w:spacing w:after="0" w:line="20" w:lineRule="exact"/>
              <w:rPr>
                <w:sz w:val="1"/>
                <w:szCs w:val="1"/>
                <w:color w:val="auto"/>
              </w:rPr>
            </w:pPr>
          </w:p>
        </w:tc>
        <w:tc>
          <w:tcPr>
            <w:tcW w:w="9340" w:type="dxa"/>
            <w:vAlign w:val="bottom"/>
            <w:gridSpan w:val="4"/>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420"/>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7"/>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9"/>
        </w:trPr>
        <w:tc>
          <w:tcPr>
            <w:tcW w:w="1140" w:type="dxa"/>
            <w:vAlign w:val="bottom"/>
          </w:tcPr>
          <w:p>
            <w:pPr>
              <w:spacing w:after="0"/>
              <w:rPr>
                <w:sz w:val="20"/>
                <w:szCs w:val="20"/>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r>
    </w:tbl>
    <w:p>
      <w:pPr>
        <w:spacing w:after="0" w:line="193" w:lineRule="exact"/>
        <w:rPr>
          <w:sz w:val="20"/>
          <w:szCs w:val="20"/>
          <w:color w:val="auto"/>
        </w:rPr>
      </w:pPr>
    </w:p>
    <w:p>
      <w:pPr>
        <w:ind w:left="1140" w:right="240" w:hanging="1132"/>
        <w:spacing w:after="0" w:line="27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2026 has been formatted in Inline XBRL (Inline Extensible Business Reporting Language)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compensatory plan or arrangement</w:t>
      </w:r>
    </w:p>
    <w:p>
      <w:pPr>
        <w:spacing w:after="0" w:line="2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82" w:right="539"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color w:val="5B89B4"/>
        </w:rPr>
        <w:t>SIGNATURES</w:t>
      </w:r>
    </w:p>
    <w:p>
      <w:pPr>
        <w:spacing w:after="0" w:line="13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26035</wp:posOffset>
            </wp:positionV>
            <wp:extent cx="16370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7"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240"/>
          </w:cols>
          <w:pgMar w:left="320" w:top="7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14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r>
      <w:tr>
        <w:trPr>
          <w:trHeight w:val="20"/>
        </w:trPr>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John T. McGinnis</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2"/>
        </w:trPr>
        <w:tc>
          <w:tcPr>
            <w:tcW w:w="2120" w:type="dxa"/>
            <w:vAlign w:val="bottom"/>
            <w:gridSpan w:val="3"/>
          </w:tcPr>
          <w:p>
            <w:pPr>
              <w:ind w:left="60"/>
              <w:spacing w:after="0"/>
              <w:rPr>
                <w:sz w:val="20"/>
                <w:szCs w:val="20"/>
                <w:color w:val="auto"/>
              </w:rPr>
            </w:pPr>
            <w:r>
              <w:rPr>
                <w:rFonts w:ascii="Arial" w:cs="Arial" w:eastAsia="Arial" w:hAnsi="Arial"/>
                <w:sz w:val="18"/>
                <w:szCs w:val="18"/>
                <w:color w:val="auto"/>
              </w:rPr>
              <w:t>John T. McGinnis</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w w:val="99"/>
              </w:rPr>
              <w:t>(Signing on behalf of the Registrant and as the Principal Financial Officer)</w:t>
            </w:r>
          </w:p>
        </w:tc>
      </w:tr>
      <w:tr>
        <w:trPr>
          <w:trHeight w:val="544"/>
        </w:trPr>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Eric Rozek</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rPr>
              <w:t>Vice President and Global Controller (Principal Accounting Officer)</w:t>
            </w:r>
          </w:p>
        </w:tc>
      </w:tr>
      <w:tr>
        <w:trPr>
          <w:trHeight w:val="232"/>
        </w:trPr>
        <w:tc>
          <w:tcPr>
            <w:tcW w:w="2120" w:type="dxa"/>
            <w:vAlign w:val="bottom"/>
            <w:gridSpan w:val="3"/>
          </w:tcPr>
          <w:p>
            <w:pPr>
              <w:ind w:left="60"/>
              <w:spacing w:after="0"/>
              <w:rPr>
                <w:sz w:val="20"/>
                <w:szCs w:val="20"/>
                <w:color w:val="auto"/>
              </w:rPr>
            </w:pPr>
            <w:r>
              <w:rPr>
                <w:rFonts w:ascii="Arial" w:cs="Arial" w:eastAsia="Arial" w:hAnsi="Arial"/>
                <w:sz w:val="18"/>
                <w:szCs w:val="18"/>
                <w:color w:val="auto"/>
              </w:rPr>
              <w:t>Eric Rozek</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1060"/>
        <w:spacing w:after="0"/>
        <w:rPr>
          <w:sz w:val="20"/>
          <w:szCs w:val="20"/>
          <w:color w:val="auto"/>
        </w:rPr>
      </w:pPr>
      <w:r>
        <w:rPr>
          <w:rFonts w:ascii="Arial" w:cs="Arial" w:eastAsia="Arial" w:hAnsi="Arial"/>
          <w:sz w:val="18"/>
          <w:szCs w:val="18"/>
          <w:b w:val="1"/>
          <w:bCs w:val="1"/>
          <w:u w:val="single" w:color="auto"/>
          <w:color w:val="auto"/>
        </w:rPr>
        <w:t>Date</w:t>
      </w:r>
    </w:p>
    <w:p>
      <w:pPr>
        <w:spacing w:after="0" w:line="198"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October 30,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October 30, 2026</w:t>
      </w:r>
    </w:p>
    <w:p>
      <w:pPr>
        <w:spacing w:after="0" w:line="547" w:lineRule="exact"/>
        <w:rPr>
          <w:sz w:val="20"/>
          <w:szCs w:val="20"/>
          <w:color w:val="auto"/>
        </w:rPr>
      </w:pPr>
    </w:p>
    <w:p>
      <w:pPr>
        <w:sectPr>
          <w:pgSz w:w="11900" w:h="16838" w:orient="portrait"/>
          <w:cols w:equalWidth="0" w:num="2">
            <w:col w:w="8200" w:space="520"/>
            <w:col w:w="2520"/>
          </w:cols>
          <w:pgMar w:left="320" w:top="782"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40" w:firstLine="9"/>
        <w:spacing w:after="0" w:line="236" w:lineRule="auto"/>
        <w:tabs>
          <w:tab w:leader="none" w:pos="195" w:val="left"/>
        </w:tabs>
        <w:numPr>
          <w:ilvl w:val="0"/>
          <w:numId w:val="34"/>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jc w:val="center"/>
        <w:spacing w:after="0"/>
        <w:rPr>
          <w:sz w:val="20"/>
          <w:szCs w:val="20"/>
          <w:color w:val="auto"/>
        </w:rPr>
      </w:pPr>
      <w:r>
        <w:rPr>
          <w:rFonts w:ascii="Times New Roman" w:cs="Times New Roman" w:eastAsia="Times New Roman" w:hAnsi="Times New Roman"/>
          <w:sz w:val="22"/>
          <w:szCs w:val="22"/>
          <w:color w:val="auto"/>
        </w:rPr>
        <w:t>October 14, 2026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Jonas: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On behalf of </w:t>
      </w:r>
      <w:r>
        <w:rPr>
          <w:rFonts w:ascii="Times New Roman" w:cs="Times New Roman" w:eastAsia="Times New Roman" w:hAnsi="Times New Roman"/>
          <w:sz w:val="21"/>
          <w:szCs w:val="21"/>
          <w:b w:val="1"/>
          <w:bCs w:val="1"/>
          <w:color w:val="auto"/>
        </w:rPr>
        <w:t>ManpowerGroup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Inc.</w:t>
      </w:r>
      <w:r>
        <w:rPr>
          <w:rFonts w:ascii="Times New Roman" w:cs="Times New Roman" w:eastAsia="Times New Roman" w:hAnsi="Times New Roman"/>
          <w:sz w:val="21"/>
          <w:szCs w:val="21"/>
          <w:color w:val="auto"/>
        </w:rPr>
        <w:t xml:space="preserve"> (the “Company”) and its Board of Directors (the “Board”), I want to thank you for your many years of service to the Company, during which you have demonstrated remarkable leadership and have made immeasurable contributions to the Company. We appreciate your willingness to provide continued support and expertise to the Company as Executive Chair of the Board (“Executive Chair”) following your retirement as Chief Executive Officer of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letter agreement (“Agreement”) supplements, and in some cases supersedes, the terms of the Letter Agreement by and between you and the Company, dated as of February 13, 2026 (the “Letter Agreement”), as follows:</w:t>
      </w:r>
    </w:p>
    <w:p>
      <w:pPr>
        <w:spacing w:after="0" w:line="1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Term. </w:t>
      </w:r>
      <w:r>
        <w:rPr>
          <w:rFonts w:ascii="Times New Roman" w:cs="Times New Roman" w:eastAsia="Times New Roman" w:hAnsi="Times New Roman"/>
          <w:sz w:val="22"/>
          <w:szCs w:val="22"/>
          <w:color w:val="auto"/>
        </w:rPr>
        <w:t>You will serve as Chief Executive Officer of the Company through December 31, 2026 and, effective on January 1, 2027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“Transition Date”), you will assume the role of Executive Chair, serving in such role through December 31, 2027 or your earlier termination of employment for any reason (the period from the Transition Date through December 31, 2027, the “Service Period”).</w:t>
      </w:r>
    </w:p>
    <w:p>
      <w:pPr>
        <w:spacing w:after="0" w:line="1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your role as Executive Chair, you agree to provide transition and other related services to the Company to provide an effective transition of your executive responsibilities to the Company’s incoming Chief Executive Officer. In addition, you will also dedicate the time and perform the duties normally applicable to an Executive Chair of a publicly-traded corporation, which will include, but not be limited to, (i) chairing meetings of the Board and the Company’s shareholders, (ii) preparing the agenda for meetings of the Board in coordination with the Chief Executive Officer and members of the Board, (iii) consulting with and supporting the incoming Chief Executive Officer on the Company’s strategy, including short- and long-range planning activities and growth strategies, and (iv) assisting in communications with investors, analysts and public relations matters, in each case, as reasonably requested by the Chief Executive Officer of the Company. As Executive Chair, you will report directly to the Board. You and the Company agree that based on the anticipated level of services that you will perform for the Company as Executive Chair, you are not expected to experience a “separation from service” under Section 409A of the Internal Revenue Code of 1986, as amended, during the Service Period.</w:t>
      </w:r>
    </w:p>
    <w:p>
      <w:pPr>
        <w:spacing w:after="0" w:line="1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Further, the Company agrees that you shall not be considered to be in breach of your obligations hereunder or under the Letter Agreement, and no such activity shall constitute Cause (as defined below) or give rise to any reduction, forfeiture or recoupment of your compensation or benefits, if during the Service Period you (A) serve as a director, manager, trustee or member of an advisory board or similar governing body of, or provide consulting services to, any other entity, whether for-profit or not-for-profit; provided, however, any service on a for-profit board shall be subject to prior written approval by the Board, not to be unreasonably withheld, (B) engage in charitable,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40" w:firstLine="9"/>
        <w:spacing w:after="0" w:line="236" w:lineRule="auto"/>
        <w:tabs>
          <w:tab w:leader="none" w:pos="195" w:val="left"/>
        </w:tabs>
        <w:numPr>
          <w:ilvl w:val="0"/>
          <w:numId w:val="35"/>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jc w:val="both"/>
        <w:spacing w:after="0" w:line="232" w:lineRule="auto"/>
        <w:rPr>
          <w:sz w:val="20"/>
          <w:szCs w:val="20"/>
          <w:color w:val="auto"/>
        </w:rPr>
      </w:pPr>
      <w:r>
        <w:rPr>
          <w:rFonts w:ascii="Times New Roman" w:cs="Times New Roman" w:eastAsia="Times New Roman" w:hAnsi="Times New Roman"/>
          <w:sz w:val="22"/>
          <w:szCs w:val="22"/>
          <w:color w:val="auto"/>
        </w:rPr>
        <w:t>civic, religious, educational, professional, industry or trade association activities, (C) engage in speaking, writing, teaching, lecturing or similar activities, (D) manage your and your family’s personal, passive and investment interests, including service to any family office, trust or private foundation, or (E) engage in any other activity approved by the Board (or a committee of the Board), in each case so long as such activities do not, individually or in the aggregate, interfere with the performance of your duties hereunder or breach any of the covenants contained in the Letter Agreement; provided that (i) any activity in which you are engaged as of the date of this Agreement will be deemed not to individually interfere with your duties hereunder and (ii) normal course scheduling conflicts will not be deemed to individually interfere with your duties hereunder.</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Upon the expiration of the Service Period, unless otherwise agreed to by the parties, you will cease serving as Executive Chair, will step down as a member of the Board and will be deemed to have resigned, without any further action by you, from employment and from any and all officer positions that you, immediately prior to such expiration, (i) held with the Company or any of its affiliates or (ii) held with any other entities at the direction of, or solely as a result of your affiliation with, the Company or any of its affiliates. If for any reason this Agreement is deemed to be insufficient to effectuate such resignations, then you shall, upon the Company’s request, execute any documents or instruments that the Company may deem necessary or desirable to effectuate such resignations.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Compensation. </w:t>
      </w:r>
      <w:r>
        <w:rPr>
          <w:rFonts w:ascii="Times New Roman" w:cs="Times New Roman" w:eastAsia="Times New Roman" w:hAnsi="Times New Roman"/>
          <w:sz w:val="22"/>
          <w:szCs w:val="22"/>
          <w:color w:val="auto"/>
        </w:rPr>
        <w:t>While serving as Executive Chair:</w:t>
      </w:r>
    </w:p>
    <w:p>
      <w:pPr>
        <w:spacing w:after="0" w:line="210" w:lineRule="exact"/>
        <w:rPr>
          <w:sz w:val="20"/>
          <w:szCs w:val="20"/>
          <w:color w:val="auto"/>
        </w:rPr>
      </w:pPr>
    </w:p>
    <w:p>
      <w:pPr>
        <w:ind w:left="1140" w:right="400" w:hanging="758"/>
        <w:spacing w:after="0" w:line="258" w:lineRule="auto"/>
        <w:tabs>
          <w:tab w:leader="none" w:pos="11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an annual base salary of $1,000,000, payable in accordance with the Company’s normal payroll practices;</w:t>
      </w:r>
    </w:p>
    <w:p>
      <w:pPr>
        <w:spacing w:after="0" w:line="158" w:lineRule="exact"/>
        <w:rPr>
          <w:rFonts w:ascii="Times New Roman" w:cs="Times New Roman" w:eastAsia="Times New Roman" w:hAnsi="Times New Roman"/>
          <w:sz w:val="22"/>
          <w:szCs w:val="22"/>
          <w:color w:val="auto"/>
        </w:rPr>
      </w:pPr>
    </w:p>
    <w:p>
      <w:pPr>
        <w:ind w:left="1140" w:right="40" w:hanging="758"/>
        <w:spacing w:after="0" w:line="235" w:lineRule="auto"/>
        <w:tabs>
          <w:tab w:leader="none" w:pos="11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participate in the annual cash bonus program maintained for senior executive officers of the Company (the “Annual Incentive Program”) with a target annual bonus opportunity equal to 140% of your annual base salary, with the actual payment amount to be determined upon the satisfaction of goals and objectives established by the People, Culture and Compensation Committee of the Board (the “Committee”), and with such bonus subject to such other terms and conditions of the Annual Incentive Program as in effect from time to time, except as provided herein. Any bonus paid under the Annual Incentive Program shall be paid to you no later than two and a half months following the end of the fiscal year in which the bonus is earned;</w:t>
      </w:r>
    </w:p>
    <w:p>
      <w:pPr>
        <w:spacing w:after="0" w:line="183" w:lineRule="exact"/>
        <w:rPr>
          <w:rFonts w:ascii="Times New Roman" w:cs="Times New Roman" w:eastAsia="Times New Roman" w:hAnsi="Times New Roman"/>
          <w:sz w:val="22"/>
          <w:szCs w:val="22"/>
          <w:color w:val="auto"/>
        </w:rPr>
      </w:pPr>
    </w:p>
    <w:p>
      <w:pPr>
        <w:ind w:left="1140" w:right="20" w:hanging="758"/>
        <w:spacing w:after="0" w:line="236" w:lineRule="auto"/>
        <w:tabs>
          <w:tab w:leader="none" w:pos="11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participate in the long-term incentive program maintained for senior executive officers of the Company, with a 2027 target long-term incentive opportunity equal to $5,200,000 and delivered in equity awards determined by the Committee and with such awards subject to the terms of the Company’s equity plan and the underlying equity award agreements approved by the Committee; provided such equity awards will be granted at the same time as, and with the same vehicle mix, performance metrics, valuation methodology and terms as are applied to awards granted to the Company's other senior executive officers in the 2027 annual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40" w:firstLine="9"/>
        <w:spacing w:after="0" w:line="236" w:lineRule="auto"/>
        <w:tabs>
          <w:tab w:leader="none" w:pos="195" w:val="left"/>
        </w:tabs>
        <w:numPr>
          <w:ilvl w:val="0"/>
          <w:numId w:val="37"/>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1140" w:right="380"/>
        <w:spacing w:after="0" w:line="237" w:lineRule="auto"/>
        <w:rPr>
          <w:sz w:val="20"/>
          <w:szCs w:val="20"/>
          <w:color w:val="auto"/>
        </w:rPr>
      </w:pPr>
      <w:r>
        <w:rPr>
          <w:rFonts w:ascii="Times New Roman" w:cs="Times New Roman" w:eastAsia="Times New Roman" w:hAnsi="Times New Roman"/>
          <w:sz w:val="22"/>
          <w:szCs w:val="22"/>
          <w:color w:val="auto"/>
        </w:rPr>
        <w:t>cycle (other than the definition of Good Reason, which may be modified consistent with the definition contained herein); and</w:t>
      </w:r>
    </w:p>
    <w:p>
      <w:pPr>
        <w:spacing w:after="0" w:line="178" w:lineRule="exact"/>
        <w:rPr>
          <w:sz w:val="20"/>
          <w:szCs w:val="20"/>
          <w:color w:val="auto"/>
        </w:rPr>
      </w:pPr>
    </w:p>
    <w:p>
      <w:pPr>
        <w:ind w:left="1140" w:right="260" w:hanging="758"/>
        <w:spacing w:after="0" w:line="258" w:lineRule="auto"/>
        <w:tabs>
          <w:tab w:leader="none" w:pos="11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above, your compensation and benefits arrangements will continue at the same level that they were immediately prior to the Transition Date.</w:t>
      </w:r>
    </w:p>
    <w:p>
      <w:pPr>
        <w:spacing w:after="0" w:line="15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By signing below, the parties acknowledge that you will remain eligible for the retirement vesting set forth in your equity award agreements applicable to your equity awards with the Company that are outstanding as of the date of this Agreement regardless of the date of the termination of your employment from the Company and that (i) for purposes of determining whether you have experienced a “qualified retirement” under the terms of your outstanding performance share unit awards, the Committee has irrevocably determined that you have satisfied the performance condition relating to the succession plan for the Chief Executive Officer position and (ii) your service as Executive Chair will not be considered to assess whether there has been a repeated performance failure under the definition of Cause set forth in such equity award agreements. For the avoidance of doubt, you will be entitled to no additional compensation for your services following the Transition Date except as set forth in this Agreement or as otherwise approved by the Committee.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Existing Letter Agreement. </w:t>
      </w:r>
      <w:r>
        <w:rPr>
          <w:rFonts w:ascii="Times New Roman" w:cs="Times New Roman" w:eastAsia="Times New Roman" w:hAnsi="Times New Roman"/>
          <w:sz w:val="21"/>
          <w:szCs w:val="21"/>
          <w:color w:val="auto"/>
        </w:rPr>
        <w:t>You and the Company hereby acknowledge and agree that your retirement as Chief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of the Company and assumption of the role of Executive Chair does not entitle you to any benefits under the Letter Agreement, including on account of Good Reason (as defined in the Letter Agreement). Further, effective on the Transition Date, you shall cease to be eligible for severance benefits under subsections 2(c) or 2(d) of the Letter Agreement; provided, however,</w:t>
      </w:r>
    </w:p>
    <w:p>
      <w:pPr>
        <w:spacing w:after="0" w:line="162" w:lineRule="exact"/>
        <w:rPr>
          <w:sz w:val="20"/>
          <w:szCs w:val="20"/>
          <w:color w:val="auto"/>
        </w:rPr>
      </w:pPr>
    </w:p>
    <w:p>
      <w:pPr>
        <w:ind w:left="760" w:right="20" w:hanging="378"/>
        <w:spacing w:after="0" w:line="234" w:lineRule="auto"/>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is terminated by the Company other than for Cause during the Service Period and subject to your execution and non-revocation of a release of claims in favor of the Company which will be provided to you no later than 10 days after your termination of employment and which must be executed and non-revocable on or prior to the 60th day following your termination of employment, then (i) you will receive, within 60 days following such termination, a lump sum payment equal to the base salary due to you if you had remained employed through the expiration of the Service Period, (ii) if applicable, the Company will pay you your unpaid bonus, if any, attributable to the 2026 fiscal year, and (iii) you will remain eligible for your 2027 bonus under the Annual Incentive Program (without pro-ration, without regard to any continued employment requirement and without regard to any discretion given to the Committee or the Board to make downward adjustments based on your individual performance).</w:t>
      </w:r>
    </w:p>
    <w:p>
      <w:pPr>
        <w:spacing w:after="0" w:line="183" w:lineRule="exact"/>
        <w:rPr>
          <w:rFonts w:ascii="Times New Roman" w:cs="Times New Roman" w:eastAsia="Times New Roman" w:hAnsi="Times New Roman"/>
          <w:sz w:val="22"/>
          <w:szCs w:val="22"/>
          <w:color w:val="auto"/>
        </w:rPr>
      </w:pPr>
    </w:p>
    <w:p>
      <w:pPr>
        <w:jc w:val="both"/>
        <w:ind w:left="760" w:right="160" w:hanging="378"/>
        <w:spacing w:after="0" w:line="244" w:lineRule="auto"/>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covenants to nominate you for re-election at the 2027 annual meeting and to appoint you as Chairperson of the Board for the duration of the Service Period, subject to the Board's fiduciary duties. If you are not nominated, are removed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40" w:firstLine="9"/>
        <w:spacing w:after="0" w:line="236" w:lineRule="auto"/>
        <w:tabs>
          <w:tab w:leader="none" w:pos="195" w:val="left"/>
        </w:tabs>
        <w:numPr>
          <w:ilvl w:val="0"/>
          <w:numId w:val="40"/>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760" w:right="20"/>
        <w:spacing w:after="0" w:line="234" w:lineRule="auto"/>
        <w:rPr>
          <w:sz w:val="20"/>
          <w:szCs w:val="20"/>
          <w:color w:val="auto"/>
        </w:rPr>
      </w:pPr>
      <w:r>
        <w:rPr>
          <w:rFonts w:ascii="Times New Roman" w:cs="Times New Roman" w:eastAsia="Times New Roman" w:hAnsi="Times New Roman"/>
          <w:sz w:val="22"/>
          <w:szCs w:val="22"/>
          <w:color w:val="auto"/>
        </w:rPr>
        <w:t>Chairperson role, or are not re-elected by shareholders, in each case, other than due to the Board’s fiduciary duties or reasons other than circumstances constituting Cause, your death or your disability (as defined in subsection 2(b) of the Letter Agreement), then the resulting cessation of service shall be treated as a termination by the Company other than for Cause.</w:t>
      </w:r>
    </w:p>
    <w:p>
      <w:pPr>
        <w:spacing w:after="0" w:line="177" w:lineRule="exact"/>
        <w:rPr>
          <w:sz w:val="20"/>
          <w:szCs w:val="20"/>
          <w:color w:val="auto"/>
        </w:rPr>
      </w:pPr>
    </w:p>
    <w:p>
      <w:pPr>
        <w:ind w:left="760" w:right="260" w:hanging="378"/>
        <w:spacing w:after="0" w:line="238" w:lineRule="auto"/>
        <w:tabs>
          <w:tab w:leader="none" w:pos="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retain the right to terminate for Good Reason during the Service Period, but the Good Reason events shall be limited to those described in clauses (i) and (vi) of the definition of “Good Reason” in the Letter Agreement, and the severance benefits due in connection with such termination for Good Reason shall be the same as, and subject to the same conditions as, those that would be due to you if you were terminated by the Company other than for Cause, as described above.</w:t>
      </w:r>
    </w:p>
    <w:p>
      <w:pPr>
        <w:spacing w:after="0" w:line="176" w:lineRule="exact"/>
        <w:rPr>
          <w:rFonts w:ascii="Times New Roman" w:cs="Times New Roman" w:eastAsia="Times New Roman" w:hAnsi="Times New Roman"/>
          <w:sz w:val="22"/>
          <w:szCs w:val="22"/>
          <w:color w:val="auto"/>
        </w:rPr>
      </w:pPr>
    </w:p>
    <w:p>
      <w:pPr>
        <w:ind w:left="760" w:right="80" w:hanging="378"/>
        <w:spacing w:after="0" w:line="239" w:lineRule="auto"/>
        <w:tabs>
          <w:tab w:leader="none" w:pos="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Service Period, “Cause” will have the meaning set forth in your Letter Agreement or, if applicable, the underlying equity award agreement; provided, however, that for purposes of determining whether there has been a repeated failure of performance of your duties under the appliable “Cause” definition, such assessment will be measured based on the position that you held at the time the alleged performance failure occurred.</w:t>
      </w:r>
    </w:p>
    <w:p>
      <w:pPr>
        <w:spacing w:after="0" w:line="180" w:lineRule="exact"/>
        <w:rPr>
          <w:rFonts w:ascii="Times New Roman" w:cs="Times New Roman" w:eastAsia="Times New Roman" w:hAnsi="Times New Roman"/>
          <w:sz w:val="22"/>
          <w:szCs w:val="22"/>
          <w:color w:val="auto"/>
        </w:rPr>
      </w:pPr>
    </w:p>
    <w:p>
      <w:pPr>
        <w:ind w:left="760" w:right="120" w:hanging="378"/>
        <w:spacing w:after="0" w:line="235" w:lineRule="auto"/>
        <w:tabs>
          <w:tab w:leader="none" w:pos="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if you resign from employment during the Service Period or if your employment terminates automatically at the end of the Service Period, then you will be entitled to retirement treatment with respect to your 2027 fiscal year bonus under the Annual Incentive Program and “qualified retirement” treatment under your 2027 equity awards, as described therein; provided, however, that in order to receive “qualified retirement” or “regular retirement” treatment with respect to your equity 2027 equity awards, you must be employed by the Company as of the grant date of the 2027 equity awards and, to the extent that your service terminates for any reason prior to the grant date, you shall not receive your 2027 equity awards or any payment in lieu thereof.</w:t>
      </w:r>
    </w:p>
    <w:p>
      <w:pPr>
        <w:spacing w:after="0" w:line="200" w:lineRule="exact"/>
        <w:rPr>
          <w:sz w:val="20"/>
          <w:szCs w:val="20"/>
          <w:color w:val="auto"/>
        </w:rPr>
      </w:pPr>
    </w:p>
    <w:p>
      <w:pPr>
        <w:spacing w:after="0" w:line="2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By signing below, you acknowledge that you shall continue to be bound by the covenants set forth in Sections 3-6 and Section 9 of the Letter Agreement.</w:t>
      </w:r>
    </w:p>
    <w:p>
      <w:pPr>
        <w:spacing w:after="0" w:line="15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Reimbursement</w:t>
      </w:r>
      <w:r>
        <w:rPr>
          <w:rFonts w:ascii="Times New Roman" w:cs="Times New Roman" w:eastAsia="Times New Roman" w:hAnsi="Times New Roman"/>
          <w:sz w:val="22"/>
          <w:szCs w:val="22"/>
          <w:color w:val="auto"/>
        </w:rPr>
        <w:t>. The Company will reimburse your legal fees related to the review of this Agreement, not to exceed $10,000,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upon your presentation of the invoice for such fees to the Company (but in any event no later than March 15, 2027).</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Again, thank you for your many years of dedicated service to the Company and your agreement to assist the Company in its leadership transition.</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1166495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580" w:firstLine="9"/>
        <w:spacing w:after="0" w:line="236" w:lineRule="auto"/>
        <w:tabs>
          <w:tab w:leader="none" w:pos="195" w:val="left"/>
        </w:tabs>
        <w:numPr>
          <w:ilvl w:val="0"/>
          <w:numId w:val="42"/>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4500"/>
        <w:spacing w:after="0" w:line="230" w:lineRule="auto"/>
        <w:rPr>
          <w:sz w:val="20"/>
          <w:szCs w:val="20"/>
          <w:color w:val="auto"/>
        </w:rPr>
      </w:pPr>
      <w:r>
        <w:rPr>
          <w:rFonts w:ascii="Times New Roman" w:cs="Times New Roman" w:eastAsia="Times New Roman" w:hAnsi="Times New Roman"/>
          <w:sz w:val="22"/>
          <w:szCs w:val="22"/>
          <w:color w:val="auto"/>
        </w:rPr>
        <w:t>By: /s/ Dale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-22225</wp:posOffset>
            </wp:positionV>
            <wp:extent cx="13709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ind w:left="4860"/>
        <w:spacing w:after="0" w:line="231" w:lineRule="auto"/>
        <w:rPr>
          <w:sz w:val="20"/>
          <w:szCs w:val="20"/>
          <w:color w:val="auto"/>
        </w:rPr>
      </w:pPr>
      <w:r>
        <w:rPr>
          <w:rFonts w:ascii="Times New Roman" w:cs="Times New Roman" w:eastAsia="Times New Roman" w:hAnsi="Times New Roman"/>
          <w:sz w:val="22"/>
          <w:szCs w:val="22"/>
          <w:color w:val="auto"/>
        </w:rPr>
        <w:t>Name: Dale Johnson</w:t>
      </w:r>
    </w:p>
    <w:p>
      <w:pPr>
        <w:ind w:left="4860"/>
        <w:spacing w:after="0"/>
        <w:rPr>
          <w:sz w:val="20"/>
          <w:szCs w:val="20"/>
          <w:color w:val="auto"/>
        </w:rPr>
      </w:pPr>
      <w:r>
        <w:rPr>
          <w:rFonts w:ascii="Times New Roman" w:cs="Times New Roman" w:eastAsia="Times New Roman" w:hAnsi="Times New Roman"/>
          <w:sz w:val="22"/>
          <w:szCs w:val="22"/>
          <w:color w:val="auto"/>
        </w:rPr>
        <w:t>Title: Corporate Secretary</w:t>
      </w:r>
    </w:p>
    <w:p>
      <w:pPr>
        <w:spacing w:after="0" w:line="3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letter agreement correctly reflects our understanding, and I hereby confirm my agreement to the same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8281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rPr>
          <w:sz w:val="20"/>
          <w:szCs w:val="20"/>
          <w:color w:val="auto"/>
        </w:rPr>
      </w:pPr>
      <w:r>
        <w:rPr>
          <w:rFonts w:ascii="Cambria" w:cs="Cambria" w:eastAsia="Cambria" w:hAnsi="Cambria"/>
          <w:sz w:val="22"/>
          <w:szCs w:val="22"/>
          <w:b w:val="1"/>
          <w:bCs w:val="1"/>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1175385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5" w:right="399" w:bottom="1440" w:gutter="0" w:footer="0" w:header="0"/>
        </w:sectPr>
      </w:pPr>
    </w:p>
    <w:bookmarkStart w:id="48" w:name="page49"/>
    <w:bookmarkEnd w:id="48"/>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20" w:firstLine="9"/>
        <w:spacing w:after="0" w:line="236" w:lineRule="auto"/>
        <w:tabs>
          <w:tab w:leader="none" w:pos="195" w:val="left"/>
        </w:tabs>
        <w:numPr>
          <w:ilvl w:val="0"/>
          <w:numId w:val="43"/>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jc w:val="center"/>
        <w:ind w:right="-39"/>
        <w:spacing w:after="0"/>
        <w:rPr>
          <w:sz w:val="20"/>
          <w:szCs w:val="20"/>
          <w:color w:val="auto"/>
        </w:rPr>
      </w:pPr>
      <w:r>
        <w:rPr>
          <w:rFonts w:ascii="Times New Roman" w:cs="Times New Roman" w:eastAsia="Times New Roman" w:hAnsi="Times New Roman"/>
          <w:sz w:val="22"/>
          <w:szCs w:val="22"/>
          <w:color w:val="auto"/>
        </w:rPr>
        <w:t>October 14,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Manpower Place</w:t>
      </w:r>
    </w:p>
    <w:p>
      <w:pPr>
        <w:spacing w:after="0"/>
        <w:rPr>
          <w:sz w:val="20"/>
          <w:szCs w:val="20"/>
          <w:color w:val="auto"/>
        </w:rPr>
      </w:pPr>
      <w:r>
        <w:rPr>
          <w:rFonts w:ascii="Times New Roman" w:cs="Times New Roman" w:eastAsia="Times New Roman" w:hAnsi="Times New Roman"/>
          <w:sz w:val="22"/>
          <w:szCs w:val="22"/>
          <w:color w:val="auto"/>
        </w:rPr>
        <w:t>Milwaukee, WI 53212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Becky:</w:t>
      </w:r>
    </w:p>
    <w:p>
      <w:pPr>
        <w:spacing w:after="0" w:line="206"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in connection with your promotion to the position of Chief Executive Officer and as an inducement for you to continue your employment in order to assure the continued availability of your services to the Consolidated ManpowerGroup, we have agreed as follows, effective as of January 1, 2027:</w:t>
      </w:r>
    </w:p>
    <w:p>
      <w:pPr>
        <w:spacing w:after="0" w:line="177"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letter agreement:</w:t>
      </w:r>
    </w:p>
    <w:p>
      <w:pPr>
        <w:spacing w:after="0" w:line="206" w:lineRule="exact"/>
        <w:rPr>
          <w:rFonts w:ascii="Times New Roman" w:cs="Times New Roman" w:eastAsia="Times New Roman" w:hAnsi="Times New Roman"/>
          <w:sz w:val="22"/>
          <w:szCs w:val="22"/>
          <w:color w:val="auto"/>
        </w:rPr>
      </w:pPr>
    </w:p>
    <w:p>
      <w:pPr>
        <w:ind w:left="1500" w:right="160" w:hanging="743"/>
        <w:spacing w:after="0" w:line="258" w:lineRule="auto"/>
        <w:tabs>
          <w:tab w:leader="none" w:pos="15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“Benefit Plans” means all benefits of employment generally made available to executives of the Corporation from time to time.</w:t>
      </w:r>
    </w:p>
    <w:p>
      <w:pPr>
        <w:spacing w:after="0" w:line="158" w:lineRule="exact"/>
        <w:rPr>
          <w:rFonts w:ascii="Times New Roman" w:cs="Times New Roman" w:eastAsia="Times New Roman" w:hAnsi="Times New Roman"/>
          <w:sz w:val="22"/>
          <w:szCs w:val="22"/>
          <w:color w:val="auto"/>
        </w:rPr>
      </w:pPr>
    </w:p>
    <w:p>
      <w:pPr>
        <w:ind w:left="1500" w:hanging="743"/>
        <w:spacing w:after="0" w:line="244" w:lineRule="auto"/>
        <w:tabs>
          <w:tab w:leader="none" w:pos="150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Board of Directors, which failure remains uncured, if subject to cure, to the reasonable satisfaction of the Board of Directors for five (5) business days after receiving notice thereof from the Board of Directors, (ii) failure or refusal to follow the reasonable instructions or direction of the Board of Directors, which failure or refusal remains uncured, if subject to cure, to the reasonable satisfaction of the Board of Directors for five (5) business days after receiving notice thereof from the Board of Directors, or repeated failure or refusal to follow the reasonable instructions or directions of the Board of Directors, (iii) any act by you of fraud, material dishonesty or material disloyalty involving the Consolidated ManpowerGroup, (iv) any violation by you of a Consolidated ManpowerGroup policy of material importance (including, but not limited to, the Code of Business Conduct and Ethics, the Insider Trading Policy, the Anti-Corruption Policy, Policy on Gifts, Entertainment and Sponsorships and policies included in the Employee Handbook), which violation remains uncured, if subject to cure, to the reasonable satisfaction of the Board of Directors for five (5) business days after receiving notice thereof from the Board of Directors, (v) any act by you of moral turpitude which is likely to result in discredit to or loss of business, reputation or goodwill of the Consolidated ManpowerGroup, (vi) your chronic absence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49" w:name="page50"/>
    <w:bookmarkEnd w:id="49"/>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20" w:firstLine="9"/>
        <w:spacing w:after="0" w:line="236" w:lineRule="auto"/>
        <w:tabs>
          <w:tab w:leader="none" w:pos="195" w:val="left"/>
        </w:tabs>
        <w:numPr>
          <w:ilvl w:val="0"/>
          <w:numId w:val="45"/>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1500" w:right="160"/>
        <w:spacing w:after="0" w:line="233" w:lineRule="auto"/>
        <w:rPr>
          <w:sz w:val="20"/>
          <w:szCs w:val="20"/>
          <w:color w:val="auto"/>
        </w:rPr>
      </w:pPr>
      <w:r>
        <w:rPr>
          <w:rFonts w:ascii="Times New Roman" w:cs="Times New Roman" w:eastAsia="Times New Roman" w:hAnsi="Times New Roman"/>
          <w:sz w:val="22"/>
          <w:szCs w:val="22"/>
          <w:color w:val="auto"/>
        </w:rPr>
        <w:t>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79" w:lineRule="exact"/>
        <w:rPr>
          <w:sz w:val="20"/>
          <w:szCs w:val="20"/>
          <w:color w:val="auto"/>
        </w:rPr>
      </w:pPr>
    </w:p>
    <w:p>
      <w:pPr>
        <w:ind w:left="1500" w:hanging="7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e of Control</w:t>
      </w:r>
      <w:r>
        <w:rPr>
          <w:rFonts w:ascii="Times New Roman" w:cs="Times New Roman" w:eastAsia="Times New Roman" w:hAnsi="Times New Roman"/>
          <w:sz w:val="22"/>
          <w:szCs w:val="22"/>
          <w:color w:val="auto"/>
        </w:rPr>
        <w:t>. A “Change of Control” will mean the first to occur of the following:</w:t>
      </w:r>
    </w:p>
    <w:p>
      <w:pPr>
        <w:spacing w:after="0" w:line="206" w:lineRule="exact"/>
        <w:rPr>
          <w:rFonts w:ascii="Times New Roman" w:cs="Times New Roman" w:eastAsia="Times New Roman" w:hAnsi="Times New Roman"/>
          <w:sz w:val="22"/>
          <w:szCs w:val="22"/>
          <w:color w:val="auto"/>
        </w:rPr>
      </w:pPr>
    </w:p>
    <w:p>
      <w:pPr>
        <w:ind w:left="2260" w:hanging="755"/>
        <w:spacing w:after="0" w:line="232" w:lineRule="auto"/>
        <w:tabs>
          <w:tab w:leader="none" w:pos="22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89" w:lineRule="exact"/>
        <w:rPr>
          <w:rFonts w:ascii="Times New Roman" w:cs="Times New Roman" w:eastAsia="Times New Roman" w:hAnsi="Times New Roman"/>
          <w:sz w:val="22"/>
          <w:szCs w:val="22"/>
          <w:color w:val="auto"/>
        </w:rPr>
      </w:pPr>
    </w:p>
    <w:p>
      <w:pPr>
        <w:ind w:left="2260" w:right="60" w:hanging="755"/>
        <w:spacing w:after="0" w:line="236" w:lineRule="auto"/>
        <w:tabs>
          <w:tab w:leader="none" w:pos="22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50" w:name="page51"/>
    <w:bookmarkEnd w:id="50"/>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40" w:firstLine="9"/>
        <w:spacing w:after="0" w:line="236" w:lineRule="auto"/>
        <w:tabs>
          <w:tab w:leader="none" w:pos="195" w:val="left"/>
        </w:tabs>
        <w:numPr>
          <w:ilvl w:val="0"/>
          <w:numId w:val="47"/>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jc w:val="both"/>
        <w:ind w:left="2260" w:right="540"/>
        <w:spacing w:after="0" w:line="235" w:lineRule="auto"/>
        <w:rPr>
          <w:sz w:val="20"/>
          <w:szCs w:val="20"/>
          <w:color w:val="auto"/>
        </w:rPr>
      </w:pPr>
      <w:r>
        <w:rPr>
          <w:rFonts w:ascii="Times New Roman" w:cs="Times New Roman" w:eastAsia="Times New Roman" w:hAnsi="Times New Roman"/>
          <w:sz w:val="22"/>
          <w:szCs w:val="22"/>
          <w:color w:val="auto"/>
        </w:rPr>
        <w:t>consolidation in substantially the same proportions as their ownership, immediately prior to such merger or consolidation, of the Corporation’s then outstanding common stock or then outstanding voting securities, as the case may be; or</w:t>
      </w:r>
    </w:p>
    <w:p>
      <w:pPr>
        <w:spacing w:after="0" w:line="178" w:lineRule="exact"/>
        <w:rPr>
          <w:sz w:val="20"/>
          <w:szCs w:val="20"/>
          <w:color w:val="auto"/>
        </w:rPr>
      </w:pPr>
    </w:p>
    <w:p>
      <w:pPr>
        <w:ind w:left="2260" w:right="180" w:hanging="755"/>
        <w:spacing w:after="0" w:line="258" w:lineRule="auto"/>
        <w:tabs>
          <w:tab w:leader="none" w:pos="22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liquidation or dissolution of the Corporation or a sale or other disposition of all or substantially all of the assets of the Corporation; or</w:t>
      </w:r>
    </w:p>
    <w:p>
      <w:pPr>
        <w:spacing w:after="0" w:line="158" w:lineRule="exact"/>
        <w:rPr>
          <w:rFonts w:ascii="Times New Roman" w:cs="Times New Roman" w:eastAsia="Times New Roman" w:hAnsi="Times New Roman"/>
          <w:sz w:val="22"/>
          <w:szCs w:val="22"/>
          <w:color w:val="auto"/>
        </w:rPr>
      </w:pPr>
    </w:p>
    <w:p>
      <w:pPr>
        <w:ind w:left="2260" w:right="80" w:hanging="755"/>
        <w:spacing w:after="0" w:line="234" w:lineRule="auto"/>
        <w:tabs>
          <w:tab w:leader="none" w:pos="22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83" w:lineRule="exact"/>
        <w:rPr>
          <w:rFonts w:ascii="Times New Roman" w:cs="Times New Roman" w:eastAsia="Times New Roman" w:hAnsi="Times New Roman"/>
          <w:sz w:val="22"/>
          <w:szCs w:val="22"/>
          <w:color w:val="auto"/>
        </w:rPr>
      </w:pPr>
    </w:p>
    <w:p>
      <w:pPr>
        <w:ind w:left="2260" w:right="20" w:hanging="755"/>
        <w:spacing w:after="0" w:line="255" w:lineRule="auto"/>
        <w:tabs>
          <w:tab w:leader="none" w:pos="22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2"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180" w:lineRule="exact"/>
        <w:rPr>
          <w:sz w:val="20"/>
          <w:szCs w:val="20"/>
          <w:color w:val="auto"/>
        </w:rPr>
      </w:pPr>
    </w:p>
    <w:p>
      <w:pPr>
        <w:ind w:left="1500" w:right="620" w:hanging="743"/>
        <w:spacing w:after="0" w:line="258" w:lineRule="auto"/>
        <w:tabs>
          <w:tab w:leader="none" w:pos="15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“Good Reason” will mean, without your consent, the occurrence of any one or more of the following during the Term:</w:t>
      </w:r>
    </w:p>
    <w:p>
      <w:pPr>
        <w:spacing w:after="0" w:line="158" w:lineRule="exact"/>
        <w:rPr>
          <w:rFonts w:ascii="Times New Roman" w:cs="Times New Roman" w:eastAsia="Times New Roman" w:hAnsi="Times New Roman"/>
          <w:sz w:val="22"/>
          <w:szCs w:val="22"/>
          <w:color w:val="auto"/>
        </w:rPr>
      </w:pPr>
    </w:p>
    <w:p>
      <w:pPr>
        <w:ind w:left="2260" w:right="40" w:hanging="755"/>
        <w:spacing w:after="0" w:line="258" w:lineRule="auto"/>
        <w:tabs>
          <w:tab w:leader="none" w:pos="22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any material obligation of any member of the Consolidated ManpowerGroup for the payment or provision of compensation or other benefits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560" w:firstLine="9"/>
        <w:spacing w:after="0" w:line="236" w:lineRule="auto"/>
        <w:tabs>
          <w:tab w:leader="none" w:pos="195" w:val="left"/>
        </w:tabs>
        <w:numPr>
          <w:ilvl w:val="0"/>
          <w:numId w:val="50"/>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2260" w:right="60" w:hanging="755"/>
        <w:spacing w:after="0" w:line="235" w:lineRule="auto"/>
        <w:tabs>
          <w:tab w:leader="none" w:pos="226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base salary and/or the aggregate level of employee benefits provided to you, except where all senior level executives have similar proportionate reductions in their base salary and/or aggregate benefit levels;</w:t>
      </w:r>
    </w:p>
    <w:p>
      <w:pPr>
        <w:spacing w:after="0" w:line="177" w:lineRule="exact"/>
        <w:rPr>
          <w:rFonts w:ascii="Times New Roman" w:cs="Times New Roman" w:eastAsia="Times New Roman" w:hAnsi="Times New Roman"/>
          <w:sz w:val="22"/>
          <w:szCs w:val="22"/>
          <w:color w:val="auto"/>
        </w:rPr>
      </w:pPr>
    </w:p>
    <w:p>
      <w:pPr>
        <w:ind w:left="2260" w:right="20" w:hanging="755"/>
        <w:spacing w:after="0" w:line="239" w:lineRule="auto"/>
        <w:tabs>
          <w:tab w:leader="none" w:pos="226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180" w:lineRule="exact"/>
        <w:rPr>
          <w:rFonts w:ascii="Times New Roman" w:cs="Times New Roman" w:eastAsia="Times New Roman" w:hAnsi="Times New Roman"/>
          <w:sz w:val="22"/>
          <w:szCs w:val="22"/>
          <w:color w:val="auto"/>
        </w:rPr>
      </w:pPr>
    </w:p>
    <w:p>
      <w:pPr>
        <w:ind w:left="2260" w:hanging="755"/>
        <w:spacing w:after="0" w:line="244" w:lineRule="auto"/>
        <w:tabs>
          <w:tab w:leader="none" w:pos="226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173" w:lineRule="exact"/>
        <w:rPr>
          <w:rFonts w:ascii="Times New Roman" w:cs="Times New Roman" w:eastAsia="Times New Roman" w:hAnsi="Times New Roman"/>
          <w:sz w:val="22"/>
          <w:szCs w:val="22"/>
          <w:color w:val="auto"/>
        </w:rPr>
      </w:pPr>
    </w:p>
    <w:p>
      <w:pPr>
        <w:ind w:left="2260" w:hanging="755"/>
        <w:spacing w:after="0" w:line="239" w:lineRule="auto"/>
        <w:tabs>
          <w:tab w:leader="none" w:pos="226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180" w:lineRule="exact"/>
        <w:rPr>
          <w:rFonts w:ascii="Times New Roman" w:cs="Times New Roman" w:eastAsia="Times New Roman" w:hAnsi="Times New Roman"/>
          <w:sz w:val="22"/>
          <w:szCs w:val="22"/>
          <w:color w:val="auto"/>
        </w:rPr>
      </w:pPr>
    </w:p>
    <w:p>
      <w:pPr>
        <w:ind w:left="2260" w:right="340" w:hanging="755"/>
        <w:spacing w:after="0" w:line="244" w:lineRule="auto"/>
        <w:tabs>
          <w:tab w:leader="none" w:pos="226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173"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Notwithstanding Subsections 1(d)(i)-(vi) above, Good Reason does not exist unless (i) you object to any material diminution or breach described above by written notice to the Corporation within twenty business days after such diminution or breach occurs, (ii) the Corporation fails to cure such diminution or breach within thirty days after such notice is given and (iii) your employment with the Consolidated ManpowerGroup is terminated by you within ninety days after such diminution or breach occurs.</w:t>
      </w:r>
    </w:p>
    <w:p>
      <w:pPr>
        <w:spacing w:after="0" w:line="177" w:lineRule="exact"/>
        <w:rPr>
          <w:sz w:val="20"/>
          <w:szCs w:val="20"/>
          <w:color w:val="auto"/>
        </w:rPr>
      </w:pPr>
    </w:p>
    <w:p>
      <w:pPr>
        <w:ind w:left="1500" w:right="20" w:hanging="743"/>
        <w:spacing w:after="0" w:line="236" w:lineRule="auto"/>
        <w:tabs>
          <w:tab w:leader="none" w:pos="15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5" w:right="419" w:bottom="1440" w:gutter="0" w:footer="0" w:header="0"/>
        </w:sectPr>
      </w:pPr>
    </w:p>
    <w:bookmarkStart w:id="52" w:name="page53"/>
    <w:bookmarkEnd w:id="52"/>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00" w:firstLine="9"/>
        <w:spacing w:after="0" w:line="236" w:lineRule="auto"/>
        <w:tabs>
          <w:tab w:leader="none" w:pos="195" w:val="left"/>
        </w:tabs>
        <w:numPr>
          <w:ilvl w:val="0"/>
          <w:numId w:val="52"/>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jc w:val="both"/>
        <w:ind w:left="1500" w:right="220" w:hanging="743"/>
        <w:spacing w:after="0" w:line="235" w:lineRule="auto"/>
        <w:tabs>
          <w:tab w:leader="none" w:pos="15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7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Period</w:t>
      </w:r>
      <w:r>
        <w:rPr>
          <w:rFonts w:ascii="Times New Roman" w:cs="Times New Roman" w:eastAsia="Times New Roman" w:hAnsi="Times New Roman"/>
          <w:sz w:val="21"/>
          <w:szCs w:val="21"/>
          <w:color w:val="auto"/>
        </w:rPr>
        <w:t>. The “Protected Period” shall be a period of time determined in accordance with the following:</w:t>
      </w:r>
    </w:p>
    <w:p>
      <w:pPr>
        <w:spacing w:after="0" w:line="217" w:lineRule="exact"/>
        <w:rPr>
          <w:rFonts w:ascii="Times New Roman" w:cs="Times New Roman" w:eastAsia="Times New Roman" w:hAnsi="Times New Roman"/>
          <w:sz w:val="21"/>
          <w:szCs w:val="21"/>
          <w:color w:val="auto"/>
        </w:rPr>
      </w:pPr>
    </w:p>
    <w:p>
      <w:pPr>
        <w:ind w:left="2260" w:right="280" w:hanging="755"/>
        <w:spacing w:after="0" w:line="238" w:lineRule="auto"/>
        <w:tabs>
          <w:tab w:leader="none" w:pos="226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76" w:lineRule="exact"/>
        <w:rPr>
          <w:rFonts w:ascii="Times New Roman" w:cs="Times New Roman" w:eastAsia="Times New Roman" w:hAnsi="Times New Roman"/>
          <w:sz w:val="22"/>
          <w:szCs w:val="22"/>
          <w:color w:val="auto"/>
        </w:rPr>
      </w:pPr>
    </w:p>
    <w:p>
      <w:pPr>
        <w:ind w:left="2260" w:right="80" w:hanging="755"/>
        <w:spacing w:after="0" w:line="238" w:lineRule="auto"/>
        <w:tabs>
          <w:tab w:leader="none" w:pos="226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76" w:lineRule="exact"/>
        <w:rPr>
          <w:rFonts w:ascii="Times New Roman" w:cs="Times New Roman" w:eastAsia="Times New Roman" w:hAnsi="Times New Roman"/>
          <w:sz w:val="22"/>
          <w:szCs w:val="22"/>
          <w:color w:val="auto"/>
        </w:rPr>
      </w:pPr>
    </w:p>
    <w:p>
      <w:pPr>
        <w:ind w:left="2260" w:right="60" w:hanging="755"/>
        <w:spacing w:after="0" w:line="244" w:lineRule="auto"/>
        <w:tabs>
          <w:tab w:leader="none" w:pos="226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73" w:lineRule="exact"/>
        <w:rPr>
          <w:rFonts w:ascii="Times New Roman" w:cs="Times New Roman" w:eastAsia="Times New Roman" w:hAnsi="Times New Roman"/>
          <w:sz w:val="22"/>
          <w:szCs w:val="22"/>
          <w:color w:val="auto"/>
        </w:rPr>
      </w:pPr>
    </w:p>
    <w:p>
      <w:pPr>
        <w:ind w:left="1500" w:hanging="743"/>
        <w:spacing w:after="0" w:line="239" w:lineRule="auto"/>
        <w:tabs>
          <w:tab w:leader="none" w:pos="15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will be a period beginning on the date of this letter agreement indicated above and ending on the first to occur of the following: (a) the date which is the two-year anniversary of the occurrence of a Change of Control; (b) February 28, 2029 if no Change of Control occurs between the date of this letter agreement indicated above and February 28, 2029; or (c) the Date of Termination.</w:t>
      </w:r>
    </w:p>
    <w:p>
      <w:pPr>
        <w:spacing w:after="0" w:line="180" w:lineRule="exact"/>
        <w:rPr>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 on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right="20" w:hanging="743"/>
        <w:spacing w:after="0" w:line="251" w:lineRule="auto"/>
        <w:tabs>
          <w:tab w:leader="none" w:pos="150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Corporation for Cause or by You Other Than for Good Reason</w:t>
      </w:r>
      <w:r>
        <w:rPr>
          <w:rFonts w:ascii="Times New Roman" w:cs="Times New Roman" w:eastAsia="Times New Roman" w:hAnsi="Times New Roman"/>
          <w:sz w:val="21"/>
          <w:szCs w:val="21"/>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with such bonus paid no later than two and half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5" w:right="379" w:bottom="1440" w:gutter="0" w:footer="0" w:header="0"/>
        </w:sectPr>
      </w:pPr>
    </w:p>
    <w:bookmarkStart w:id="53" w:name="page54"/>
    <w:bookmarkEnd w:id="53"/>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20" w:firstLine="9"/>
        <w:spacing w:after="0" w:line="236" w:lineRule="auto"/>
        <w:tabs>
          <w:tab w:leader="none" w:pos="195" w:val="left"/>
        </w:tabs>
        <w:numPr>
          <w:ilvl w:val="0"/>
          <w:numId w:val="54"/>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1500" w:right="120"/>
        <w:spacing w:after="0" w:line="235" w:lineRule="auto"/>
        <w:rPr>
          <w:sz w:val="20"/>
          <w:szCs w:val="20"/>
          <w:color w:val="auto"/>
        </w:rPr>
      </w:pPr>
      <w:r>
        <w:rPr>
          <w:rFonts w:ascii="Times New Roman" w:cs="Times New Roman" w:eastAsia="Times New Roman" w:hAnsi="Times New Roman"/>
          <w:sz w:val="22"/>
          <w:szCs w:val="22"/>
          <w:color w:val="auto"/>
        </w:rPr>
        <w:t>following the conclusion of such completed fiscal year, and (ii) all benefits to which you are entitled under any Benefit Plans in accordance with the terms of such plans. The Consolidated ManpowerGroup will have no further obligations to you.</w:t>
      </w:r>
    </w:p>
    <w:p>
      <w:pPr>
        <w:spacing w:after="0" w:line="178" w:lineRule="exact"/>
        <w:rPr>
          <w:sz w:val="20"/>
          <w:szCs w:val="20"/>
          <w:color w:val="auto"/>
        </w:rPr>
      </w:pPr>
    </w:p>
    <w:p>
      <w:pPr>
        <w:ind w:left="1500" w:right="80" w:hanging="743"/>
        <w:spacing w:after="0" w:line="233" w:lineRule="auto"/>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Reason of Disability or Death</w:t>
      </w:r>
      <w:r>
        <w:rPr>
          <w:rFonts w:ascii="Times New Roman" w:cs="Times New Roman" w:eastAsia="Times New Roman" w:hAnsi="Times New Roman"/>
          <w:sz w:val="22"/>
          <w:szCs w:val="22"/>
          <w:color w:val="auto"/>
        </w:rPr>
        <w:t>. If your employment with the Consolidated ManpowerGroup terminates during the Term by reason of your death or termination by the Corporation due to disability, the Corporation will pay or provide you with (i) your unpaid bonus, if any, attributable to any complete fiscal year of the Consolidated ManpowerGroup ended before the Date of Termination, with such bonus paid no later than two and half months following the conclusion of such completed fiscal year,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79" w:lineRule="exact"/>
        <w:rPr>
          <w:rFonts w:ascii="Times New Roman" w:cs="Times New Roman" w:eastAsia="Times New Roman" w:hAnsi="Times New Roman"/>
          <w:sz w:val="22"/>
          <w:szCs w:val="22"/>
          <w:color w:val="auto"/>
        </w:rPr>
      </w:pPr>
    </w:p>
    <w:p>
      <w:pPr>
        <w:ind w:left="1500" w:hanging="743"/>
        <w:spacing w:after="0" w:line="261" w:lineRule="auto"/>
        <w:tabs>
          <w:tab w:leader="none" w:pos="15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Any Other Reason - Other than in a Chan</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e of Control</w:t>
      </w:r>
      <w:r>
        <w:rPr>
          <w:rFonts w:ascii="Times New Roman" w:cs="Times New Roman" w:eastAsia="Times New Roman" w:hAnsi="Times New Roman"/>
          <w:sz w:val="21"/>
          <w:szCs w:val="21"/>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57" w:lineRule="exact"/>
        <w:rPr>
          <w:rFonts w:ascii="Times New Roman" w:cs="Times New Roman" w:eastAsia="Times New Roman" w:hAnsi="Times New Roman"/>
          <w:sz w:val="21"/>
          <w:szCs w:val="21"/>
          <w:color w:val="auto"/>
        </w:rPr>
      </w:pPr>
    </w:p>
    <w:p>
      <w:pPr>
        <w:ind w:left="2260" w:right="120" w:hanging="755"/>
        <w:spacing w:after="0" w:line="258" w:lineRule="auto"/>
        <w:tabs>
          <w:tab w:leader="none" w:pos="226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pay you, your unpaid bonus, if any, attributable to any complete fiscal year of the Consolidated ManpowerGroup ended before the Date of Termination;</w:t>
      </w:r>
    </w:p>
    <w:p>
      <w:pPr>
        <w:spacing w:after="0" w:line="158" w:lineRule="exact"/>
        <w:rPr>
          <w:rFonts w:ascii="Times New Roman" w:cs="Times New Roman" w:eastAsia="Times New Roman" w:hAnsi="Times New Roman"/>
          <w:sz w:val="22"/>
          <w:szCs w:val="22"/>
          <w:color w:val="auto"/>
        </w:rPr>
      </w:pPr>
    </w:p>
    <w:p>
      <w:pPr>
        <w:ind w:left="2260" w:right="40" w:hanging="755"/>
        <w:spacing w:after="0" w:line="251" w:lineRule="auto"/>
        <w:tabs>
          <w:tab w:leader="none" w:pos="226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54" w:name="page55"/>
    <w:bookmarkEnd w:id="54"/>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40" w:firstLine="9"/>
        <w:spacing w:after="0" w:line="236" w:lineRule="auto"/>
        <w:tabs>
          <w:tab w:leader="none" w:pos="195" w:val="left"/>
        </w:tabs>
        <w:numPr>
          <w:ilvl w:val="0"/>
          <w:numId w:val="56"/>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2260"/>
        <w:spacing w:after="0"/>
        <w:rPr>
          <w:sz w:val="20"/>
          <w:szCs w:val="20"/>
          <w:color w:val="auto"/>
        </w:rPr>
      </w:pPr>
      <w:r>
        <w:rPr>
          <w:rFonts w:ascii="Times New Roman" w:cs="Times New Roman" w:eastAsia="Times New Roman" w:hAnsi="Times New Roman"/>
          <w:sz w:val="22"/>
          <w:szCs w:val="22"/>
          <w:color w:val="auto"/>
        </w:rPr>
        <w:t>you were employed during the fiscal year during which the Date of Termination occurs;</w:t>
      </w:r>
    </w:p>
    <w:p>
      <w:pPr>
        <w:spacing w:after="0" w:line="182" w:lineRule="exact"/>
        <w:rPr>
          <w:sz w:val="20"/>
          <w:szCs w:val="20"/>
          <w:color w:val="auto"/>
        </w:rPr>
      </w:pPr>
    </w:p>
    <w:p>
      <w:pPr>
        <w:ind w:left="2260" w:right="60" w:hanging="755"/>
        <w:spacing w:after="0" w:line="239" w:lineRule="auto"/>
        <w:tabs>
          <w:tab w:leader="none" w:pos="22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and one-half times the amount of your base salary as then in effect;</w:t>
      </w:r>
    </w:p>
    <w:p>
      <w:pPr>
        <w:spacing w:after="0" w:line="180" w:lineRule="exact"/>
        <w:rPr>
          <w:rFonts w:ascii="Times New Roman" w:cs="Times New Roman" w:eastAsia="Times New Roman" w:hAnsi="Times New Roman"/>
          <w:sz w:val="22"/>
          <w:szCs w:val="22"/>
          <w:color w:val="auto"/>
        </w:rPr>
      </w:pPr>
    </w:p>
    <w:p>
      <w:pPr>
        <w:ind w:left="2260" w:right="40" w:hanging="755"/>
        <w:spacing w:after="0" w:line="234" w:lineRule="auto"/>
        <w:tabs>
          <w:tab w:leader="none" w:pos="22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79" w:lineRule="exact"/>
        <w:rPr>
          <w:rFonts w:ascii="Times New Roman" w:cs="Times New Roman" w:eastAsia="Times New Roman" w:hAnsi="Times New Roman"/>
          <w:sz w:val="22"/>
          <w:szCs w:val="22"/>
          <w:color w:val="auto"/>
        </w:rPr>
      </w:pPr>
    </w:p>
    <w:p>
      <w:pPr>
        <w:ind w:left="226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20" w:firstLine="9"/>
        <w:spacing w:after="0" w:line="236" w:lineRule="auto"/>
        <w:tabs>
          <w:tab w:leader="none" w:pos="195" w:val="left"/>
        </w:tabs>
        <w:numPr>
          <w:ilvl w:val="0"/>
          <w:numId w:val="58"/>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2260" w:right="20"/>
        <w:spacing w:after="0" w:line="232" w:lineRule="auto"/>
        <w:rPr>
          <w:sz w:val="20"/>
          <w:szCs w:val="20"/>
          <w:color w:val="auto"/>
        </w:rPr>
      </w:pPr>
      <w:r>
        <w:rPr>
          <w:rFonts w:ascii="Times New Roman" w:cs="Times New Roman" w:eastAsia="Times New Roman" w:hAnsi="Times New Roman"/>
          <w:sz w:val="22"/>
          <w:szCs w:val="22"/>
          <w:color w:val="auto"/>
        </w:rPr>
        <w:t>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181" w:lineRule="exact"/>
        <w:rPr>
          <w:sz w:val="20"/>
          <w:szCs w:val="20"/>
          <w:color w:val="auto"/>
        </w:rPr>
      </w:pPr>
    </w:p>
    <w:p>
      <w:pPr>
        <w:ind w:left="2260" w:right="180" w:hanging="755"/>
        <w:spacing w:after="0" w:line="235" w:lineRule="auto"/>
        <w:tabs>
          <w:tab w:leader="none" w:pos="22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78" w:lineRule="exact"/>
        <w:rPr>
          <w:sz w:val="20"/>
          <w:szCs w:val="20"/>
          <w:color w:val="auto"/>
        </w:rPr>
      </w:pPr>
    </w:p>
    <w:p>
      <w:pPr>
        <w:ind w:right="820" w:firstLine="749"/>
        <w:spacing w:after="0" w:line="258" w:lineRule="auto"/>
        <w:rPr>
          <w:sz w:val="20"/>
          <w:szCs w:val="20"/>
          <w:color w:val="auto"/>
        </w:rPr>
      </w:pPr>
      <w:r>
        <w:rPr>
          <w:rFonts w:ascii="Times New Roman" w:cs="Times New Roman" w:eastAsia="Times New Roman" w:hAnsi="Times New Roman"/>
          <w:sz w:val="22"/>
          <w:szCs w:val="22"/>
          <w:color w:val="auto"/>
        </w:rPr>
        <w:t>In the event of a termination under this Subsection 2(c), the Consolidated ManpowerGroup will have no further obligations to you.</w:t>
      </w:r>
    </w:p>
    <w:p>
      <w:pPr>
        <w:spacing w:after="0" w:line="158" w:lineRule="exact"/>
        <w:rPr>
          <w:sz w:val="20"/>
          <w:szCs w:val="20"/>
          <w:color w:val="auto"/>
        </w:rPr>
      </w:pPr>
    </w:p>
    <w:p>
      <w:pPr>
        <w:ind w:left="1500" w:right="40" w:hanging="743"/>
        <w:spacing w:after="0" w:line="239"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Any Other Reason-Chan</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e of Control</w:t>
      </w:r>
      <w:r>
        <w:rPr>
          <w:rFonts w:ascii="Times New Roman" w:cs="Times New Roman" w:eastAsia="Times New Roman" w:hAnsi="Times New Roman"/>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2(a)or(b), above, you will be entitled to the following:</w:t>
      </w:r>
    </w:p>
    <w:p>
      <w:pPr>
        <w:spacing w:after="0" w:line="180" w:lineRule="exact"/>
        <w:rPr>
          <w:rFonts w:ascii="Times New Roman" w:cs="Times New Roman" w:eastAsia="Times New Roman" w:hAnsi="Times New Roman"/>
          <w:sz w:val="22"/>
          <w:szCs w:val="22"/>
          <w:color w:val="auto"/>
        </w:rPr>
      </w:pPr>
    </w:p>
    <w:p>
      <w:pPr>
        <w:ind w:left="2260" w:right="120" w:hanging="755"/>
        <w:spacing w:after="0" w:line="258" w:lineRule="auto"/>
        <w:tabs>
          <w:tab w:leader="none" w:pos="226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pay you, your unpaid bonus, if any, attributable to any complete fiscal year of the Consolidated ManpowerGroup ended before the Date of Termination;</w:t>
      </w:r>
    </w:p>
    <w:p>
      <w:pPr>
        <w:spacing w:after="0" w:line="158" w:lineRule="exact"/>
        <w:rPr>
          <w:rFonts w:ascii="Times New Roman" w:cs="Times New Roman" w:eastAsia="Times New Roman" w:hAnsi="Times New Roman"/>
          <w:sz w:val="22"/>
          <w:szCs w:val="22"/>
          <w:color w:val="auto"/>
        </w:rPr>
      </w:pPr>
    </w:p>
    <w:p>
      <w:pPr>
        <w:ind w:left="2260" w:hanging="755"/>
        <w:spacing w:after="0" w:line="239" w:lineRule="auto"/>
        <w:tabs>
          <w:tab w:leader="none" w:pos="226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00" w:firstLine="9"/>
        <w:spacing w:after="0" w:line="236" w:lineRule="auto"/>
        <w:tabs>
          <w:tab w:leader="none" w:pos="195" w:val="left"/>
        </w:tabs>
        <w:numPr>
          <w:ilvl w:val="0"/>
          <w:numId w:val="61"/>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2260" w:right="220" w:hanging="755"/>
        <w:spacing w:after="0" w:line="235" w:lineRule="auto"/>
        <w:tabs>
          <w:tab w:leader="none" w:pos="22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pay, as a severance benefit to you, a lump-sum payment equal to three times the sum of (1) your annual base salary at the highest rate in effect during the Term and (2) your target annual bonus for the fiscal year in which the Change of Control occurs;</w:t>
      </w:r>
    </w:p>
    <w:p>
      <w:pPr>
        <w:spacing w:after="0" w:line="177" w:lineRule="exact"/>
        <w:rPr>
          <w:rFonts w:ascii="Times New Roman" w:cs="Times New Roman" w:eastAsia="Times New Roman" w:hAnsi="Times New Roman"/>
          <w:sz w:val="22"/>
          <w:szCs w:val="22"/>
          <w:color w:val="auto"/>
        </w:rPr>
      </w:pPr>
    </w:p>
    <w:p>
      <w:pPr>
        <w:ind w:left="2260" w:right="20" w:hanging="755"/>
        <w:spacing w:after="0" w:line="234" w:lineRule="auto"/>
        <w:tabs>
          <w:tab w:leader="none" w:pos="22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179" w:lineRule="exact"/>
        <w:rPr>
          <w:rFonts w:ascii="Times New Roman" w:cs="Times New Roman" w:eastAsia="Times New Roman" w:hAnsi="Times New Roman"/>
          <w:sz w:val="22"/>
          <w:szCs w:val="22"/>
          <w:color w:val="auto"/>
        </w:rPr>
      </w:pPr>
    </w:p>
    <w:p>
      <w:pPr>
        <w:ind w:left="226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5" w:right="379" w:bottom="1440" w:gutter="0" w:footer="0" w:header="0"/>
        </w:sectPr>
      </w:pPr>
    </w:p>
    <w:bookmarkStart w:id="57" w:name="page58"/>
    <w:bookmarkEnd w:id="57"/>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580" w:firstLine="9"/>
        <w:spacing w:after="0" w:line="236" w:lineRule="auto"/>
        <w:tabs>
          <w:tab w:leader="none" w:pos="195" w:val="left"/>
        </w:tabs>
        <w:numPr>
          <w:ilvl w:val="0"/>
          <w:numId w:val="62"/>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2260" w:right="20"/>
        <w:spacing w:after="0" w:line="237" w:lineRule="auto"/>
        <w:rPr>
          <w:sz w:val="20"/>
          <w:szCs w:val="20"/>
          <w:color w:val="auto"/>
        </w:rPr>
      </w:pPr>
      <w:r>
        <w:rPr>
          <w:rFonts w:ascii="Times New Roman" w:cs="Times New Roman" w:eastAsia="Times New Roman" w:hAnsi="Times New Roman"/>
          <w:sz w:val="22"/>
          <w:szCs w:val="22"/>
          <w:color w:val="auto"/>
        </w:rPr>
        <w:t>the net amount received by you, after subtraction of all taxes applicable to the payments plus the gross-up amount, will equal the cost of such COBRA coverage; and</w:t>
      </w:r>
    </w:p>
    <w:p>
      <w:pPr>
        <w:spacing w:after="0" w:line="178" w:lineRule="exact"/>
        <w:rPr>
          <w:sz w:val="20"/>
          <w:szCs w:val="20"/>
          <w:color w:val="auto"/>
        </w:rPr>
      </w:pPr>
    </w:p>
    <w:p>
      <w:pPr>
        <w:ind w:left="2260" w:right="120" w:hanging="755"/>
        <w:spacing w:after="0" w:line="235" w:lineRule="auto"/>
        <w:tabs>
          <w:tab w:leader="none" w:pos="22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78" w:lineRule="exact"/>
        <w:rPr>
          <w:sz w:val="20"/>
          <w:szCs w:val="20"/>
          <w:color w:val="auto"/>
        </w:rPr>
      </w:pPr>
    </w:p>
    <w:p>
      <w:pPr>
        <w:ind w:left="1500" w:right="20"/>
        <w:spacing w:after="0" w:line="258" w:lineRule="auto"/>
        <w:rPr>
          <w:sz w:val="20"/>
          <w:szCs w:val="20"/>
          <w:color w:val="auto"/>
        </w:rPr>
      </w:pPr>
      <w:r>
        <w:rPr>
          <w:rFonts w:ascii="Times New Roman" w:cs="Times New Roman" w:eastAsia="Times New Roman" w:hAnsi="Times New Roman"/>
          <w:sz w:val="22"/>
          <w:szCs w:val="22"/>
          <w:color w:val="auto"/>
        </w:rPr>
        <w:t>In the event of a termination under this Subsection 2(d), the Consolidated ManpowerGroup will have no further obligations to you.</w:t>
      </w:r>
    </w:p>
    <w:p>
      <w:pPr>
        <w:spacing w:after="0" w:line="158" w:lineRule="exact"/>
        <w:rPr>
          <w:sz w:val="20"/>
          <w:szCs w:val="20"/>
          <w:color w:val="auto"/>
        </w:rPr>
      </w:pPr>
    </w:p>
    <w:p>
      <w:pPr>
        <w:ind w:left="1500" w:hanging="743"/>
        <w:spacing w:after="0" w:line="232" w:lineRule="auto"/>
        <w:tabs>
          <w:tab w:leader="none" w:pos="15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Benefits</w:t>
      </w:r>
      <w:r>
        <w:rPr>
          <w:rFonts w:ascii="Times New Roman" w:cs="Times New Roman" w:eastAsia="Times New Roman" w:hAnsi="Times New Roman"/>
          <w:sz w:val="22"/>
          <w:szCs w:val="22"/>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(collectively, the “Payments”). If there would be any excess parachute payments, the Corporation, based on the advice of its legal or tax counsel, shall compute the net after-tax proceeds to you, taking into account the excise tax imposed by Section 4999 of the Code, as if (i) the Payments were reduced, but not below zero, such that the total parachute payments payable to you would not exceed three (3) times the “base amount” as defined in Section 280G of the Code, less One Dollar ($1.00), or (ii) the full amount of the Payments were not reduced. If not reducing the Payments would result in a greater after-tax amount to you, the Payments shall not be reduced. The reduction of Payments pursuant to this section, if any, shall be made by reducing first any Payments that are exempt from Section 409A of the Code and then reducing any Payments subject to Section 409A of the Code in the reverse order in which such Payments would be paid or provided (beginning with such payment or benefit that would be made last in time and continuing,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5" w:right="399" w:bottom="1440" w:gutter="0" w:footer="0" w:header="0"/>
        </w:sectPr>
      </w:pPr>
    </w:p>
    <w:bookmarkStart w:id="58" w:name="page59"/>
    <w:bookmarkEnd w:id="58"/>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40" w:firstLine="9"/>
        <w:spacing w:after="0" w:line="236" w:lineRule="auto"/>
        <w:tabs>
          <w:tab w:leader="none" w:pos="195" w:val="left"/>
        </w:tabs>
        <w:numPr>
          <w:ilvl w:val="0"/>
          <w:numId w:val="65"/>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1500"/>
        <w:spacing w:after="0"/>
        <w:rPr>
          <w:sz w:val="20"/>
          <w:szCs w:val="20"/>
          <w:color w:val="auto"/>
        </w:rPr>
      </w:pPr>
      <w:r>
        <w:rPr>
          <w:rFonts w:ascii="Times New Roman" w:cs="Times New Roman" w:eastAsia="Times New Roman" w:hAnsi="Times New Roman"/>
          <w:sz w:val="22"/>
          <w:szCs w:val="22"/>
          <w:color w:val="auto"/>
        </w:rPr>
        <w:t>extent necessary, through to such payment or benefit that would be made first in time).</w:t>
      </w:r>
    </w:p>
    <w:p>
      <w:pPr>
        <w:spacing w:after="0" w:line="182" w:lineRule="exact"/>
        <w:rPr>
          <w:sz w:val="20"/>
          <w:szCs w:val="20"/>
          <w:color w:val="auto"/>
        </w:rPr>
      </w:pPr>
    </w:p>
    <w:p>
      <w:pPr>
        <w:ind w:left="1500" w:hanging="743"/>
        <w:spacing w:after="0" w:line="231" w:lineRule="auto"/>
        <w:tabs>
          <w:tab w:leader="none" w:pos="1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Pa</w:t>
      </w:r>
      <w:r>
        <w:rPr>
          <w:rFonts w:ascii="Times New Roman" w:cs="Times New Roman" w:eastAsia="Times New Roman" w:hAnsi="Times New Roman"/>
          <w:sz w:val="22"/>
          <w:szCs w:val="22"/>
          <w:color w:val="auto"/>
        </w:rPr>
        <w:t>y</w:t>
      </w:r>
      <w:r>
        <w:rPr>
          <w:rFonts w:ascii="Times New Roman" w:cs="Times New Roman" w:eastAsia="Times New Roman" w:hAnsi="Times New Roman"/>
          <w:sz w:val="22"/>
          <w:szCs w:val="22"/>
          <w:u w:val="single" w:color="auto"/>
          <w:color w:val="auto"/>
        </w:rPr>
        <w:t>ments</w:t>
      </w:r>
      <w:r>
        <w:rPr>
          <w:rFonts w:ascii="Times New Roman" w:cs="Times New Roman" w:eastAsia="Times New Roman" w:hAnsi="Times New Roman"/>
          <w:sz w:val="22"/>
          <w:szCs w:val="22"/>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sixtieth (60th) day after the Date of Termination; provided, however, in the event your employment terminates under Section 2(d) during the Protected Period but prior to the consummation of the Change of Control, then the amounts due to you under Section 2(d)(ii) that are in excess of any amount paid to you under Section 2(c)(ii) shall be paid to you on the sixtieth (60th) day following the consummation of the Change of Control. The severance benefit provided for in Subsection 2(c) (iii) or 2(d)(iii) will be paid in one lump sum on the sixtieth (60th) day after the Date of Termination; provided, however, in the event your employment terminates under Section 2(d) during the Protected Period but prior to the consummation of the Change of Control, then the amounts due to you under Section 2(d)(iii) that are in excess of any amount paid to you under Section 2(c)(iii) shall be paid to you on the sixtieth (60th) day following the consummation of the Change of Control. For the avoidance of doubt, you are not entitle to receive benefits under both Section 2(c) and 2(d) and any amounts due to you under Section 2(d) shall be reduced by any amounts paid to you under Section 2(c). While the parties acknowledge that the payments in the first three sentences of this Section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The Wall Street Journal, Midwest edition (or, if not so reported, as reported in such other similar source(s) as the Corporation shall select).</w:t>
      </w:r>
    </w:p>
    <w:p>
      <w:pPr>
        <w:spacing w:after="0" w:line="202" w:lineRule="exact"/>
        <w:rPr>
          <w:rFonts w:ascii="Times New Roman" w:cs="Times New Roman" w:eastAsia="Times New Roman" w:hAnsi="Times New Roman"/>
          <w:sz w:val="22"/>
          <w:szCs w:val="22"/>
          <w:color w:val="auto"/>
        </w:rPr>
      </w:pPr>
    </w:p>
    <w:p>
      <w:pPr>
        <w:ind w:left="1500" w:right="440" w:hanging="743"/>
        <w:spacing w:after="0" w:line="258" w:lineRule="auto"/>
        <w:tabs>
          <w:tab w:leader="none" w:pos="1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Notwithstanding the foregoing, you will have no right to receive any payment or benefit described in Subsections 2(c) (ii)-(v)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20" w:firstLine="9"/>
        <w:spacing w:after="0" w:line="236" w:lineRule="auto"/>
        <w:tabs>
          <w:tab w:leader="none" w:pos="195" w:val="left"/>
        </w:tabs>
        <w:numPr>
          <w:ilvl w:val="0"/>
          <w:numId w:val="67"/>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1500"/>
        <w:spacing w:after="0" w:line="231" w:lineRule="auto"/>
        <w:rPr>
          <w:sz w:val="20"/>
          <w:szCs w:val="20"/>
          <w:color w:val="auto"/>
        </w:rPr>
      </w:pPr>
      <w:r>
        <w:rPr>
          <w:rFonts w:ascii="Times New Roman" w:cs="Times New Roman" w:eastAsia="Times New Roman" w:hAnsi="Times New Roman"/>
          <w:sz w:val="22"/>
          <w:szCs w:val="22"/>
          <w:color w:val="auto"/>
        </w:rPr>
        <w:t>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sixtieth (60th) day after the Date of Termination.</w:t>
      </w:r>
    </w:p>
    <w:p>
      <w:pPr>
        <w:spacing w:after="0" w:line="187" w:lineRule="exact"/>
        <w:rPr>
          <w:sz w:val="20"/>
          <w:szCs w:val="20"/>
          <w:color w:val="auto"/>
        </w:rPr>
      </w:pPr>
    </w:p>
    <w:p>
      <w:pPr>
        <w:ind w:left="1500" w:right="20" w:hanging="743"/>
        <w:spacing w:after="0" w:line="238" w:lineRule="auto"/>
        <w:tabs>
          <w:tab w:leader="none" w:pos="150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7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right="40" w:hanging="743"/>
        <w:spacing w:after="0" w:line="244" w:lineRule="auto"/>
        <w:tabs>
          <w:tab w:leader="none" w:pos="150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60" w:name="page61"/>
    <w:bookmarkEnd w:id="60"/>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20" w:firstLine="9"/>
        <w:spacing w:after="0" w:line="236" w:lineRule="auto"/>
        <w:tabs>
          <w:tab w:leader="none" w:pos="195" w:val="left"/>
        </w:tabs>
        <w:numPr>
          <w:ilvl w:val="0"/>
          <w:numId w:val="70"/>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jc w:val="both"/>
        <w:ind w:left="1500" w:right="260"/>
        <w:spacing w:after="0" w:line="249" w:lineRule="auto"/>
        <w:rPr>
          <w:sz w:val="20"/>
          <w:szCs w:val="20"/>
          <w:color w:val="auto"/>
        </w:rPr>
      </w:pPr>
      <w:r>
        <w:rPr>
          <w:rFonts w:ascii="Times New Roman" w:cs="Times New Roman" w:eastAsia="Times New Roman" w:hAnsi="Times New Roman"/>
          <w:sz w:val="21"/>
          <w:szCs w:val="21"/>
          <w:color w:val="auto"/>
        </w:rPr>
        <w:t>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169" w:lineRule="exact"/>
        <w:rPr>
          <w:sz w:val="20"/>
          <w:szCs w:val="20"/>
          <w:color w:val="auto"/>
        </w:rPr>
      </w:pPr>
    </w:p>
    <w:p>
      <w:pPr>
        <w:ind w:left="1500" w:hanging="743"/>
        <w:spacing w:after="0" w:line="232" w:lineRule="auto"/>
        <w:tabs>
          <w:tab w:leader="none" w:pos="15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191" w:lineRule="exact"/>
        <w:rPr>
          <w:rFonts w:ascii="Times New Roman" w:cs="Times New Roman" w:eastAsia="Times New Roman" w:hAnsi="Times New Roman"/>
          <w:sz w:val="22"/>
          <w:szCs w:val="22"/>
          <w:color w:val="auto"/>
        </w:rPr>
      </w:pPr>
    </w:p>
    <w:p>
      <w:pPr>
        <w:ind w:left="1500" w:right="140" w:hanging="743"/>
        <w:spacing w:after="0" w:line="238" w:lineRule="auto"/>
        <w:tabs>
          <w:tab w:leader="none" w:pos="15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176" w:lineRule="exact"/>
        <w:rPr>
          <w:rFonts w:ascii="Times New Roman" w:cs="Times New Roman" w:eastAsia="Times New Roman" w:hAnsi="Times New Roman"/>
          <w:sz w:val="22"/>
          <w:szCs w:val="22"/>
          <w:color w:val="auto"/>
        </w:rPr>
      </w:pPr>
    </w:p>
    <w:p>
      <w:pPr>
        <w:ind w:left="760" w:right="380" w:hanging="752"/>
        <w:spacing w:after="0" w:line="236"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Employees</w:t>
      </w:r>
      <w:r>
        <w:rPr>
          <w:rFonts w:ascii="Times New Roman" w:cs="Times New Roman" w:eastAsia="Times New Roman" w:hAnsi="Times New Roman"/>
          <w:sz w:val="22"/>
          <w:szCs w:val="22"/>
          <w:color w:val="auto"/>
        </w:rPr>
        <w:t>.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61" w:name="page62"/>
    <w:bookmarkEnd w:id="61"/>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20" w:firstLine="9"/>
        <w:spacing w:after="0" w:line="236" w:lineRule="auto"/>
        <w:tabs>
          <w:tab w:leader="none" w:pos="195" w:val="left"/>
        </w:tabs>
        <w:numPr>
          <w:ilvl w:val="0"/>
          <w:numId w:val="73"/>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760" w:right="200"/>
        <w:spacing w:after="0" w:line="241" w:lineRule="auto"/>
        <w:rPr>
          <w:sz w:val="20"/>
          <w:szCs w:val="20"/>
          <w:color w:val="auto"/>
        </w:rPr>
      </w:pPr>
      <w:r>
        <w:rPr>
          <w:rFonts w:ascii="Times New Roman" w:cs="Times New Roman" w:eastAsia="Times New Roman" w:hAnsi="Times New Roman"/>
          <w:sz w:val="21"/>
          <w:szCs w:val="21"/>
          <w:color w:val="auto"/>
        </w:rPr>
        <w:t>and (i) who is a top-level employee of the Consolidated ManpowerGroup, has special skills or knowledge important to the Consolidated ManpowerGroup, or has skills that are difficult for the Consolidated ManpowerGroup to replace and</w:t>
      </w:r>
    </w:p>
    <w:p>
      <w:pPr>
        <w:spacing w:after="0" w:line="1" w:lineRule="exact"/>
        <w:rPr>
          <w:sz w:val="20"/>
          <w:szCs w:val="20"/>
          <w:color w:val="auto"/>
        </w:rPr>
      </w:pPr>
    </w:p>
    <w:p>
      <w:pPr>
        <w:jc w:val="both"/>
        <w:ind w:left="760" w:hanging="3"/>
        <w:spacing w:after="0" w:line="235" w:lineRule="auto"/>
        <w:tabs>
          <w:tab w:leader="none" w:pos="107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whom you had a working relationship or about whom you acquired or possessed specialized knowledge, in each case, in connection with your employment with the Consolidated ManpowerGroup during the two-year period preceding the Date of Termination.</w:t>
      </w:r>
    </w:p>
    <w:p>
      <w:pPr>
        <w:spacing w:after="0" w:line="177" w:lineRule="exact"/>
        <w:rPr>
          <w:rFonts w:ascii="Times New Roman" w:cs="Times New Roman" w:eastAsia="Times New Roman" w:hAnsi="Times New Roman"/>
          <w:sz w:val="22"/>
          <w:szCs w:val="22"/>
          <w:color w:val="auto"/>
        </w:rPr>
      </w:pPr>
    </w:p>
    <w:p>
      <w:pPr>
        <w:ind w:left="760" w:right="360" w:hanging="752"/>
        <w:spacing w:after="0" w:line="239"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During Employment</w:t>
      </w:r>
      <w:r>
        <w:rPr>
          <w:rFonts w:ascii="Times New Roman" w:cs="Times New Roman" w:eastAsia="Times New Roman" w:hAnsi="Times New Roman"/>
          <w:sz w:val="22"/>
          <w:szCs w:val="22"/>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180" w:lineRule="exact"/>
        <w:rPr>
          <w:rFonts w:ascii="Times New Roman" w:cs="Times New Roman" w:eastAsia="Times New Roman" w:hAnsi="Times New Roman"/>
          <w:sz w:val="22"/>
          <w:szCs w:val="22"/>
          <w:color w:val="auto"/>
        </w:rPr>
      </w:pPr>
    </w:p>
    <w:p>
      <w:pPr>
        <w:ind w:left="760" w:right="600" w:hanging="752"/>
        <w:spacing w:after="0" w:line="258"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reement</w:t>
      </w:r>
      <w:r>
        <w:rPr>
          <w:rFonts w:ascii="Times New Roman" w:cs="Times New Roman" w:eastAsia="Times New Roman" w:hAnsi="Times New Roman"/>
          <w:sz w:val="22"/>
          <w:szCs w:val="22"/>
          <w:color w:val="auto"/>
        </w:rPr>
        <w:t>. During the one-year period which immediately follows the termination, for whatever reason, of your employment with the Consolidated ManpowerGroup:</w:t>
      </w:r>
    </w:p>
    <w:p>
      <w:pPr>
        <w:spacing w:after="0" w:line="158" w:lineRule="exact"/>
        <w:rPr>
          <w:rFonts w:ascii="Times New Roman" w:cs="Times New Roman" w:eastAsia="Times New Roman" w:hAnsi="Times New Roman"/>
          <w:sz w:val="22"/>
          <w:szCs w:val="22"/>
          <w:color w:val="auto"/>
        </w:rPr>
      </w:pPr>
    </w:p>
    <w:p>
      <w:pPr>
        <w:ind w:left="1500" w:right="60" w:hanging="743"/>
        <w:spacing w:after="0" w:line="235" w:lineRule="auto"/>
        <w:tabs>
          <w:tab w:leader="none" w:pos="15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not, directly or indirectly, contact any customer of the Consolidated ManpowerGroup with whom you have had contact on behalf of the Consolidated ManpowerGroup during the two-year period preceding the Date of Termination or any customer about whom you obtained confidential information in connection with your employment by the Consolidated ManpowerGroup during such two-year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183" w:lineRule="exact"/>
        <w:rPr>
          <w:rFonts w:ascii="Times New Roman" w:cs="Times New Roman" w:eastAsia="Times New Roman" w:hAnsi="Times New Roman"/>
          <w:sz w:val="22"/>
          <w:szCs w:val="22"/>
          <w:color w:val="auto"/>
        </w:rPr>
      </w:pPr>
    </w:p>
    <w:p>
      <w:pPr>
        <w:ind w:left="1500" w:hanging="743"/>
        <w:spacing w:after="0" w:line="233" w:lineRule="auto"/>
        <w:tabs>
          <w:tab w:leader="none" w:pos="15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US$250,000,000. You acknowledge that the scope of this limitation is reasonable in that, among other things, providing any such services or assistance during such one-year period would permit you to use unfairly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62" w:name="page63"/>
    <w:bookmarkEnd w:id="62"/>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00" w:firstLine="9"/>
        <w:spacing w:after="0" w:line="236" w:lineRule="auto"/>
        <w:tabs>
          <w:tab w:leader="none" w:pos="195" w:val="left"/>
        </w:tabs>
        <w:numPr>
          <w:ilvl w:val="0"/>
          <w:numId w:val="76"/>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1500" w:right="400"/>
        <w:spacing w:after="0" w:line="235" w:lineRule="auto"/>
        <w:rPr>
          <w:sz w:val="20"/>
          <w:szCs w:val="20"/>
          <w:color w:val="auto"/>
        </w:rPr>
      </w:pPr>
      <w:r>
        <w:rPr>
          <w:rFonts w:ascii="Times New Roman" w:cs="Times New Roman" w:eastAsia="Times New Roman" w:hAnsi="Times New Roman"/>
          <w:sz w:val="22"/>
          <w:szCs w:val="22"/>
          <w:color w:val="auto"/>
        </w:rPr>
        <w:t>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178" w:lineRule="exact"/>
        <w:rPr>
          <w:sz w:val="20"/>
          <w:szCs w:val="20"/>
          <w:color w:val="auto"/>
        </w:rPr>
      </w:pPr>
    </w:p>
    <w:p>
      <w:pPr>
        <w:ind w:left="760" w:hanging="752"/>
        <w:spacing w:after="0" w:line="234"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and Other Interim Measures</w:t>
      </w:r>
      <w:r>
        <w:rPr>
          <w:rFonts w:ascii="Times New Roman" w:cs="Times New Roman" w:eastAsia="Times New Roman" w:hAnsi="Times New Roman"/>
          <w:sz w:val="22"/>
          <w:szCs w:val="22"/>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83" w:lineRule="exact"/>
        <w:rPr>
          <w:rFonts w:ascii="Times New Roman" w:cs="Times New Roman" w:eastAsia="Times New Roman" w:hAnsi="Times New Roman"/>
          <w:sz w:val="22"/>
          <w:szCs w:val="22"/>
          <w:color w:val="auto"/>
        </w:rPr>
      </w:pPr>
    </w:p>
    <w:p>
      <w:pPr>
        <w:ind w:left="760" w:right="140" w:hanging="752"/>
        <w:spacing w:after="0" w:line="238"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Unemployment Compensation</w:t>
      </w:r>
      <w:r>
        <w:rPr>
          <w:rFonts w:ascii="Times New Roman" w:cs="Times New Roman" w:eastAsia="Times New Roman" w:hAnsi="Times New Roman"/>
          <w:sz w:val="22"/>
          <w:szCs w:val="22"/>
          <w:color w:val="auto"/>
        </w:rPr>
        <w:t>. To the extent allowed by applicable law, the severance benefits provided for in Subsection 2(c)(iii)will be assigned for unemployment compensation benefit purposes to the one-year period following the Date of Termination, and the severance benefits provided for in Subsection 2(d)(iii) will be assigned for unemployment compensation purposes to the three-year period following the Date of Termination, and you will be ineligible to receive, and you agree not to apply for, unemployment compensation during such periods.</w:t>
      </w:r>
    </w:p>
    <w:p>
      <w:pPr>
        <w:spacing w:after="0" w:line="176" w:lineRule="exact"/>
        <w:rPr>
          <w:rFonts w:ascii="Times New Roman" w:cs="Times New Roman" w:eastAsia="Times New Roman" w:hAnsi="Times New Roman"/>
          <w:sz w:val="22"/>
          <w:szCs w:val="22"/>
          <w:color w:val="auto"/>
        </w:rPr>
      </w:pPr>
    </w:p>
    <w:p>
      <w:pPr>
        <w:ind w:left="760" w:right="60" w:hanging="752"/>
        <w:spacing w:after="0" w:line="245" w:lineRule="auto"/>
        <w:tabs>
          <w:tab w:leader="none" w:pos="7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ement</w:t>
      </w:r>
      <w:r>
        <w:rPr>
          <w:rFonts w:ascii="Times New Roman" w:cs="Times New Roman" w:eastAsia="Times New Roman" w:hAnsi="Times New Roman"/>
          <w:sz w:val="21"/>
          <w:szCs w:val="21"/>
          <w:color w:val="auto"/>
        </w:rPr>
        <w:t>. Upon your termination, for whatever reason, of employment with the Corporation, the Corporation shall instruct the then-serving members of the Board of Directors and the Corporation’s officers subject to Section 16 of the Exchange Act,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either party from providing truthful testimony pursuant to subpoena or other legal process or in the course of any proceeding that may be commenced for purposes of enforcing this letter agreement. In response to inquiries from a prospective employer in connection with your possible employment, the Corporation will only provide your dates of employment and position(s) held with the Corporation, unless disclosure of additional information is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5" w:right="37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00" w:firstLine="9"/>
        <w:spacing w:after="0" w:line="236" w:lineRule="auto"/>
        <w:tabs>
          <w:tab w:leader="none" w:pos="195" w:val="left"/>
        </w:tabs>
        <w:numPr>
          <w:ilvl w:val="0"/>
          <w:numId w:val="78"/>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760" w:right="340" w:hanging="752"/>
        <w:spacing w:after="0" w:line="237"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Binding Agreement</w:t>
      </w:r>
      <w:r>
        <w:rPr>
          <w:rFonts w:ascii="Times New Roman" w:cs="Times New Roman" w:eastAsia="Times New Roman" w:hAnsi="Times New Roman"/>
          <w:sz w:val="22"/>
          <w:szCs w:val="22"/>
          <w:color w:val="auto"/>
        </w:rPr>
        <w:t>. This letter agreement will be binding on the Corporation and its successors and will inure to the benefit of and be enforceable by your personal or legal representatives, heirs and successors.</w:t>
      </w:r>
    </w:p>
    <w:p>
      <w:pPr>
        <w:spacing w:after="0" w:line="178" w:lineRule="exact"/>
        <w:rPr>
          <w:rFonts w:ascii="Times New Roman" w:cs="Times New Roman" w:eastAsia="Times New Roman" w:hAnsi="Times New Roman"/>
          <w:sz w:val="22"/>
          <w:szCs w:val="22"/>
          <w:color w:val="auto"/>
        </w:rPr>
      </w:pPr>
    </w:p>
    <w:p>
      <w:pPr>
        <w:jc w:val="both"/>
        <w:ind w:left="760" w:right="20" w:hanging="752"/>
        <w:spacing w:after="0" w:line="24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73" w:lineRule="exact"/>
        <w:rPr>
          <w:rFonts w:ascii="Times New Roman" w:cs="Times New Roman" w:eastAsia="Times New Roman" w:hAnsi="Times New Roman"/>
          <w:sz w:val="22"/>
          <w:szCs w:val="22"/>
          <w:color w:val="auto"/>
        </w:rPr>
      </w:pPr>
    </w:p>
    <w:p>
      <w:pPr>
        <w:ind w:left="760" w:hanging="752"/>
        <w:spacing w:after="0" w:line="238"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Remain Employed or in Service</w:t>
      </w:r>
      <w:r>
        <w:rPr>
          <w:rFonts w:ascii="Times New Roman" w:cs="Times New Roman" w:eastAsia="Times New Roman" w:hAnsi="Times New Roman"/>
          <w:sz w:val="22"/>
          <w:szCs w:val="22"/>
          <w:color w:val="auto"/>
        </w:rPr>
        <w:t>. Nothing contained in this letter agreement will be construed as conferring upon you any right to remain employed by, or in service with, the Corporation or any member of the Consolidated ManpowerGroup or affect the right of the Corporation or any member of the Consolidated ManpowerGroup to terminate your employment or service at any time for any reason or no reason, with or without cause, subject to the obligations of the Corporation as set forth herein.</w:t>
      </w:r>
    </w:p>
    <w:p>
      <w:pPr>
        <w:spacing w:after="0" w:line="176" w:lineRule="exact"/>
        <w:rPr>
          <w:rFonts w:ascii="Times New Roman" w:cs="Times New Roman" w:eastAsia="Times New Roman" w:hAnsi="Times New Roman"/>
          <w:sz w:val="22"/>
          <w:szCs w:val="22"/>
          <w:color w:val="auto"/>
        </w:rPr>
      </w:pPr>
    </w:p>
    <w:p>
      <w:pPr>
        <w:ind w:left="760" w:right="800" w:hanging="752"/>
        <w:spacing w:after="0" w:line="258"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No provision of this letter agreement may be modified, waived or discharged unless such waiver, modification or discharge is agreed to in writing by you and the Corporation.</w:t>
      </w:r>
    </w:p>
    <w:p>
      <w:pPr>
        <w:spacing w:after="0" w:line="158" w:lineRule="exact"/>
        <w:rPr>
          <w:rFonts w:ascii="Times New Roman" w:cs="Times New Roman" w:eastAsia="Times New Roman" w:hAnsi="Times New Roman"/>
          <w:sz w:val="22"/>
          <w:szCs w:val="22"/>
          <w:color w:val="auto"/>
        </w:rPr>
      </w:pPr>
    </w:p>
    <w:p>
      <w:pPr>
        <w:ind w:left="760" w:right="560" w:hanging="752"/>
        <w:spacing w:after="0" w:line="282" w:lineRule="auto"/>
        <w:tabs>
          <w:tab w:leader="none" w:pos="7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w:t>
      </w:r>
      <w:r>
        <w:rPr>
          <w:rFonts w:ascii="Times New Roman" w:cs="Times New Roman" w:eastAsia="Times New Roman" w:hAnsi="Times New Roman"/>
          <w:sz w:val="21"/>
          <w:szCs w:val="21"/>
          <w:color w:val="auto"/>
        </w:rPr>
        <w:t>g. The Corporation shall withhold from amounts to be paid to you hereunder any federal, state, or local withholding or other taxes or charges which it is, from time to time, required to withhold under applicable law.</w:t>
      </w:r>
    </w:p>
    <w:p>
      <w:pPr>
        <w:spacing w:after="0" w:line="134" w:lineRule="exact"/>
        <w:rPr>
          <w:rFonts w:ascii="Times New Roman" w:cs="Times New Roman" w:eastAsia="Times New Roman" w:hAnsi="Times New Roman"/>
          <w:sz w:val="21"/>
          <w:szCs w:val="21"/>
          <w:color w:val="auto"/>
        </w:rPr>
      </w:pPr>
    </w:p>
    <w:p>
      <w:pPr>
        <w:ind w:left="760" w:right="180" w:hanging="752"/>
        <w:spacing w:after="0" w:line="258"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letter agreement shall be governed by and interpreted in accordance with the laws of the State of New York, United States of America, without regard to its conflict of law provisions.</w:t>
      </w:r>
    </w:p>
    <w:p>
      <w:pPr>
        <w:spacing w:after="0" w:line="158" w:lineRule="exact"/>
        <w:rPr>
          <w:rFonts w:ascii="Times New Roman" w:cs="Times New Roman" w:eastAsia="Times New Roman" w:hAnsi="Times New Roman"/>
          <w:sz w:val="22"/>
          <w:szCs w:val="22"/>
          <w:color w:val="auto"/>
        </w:rPr>
      </w:pPr>
    </w:p>
    <w:p>
      <w:pPr>
        <w:ind w:left="760" w:right="40" w:hanging="752"/>
        <w:spacing w:after="0" w:line="249" w:lineRule="auto"/>
        <w:tabs>
          <w:tab w:leader="none" w:pos="7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Reduction of Amounts Due Under Law</w:t>
      </w:r>
      <w:r>
        <w:rPr>
          <w:rFonts w:ascii="Times New Roman" w:cs="Times New Roman" w:eastAsia="Times New Roman" w:hAnsi="Times New Roman"/>
          <w:sz w:val="21"/>
          <w:szCs w:val="21"/>
          <w:color w:val="auto"/>
        </w:rPr>
        <w:t>. You agree that any severance payment (i.e,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70" w:lineRule="exact"/>
        <w:rPr>
          <w:rFonts w:ascii="Times New Roman" w:cs="Times New Roman" w:eastAsia="Times New Roman" w:hAnsi="Times New Roman"/>
          <w:sz w:val="21"/>
          <w:szCs w:val="21"/>
          <w:color w:val="auto"/>
        </w:rPr>
      </w:pPr>
    </w:p>
    <w:p>
      <w:pPr>
        <w:ind w:left="760" w:right="80" w:hanging="752"/>
        <w:spacing w:after="0" w:line="23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reement</w:t>
      </w:r>
      <w:r>
        <w:rPr>
          <w:rFonts w:ascii="Times New Roman" w:cs="Times New Roman" w:eastAsia="Times New Roman" w:hAnsi="Times New Roman"/>
          <w:sz w:val="22"/>
          <w:szCs w:val="22"/>
          <w:color w:val="auto"/>
        </w:rPr>
        <w:t>. This letter agreement, upon acceptance by you, constitutes the complete understanding between you and the Corporation concerning the subject matter hereof and supersedes all prior agreements, understandings and practices concerning such matters, including, for the avoidance of doubt, your prior letter agreement with the Company, effective as of February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5" w:right="379" w:bottom="1440" w:gutter="0" w:footer="0" w:header="0"/>
        </w:sectPr>
      </w:pPr>
    </w:p>
    <w:bookmarkStart w:id="64" w:name="page65"/>
    <w:bookmarkEnd w:id="64"/>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20" w:firstLine="9"/>
        <w:spacing w:after="0" w:line="236" w:lineRule="auto"/>
        <w:tabs>
          <w:tab w:leader="none" w:pos="195" w:val="left"/>
        </w:tabs>
        <w:numPr>
          <w:ilvl w:val="0"/>
          <w:numId w:val="80"/>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760" w:right="20" w:hanging="752"/>
        <w:spacing w:after="0" w:line="232"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thirty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82" w:lineRule="exact"/>
        <w:rPr>
          <w:rFonts w:ascii="Times New Roman" w:cs="Times New Roman" w:eastAsia="Times New Roman" w:hAnsi="Times New Roman"/>
          <w:sz w:val="22"/>
          <w:szCs w:val="22"/>
          <w:color w:val="auto"/>
        </w:rPr>
      </w:pPr>
    </w:p>
    <w:p>
      <w:pPr>
        <w:ind w:left="1500" w:right="80" w:hanging="743"/>
        <w:spacing w:after="0" w:line="244" w:lineRule="auto"/>
        <w:tabs>
          <w:tab w:leader="none" w:pos="150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thirty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78" w:lineRule="exact"/>
        <w:rPr>
          <w:rFonts w:ascii="Times New Roman" w:cs="Times New Roman" w:eastAsia="Times New Roman" w:hAnsi="Times New Roman"/>
          <w:sz w:val="21"/>
          <w:szCs w:val="21"/>
          <w:color w:val="auto"/>
        </w:rPr>
      </w:pPr>
    </w:p>
    <w:p>
      <w:pPr>
        <w:ind w:left="1500" w:hanging="743"/>
        <w:spacing w:after="0" w:line="234" w:lineRule="auto"/>
        <w:tabs>
          <w:tab w:leader="none" w:pos="150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thirty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et seq. Judgment upon the award 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65" w:name="page66"/>
    <w:bookmarkEnd w:id="65"/>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9620" w:firstLine="9"/>
        <w:spacing w:after="0" w:line="236" w:lineRule="auto"/>
        <w:tabs>
          <w:tab w:leader="none" w:pos="195" w:val="left"/>
        </w:tabs>
        <w:numPr>
          <w:ilvl w:val="0"/>
          <w:numId w:val="82"/>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1500" w:right="40"/>
        <w:spacing w:after="0" w:line="244" w:lineRule="auto"/>
        <w:rPr>
          <w:sz w:val="20"/>
          <w:szCs w:val="20"/>
          <w:color w:val="auto"/>
        </w:rPr>
      </w:pPr>
      <w:r>
        <w:rPr>
          <w:rFonts w:ascii="Times New Roman" w:cs="Times New Roman" w:eastAsia="Times New Roman" w:hAnsi="Times New Roman"/>
          <w:sz w:val="21"/>
          <w:szCs w:val="21"/>
          <w:color w:val="auto"/>
        </w:rPr>
        <w:t>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77" w:lineRule="exact"/>
        <w:rPr>
          <w:sz w:val="20"/>
          <w:szCs w:val="20"/>
          <w:color w:val="auto"/>
        </w:rPr>
      </w:pPr>
    </w:p>
    <w:p>
      <w:pPr>
        <w:ind w:left="760" w:hanging="752"/>
        <w:spacing w:after="0" w:line="244"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obligations imposed by Paragraphs 3-6, above, of this letter agreement are severable and should be construed independently of each other. The invalidity of one such provision shall not affect the validity of any other such provision.</w:t>
      </w:r>
    </w:p>
    <w:p>
      <w:pPr>
        <w:spacing w:after="0" w:line="173" w:lineRule="exact"/>
        <w:rPr>
          <w:rFonts w:ascii="Times New Roman" w:cs="Times New Roman" w:eastAsia="Times New Roman" w:hAnsi="Times New Roman"/>
          <w:sz w:val="22"/>
          <w:szCs w:val="22"/>
          <w:color w:val="auto"/>
        </w:rPr>
      </w:pPr>
    </w:p>
    <w:p>
      <w:pPr>
        <w:ind w:left="760" w:right="20" w:hanging="752"/>
        <w:spacing w:after="0" w:line="233"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Consistency with Applicable Law</w:t>
      </w:r>
      <w:r>
        <w:rPr>
          <w:rFonts w:ascii="Times New Roman" w:cs="Times New Roman" w:eastAsia="Times New Roman" w:hAnsi="Times New Roman"/>
          <w:sz w:val="22"/>
          <w:szCs w:val="22"/>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ManpowerGroup or any of its agents that you have made such reports or disclosures; however, we encourage you to do so. Nothing in this letter agreement shall have the purpose or effect of limiting your rights to reveal factual information related to any future claim of discrimination to law enforcement, the Equal Employment Opportunity Commission, the state division of human rights, the attorney general, a local commission on human rights, or an attorney retained by you. Further, nothing in this letter agreement shall have the purpose or effect of limiting your right to reveal factual information related to claims of sexual assault or sexual harassment. Finally, your good faith report or disclosure shall not trigger the forfeiture rights under Subsection 2(h) of this Agreement or otherwise limit your right to receive an award for information provided to any government agency.</w:t>
      </w:r>
    </w:p>
    <w:p>
      <w:pPr>
        <w:spacing w:after="0" w:line="200" w:lineRule="exact"/>
        <w:rPr>
          <w:sz w:val="20"/>
          <w:szCs w:val="20"/>
          <w:color w:val="auto"/>
        </w:rPr>
      </w:pPr>
    </w:p>
    <w:p>
      <w:pPr>
        <w:spacing w:after="0" w:line="23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If you are in agreement with the foregoing, please sign and return one copy of this letter agreement which will constitute our agreement with respect to the subject matter of this letter agreement.</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66" w:name="page67"/>
    <w:bookmarkEnd w:id="66"/>
    <w:p>
      <w:pPr>
        <w:spacing w:after="0"/>
        <w:rPr>
          <w:sz w:val="20"/>
          <w:szCs w:val="20"/>
          <w:color w:val="auto"/>
        </w:rPr>
      </w:pPr>
      <w:r>
        <w:rPr>
          <w:rFonts w:ascii="Arial" w:cs="Arial" w:eastAsia="Arial" w:hAnsi="Arial"/>
          <w:sz w:val="13"/>
          <w:szCs w:val="13"/>
          <w:color w:val="auto"/>
        </w:rPr>
        <w:t>ManpowerGroup</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951865" cy="514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51865" cy="514350"/>
                    </a:xfrm>
                    <a:prstGeom prst="rect">
                      <a:avLst/>
                    </a:prstGeom>
                    <a:noFill/>
                    <a:ln>
                      <a:noFill/>
                    </a:ln>
                  </pic:spPr>
                </pic:pic>
              </a:graphicData>
            </a:graphic>
          </wp:inline>
        </w:drawing>
      </w:r>
      <w:r>
        <w:rPr>
          <w:rFonts w:ascii="Arial" w:cs="Arial" w:eastAsia="Arial" w:hAnsi="Arial"/>
          <w:sz w:val="13"/>
          <w:szCs w:val="13"/>
          <w:color w:val="auto"/>
        </w:rPr>
        <w:t>100 Manpower Place</w:t>
      </w:r>
    </w:p>
    <w:p>
      <w:pPr>
        <w:spacing w:after="0"/>
        <w:rPr>
          <w:sz w:val="20"/>
          <w:szCs w:val="20"/>
          <w:color w:val="auto"/>
        </w:rPr>
      </w:pPr>
      <w:r>
        <w:rPr>
          <w:rFonts w:ascii="Arial" w:cs="Arial" w:eastAsia="Arial" w:hAnsi="Arial"/>
          <w:sz w:val="13"/>
          <w:szCs w:val="13"/>
          <w:color w:val="auto"/>
        </w:rPr>
        <w:t>Milwaukee, Wisconsin</w:t>
      </w:r>
    </w:p>
    <w:p>
      <w:pPr>
        <w:spacing w:after="0"/>
        <w:rPr>
          <w:sz w:val="20"/>
          <w:szCs w:val="20"/>
          <w:color w:val="auto"/>
        </w:rPr>
      </w:pPr>
      <w:r>
        <w:rPr>
          <w:rFonts w:ascii="Arial" w:cs="Arial" w:eastAsia="Arial" w:hAnsi="Arial"/>
          <w:sz w:val="13"/>
          <w:szCs w:val="13"/>
          <w:color w:val="auto"/>
        </w:rPr>
        <w:t>53212 USA</w:t>
      </w:r>
    </w:p>
    <w:p>
      <w:pPr>
        <w:ind w:right="8539" w:firstLine="9"/>
        <w:spacing w:after="0" w:line="236" w:lineRule="auto"/>
        <w:tabs>
          <w:tab w:leader="none" w:pos="195" w:val="left"/>
        </w:tabs>
        <w:numPr>
          <w:ilvl w:val="0"/>
          <w:numId w:val="84"/>
        </w:numPr>
        <w:rPr>
          <w:rFonts w:ascii="Arial" w:cs="Arial" w:eastAsia="Arial" w:hAnsi="Arial"/>
          <w:sz w:val="13"/>
          <w:szCs w:val="13"/>
          <w:color w:val="auto"/>
        </w:rPr>
      </w:pPr>
      <w:r>
        <w:rPr>
          <w:rFonts w:ascii="Arial" w:cs="Arial" w:eastAsia="Arial" w:hAnsi="Arial"/>
          <w:sz w:val="13"/>
          <w:szCs w:val="13"/>
          <w:color w:val="auto"/>
        </w:rPr>
        <w:t>+1 414 961 1000 www.manpowergroup.com</w:t>
      </w:r>
    </w:p>
    <w:p>
      <w:pPr>
        <w:ind w:left="4500"/>
        <w:spacing w:after="0" w:line="230" w:lineRule="auto"/>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Dale Johnson</w:t>
      </w:r>
    </w:p>
    <w:p>
      <w:pPr>
        <w:spacing w:after="0" w:line="1"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22"/>
          <w:szCs w:val="22"/>
          <w:color w:val="auto"/>
        </w:rPr>
        <w:t>Dale Johnson, Corporate Secretary</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as of the 14th day of October,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Rebecca Frankiewicz</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Rebecca Frankiewicz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1481455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5"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120" w:hanging="378"/>
        <w:spacing w:after="0" w:line="282"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2026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October 30,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12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2026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October 30,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1"/>
    </w:lvl>
  </w:abstractNum>
  <w:abstractNum w:abstractNumId="3">
    <w:nsid w:val="4B588F54"/>
    <w:multiLevelType w:val="hybridMultilevel"/>
    <w:lvl w:ilvl="0">
      <w:lvlJc w:val="left"/>
      <w:lvlText w:val="(%1)"/>
      <w:numFmt w:val="decimal"/>
      <w:start w:val="2"/>
    </w:lvl>
  </w:abstractNum>
  <w:abstractNum w:abstractNumId="4">
    <w:nsid w:val="542289EC"/>
    <w:multiLevelType w:val="hybridMultilevel"/>
    <w:lvl w:ilvl="0">
      <w:lvlJc w:val="left"/>
      <w:lvlText w:val="(%1)"/>
      <w:numFmt w:val="decimal"/>
      <w:start w:val="3"/>
    </w:lvl>
  </w:abstractNum>
  <w:abstractNum w:abstractNumId="5">
    <w:nsid w:val="6DE91B18"/>
    <w:multiLevelType w:val="hybridMultilevel"/>
    <w:lvl w:ilvl="0">
      <w:lvlJc w:val="left"/>
      <w:lvlText w:val="(%1)"/>
      <w:numFmt w:val="decimal"/>
      <w:start w:val="4"/>
    </w:lvl>
  </w:abstractNum>
  <w:abstractNum w:abstractNumId="6">
    <w:nsid w:val="38437FDB"/>
    <w:multiLevelType w:val="hybridMultilevel"/>
    <w:lvl w:ilvl="0">
      <w:lvlJc w:val="left"/>
      <w:lvlText w:val="(%1)"/>
      <w:numFmt w:val="decimal"/>
      <w:start w:val="5"/>
    </w:lvl>
  </w:abstractNum>
  <w:abstractNum w:abstractNumId="7">
    <w:nsid w:val="7644A45C"/>
    <w:multiLevelType w:val="hybridMultilevel"/>
    <w:lvl w:ilvl="0">
      <w:lvlJc w:val="left"/>
      <w:lvlText w:val="(%1)"/>
      <w:numFmt w:val="decimal"/>
      <w:start w:val="6"/>
    </w:lvl>
  </w:abstractNum>
  <w:abstractNum w:abstractNumId="8">
    <w:nsid w:val="32FFF902"/>
    <w:multiLevelType w:val="hybridMultilevel"/>
    <w:lvl w:ilvl="0">
      <w:lvlJc w:val="left"/>
      <w:lvlText w:val="(%1)"/>
      <w:numFmt w:val="lowerLetter"/>
      <w:start w:val="1"/>
    </w:lvl>
  </w:abstractNum>
  <w:abstractNum w:abstractNumId="9">
    <w:nsid w:val="684A481A"/>
    <w:multiLevelType w:val="hybridMultilevel"/>
    <w:lvl w:ilvl="0">
      <w:lvlJc w:val="left"/>
      <w:lvlText w:val="(%1)"/>
      <w:numFmt w:val="decimal"/>
      <w:start w:val="7"/>
    </w:lvl>
  </w:abstractNum>
  <w:abstractNum w:abstractNumId="10">
    <w:nsid w:val="579478FE"/>
    <w:multiLevelType w:val="hybridMultilevel"/>
    <w:lvl w:ilvl="0">
      <w:lvlJc w:val="left"/>
      <w:lvlText w:val="(%1)"/>
      <w:numFmt w:val="decimal"/>
      <w:start w:val="8"/>
    </w:lvl>
  </w:abstractNum>
  <w:abstractNum w:abstractNumId="11">
    <w:nsid w:val="749ABB43"/>
    <w:multiLevelType w:val="hybridMultilevel"/>
    <w:lvl w:ilvl="0">
      <w:lvlJc w:val="left"/>
      <w:lvlText w:val="(%1)"/>
      <w:numFmt w:val="decimal"/>
      <w:start w:val="9"/>
    </w:lvl>
  </w:abstractNum>
  <w:abstractNum w:abstractNumId="12">
    <w:nsid w:val="3DC240FB"/>
    <w:multiLevelType w:val="hybridMultilevel"/>
    <w:lvl w:ilvl="0">
      <w:lvlJc w:val="left"/>
      <w:lvlText w:val="(%1)"/>
      <w:numFmt w:val="lowerLetter"/>
      <w:start w:val="1"/>
    </w:lvl>
  </w:abstractNum>
  <w:abstractNum w:abstractNumId="13">
    <w:nsid w:val="1BA026FA"/>
    <w:multiLevelType w:val="hybridMultilevel"/>
    <w:lvl w:ilvl="0">
      <w:lvlJc w:val="left"/>
      <w:lvlText w:val="(%1)"/>
      <w:numFmt w:val="lowerLetter"/>
      <w:start w:val="1"/>
    </w:lvl>
  </w:abstractNum>
  <w:abstractNum w:abstractNumId="14">
    <w:nsid w:val="79A1DEAA"/>
    <w:multiLevelType w:val="hybridMultilevel"/>
    <w:lvl w:ilvl="0">
      <w:lvlJc w:val="left"/>
      <w:lvlText w:val="(%1)"/>
      <w:numFmt w:val="decimal"/>
      <w:start w:val="10"/>
    </w:lvl>
  </w:abstractNum>
  <w:abstractNum w:abstractNumId="15">
    <w:nsid w:val="75C6C33A"/>
    <w:multiLevelType w:val="hybridMultilevel"/>
    <w:lvl w:ilvl="0">
      <w:lvlJc w:val="left"/>
      <w:lvlText w:val="(%1)"/>
      <w:numFmt w:val="decimal"/>
      <w:start w:val="13"/>
    </w:lvl>
  </w:abstractNum>
  <w:abstractNum w:abstractNumId="16">
    <w:nsid w:val="12E685FB"/>
    <w:multiLevelType w:val="hybridMultilevel"/>
    <w:lvl w:ilvl="0">
      <w:lvlJc w:val="left"/>
      <w:lvlText w:val="(%1)"/>
      <w:numFmt w:val="lowerLetter"/>
      <w:start w:val="1"/>
    </w:lvl>
  </w:abstractNum>
  <w:abstractNum w:abstractNumId="17">
    <w:nsid w:val="70C6A529"/>
    <w:multiLevelType w:val="hybridMultilevel"/>
    <w:lvl w:ilvl="0">
      <w:lvlJc w:val="left"/>
      <w:lvlText w:val="(%1)"/>
      <w:numFmt w:val="lowerLetter"/>
      <w:start w:val="1"/>
    </w:lvl>
  </w:abstractNum>
  <w:abstractNum w:abstractNumId="18">
    <w:nsid w:val="520EEDD1"/>
    <w:multiLevelType w:val="hybridMultilevel"/>
    <w:lvl w:ilvl="0">
      <w:lvlJc w:val="left"/>
      <w:lvlText w:val="(%1)"/>
      <w:numFmt w:val="lowerLetter"/>
      <w:start w:val="1"/>
    </w:lvl>
  </w:abstractNum>
  <w:abstractNum w:abstractNumId="19">
    <w:nsid w:val="374A3FE6"/>
    <w:multiLevelType w:val="hybridMultilevel"/>
    <w:lvl w:ilvl="0">
      <w:lvlJc w:val="left"/>
      <w:lvlText w:val="(%1)"/>
      <w:numFmt w:val="lowerLetter"/>
      <w:start w:val="1"/>
    </w:lvl>
  </w:abstractNum>
  <w:abstractNum w:abstractNumId="20">
    <w:nsid w:val="4F4EF005"/>
    <w:multiLevelType w:val="hybridMultilevel"/>
    <w:lvl w:ilvl="0">
      <w:lvlJc w:val="left"/>
      <w:lvlText w:val="\endash "/>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1)"/>
      <w:numFmt w:val="lowerLetter"/>
      <w:start w:val="1"/>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decimal"/>
      <w:start w:val="104"/>
    </w:lvl>
  </w:abstractNum>
  <w:abstractNum w:abstractNumId="33">
    <w:nsid w:val="10233C99"/>
    <w:multiLevelType w:val="hybridMultilevel"/>
    <w:lvl w:ilvl="0">
      <w:lvlJc w:val="left"/>
      <w:lvlText w:val="%1:"/>
      <w:numFmt w:val="upperLetter"/>
      <w:start w:val="20"/>
    </w:lvl>
  </w:abstractNum>
  <w:abstractNum w:abstractNumId="34">
    <w:nsid w:val="3F6AB60F"/>
    <w:multiLevelType w:val="hybridMultilevel"/>
    <w:lvl w:ilvl="0">
      <w:lvlJc w:val="left"/>
      <w:lvlText w:val="%1:"/>
      <w:numFmt w:val="upperLetter"/>
      <w:start w:val="20"/>
    </w:lvl>
  </w:abstractNum>
  <w:abstractNum w:abstractNumId="35">
    <w:nsid w:val="61574095"/>
    <w:multiLevelType w:val="hybridMultilevel"/>
    <w:lvl w:ilvl="0">
      <w:lvlJc w:val="left"/>
      <w:lvlText w:val="(%1)"/>
      <w:numFmt w:val="lowerRoman"/>
      <w:start w:val="1"/>
    </w:lvl>
  </w:abstractNum>
  <w:abstractNum w:abstractNumId="36">
    <w:nsid w:val="7E0C57B1"/>
    <w:multiLevelType w:val="hybridMultilevel"/>
    <w:lvl w:ilvl="0">
      <w:lvlJc w:val="left"/>
      <w:lvlText w:val="%1:"/>
      <w:numFmt w:val="upperLetter"/>
      <w:start w:val="20"/>
    </w:lvl>
  </w:abstractNum>
  <w:abstractNum w:abstractNumId="37">
    <w:nsid w:val="77AE35EB"/>
    <w:multiLevelType w:val="hybridMultilevel"/>
    <w:lvl w:ilvl="0">
      <w:lvlJc w:val="left"/>
      <w:lvlText w:val="(%1)"/>
      <w:numFmt w:val="lowerRoman"/>
      <w:start w:val="4"/>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upperLetter"/>
      <w:start w:val="20"/>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1:"/>
      <w:numFmt w:val="upperLetter"/>
      <w:start w:val="20"/>
    </w:lvl>
  </w:abstractNum>
  <w:abstractNum w:abstractNumId="42">
    <w:nsid w:val="25A70BF7"/>
    <w:multiLevelType w:val="hybridMultilevel"/>
    <w:lvl w:ilvl="0">
      <w:lvlJc w:val="left"/>
      <w:lvlText w:val="%1:"/>
      <w:numFmt w:val="upperLetter"/>
      <w:start w:val="20"/>
    </w:lvl>
  </w:abstractNum>
  <w:abstractNum w:abstractNumId="43">
    <w:nsid w:val="1DBABF00"/>
    <w:multiLevelType w:val="hybridMultilevel"/>
    <w:lvl w:ilvl="0">
      <w:lvlJc w:val="left"/>
      <w:lvlText w:val="%1."/>
      <w:numFmt w:val="decimal"/>
      <w:start w:val="1"/>
    </w:lvl>
    <w:lvl w:ilvl="1">
      <w:lvlJc w:val="left"/>
      <w:lvlText w:val="(%2)"/>
      <w:numFmt w:val="lowerLetter"/>
      <w:start w:val="1"/>
    </w:lvl>
  </w:abstractNum>
  <w:abstractNum w:abstractNumId="44">
    <w:nsid w:val="4AD084E9"/>
    <w:multiLevelType w:val="hybridMultilevel"/>
    <w:lvl w:ilvl="0">
      <w:lvlJc w:val="left"/>
      <w:lvlText w:val="%1:"/>
      <w:numFmt w:val="upperLetter"/>
      <w:start w:val="20"/>
    </w:lvl>
  </w:abstractNum>
  <w:abstractNum w:abstractNumId="45">
    <w:nsid w:val="1F48EAA1"/>
    <w:multiLevelType w:val="hybridMultilevel"/>
    <w:lvl w:ilvl="0">
      <w:lvlJc w:val="left"/>
      <w:lvlText w:val="(%1)"/>
      <w:numFmt w:val="lowerLetter"/>
      <w:start w:val="3"/>
    </w:lvl>
    <w:lvl w:ilvl="1">
      <w:lvlJc w:val="left"/>
      <w:lvlText w:val="(%2)"/>
      <w:numFmt w:val="lowerRoman"/>
      <w:start w:val="1"/>
    </w:lvl>
  </w:abstractNum>
  <w:abstractNum w:abstractNumId="46">
    <w:nsid w:val="1381823A"/>
    <w:multiLevelType w:val="hybridMultilevel"/>
    <w:lvl w:ilvl="0">
      <w:lvlJc w:val="left"/>
      <w:lvlText w:val="%1:"/>
      <w:numFmt w:val="upperLetter"/>
      <w:start w:val="20"/>
    </w:lvl>
  </w:abstractNum>
  <w:abstractNum w:abstractNumId="47">
    <w:nsid w:val="5DB70AE5"/>
    <w:multiLevelType w:val="hybridMultilevel"/>
    <w:lvl w:ilvl="0">
      <w:lvlJc w:val="left"/>
      <w:lvlText w:val="(%1)"/>
      <w:numFmt w:val="lowerRoman"/>
      <w:start w:val="3"/>
    </w:lvl>
  </w:abstractNum>
  <w:abstractNum w:abstractNumId="48">
    <w:nsid w:val="100F8FCA"/>
    <w:multiLevelType w:val="hybridMultilevel"/>
    <w:lvl w:ilvl="0">
      <w:lvlJc w:val="left"/>
      <w:lvlText w:val="(%1)"/>
      <w:numFmt w:val="lowerLetter"/>
      <w:start w:val="4"/>
    </w:lvl>
    <w:lvl w:ilvl="1">
      <w:lvlJc w:val="left"/>
      <w:lvlText w:val="(%2)"/>
      <w:numFmt w:val="lowerRoman"/>
      <w:start w:val="1"/>
    </w:lvl>
  </w:abstractNum>
  <w:abstractNum w:abstractNumId="49">
    <w:nsid w:val="6590700B"/>
    <w:multiLevelType w:val="hybridMultilevel"/>
    <w:lvl w:ilvl="0">
      <w:lvlJc w:val="left"/>
      <w:lvlText w:val="%1:"/>
      <w:numFmt w:val="upperLetter"/>
      <w:start w:val="20"/>
    </w:lvl>
    <w:lvl w:ilvl="1">
      <w:lvlJc w:val="left"/>
      <w:lvlText w:val="(%2)"/>
      <w:numFmt w:val="lowerRoman"/>
      <w:start w:val="2"/>
    </w:lvl>
  </w:abstractNum>
  <w:abstractNum w:abstractNumId="50">
    <w:nsid w:val="15014ACB"/>
    <w:multiLevelType w:val="hybridMultilevel"/>
    <w:lvl w:ilvl="0">
      <w:lvlJc w:val="left"/>
      <w:lvlText w:val="(%1)"/>
      <w:numFmt w:val="lowerLetter"/>
      <w:start w:val="5"/>
    </w:lvl>
  </w:abstractNum>
  <w:abstractNum w:abstractNumId="51">
    <w:nsid w:val="5F5E7FD0"/>
    <w:multiLevelType w:val="hybridMultilevel"/>
    <w:lvl w:ilvl="0">
      <w:lvlJc w:val="left"/>
      <w:lvlText w:val="%1:"/>
      <w:numFmt w:val="upperLetter"/>
      <w:start w:val="20"/>
    </w:lvl>
    <w:lvl w:ilvl="1">
      <w:lvlJc w:val="left"/>
      <w:lvlText w:val="(%2)"/>
      <w:numFmt w:val="lowerLetter"/>
      <w:start w:val="6"/>
    </w:lvl>
    <w:lvl w:ilvl="2">
      <w:lvlJc w:val="left"/>
      <w:lvlText w:val="(%3)"/>
      <w:numFmt w:val="lowerRoman"/>
      <w:start w:val="1"/>
    </w:lvl>
  </w:abstractNum>
  <w:abstractNum w:abstractNumId="52">
    <w:nsid w:val="98A3148"/>
    <w:multiLevelType w:val="hybridMultilevel"/>
    <w:lvl w:ilvl="0">
      <w:lvlJc w:val="left"/>
      <w:lvlText w:val="%1."/>
      <w:numFmt w:val="decimal"/>
      <w:start w:val="2"/>
    </w:lvl>
    <w:lvl w:ilvl="1">
      <w:lvlJc w:val="left"/>
      <w:lvlText w:val="(%2)"/>
      <w:numFmt w:val="lowerLetter"/>
      <w:start w:val="1"/>
    </w:lvl>
  </w:abstractNum>
  <w:abstractNum w:abstractNumId="53">
    <w:nsid w:val="799D0247"/>
    <w:multiLevelType w:val="hybridMultilevel"/>
    <w:lvl w:ilvl="0">
      <w:lvlJc w:val="left"/>
      <w:lvlText w:val="%1:"/>
      <w:numFmt w:val="upperLetter"/>
      <w:start w:val="20"/>
    </w:lvl>
  </w:abstractNum>
  <w:abstractNum w:abstractNumId="54">
    <w:nsid w:val="6B94764"/>
    <w:multiLevelType w:val="hybridMultilevel"/>
    <w:lvl w:ilvl="0">
      <w:lvlJc w:val="left"/>
      <w:lvlText w:val="(%1)"/>
      <w:numFmt w:val="lowerLetter"/>
      <w:start w:val="2"/>
    </w:lvl>
    <w:lvl w:ilvl="1">
      <w:lvlJc w:val="left"/>
      <w:lvlText w:val="(%2)"/>
      <w:numFmt w:val="lowerRoman"/>
      <w:start w:val="1"/>
    </w:lvl>
  </w:abstractNum>
  <w:abstractNum w:abstractNumId="55">
    <w:nsid w:val="42C296BD"/>
    <w:multiLevelType w:val="hybridMultilevel"/>
    <w:lvl w:ilvl="0">
      <w:lvlJc w:val="left"/>
      <w:lvlText w:val="%1:"/>
      <w:numFmt w:val="upperLetter"/>
      <w:start w:val="20"/>
    </w:lvl>
  </w:abstractNum>
  <w:abstractNum w:abstractNumId="56">
    <w:nsid w:val="168E121F"/>
    <w:multiLevelType w:val="hybridMultilevel"/>
    <w:lvl w:ilvl="0">
      <w:lvlJc w:val="left"/>
      <w:lvlText w:val="(%1)"/>
      <w:numFmt w:val="lowerRoman"/>
      <w:start w:val="3"/>
    </w:lvl>
  </w:abstractNum>
  <w:abstractNum w:abstractNumId="57">
    <w:nsid w:val="1EBA5D23"/>
    <w:multiLevelType w:val="hybridMultilevel"/>
    <w:lvl w:ilvl="0">
      <w:lvlJc w:val="left"/>
      <w:lvlText w:val="%1:"/>
      <w:numFmt w:val="upperLetter"/>
      <w:start w:val="20"/>
    </w:lvl>
  </w:abstractNum>
  <w:abstractNum w:abstractNumId="58">
    <w:nsid w:val="661E3F1E"/>
    <w:multiLevelType w:val="hybridMultilevel"/>
    <w:lvl w:ilvl="0">
      <w:lvlJc w:val="left"/>
      <w:lvlText w:val="(%1)"/>
      <w:numFmt w:val="lowerRoman"/>
      <w:start w:val="5"/>
    </w:lvl>
  </w:abstractNum>
  <w:abstractNum w:abstractNumId="59">
    <w:nsid w:val="5DC79EA8"/>
    <w:multiLevelType w:val="hybridMultilevel"/>
    <w:lvl w:ilvl="0">
      <w:lvlJc w:val="left"/>
      <w:lvlText w:val="(%1)"/>
      <w:numFmt w:val="lowerLetter"/>
      <w:start w:val="4"/>
    </w:lvl>
    <w:lvl w:ilvl="1">
      <w:lvlJc w:val="left"/>
      <w:lvlText w:val="(%2)"/>
      <w:numFmt w:val="lowerRoman"/>
      <w:start w:val="1"/>
    </w:lvl>
  </w:abstractNum>
  <w:abstractNum w:abstractNumId="60">
    <w:nsid w:val="540A471C"/>
    <w:multiLevelType w:val="hybridMultilevel"/>
    <w:lvl w:ilvl="0">
      <w:lvlJc w:val="left"/>
      <w:lvlText w:val="%1:"/>
      <w:numFmt w:val="upperLetter"/>
      <w:start w:val="20"/>
    </w:lvl>
    <w:lvl w:ilvl="1">
      <w:lvlJc w:val="left"/>
      <w:lvlText w:val="(%2)"/>
      <w:numFmt w:val="lowerRoman"/>
      <w:start w:val="3"/>
    </w:lvl>
  </w:abstractNum>
  <w:abstractNum w:abstractNumId="61">
    <w:nsid w:val="7BD3EE7B"/>
    <w:multiLevelType w:val="hybridMultilevel"/>
    <w:lvl w:ilvl="0">
      <w:lvlJc w:val="left"/>
      <w:lvlText w:val="%1:"/>
      <w:numFmt w:val="upperLetter"/>
      <w:start w:val="20"/>
    </w:lvl>
  </w:abstractNum>
  <w:abstractNum w:abstractNumId="62">
    <w:nsid w:val="51D9C564"/>
    <w:multiLevelType w:val="hybridMultilevel"/>
    <w:lvl w:ilvl="0">
      <w:lvlJc w:val="left"/>
      <w:lvlText w:val="(%1)"/>
      <w:numFmt w:val="lowerRoman"/>
      <w:start w:val="5"/>
    </w:lvl>
  </w:abstractNum>
  <w:abstractNum w:abstractNumId="63">
    <w:nsid w:val="613EFDC5"/>
    <w:multiLevelType w:val="hybridMultilevel"/>
    <w:lvl w:ilvl="0">
      <w:lvlJc w:val="left"/>
      <w:lvlText w:val="(%1)"/>
      <w:numFmt w:val="lowerLetter"/>
      <w:start w:val="5"/>
    </w:lvl>
  </w:abstractNum>
  <w:abstractNum w:abstractNumId="64">
    <w:nsid w:val="BF72B14"/>
    <w:multiLevelType w:val="hybridMultilevel"/>
    <w:lvl w:ilvl="0">
      <w:lvlJc w:val="left"/>
      <w:lvlText w:val="%1:"/>
      <w:numFmt w:val="upperLetter"/>
      <w:start w:val="20"/>
    </w:lvl>
  </w:abstractNum>
  <w:abstractNum w:abstractNumId="65">
    <w:nsid w:val="11447B73"/>
    <w:multiLevelType w:val="hybridMultilevel"/>
    <w:lvl w:ilvl="0">
      <w:lvlJc w:val="left"/>
      <w:lvlText w:val="(%1)"/>
      <w:numFmt w:val="lowerLetter"/>
      <w:start w:val="6"/>
    </w:lvl>
  </w:abstractNum>
  <w:abstractNum w:abstractNumId="66">
    <w:nsid w:val="42963E5A"/>
    <w:multiLevelType w:val="hybridMultilevel"/>
    <w:lvl w:ilvl="0">
      <w:lvlJc w:val="left"/>
      <w:lvlText w:val="%1:"/>
      <w:numFmt w:val="upperLetter"/>
      <w:start w:val="20"/>
    </w:lvl>
  </w:abstractNum>
  <w:abstractNum w:abstractNumId="67">
    <w:nsid w:val="A0382C5"/>
    <w:multiLevelType w:val="hybridMultilevel"/>
    <w:lvl w:ilvl="0">
      <w:lvlJc w:val="left"/>
      <w:lvlText w:val="%1"/>
      <w:numFmt w:val="decimal"/>
      <w:start w:val="1"/>
    </w:lvl>
    <w:lvl w:ilvl="1">
      <w:lvlJc w:val="left"/>
      <w:lvlText w:val="(%2)"/>
      <w:numFmt w:val="lowerLetter"/>
      <w:start w:val="8"/>
    </w:lvl>
  </w:abstractNum>
  <w:abstractNum w:abstractNumId="68">
    <w:nsid w:val="8F2B15E"/>
    <w:multiLevelType w:val="hybridMultilevel"/>
    <w:lvl w:ilvl="0">
      <w:lvlJc w:val="left"/>
      <w:lvlText w:val="%1."/>
      <w:numFmt w:val="decimal"/>
      <w:start w:val="3"/>
    </w:lvl>
    <w:lvl w:ilvl="1">
      <w:lvlJc w:val="left"/>
      <w:lvlText w:val="(%2)"/>
      <w:numFmt w:val="lowerLetter"/>
      <w:start w:val="1"/>
    </w:lvl>
  </w:abstractNum>
  <w:abstractNum w:abstractNumId="69">
    <w:nsid w:val="1A32234B"/>
    <w:multiLevelType w:val="hybridMultilevel"/>
    <w:lvl w:ilvl="0">
      <w:lvlJc w:val="left"/>
      <w:lvlText w:val="%1:"/>
      <w:numFmt w:val="upperLetter"/>
      <w:start w:val="20"/>
    </w:lvl>
  </w:abstractNum>
  <w:abstractNum w:abstractNumId="70">
    <w:nsid w:val="3B0FD379"/>
    <w:multiLevelType w:val="hybridMultilevel"/>
    <w:lvl w:ilvl="0">
      <w:lvlJc w:val="left"/>
      <w:lvlText w:val="%1"/>
      <w:numFmt w:val="decimal"/>
      <w:start w:val="1"/>
    </w:lvl>
    <w:lvl w:ilvl="1">
      <w:lvlJc w:val="left"/>
      <w:lvlText w:val="(%2)"/>
      <w:numFmt w:val="lowerLetter"/>
      <w:start w:val="2"/>
    </w:lvl>
  </w:abstractNum>
  <w:abstractNum w:abstractNumId="71">
    <w:nsid w:val="68EB2F63"/>
    <w:multiLevelType w:val="hybridMultilevel"/>
    <w:lvl w:ilvl="0">
      <w:lvlJc w:val="left"/>
      <w:lvlText w:val="%1."/>
      <w:numFmt w:val="decimal"/>
      <w:start w:val="4"/>
    </w:lvl>
    <w:lvl w:ilvl="1">
      <w:lvlJc w:val="left"/>
      <w:lvlText w:val="%2"/>
      <w:numFmt w:val="lowerLetter"/>
      <w:start w:val="1"/>
    </w:lvl>
  </w:abstractNum>
  <w:abstractNum w:abstractNumId="72">
    <w:nsid w:val="4962813B"/>
    <w:multiLevelType w:val="hybridMultilevel"/>
    <w:lvl w:ilvl="0">
      <w:lvlJc w:val="left"/>
      <w:lvlText w:val="%1:"/>
      <w:numFmt w:val="upperLetter"/>
      <w:start w:val="20"/>
    </w:lvl>
  </w:abstractNum>
  <w:abstractNum w:abstractNumId="73">
    <w:nsid w:val="60B6DF70"/>
    <w:multiLevelType w:val="hybridMultilevel"/>
    <w:lvl w:ilvl="0">
      <w:lvlJc w:val="left"/>
      <w:lvlText w:val="%1"/>
      <w:numFmt w:val="decimal"/>
      <w:start w:val="1"/>
    </w:lvl>
    <w:lvl w:ilvl="1">
      <w:lvlJc w:val="left"/>
      <w:lvlText w:val="(%2)"/>
      <w:numFmt w:val="lowerLetter"/>
      <w:start w:val="35"/>
    </w:lvl>
  </w:abstractNum>
  <w:abstractNum w:abstractNumId="74">
    <w:nsid w:val="6A5EE64"/>
    <w:multiLevelType w:val="hybridMultilevel"/>
    <w:lvl w:ilvl="0">
      <w:lvlJc w:val="left"/>
      <w:lvlText w:val="%1."/>
      <w:numFmt w:val="decimal"/>
      <w:start w:val="5"/>
    </w:lvl>
    <w:lvl w:ilvl="1">
      <w:lvlJc w:val="left"/>
      <w:lvlText w:val="(%2)"/>
      <w:numFmt w:val="lowerLetter"/>
      <w:start w:val="1"/>
    </w:lvl>
  </w:abstractNum>
  <w:abstractNum w:abstractNumId="75">
    <w:nsid w:val="14330624"/>
    <w:multiLevelType w:val="hybridMultilevel"/>
    <w:lvl w:ilvl="0">
      <w:lvlJc w:val="left"/>
      <w:lvlText w:val="%1:"/>
      <w:numFmt w:val="upperLetter"/>
      <w:start w:val="20"/>
    </w:lvl>
  </w:abstractNum>
  <w:abstractNum w:abstractNumId="76">
    <w:nsid w:val="7FFFCA11"/>
    <w:multiLevelType w:val="hybridMultilevel"/>
    <w:lvl w:ilvl="0">
      <w:lvlJc w:val="left"/>
      <w:lvlText w:val="%1."/>
      <w:numFmt w:val="decimal"/>
      <w:start w:val="7"/>
    </w:lvl>
  </w:abstractNum>
  <w:abstractNum w:abstractNumId="77">
    <w:nsid w:val="1A27709E"/>
    <w:multiLevelType w:val="hybridMultilevel"/>
    <w:lvl w:ilvl="0">
      <w:lvlJc w:val="left"/>
      <w:lvlText w:val="%1:"/>
      <w:numFmt w:val="upperLetter"/>
      <w:start w:val="20"/>
    </w:lvl>
  </w:abstractNum>
  <w:abstractNum w:abstractNumId="78">
    <w:nsid w:val="71EA1109"/>
    <w:multiLevelType w:val="hybridMultilevel"/>
    <w:lvl w:ilvl="0">
      <w:lvlJc w:val="left"/>
      <w:lvlText w:val="%1."/>
      <w:numFmt w:val="decimal"/>
      <w:start w:val="10"/>
    </w:lvl>
  </w:abstractNum>
  <w:abstractNum w:abstractNumId="79">
    <w:nsid w:val="100F59DC"/>
    <w:multiLevelType w:val="hybridMultilevel"/>
    <w:lvl w:ilvl="0">
      <w:lvlJc w:val="left"/>
      <w:lvlText w:val="%1:"/>
      <w:numFmt w:val="upperLetter"/>
      <w:start w:val="20"/>
    </w:lvl>
  </w:abstractNum>
  <w:abstractNum w:abstractNumId="80">
    <w:nsid w:val="7FB7E0AA"/>
    <w:multiLevelType w:val="hybridMultilevel"/>
    <w:lvl w:ilvl="0">
      <w:lvlJc w:val="left"/>
      <w:lvlText w:val="%1."/>
      <w:numFmt w:val="decimal"/>
      <w:start w:val="18"/>
    </w:lvl>
    <w:lvl w:ilvl="1">
      <w:lvlJc w:val="left"/>
      <w:lvlText w:val="(%2)"/>
      <w:numFmt w:val="lowerLetter"/>
      <w:start w:val="1"/>
    </w:lvl>
  </w:abstractNum>
  <w:abstractNum w:abstractNumId="81">
    <w:nsid w:val="6EB5BD4"/>
    <w:multiLevelType w:val="hybridMultilevel"/>
    <w:lvl w:ilvl="0">
      <w:lvlJc w:val="left"/>
      <w:lvlText w:val="%1:"/>
      <w:numFmt w:val="upperLetter"/>
      <w:start w:val="20"/>
    </w:lvl>
  </w:abstractNum>
  <w:abstractNum w:abstractNumId="82">
    <w:nsid w:val="6F6DD9AC"/>
    <w:multiLevelType w:val="hybridMultilevel"/>
    <w:lvl w:ilvl="0">
      <w:lvlJc w:val="left"/>
      <w:lvlText w:val="%1."/>
      <w:numFmt w:val="decimal"/>
      <w:start w:val="19"/>
    </w:lvl>
  </w:abstractNum>
  <w:abstractNum w:abstractNumId="83">
    <w:nsid w:val="94211F2"/>
    <w:multiLevelType w:val="hybridMultilevel"/>
    <w:lvl w:ilvl="0">
      <w:lvlJc w:val="left"/>
      <w:lvlText w:val="%1:"/>
      <w:numFmt w:val="upperLetter"/>
      <w:start w:val="20"/>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2026-10-30T16:01:31Z</dcterms:created>
  <dcterms:modified xsi:type="dcterms:W3CDTF">2026-10-30T16:01:31Z</dcterms:modified>
</cp:coreProperties>
</file>