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color w:val="auto"/>
        </w:rPr>
        <w:t>June 30, 2018</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12" w:lineRule="exact"/>
        <w:rPr>
          <w:sz w:val="24"/>
          <w:szCs w:val="24"/>
          <w:color w:val="auto"/>
        </w:rPr>
      </w:pPr>
    </w:p>
    <w:p>
      <w:pPr>
        <w:ind w:left="3760"/>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96" w:right="239" w:bottom="1440" w:gutter="0" w:footer="0" w:header="0"/>
        </w:sectPr>
      </w:pPr>
    </w:p>
    <w:p>
      <w:pPr>
        <w:spacing w:after="0" w:line="367"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90" w:lineRule="exact"/>
        <w:rPr>
          <w:sz w:val="24"/>
          <w:szCs w:val="24"/>
          <w:color w:val="auto"/>
        </w:rPr>
      </w:pPr>
    </w:p>
    <w:p>
      <w:pPr>
        <w:sectPr>
          <w:pgSz w:w="11900" w:h="16838" w:orient="portrait"/>
          <w:cols w:equalWidth="0" w:num="2">
            <w:col w:w="6740" w:space="720"/>
            <w:col w:w="3960"/>
          </w:cols>
          <w:pgMar w:left="240" w:top="496"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496" w:right="239" w:bottom="1440" w:gutter="0" w:footer="0" w:header="0"/>
          <w:type w:val="continuous"/>
        </w:sectPr>
      </w:pPr>
    </w:p>
    <w:p>
      <w:pPr>
        <w:spacing w:after="0" w:line="168" w:lineRule="exact"/>
        <w:rPr>
          <w:sz w:val="24"/>
          <w:szCs w:val="24"/>
          <w:color w:val="auto"/>
        </w:rPr>
      </w:pPr>
    </w:p>
    <w:p>
      <w:pPr>
        <w:ind w:left="290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496" w:right="239" w:bottom="1440" w:gutter="0" w:footer="0" w:header="0"/>
          <w:type w:val="continuous"/>
        </w:sectPr>
      </w:pPr>
    </w:p>
    <w:p>
      <w:pPr>
        <w:spacing w:after="0" w:line="86" w:lineRule="exact"/>
        <w:rPr>
          <w:sz w:val="24"/>
          <w:szCs w:val="24"/>
          <w:color w:val="auto"/>
        </w:rPr>
      </w:pPr>
    </w:p>
    <w:p>
      <w:pPr>
        <w:jc w:val="center"/>
        <w:ind w:left="7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90" w:lineRule="exact"/>
        <w:rPr>
          <w:sz w:val="24"/>
          <w:szCs w:val="24"/>
          <w:color w:val="auto"/>
        </w:rPr>
      </w:pPr>
    </w:p>
    <w:p>
      <w:pPr>
        <w:sectPr>
          <w:pgSz w:w="11900" w:h="16838" w:orient="portrait"/>
          <w:cols w:equalWidth="0" w:num="2">
            <w:col w:w="6740" w:space="720"/>
            <w:col w:w="3960"/>
          </w:cols>
          <w:pgMar w:left="240" w:top="496" w:right="2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40" w:space="720"/>
            <w:col w:w="3960"/>
          </w:cols>
          <w:pgMar w:left="240" w:top="496"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2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1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880" w:type="dxa"/>
            <w:vAlign w:val="bottom"/>
          </w:tcPr>
          <w:p>
            <w:pPr>
              <w:jc w:val="center"/>
              <w:ind w:right="2570"/>
              <w:spacing w:after="0"/>
              <w:rPr>
                <w:sz w:val="20"/>
                <w:szCs w:val="20"/>
                <w:color w:val="auto"/>
              </w:rPr>
            </w:pPr>
            <w:r>
              <w:rPr>
                <w:rFonts w:ascii="Arial" w:cs="Arial" w:eastAsia="Arial" w:hAnsi="Arial"/>
                <w:sz w:val="18"/>
                <w:szCs w:val="18"/>
                <w:color w:val="auto"/>
              </w:rPr>
              <w:t>x</w:t>
            </w:r>
          </w:p>
        </w:tc>
        <w:tc>
          <w:tcPr>
            <w:tcW w:w="3220" w:type="dxa"/>
            <w:vAlign w:val="bottom"/>
          </w:tcPr>
          <w:p>
            <w:pPr>
              <w:ind w:left="1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tcPr>
          <w:p>
            <w:pPr>
              <w:spacing w:after="0"/>
              <w:rPr>
                <w:sz w:val="23"/>
                <w:szCs w:val="23"/>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880" w:type="dxa"/>
            <w:vAlign w:val="bottom"/>
          </w:tcPr>
          <w:p>
            <w:pPr>
              <w:jc w:val="center"/>
              <w:ind w:right="2590"/>
              <w:spacing w:after="0" w:line="181" w:lineRule="exact"/>
              <w:rPr>
                <w:sz w:val="20"/>
                <w:szCs w:val="20"/>
                <w:color w:val="auto"/>
              </w:rPr>
            </w:pPr>
            <w:r>
              <w:rPr>
                <w:rFonts w:ascii="MS PGothic" w:cs="MS PGothic" w:eastAsia="MS PGothic" w:hAnsi="MS PGothic"/>
                <w:sz w:val="18"/>
                <w:szCs w:val="18"/>
                <w:color w:val="auto"/>
                <w:w w:val="88"/>
              </w:rPr>
              <w:t>☐</w:t>
            </w:r>
          </w:p>
        </w:tc>
        <w:tc>
          <w:tcPr>
            <w:tcW w:w="3220" w:type="dxa"/>
            <w:vAlign w:val="bottom"/>
          </w:tcPr>
          <w:p>
            <w:pPr>
              <w:ind w:left="1180"/>
              <w:spacing w:after="0"/>
              <w:rPr>
                <w:sz w:val="20"/>
                <w:szCs w:val="20"/>
                <w:color w:val="auto"/>
              </w:rPr>
            </w:pPr>
            <w:r>
              <w:rPr>
                <w:rFonts w:ascii="Arial" w:cs="Arial" w:eastAsia="Arial" w:hAnsi="Arial"/>
                <w:sz w:val="18"/>
                <w:szCs w:val="18"/>
                <w:color w:val="auto"/>
                <w:w w:val="93"/>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52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220" w:type="dxa"/>
            <w:vAlign w:val="bottom"/>
          </w:tcPr>
          <w:p>
            <w:pPr>
              <w:ind w:left="1180"/>
              <w:spacing w:after="0"/>
              <w:rPr>
                <w:sz w:val="20"/>
                <w:szCs w:val="20"/>
                <w:color w:val="auto"/>
              </w:rPr>
            </w:pPr>
            <w:r>
              <w:rPr>
                <w:rFonts w:ascii="Arial" w:cs="Arial" w:eastAsia="Arial" w:hAnsi="Arial"/>
                <w:sz w:val="18"/>
                <w:szCs w:val="18"/>
                <w:color w:val="auto"/>
                <w:w w:val="94"/>
              </w:rPr>
              <w:t>Emerging growth company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70"/>
        </w:trPr>
        <w:tc>
          <w:tcPr>
            <w:tcW w:w="846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at August 1, 2018</w:t>
            </w:r>
          </w:p>
        </w:tc>
      </w:tr>
      <w:tr>
        <w:trPr>
          <w:trHeight w:val="27"/>
        </w:trPr>
        <w:tc>
          <w:tcPr>
            <w:tcW w:w="5380" w:type="dxa"/>
            <w:vAlign w:val="bottom"/>
            <w:tcBorders>
              <w:bottom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Common Stock, $.01 par value</w:t>
            </w: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64,894,602</w:t>
            </w:r>
          </w:p>
        </w:tc>
      </w:tr>
    </w:tbl>
    <w:p>
      <w:pPr>
        <w:sectPr>
          <w:pgSz w:w="11900" w:h="16838" w:orient="portrait"/>
          <w:cols w:equalWidth="0" w:num="1">
            <w:col w:w="11420"/>
          </w:cols>
          <w:pgMar w:left="240" w:top="49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234"/>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200" w:type="dxa"/>
            <w:vAlign w:val="bottom"/>
            <w:gridSpan w:val="3"/>
            <w:shd w:val="clear" w:color="auto" w:fill="CCEEFF"/>
          </w:tcPr>
          <w:p>
            <w:pPr>
              <w:ind w:left="40"/>
              <w:spacing w:after="0" w:line="19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200" w:type="dxa"/>
            <w:vAlign w:val="bottom"/>
            <w:gridSpan w:val="2"/>
            <w:shd w:val="clear" w:color="auto" w:fill="CCEEFF"/>
          </w:tcPr>
          <w:p>
            <w:pPr>
              <w:spacing w:after="0" w:line="19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auto"/>
            </w:tcBorders>
            <w:shd w:val="clear" w:color="auto" w:fill="CCEEFF"/>
          </w:tcPr>
          <w:p>
            <w:pPr>
              <w:spacing w:after="0"/>
              <w:rPr>
                <w:sz w:val="4"/>
                <w:szCs w:val="4"/>
                <w:color w:val="auto"/>
              </w:rPr>
            </w:pPr>
          </w:p>
        </w:tc>
        <w:tc>
          <w:tcPr>
            <w:tcW w:w="58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20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
              <w:r>
                <w:rPr>
                  <w:rFonts w:ascii="Arial" w:cs="Arial" w:eastAsia="Arial" w:hAnsi="Arial"/>
                  <w:sz w:val="18"/>
                  <w:szCs w:val="18"/>
                  <w:color w:val="auto"/>
                </w:rPr>
                <w:t>Consolidated Balance Sheets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3-4</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Operations</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Comprehensive Income</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0" w:type="dxa"/>
            <w:vAlign w:val="bottom"/>
            <w:gridSpan w:val="2"/>
          </w:tcPr>
          <w:p>
            <w:pPr>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Cash Flows</w:t>
              </w:r>
            </w:hyperlink>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7">
              <w:r>
                <w:rPr>
                  <w:rFonts w:ascii="Arial" w:cs="Arial" w:eastAsia="Arial" w:hAnsi="Arial"/>
                  <w:sz w:val="18"/>
                  <w:szCs w:val="18"/>
                  <w:color w:val="auto"/>
                </w:rPr>
                <w:t>Notes to Consolidated Financial Statements</w:t>
              </w:r>
            </w:hyperlink>
          </w:p>
        </w:tc>
        <w:tc>
          <w:tcPr>
            <w:tcW w:w="102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r>
              <w:rPr>
                <w:rFonts w:ascii="Arial" w:cs="Arial" w:eastAsia="Arial" w:hAnsi="Arial"/>
                <w:sz w:val="18"/>
                <w:szCs w:val="18"/>
                <w:color w:val="auto"/>
              </w:rPr>
              <w:t>19</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19">
              <w:r>
                <w:rPr>
                  <w:rFonts w:ascii="Arial" w:cs="Arial" w:eastAsia="Arial" w:hAnsi="Arial"/>
                  <w:sz w:val="18"/>
                  <w:szCs w:val="18"/>
                  <w:color w:val="auto"/>
                </w:rPr>
                <w:t>Item 2</w:t>
              </w:r>
            </w:hyperlink>
          </w:p>
        </w:tc>
        <w:tc>
          <w:tcPr>
            <w:tcW w:w="8200" w:type="dxa"/>
            <w:vAlign w:val="bottom"/>
            <w:gridSpan w:val="2"/>
          </w:tcPr>
          <w:p>
            <w:pPr>
              <w:spacing w:after="0"/>
              <w:rPr>
                <w:rFonts w:ascii="Arial" w:cs="Arial" w:eastAsia="Arial" w:hAnsi="Arial"/>
                <w:sz w:val="18"/>
                <w:szCs w:val="18"/>
                <w:color w:val="auto"/>
              </w:rPr>
            </w:pPr>
            <w:hyperlink w:anchor="page19">
              <w:r>
                <w:rPr>
                  <w:rFonts w:ascii="Arial" w:cs="Arial" w:eastAsia="Arial" w:hAnsi="Arial"/>
                  <w:sz w:val="18"/>
                  <w:szCs w:val="18"/>
                  <w:color w:val="auto"/>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rFonts w:ascii="Arial" w:cs="Arial" w:eastAsia="Arial" w:hAnsi="Arial"/>
                <w:sz w:val="18"/>
                <w:szCs w:val="18"/>
                <w:color w:val="auto"/>
              </w:rPr>
            </w:pPr>
            <w:hyperlink w:anchor="page31">
              <w:r>
                <w:rPr>
                  <w:rFonts w:ascii="Arial" w:cs="Arial" w:eastAsia="Arial" w:hAnsi="Arial"/>
                  <w:sz w:val="18"/>
                  <w:szCs w:val="18"/>
                  <w:color w:val="auto"/>
                </w:rPr>
                <w:t>Item 3</w:t>
              </w:r>
            </w:hyperlink>
          </w:p>
        </w:tc>
        <w:tc>
          <w:tcPr>
            <w:tcW w:w="8200" w:type="dxa"/>
            <w:vAlign w:val="bottom"/>
            <w:tcBorders>
              <w:bottom w:val="single" w:sz="8" w:color="CCEEFF"/>
            </w:tcBorders>
            <w:gridSpan w:val="2"/>
            <w:shd w:val="clear" w:color="auto" w:fill="CCEEFF"/>
          </w:tcPr>
          <w:p>
            <w:pPr>
              <w:spacing w:after="0"/>
              <w:rPr>
                <w:rFonts w:ascii="Arial" w:cs="Arial" w:eastAsia="Arial" w:hAnsi="Arial"/>
                <w:sz w:val="18"/>
                <w:szCs w:val="18"/>
                <w:color w:val="auto"/>
              </w:rPr>
            </w:pPr>
            <w:hyperlink w:anchor="page31">
              <w:r>
                <w:rPr>
                  <w:rFonts w:ascii="Arial" w:cs="Arial" w:eastAsia="Arial" w:hAnsi="Arial"/>
                  <w:sz w:val="18"/>
                  <w:szCs w:val="18"/>
                  <w:color w:val="auto"/>
                </w:rPr>
                <w:t>Quantitative and Qualitative Disclosures About Market Risk</w:t>
              </w:r>
            </w:hyperlink>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2200" w:type="dxa"/>
            <w:vAlign w:val="bottom"/>
            <w:gridSpan w:val="3"/>
          </w:tcPr>
          <w:p>
            <w:pPr>
              <w:ind w:left="40"/>
              <w:spacing w:after="0"/>
              <w:rPr>
                <w:rFonts w:ascii="Arial" w:cs="Arial" w:eastAsia="Arial" w:hAnsi="Arial"/>
                <w:sz w:val="18"/>
                <w:szCs w:val="18"/>
                <w:color w:val="auto"/>
              </w:rPr>
            </w:pPr>
            <w:hyperlink w:anchor="page31">
              <w:r>
                <w:rPr>
                  <w:rFonts w:ascii="Arial" w:cs="Arial" w:eastAsia="Arial" w:hAnsi="Arial"/>
                  <w:sz w:val="18"/>
                  <w:szCs w:val="18"/>
                  <w:color w:val="auto"/>
                </w:rPr>
                <w:t>Item 4</w:t>
              </w:r>
            </w:hyperlink>
          </w:p>
        </w:tc>
        <w:tc>
          <w:tcPr>
            <w:tcW w:w="8200" w:type="dxa"/>
            <w:vAlign w:val="bottom"/>
            <w:gridSpan w:val="2"/>
          </w:tcPr>
          <w:p>
            <w:pPr>
              <w:spacing w:after="0"/>
              <w:rPr>
                <w:rFonts w:ascii="Arial" w:cs="Arial" w:eastAsia="Arial" w:hAnsi="Arial"/>
                <w:sz w:val="18"/>
                <w:szCs w:val="18"/>
                <w:color w:val="auto"/>
              </w:rPr>
            </w:pPr>
            <w:hyperlink w:anchor="page31">
              <w:r>
                <w:rPr>
                  <w:rFonts w:ascii="Arial" w:cs="Arial" w:eastAsia="Arial" w:hAnsi="Arial"/>
                  <w:sz w:val="18"/>
                  <w:szCs w:val="18"/>
                  <w:color w:val="auto"/>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ind w:left="4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PART II</w:t>
              </w:r>
            </w:hyperlink>
          </w:p>
        </w:tc>
        <w:tc>
          <w:tcPr>
            <w:tcW w:w="7180" w:type="dxa"/>
            <w:vAlign w:val="bottom"/>
          </w:tcPr>
          <w:p>
            <w:pPr>
              <w:ind w:left="50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OTHER INFORMATION</w:t>
              </w:r>
            </w:hyperlink>
          </w:p>
        </w:tc>
        <w:tc>
          <w:tcPr>
            <w:tcW w:w="25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2">
              <w:r>
                <w:rPr>
                  <w:rFonts w:ascii="Arial" w:cs="Arial" w:eastAsia="Arial" w:hAnsi="Arial"/>
                  <w:sz w:val="18"/>
                  <w:szCs w:val="18"/>
                  <w:color w:val="auto"/>
                </w:rPr>
                <w:t>Item 2</w:t>
              </w:r>
            </w:hyperlink>
          </w:p>
        </w:tc>
        <w:tc>
          <w:tcPr>
            <w:tcW w:w="7180" w:type="dxa"/>
            <w:vAlign w:val="bottom"/>
            <w:tcBorders>
              <w:bottom w:val="single" w:sz="8" w:color="CCEEFF"/>
            </w:tcBorders>
            <w:shd w:val="clear" w:color="auto" w:fill="CCEEFF"/>
          </w:tcPr>
          <w:p>
            <w:pPr>
              <w:ind w:left="500"/>
              <w:spacing w:after="0"/>
              <w:rPr>
                <w:rFonts w:ascii="Arial" w:cs="Arial" w:eastAsia="Arial" w:hAnsi="Arial"/>
                <w:sz w:val="18"/>
                <w:szCs w:val="18"/>
                <w:color w:val="auto"/>
              </w:rPr>
            </w:pPr>
            <w:hyperlink w:anchor="page32">
              <w:r>
                <w:rPr>
                  <w:rFonts w:ascii="Arial" w:cs="Arial" w:eastAsia="Arial" w:hAnsi="Arial"/>
                  <w:sz w:val="18"/>
                  <w:szCs w:val="18"/>
                  <w:color w:val="auto"/>
                </w:rPr>
                <w:t>Unregistered Sales of Equity Securities and Use of Proceeds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1700" w:type="dxa"/>
            <w:vAlign w:val="bottom"/>
          </w:tcPr>
          <w:p>
            <w:pPr>
              <w:ind w:left="40"/>
              <w:spacing w:after="0"/>
              <w:rPr>
                <w:rFonts w:ascii="Arial" w:cs="Arial" w:eastAsia="Arial" w:hAnsi="Arial"/>
                <w:sz w:val="18"/>
                <w:szCs w:val="18"/>
                <w:color w:val="auto"/>
              </w:rPr>
            </w:pPr>
            <w:hyperlink w:anchor="page32">
              <w:r>
                <w:rPr>
                  <w:rFonts w:ascii="Arial" w:cs="Arial" w:eastAsia="Arial" w:hAnsi="Arial"/>
                  <w:sz w:val="18"/>
                  <w:szCs w:val="18"/>
                  <w:color w:val="auto"/>
                </w:rPr>
                <w:t>Item 5</w:t>
              </w:r>
            </w:hyperlink>
          </w:p>
        </w:tc>
        <w:tc>
          <w:tcPr>
            <w:tcW w:w="7180" w:type="dxa"/>
            <w:vAlign w:val="bottom"/>
          </w:tcPr>
          <w:p>
            <w:pPr>
              <w:ind w:left="500"/>
              <w:spacing w:after="0"/>
              <w:rPr>
                <w:rFonts w:ascii="Arial" w:cs="Arial" w:eastAsia="Arial" w:hAnsi="Arial"/>
                <w:sz w:val="18"/>
                <w:szCs w:val="18"/>
                <w:color w:val="auto"/>
              </w:rPr>
            </w:pPr>
            <w:hyperlink w:anchor="page32">
              <w:r>
                <w:rPr>
                  <w:rFonts w:ascii="Arial" w:cs="Arial" w:eastAsia="Arial" w:hAnsi="Arial"/>
                  <w:sz w:val="18"/>
                  <w:szCs w:val="18"/>
                  <w:color w:val="auto"/>
                </w:rPr>
                <w:t>Other Information</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170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40"/>
              <w:spacing w:after="0"/>
              <w:rPr>
                <w:rFonts w:ascii="Arial" w:cs="Arial" w:eastAsia="Arial" w:hAnsi="Arial"/>
                <w:sz w:val="18"/>
                <w:szCs w:val="18"/>
                <w:color w:val="auto"/>
              </w:rPr>
            </w:pPr>
            <w:hyperlink w:anchor="page33">
              <w:r>
                <w:rPr>
                  <w:rFonts w:ascii="Arial" w:cs="Arial" w:eastAsia="Arial" w:hAnsi="Arial"/>
                  <w:sz w:val="18"/>
                  <w:szCs w:val="18"/>
                  <w:color w:val="auto"/>
                </w:rPr>
                <w:t>Item 6</w:t>
              </w:r>
            </w:hyperlink>
          </w:p>
        </w:tc>
        <w:tc>
          <w:tcPr>
            <w:tcW w:w="7180" w:type="dxa"/>
            <w:vAlign w:val="bottom"/>
            <w:tcBorders>
              <w:bottom w:val="single" w:sz="8" w:color="CCEEFF"/>
            </w:tcBorders>
            <w:shd w:val="clear" w:color="auto" w:fill="CCEEFF"/>
          </w:tcPr>
          <w:p>
            <w:pPr>
              <w:ind w:left="500"/>
              <w:spacing w:after="0"/>
              <w:rPr>
                <w:rFonts w:ascii="Arial" w:cs="Arial" w:eastAsia="Arial" w:hAnsi="Arial"/>
                <w:sz w:val="18"/>
                <w:szCs w:val="18"/>
                <w:color w:val="auto"/>
              </w:rPr>
            </w:pPr>
            <w:hyperlink w:anchor="page33">
              <w:r>
                <w:rPr>
                  <w:rFonts w:ascii="Arial" w:cs="Arial" w:eastAsia="Arial" w:hAnsi="Arial"/>
                  <w:sz w:val="18"/>
                  <w:szCs w:val="18"/>
                  <w:color w:val="auto"/>
                </w:rPr>
                <w:t>Exhibits</w:t>
              </w:r>
            </w:hyperlink>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17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43"/>
        </w:trPr>
        <w:tc>
          <w:tcPr>
            <w:tcW w:w="1700" w:type="dxa"/>
            <w:vAlign w:val="bottom"/>
            <w:shd w:val="clear" w:color="auto" w:fill="CCEEFF"/>
          </w:tcPr>
          <w:p>
            <w:pPr>
              <w:ind w:left="4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SIGNATURES</w:t>
              </w:r>
            </w:hyperlink>
          </w:p>
        </w:tc>
        <w:tc>
          <w:tcPr>
            <w:tcW w:w="718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1700" w:type="dxa"/>
            <w:vAlign w:val="bottom"/>
            <w:shd w:val="clear" w:color="auto" w:fill="CCEEFF"/>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8"/>
        </w:trPr>
        <w:tc>
          <w:tcPr>
            <w:tcW w:w="846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54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689.0</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for doubtful accounts of $112.5 and $110.8,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5,370.5</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6,171.2</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1,343.0</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 less accumulated amortization of $353.5 and $339.9,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927.7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2,554.7</w:t>
            </w:r>
          </w:p>
        </w:tc>
      </w:tr>
      <w:tr>
        <w:trPr>
          <w:trHeight w:val="297"/>
        </w:trPr>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Land, buildings, leasehold improvements and equipment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633.4</w:t>
            </w:r>
          </w:p>
        </w:tc>
      </w:tr>
      <w:tr>
        <w:trPr>
          <w:trHeight w:val="27"/>
        </w:trPr>
        <w:tc>
          <w:tcPr>
            <w:tcW w:w="3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w:t>
            </w:r>
          </w:p>
        </w:tc>
      </w:tr>
      <w:tr>
        <w:trPr>
          <w:trHeight w:val="237"/>
        </w:trPr>
        <w:tc>
          <w:tcPr>
            <w:tcW w:w="8460" w:type="dxa"/>
            <w:vAlign w:val="bottom"/>
            <w:gridSpan w:val="4"/>
          </w:tcPr>
          <w:p>
            <w:pPr>
              <w:ind w:left="6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w:t>
            </w:r>
          </w:p>
        </w:tc>
      </w:tr>
      <w:tr>
        <w:trPr>
          <w:trHeight w:val="27"/>
        </w:trPr>
        <w:tc>
          <w:tcPr>
            <w:tcW w:w="30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gridSpan w:val="4"/>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8,812.8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8,883.6</w:t>
            </w:r>
          </w:p>
        </w:tc>
      </w:tr>
      <w:tr>
        <w:trPr>
          <w:trHeight w:val="20"/>
        </w:trPr>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7"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28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280" w:type="dxa"/>
            <w:vAlign w:val="bottom"/>
          </w:tcPr>
          <w:p>
            <w:pPr>
              <w:jc w:val="center"/>
              <w:ind w:left="297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2,303.3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2,279.4</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230.6</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451.2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490.9</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taxes and insurance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794.7</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545.4</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469.4</w:t>
            </w:r>
          </w:p>
        </w:tc>
      </w:tr>
      <w:tr>
        <w:trPr>
          <w:trHeight w:val="237"/>
        </w:trPr>
        <w:tc>
          <w:tcPr>
            <w:tcW w:w="82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4,235.0</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4,810.4</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685.1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737.5</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1,215.6</w:t>
            </w:r>
          </w:p>
        </w:tc>
      </w:tr>
      <w:tr>
        <w:trPr>
          <w:trHeight w:val="297"/>
        </w:trPr>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ManpowerGroup shareholders'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160"/>
              <w:spacing w:after="0"/>
              <w:rPr>
                <w:sz w:val="20"/>
                <w:szCs w:val="20"/>
                <w:color w:val="auto"/>
              </w:rPr>
            </w:pPr>
            <w:r>
              <w:rPr>
                <w:rFonts w:ascii="Arial" w:cs="Arial" w:eastAsia="Arial" w:hAnsi="Arial"/>
                <w:sz w:val="18"/>
                <w:szCs w:val="18"/>
                <w:color w:val="auto"/>
              </w:rPr>
              <w:t>Common stock, $.01 par value, authorized 125,000,000 shares, issued 116,778,224 and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116,303,729 shares, respectively</w:t>
            </w: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3,320.1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3,302.6</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2,902.7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2,713.0</w:t>
            </w:r>
          </w:p>
        </w:tc>
      </w:tr>
      <w:tr>
        <w:trPr>
          <w:trHeight w:val="27"/>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43"/>
        </w:trPr>
        <w:tc>
          <w:tcPr>
            <w:tcW w:w="8280" w:type="dxa"/>
            <w:vAlign w:val="bottom"/>
          </w:tcPr>
          <w:p>
            <w:pPr>
              <w:ind w:left="160"/>
              <w:spacing w:after="0"/>
              <w:rPr>
                <w:sz w:val="20"/>
                <w:szCs w:val="20"/>
                <w:color w:val="auto"/>
              </w:rPr>
            </w:pPr>
            <w:r>
              <w:rPr>
                <w:rFonts w:ascii="Arial" w:cs="Arial" w:eastAsia="Arial" w:hAnsi="Arial"/>
                <w:sz w:val="18"/>
                <w:szCs w:val="18"/>
                <w:color w:val="auto"/>
              </w:rPr>
              <w:t>Treasury stock at cost, 51,433,302 and 50,226,525 shares, respectively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(3,084.1)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(2,953.7)</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2,764.0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2,774.9</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82.7</w:t>
            </w:r>
          </w:p>
        </w:tc>
      </w:tr>
      <w:tr>
        <w:trPr>
          <w:trHeight w:val="27"/>
        </w:trPr>
        <w:tc>
          <w:tcPr>
            <w:tcW w:w="8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2,847.5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2,857.6</w:t>
            </w:r>
          </w:p>
        </w:tc>
      </w:tr>
      <w:tr>
        <w:trPr>
          <w:trHeight w:val="257"/>
        </w:trPr>
        <w:tc>
          <w:tcPr>
            <w:tcW w:w="8280" w:type="dxa"/>
            <w:vAlign w:val="bottom"/>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8,812.8</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8,883.6</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ind w:left="380"/>
              <w:spacing w:after="0"/>
              <w:rPr>
                <w:sz w:val="20"/>
                <w:szCs w:val="20"/>
                <w:color w:val="auto"/>
              </w:rPr>
            </w:pPr>
            <w:r>
              <w:rPr>
                <w:rFonts w:ascii="Arial" w:cs="Arial" w:eastAsia="Arial" w:hAnsi="Arial"/>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6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9,932.0</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9,371.2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8,282.5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1,649.5</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1,326.4</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323.1</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Interest and other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296.3</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per share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per share –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w:t>
            </w:r>
          </w:p>
        </w:tc>
      </w:tr>
      <w:tr>
        <w:trPr>
          <w:trHeight w:val="251"/>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20"/>
                <w:szCs w:val="20"/>
                <w:color w:val="auto"/>
              </w:rPr>
            </w:pPr>
          </w:p>
        </w:tc>
        <w:tc>
          <w:tcPr>
            <w:tcW w:w="21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6 Months Ended</w:t>
            </w:r>
          </w:p>
        </w:tc>
      </w:tr>
      <w:tr>
        <w:trPr>
          <w:trHeight w:val="270"/>
        </w:trPr>
        <w:tc>
          <w:tcPr>
            <w:tcW w:w="6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w w:val="93"/>
              </w:rPr>
              <w:t>Translation adjustments on net investment hedge, net of income taxes of $10.6,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$(18.4), $5.8 and $(21.7), respectively</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Translation adjustments of long-term intercompany loans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rPr>
              <w:t>Unrealized gain on investments, net of income taxes of $0.1 and $0.6,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respectively, for 2017</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5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Reclassification of unrealized cumulative gain on investments, net of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6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7"/>
              </w:rPr>
              <w:t>taxes of $(3.4), included in retained earnings as of January 1, 2018 upon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3"/>
              </w:rPr>
              <w:t>adoption of new accounting guidance on financial instruments (See Note 12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65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to the Consolidated Financial Statements)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ind w:left="560"/>
              <w:spacing w:after="0"/>
              <w:rPr>
                <w:sz w:val="20"/>
                <w:szCs w:val="20"/>
                <w:color w:val="auto"/>
              </w:rPr>
            </w:pPr>
            <w:r>
              <w:rPr>
                <w:rFonts w:ascii="Arial" w:cs="Arial" w:eastAsia="Arial" w:hAnsi="Arial"/>
                <w:sz w:val="18"/>
                <w:szCs w:val="18"/>
                <w:color w:val="auto"/>
                <w:w w:val="91"/>
              </w:rPr>
              <w:t>Defined benefit pension plans and retiree health care plan, net of income taxes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500" w:type="dxa"/>
            <w:vAlign w:val="bottom"/>
          </w:tcPr>
          <w:p>
            <w:pPr>
              <w:ind w:left="840"/>
              <w:spacing w:after="0"/>
              <w:rPr>
                <w:sz w:val="20"/>
                <w:szCs w:val="20"/>
                <w:color w:val="auto"/>
              </w:rPr>
            </w:pPr>
            <w:r>
              <w:rPr>
                <w:rFonts w:ascii="Arial" w:cs="Arial" w:eastAsia="Arial" w:hAnsi="Arial"/>
                <w:sz w:val="18"/>
                <w:szCs w:val="18"/>
                <w:color w:val="auto"/>
              </w:rPr>
              <w:t>$(0.1), $0.2, $0.1 and $0.2,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292.8</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96"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70"/>
        </w:trPr>
        <w:tc>
          <w:tcPr>
            <w:tcW w:w="9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9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92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924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Proceeds from the sale of investments, property and equipment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91"/>
        </w:trPr>
        <w:tc>
          <w:tcPr>
            <w:tcW w:w="9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Payments of contingent consideration for acquisitions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share-based awards and other equity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Payments to noncontrolling interests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share-based award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7"/>
        </w:trPr>
        <w:tc>
          <w:tcPr>
            <w:tcW w:w="9240" w:type="dxa"/>
            <w:vAlign w:val="bottom"/>
          </w:tcPr>
          <w:p>
            <w:pPr>
              <w:ind w:left="68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598.5</w:t>
            </w:r>
          </w:p>
        </w:tc>
        <w:tc>
          <w:tcPr>
            <w:tcW w:w="0" w:type="dxa"/>
            <w:vAlign w:val="bottom"/>
          </w:tcPr>
          <w:p>
            <w:pPr>
              <w:spacing w:after="0"/>
              <w:rPr>
                <w:sz w:val="1"/>
                <w:szCs w:val="1"/>
                <w:color w:val="auto"/>
              </w:rPr>
            </w:pPr>
          </w:p>
        </w:tc>
      </w:tr>
      <w:tr>
        <w:trPr>
          <w:trHeight w:val="27"/>
        </w:trPr>
        <w:tc>
          <w:tcPr>
            <w:tcW w:w="9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9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51"/>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96"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2017 Annual Report on Form 10-K.</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April 2018, we sold substantially all of our French payroll tax credits earned in 2017 for net proceeds of $234.5 (€190.9). In March 2017, we sold a portion of our French payroll tax credits earned in 2016 for net proceeds of $143.5 (€133.0). We derecognized these receivables upon the sale date as the terms of the agreement are such that the transaction qualifies for sale treatment according to the accounting guidance on the transfer and servicing of assets. The discount on the sale of these receivables was recorded in cost of services as a reduction of the payroll tax credits.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evaluated events and transactions occurring after the balance sheet date through our filing date and have accrued or disclosed, if appropriate.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282A32"/>
        </w:rPr>
        <w:t>(2) Recently Issued Accounting Standards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82A32"/>
        </w:rPr>
        <w:t>In February 2016, the Financial Accounting Standards Board ("FASB") issued new accounting guidance on leases. The new guidance requires that a lessee recognize assets and liabilities on the balance sheet for leases with lease terms longer than 12 months. The recognition, measurement and presentation of lease expenses and cash flows by a lessee will depend on its classification as a finance or operating lease. The guidance also includes new disclosure requirements providing information on the amounts recorded in the financial statements. The guidance can be adopted using the modified retrospective approach applying to the earliest comparative period presented, or by recognizing a cumulative-effect adjustment to retained earnings in the period of adoption without restating prior periods. We have not decided on an adoption approach. The new guidance is effective for us in 2019. Based on a preliminary assessment, we expect the adoption of this guidance to have a material impact on our assets and liabilities due to the recognition of right-of-use assets and lease liabilities on our Consolidated Balance Sheets. However, we do not believe the adoption will have a material impact on our Consolidated Statements of Operations, but we are still assessing the impact. We have completed a preliminary qualitative assessment of our lease portfolio and are in the process of implementing a new lease software system, collecting lease data and designing processes and controls to account for our leases in accordance with the new guidance.</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82A32"/>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The guidance is effective for us in 2019. We are currently assessing the impact of the adoption of this guidance on our Consolidated Financial Statements.</w:t>
      </w:r>
    </w:p>
    <w:p>
      <w:pPr>
        <w:spacing w:after="0" w:line="1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282A32"/>
        </w:rPr>
        <w:t>In February 2018, the FASB issued new guidance on reporting comprehensive income. The new guidance allows a reclassification from accumulated other comprehensive income to retained earnings for stranded tax effects resulting from the United States Tax Cuts and Jobs Act of 2017 (the "Tax Act"). The guidance is effective for us in 2019. We are currently assessing the impact of the adoption of this guidance on our Consolidated Financial Statements.</w:t>
      </w:r>
    </w:p>
    <w:p>
      <w:pPr>
        <w:spacing w:after="0" w:line="14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282A32"/>
        </w:rPr>
        <w:t>In June 2018, the FASB issued new guidance on the accounting for share-based payment awards. The guidance will make the accounting for share-based payment awards issued to nonemployees largely consistent with the accounting for share-based payment awards issued to employees. The guidance is effective for us in 2019. We do not expect the adoption of this guidance to have a material impact on our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82A32"/>
        </w:rPr>
        <w:t>Adoption of New Accounting Guidance on Revenue Recognition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As of January 1, 2018, we adopted the new accounting guidance on revenue recognition using the modified retrospective approach applied to those contracts that were not completed as of January 1, 2018. Results for reporting periods beginning after January 1, 2018 are presented under the new guidance, while prior periods continue to be reported in accordance with previous accounting guidance. We determined that no cumulative effect adjustment to retained earnings was necessary upon adoption as there were no significant revenue recognition differences identified between the new and previous accounting guidance.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recognize revenues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14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service to the client, and it is the unit of account in the new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16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vs. Agent</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 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7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As allowed under the new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June 30, 2018 related to remaining performance obligations, which are not material.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Revenue Service Types</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is a description of our revenue service types, including Staffing and Interim, Outcome-Based Solutions and Consulting, Permanent Recruitment and Other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Staffing and Interim</w:t>
      </w:r>
    </w:p>
    <w:p>
      <w:pPr>
        <w:spacing w:after="0" w:line="225"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Outcome-Based Solutions and Consulting</w:t>
      </w:r>
    </w:p>
    <w:p>
      <w:pPr>
        <w:spacing w:after="0" w:line="225" w:lineRule="exact"/>
        <w:rPr>
          <w:sz w:val="20"/>
          <w:szCs w:val="20"/>
          <w:color w:val="auto"/>
        </w:rPr>
      </w:pPr>
    </w:p>
    <w:p>
      <w:pPr>
        <w:ind w:left="660" w:right="120"/>
        <w:spacing w:after="0" w:line="271" w:lineRule="auto"/>
        <w:rPr>
          <w:sz w:val="20"/>
          <w:szCs w:val="20"/>
          <w:color w:val="auto"/>
        </w:rPr>
      </w:pPr>
      <w:r>
        <w:rPr>
          <w:rFonts w:ascii="Arial" w:cs="Arial" w:eastAsia="Arial" w:hAnsi="Arial"/>
          <w:sz w:val="17"/>
          <w:szCs w:val="17"/>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which depicts the price as if sold to a similar client in similar circumstances.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Permanent Recruitment</w:t>
      </w:r>
    </w:p>
    <w:p>
      <w:pPr>
        <w:spacing w:after="0" w:line="225" w:lineRule="exact"/>
        <w:rPr>
          <w:sz w:val="20"/>
          <w:szCs w:val="20"/>
          <w:color w:val="auto"/>
        </w:rPr>
      </w:pPr>
    </w:p>
    <w:p>
      <w:pPr>
        <w:ind w:left="660" w:right="140"/>
        <w:spacing w:after="0" w:line="276" w:lineRule="auto"/>
        <w:rPr>
          <w:sz w:val="20"/>
          <w:szCs w:val="20"/>
          <w:color w:val="auto"/>
        </w:rPr>
      </w:pPr>
      <w:r>
        <w:rPr>
          <w:rFonts w:ascii="Arial" w:cs="Arial" w:eastAsia="Arial" w:hAnsi="Arial"/>
          <w:sz w:val="17"/>
          <w:szCs w:val="17"/>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73"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w:t>
      </w:r>
    </w:p>
    <w:p>
      <w:pPr>
        <w:spacing w:after="0" w:line="192"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services include revenues from outplacement services, MSP services, training services and franchise fees.</w:t>
      </w:r>
    </w:p>
    <w:p>
      <w:pPr>
        <w:spacing w:after="0" w:line="225" w:lineRule="exact"/>
        <w:rPr>
          <w:sz w:val="20"/>
          <w:szCs w:val="20"/>
          <w:color w:val="auto"/>
        </w:rPr>
      </w:pPr>
    </w:p>
    <w:p>
      <w:pPr>
        <w:ind w:left="1300" w:hanging="320"/>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Outplacement services include assisting our clients in managing their workforce transitions and their employees in managing career changes by developing additional skills and finding new employment. We recognize revenues over time as we provide the service (i.e. - transfer control of the performance obligation) using the input measure of hours of service to measure progress toward completion of the performance obligation.</w:t>
      </w:r>
    </w:p>
    <w:p>
      <w:pPr>
        <w:spacing w:after="0" w:line="186" w:lineRule="exact"/>
        <w:rPr>
          <w:rFonts w:ascii="Arial" w:cs="Arial" w:eastAsia="Arial" w:hAnsi="Arial"/>
          <w:sz w:val="18"/>
          <w:szCs w:val="18"/>
          <w:color w:val="auto"/>
        </w:rPr>
      </w:pPr>
    </w:p>
    <w:p>
      <w:pPr>
        <w:ind w:left="1300" w:right="32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ind w:left="1300" w:right="200"/>
        <w:spacing w:after="0" w:line="311" w:lineRule="auto"/>
        <w:rPr>
          <w:sz w:val="20"/>
          <w:szCs w:val="20"/>
          <w:color w:val="auto"/>
        </w:rPr>
      </w:pPr>
      <w:r>
        <w:rPr>
          <w:rFonts w:ascii="Arial" w:cs="Arial" w:eastAsia="Arial" w:hAnsi="Arial"/>
          <w:sz w:val="18"/>
          <w:szCs w:val="18"/>
          <w:color w:val="auto"/>
        </w:rPr>
        <w:t>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it.</w:t>
      </w:r>
    </w:p>
    <w:p>
      <w:pPr>
        <w:spacing w:after="0" w:line="154" w:lineRule="exact"/>
        <w:rPr>
          <w:sz w:val="20"/>
          <w:szCs w:val="20"/>
          <w:color w:val="auto"/>
        </w:rPr>
      </w:pPr>
    </w:p>
    <w:p>
      <w:pPr>
        <w:ind w:left="1300" w:right="26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spacing w:after="0" w:line="181" w:lineRule="exact"/>
        <w:rPr>
          <w:rFonts w:ascii="Arial" w:cs="Arial" w:eastAsia="Arial" w:hAnsi="Arial"/>
          <w:sz w:val="18"/>
          <w:szCs w:val="18"/>
          <w:color w:val="auto"/>
        </w:rPr>
      </w:pPr>
    </w:p>
    <w:p>
      <w:pPr>
        <w:ind w:left="1300" w:right="120" w:hanging="320"/>
        <w:spacing w:after="0" w:line="30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following table, revenue is disaggregated by service types and timing of revenue recognition, and includes a reconciliation of the disaggregated revenues by reportable segment.</w:t>
      </w:r>
    </w:p>
    <w:p>
      <w:pPr>
        <w:spacing w:after="0" w:line="32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ind w:left="20"/>
              <w:spacing w:after="0"/>
              <w:rPr>
                <w:sz w:val="20"/>
                <w:szCs w:val="20"/>
                <w:color w:val="auto"/>
              </w:rPr>
            </w:pPr>
            <w:r>
              <w:rPr>
                <w:rFonts w:ascii="Arial" w:cs="Arial" w:eastAsia="Arial" w:hAnsi="Arial"/>
                <w:sz w:val="18"/>
                <w:szCs w:val="18"/>
                <w:b w:val="1"/>
                <w:bCs w:val="1"/>
                <w:color w:val="auto"/>
              </w:rPr>
              <w:t>3 Months Ended June 30, 2018</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Southern</w:t>
            </w:r>
          </w:p>
        </w:tc>
        <w:tc>
          <w:tcPr>
            <w:tcW w:w="1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Service Types</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Europe</w:t>
            </w: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APME</w:t>
            </w: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Right Management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Staffing and Interim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5,019.4</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Outcome-Based Solutions and Consulting</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w:t>
            </w:r>
          </w:p>
        </w:tc>
        <w:tc>
          <w:tcPr>
            <w:tcW w:w="7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379.1</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Recruitment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166.7</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91.7</w:t>
            </w:r>
          </w:p>
        </w:tc>
      </w:tr>
      <w:tr>
        <w:trPr>
          <w:trHeight w:val="27"/>
        </w:trPr>
        <w:tc>
          <w:tcPr>
            <w:tcW w:w="3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5,656.9</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0" w:type="dxa"/>
            <w:vAlign w:val="bottom"/>
            <w:gridSpan w:val="6"/>
          </w:tcPr>
          <w:p>
            <w:pPr>
              <w:jc w:val="right"/>
              <w:ind w:right="1010"/>
              <w:spacing w:after="0"/>
              <w:rPr>
                <w:sz w:val="20"/>
                <w:szCs w:val="20"/>
                <w:color w:val="auto"/>
              </w:rPr>
            </w:pPr>
            <w:r>
              <w:rPr>
                <w:rFonts w:ascii="Arial" w:cs="Arial" w:eastAsia="Arial" w:hAnsi="Arial"/>
                <w:sz w:val="18"/>
                <w:szCs w:val="18"/>
                <w:b w:val="1"/>
                <w:bCs w:val="1"/>
                <w:color w:val="auto"/>
                <w:w w:val="94"/>
              </w:rPr>
              <w:t>3 Months Ended June 30, 2018</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Southern</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Right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APME</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Management</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5,529.8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7"/>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5,656.9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4"/>
          </w:tcPr>
          <w:p>
            <w:pPr>
              <w:ind w:left="20"/>
              <w:spacing w:after="0"/>
              <w:rPr>
                <w:sz w:val="20"/>
                <w:szCs w:val="20"/>
                <w:color w:val="auto"/>
              </w:rPr>
            </w:pPr>
            <w:r>
              <w:rPr>
                <w:rFonts w:ascii="Arial" w:cs="Arial" w:eastAsia="Arial" w:hAnsi="Arial"/>
                <w:sz w:val="18"/>
                <w:szCs w:val="18"/>
                <w:b w:val="1"/>
                <w:bCs w:val="1"/>
                <w:color w:val="auto"/>
              </w:rPr>
              <w:t>6 Months Ended June 30, 2018</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Southern</w:t>
            </w:r>
          </w:p>
        </w:tc>
        <w:tc>
          <w:tcPr>
            <w:tcW w:w="1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Service Types</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Europe</w:t>
            </w: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APME</w:t>
            </w: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Right Management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Staffing and Interim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9,915.5</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Outcome-Based Solutions and Consulting</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292.9</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137.4</w:t>
            </w:r>
          </w:p>
        </w:tc>
        <w:tc>
          <w:tcPr>
            <w:tcW w:w="7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757.6</w:t>
            </w: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Recruitment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7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326.6</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7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179.6</w:t>
            </w:r>
          </w:p>
        </w:tc>
      </w:tr>
      <w:tr>
        <w:trPr>
          <w:trHeight w:val="27"/>
        </w:trPr>
        <w:tc>
          <w:tcPr>
            <w:tcW w:w="3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1,445.0</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11,179.3</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0" w:type="dxa"/>
            <w:vAlign w:val="bottom"/>
            <w:gridSpan w:val="6"/>
          </w:tcPr>
          <w:p>
            <w:pPr>
              <w:jc w:val="right"/>
              <w:ind w:right="1010"/>
              <w:spacing w:after="0"/>
              <w:rPr>
                <w:sz w:val="20"/>
                <w:szCs w:val="20"/>
                <w:color w:val="auto"/>
              </w:rPr>
            </w:pPr>
            <w:r>
              <w:rPr>
                <w:rFonts w:ascii="Arial" w:cs="Arial" w:eastAsia="Arial" w:hAnsi="Arial"/>
                <w:sz w:val="18"/>
                <w:szCs w:val="18"/>
                <w:b w:val="1"/>
                <w:bCs w:val="1"/>
                <w:color w:val="auto"/>
                <w:w w:val="94"/>
              </w:rPr>
              <w:t>6 Months Ended June 30, 2018</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Southern</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Northern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Right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5"/>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Americas</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Europe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APME</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Management</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10,930.8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248.5</w:t>
            </w:r>
          </w:p>
        </w:tc>
      </w:tr>
      <w:tr>
        <w:trPr>
          <w:trHeight w:val="27"/>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11,179.3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9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Accounts Receivable, Contract Assets and Contract Liabilities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deferred revenue was $35.1 at June 30, 2018 and $48.0 at December 31, 2017. The decrease is due to $32.2 of revenues recognized related to amounts that were included in the December 31, 2017 balance, partially offset by payments or amounts due in advance of satisfying our performance obligations in the first half of 2018.</w:t>
      </w:r>
    </w:p>
    <w:p>
      <w:pPr>
        <w:spacing w:after="0" w:line="18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three months ended June 30, 2018 and 2017, we recognized share-based compensation expense of $5.3 and $7.6, respectively, and $12.8 and $14.8 for the six months ended June 30, 2018 and 2017,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$4.0 and $36.1 for the six months ended June 30, 2018 and 2017, respectively.</w:t>
      </w:r>
    </w:p>
    <w:p>
      <w:pPr>
        <w:spacing w:after="0" w:line="15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From time to time, we acquire and invest in companies throughout the world, including franchises. For the six months ended June 30, 2018, the total cash consideration for acquisitions, net of cash acquired, was $47.4, the majority of which took place in the Netherlands. This balance includes initial acquisition payments of $8.2 and contingent consideration payments of $39.2 ($15.1 of which was recognized as a liability at the acquisition date). During the six months ended June 30, 2017, the total cash consideration for acquisitions, net of cash acquired, was $34.1, which includes initial acquisition payments of $21.2 and contingent consideration related to previous acquisitions of $12.9, of which $10.3 was related to our 2015 acquisition of 7S Group GmbH ("7S") in Germany.</w:t>
      </w:r>
    </w:p>
    <w:p>
      <w:pPr>
        <w:spacing w:after="0" w:line="15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On April 26, 2017, the sellers of 7S formally disputed the contingent consideration related to the acquisition and are claiming an additional $24.3 (€20.8), plus interest. We believe no further amounts are due and intend to vigorously dispute their claims in arbitration. We are not currently able to predict the outcome of the arbitration or the timing of any resolution, and consequently, no amounts have been recorded in the Consolidated Financial Statements.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1, 2018, we adopted the new accounting guidance on statement of cash flows. The guidance provides classification requirements for certain cash receipts and cash payments. During the first half of 2018, we classified $24.1 of payments which were in excess of the contingent consideration liabilities recognized on the acquisition date as operating cash flows. The excess cash payments for contingent consideration liabilities made during the first half of 2017 were not material.</w:t>
      </w:r>
    </w:p>
    <w:p>
      <w:pPr>
        <w:spacing w:after="0" w:line="18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recorded net restructuring costs of $39.3 and $34.5 during the six months ended June 30, 2018 and 2017, respectively, in selling and administrative expenses, primarily related to severances and office closures and consolidations in multiple countries and territories. During the six months ended June 30, 2018, we made payments of $20.3 out of our restructuring reserve. We expect a majority of the remaining $32.5 reserve will be paid by the end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Right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5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Americas</w:t>
            </w:r>
            <w:r>
              <w:rPr>
                <w:rFonts w:ascii="Arial" w:cs="Arial" w:eastAsia="Arial" w:hAnsi="Arial"/>
                <w:sz w:val="21"/>
                <w:szCs w:val="2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Europe</w:t>
            </w:r>
            <w:r>
              <w:rPr>
                <w:rFonts w:ascii="Arial" w:cs="Arial" w:eastAsia="Arial" w:hAnsi="Arial"/>
                <w:sz w:val="21"/>
                <w:szCs w:val="21"/>
                <w:color w:val="auto"/>
                <w:w w:val="93"/>
                <w:vertAlign w:val="superscript"/>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Management</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Severance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closure costs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Costs paid or utilized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Balances related to the United States were $1.5 and $0.4 as of January 1, 2018 and June 30, 2018, respectively.</w:t>
      </w:r>
    </w:p>
    <w:p>
      <w:pPr>
        <w:spacing w:after="0" w:line="23" w:lineRule="exact"/>
        <w:rPr>
          <w:rFonts w:ascii="Arial" w:cs="Arial" w:eastAsia="Arial" w:hAnsi="Arial"/>
          <w:sz w:val="18"/>
          <w:szCs w:val="18"/>
          <w:color w:val="auto"/>
        </w:rPr>
      </w:pPr>
    </w:p>
    <w:p>
      <w:pPr>
        <w:ind w:right="380" w:firstLine="8"/>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Balances related to France were $0.9 as of both January 1, 2018 and June 30, 2018. Italy had no balance as of January 1, 2018 and $1.4 as of June 30,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recorded income tax expense at an effective rate of 27.5% for the three months ended June 30, 2018, as compared to an effective rate of 36.5% for the three months ended June 30, 2017. The 2018 rate was favorably impacted by the enactment of the Tax Act in December 2017. The 27.5% effective tax rate in the quarter was higher than the United States Federal statutory rate of 21% primarily due to the French business tax.</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income tax expense at an effective rate of 28.3% for the six months ended June 30, 2018 as compared to an effective rate of 35.4% for the six months ended June 30, 2017. The 2018 rate was favorably impacted by the enactment of the Tax Act in December 2017. The 28.3% effective tax rate for the six months ended June 30, 2018 was higher than the United States Federal statutory rate of 21% primarily due to the French business tax. We currently expect a 2018 annual effective tax rate of approximately 27% to 28%.</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Tax Act made broad changes to the United States tax code including a reduction of the United States federal corporate income tax rate from 35% to 21% effective January 1, 2018 and a transition to a territorial tax regime resulting in a one-time transition tax on the mandatory deemed repatriation of unremitted post-1986 non-United States earnings. The Tax Act also established new provisions related to global intangible low-taxed income ("GILTI"), foreign derived intangible income and a base erosion and anti-abuse tax. The computation of these new provisions is highly complex, and our estimates could significantly change as a result of new rules or guidance from the various standard-setting bodies.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accounting for certain elements of the Tax Act was incomplete as of December 31, 2017, and remains incomplete as of June 30, 2018. However, we were able to make reasonable estimates of the impact of the Tax Act as of December 31, 2017 and, therefore, recorded provisional estimates for these items, including the one-time transition tax and the revaluation of our deferred tax assets and liabilities. In accordance with accounting guidance, we are allowed to make an accounting policy choice to either treat taxes due on future inclusions in United States taxable income related to GILTI as a current-period expense when incurred or factor such amounts into our measurement of deferred taxes. We have not made a policy decision regarding whether to record deferred taxes on GILTI and have included estimates of this provision as current period expenses for the six months ended June 30, 2018.</w:t>
      </w:r>
    </w:p>
    <w:p>
      <w:pPr>
        <w:spacing w:after="0" w:line="16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the first half of 2018, the Internal Revenue Service issued new guidance affecting the computation of our 2017 transition tax liability. As a result of the new guidance and additional analysis of the impacts of the Tax Act, we revised our provisional estimates and recorded a tax benefit of $1.8 related to the Tax Act during the first half of 2018. The ultimate impact of the Tax Act may differ from our estimates as of June 30, 2018, possibly materially, due to changes in interpretations and assumptions we have made, future guidance that may be issued and actions we may take as a result of the Tax Act.</w:t>
      </w:r>
    </w:p>
    <w:p>
      <w:pPr>
        <w:spacing w:after="0" w:line="15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As of June 30, 2018, we had gross unrecognized tax benefits related to various tax jurisdictions, including interest and penalties, of $72.6 that would favorably impact the effective tax rate if recognized. As of December 31, 2017, we had gross unrecognized tax benefits related to various tax jurisdictions, including interest and penalties, of $66.5. We do not expect our unrecognized tax benefits to change significantly over the next 12 months.</w:t>
      </w:r>
    </w:p>
    <w:p>
      <w:pPr>
        <w:spacing w:after="0" w:line="14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2010 through 2017 for our major operations in France, Germany, Japan, the United Kingdom and the United States. As of June 30, 2018, we are subject to tax audits in Austria, Canada, Denmark, France, Germany and the United States. We believe that the resolution of these audits will not have a material impact on earnings.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2" w:name="page13"/>
    <w:bookmarkEnd w:id="12"/>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ind w:left="300"/>
              <w:spacing w:after="0"/>
              <w:rPr>
                <w:sz w:val="20"/>
                <w:szCs w:val="20"/>
                <w:color w:val="auto"/>
              </w:rPr>
            </w:pPr>
            <w:r>
              <w:rPr>
                <w:rFonts w:ascii="Arial" w:cs="Arial" w:eastAsia="Arial" w:hAnsi="Arial"/>
                <w:sz w:val="18"/>
                <w:szCs w:val="18"/>
                <w:b w:val="1"/>
                <w:bCs w:val="1"/>
                <w:color w:val="auto"/>
              </w:rPr>
              <w:t>3 Months Ended</w:t>
            </w:r>
          </w:p>
        </w:tc>
        <w:tc>
          <w:tcPr>
            <w:tcW w:w="260" w:type="dxa"/>
            <w:vAlign w:val="bottom"/>
          </w:tcPr>
          <w:p>
            <w:pPr>
              <w:spacing w:after="0"/>
              <w:rPr>
                <w:sz w:val="20"/>
                <w:szCs w:val="20"/>
                <w:color w:val="auto"/>
              </w:rPr>
            </w:pPr>
          </w:p>
        </w:tc>
        <w:tc>
          <w:tcPr>
            <w:tcW w:w="20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6 Months Ended</w:t>
            </w:r>
          </w:p>
        </w:tc>
      </w:tr>
      <w:tr>
        <w:trPr>
          <w:trHeight w:val="270"/>
        </w:trPr>
        <w:tc>
          <w:tcPr>
            <w:tcW w:w="6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r>
      <w:tr>
        <w:trPr>
          <w:trHeight w:val="27"/>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191.4</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67.5</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 -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Effect of other share-based awards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4"/>
        </w:trPr>
        <w:tc>
          <w:tcPr>
            <w:tcW w:w="6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earnings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60"/>
              <w:spacing w:after="0"/>
              <w:rPr>
                <w:sz w:val="20"/>
                <w:szCs w:val="20"/>
                <w:color w:val="auto"/>
              </w:rPr>
            </w:pPr>
            <w:r>
              <w:rPr>
                <w:rFonts w:ascii="Arial" w:cs="Arial" w:eastAsia="Arial" w:hAnsi="Arial"/>
                <w:sz w:val="18"/>
                <w:szCs w:val="18"/>
                <w:color w:val="auto"/>
              </w:rPr>
              <w:t>Net earnings per share -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There were 0.3 million and 0.1 million share-based awards excluded from the calculation of net earnings per share – diluted for the three months ended June 30, 2018 and 2017, respectively, and the calculation of net earnings per share – diluted for the six months ended June 30, 2018 and 2017, respectively, because their impact was anti-dilutive.</w:t>
      </w:r>
    </w:p>
    <w:p>
      <w:pPr>
        <w:spacing w:after="0" w:line="18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June 30, 2018</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3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Indefinite-lived: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380"/>
              <w:spacing w:after="0"/>
              <w:rPr>
                <w:sz w:val="20"/>
                <w:szCs w:val="20"/>
                <w:color w:val="auto"/>
              </w:rPr>
            </w:pPr>
            <w:r>
              <w:rPr>
                <w:rFonts w:ascii="Arial" w:cs="Arial" w:eastAsia="Arial" w:hAnsi="Arial"/>
                <w:sz w:val="18"/>
                <w:szCs w:val="18"/>
                <w:color w:val="auto"/>
              </w:rPr>
              <w:t>Tradenames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Reacquired franchise rights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June 30, 2018 and December 31, 2017.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June 30, 2018 and December 31, 2017.</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2018 is expected to be $16.5 and in each of the next five years is expected to be as follows: 2019 - $29.3, 2020 - $24.7, 2021 - $13.7, 2022 - $10.1 and 2023 - $7.9.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Southern</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Northern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Right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1"/>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21"/>
                <w:szCs w:val="21"/>
                <w:color w:val="auto"/>
                <w:vertAlign w:val="superscript"/>
              </w:rPr>
              <w:t>(1)</w:t>
            </w: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APME</w:t>
            </w:r>
          </w:p>
        </w:tc>
        <w:tc>
          <w:tcPr>
            <w:tcW w:w="16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21"/>
                <w:szCs w:val="21"/>
                <w:color w:val="auto"/>
                <w:vertAlign w:val="superscript"/>
              </w:rPr>
              <w:t>(3)</w:t>
            </w: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44"/>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1,343.0</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and other impacts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color w:val="auto"/>
              </w:rPr>
              <w:t>Balance,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1,321.9</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3" w:name="page14"/>
    <w:bookmarkEnd w:id="13"/>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Balances related to the United States were $476.5 as of both January 1, 2018 and June 30, 2018.</w:t>
      </w:r>
    </w:p>
    <w:p>
      <w:pPr>
        <w:spacing w:after="0" w:line="23" w:lineRule="exact"/>
        <w:rPr>
          <w:rFonts w:ascii="Arial" w:cs="Arial" w:eastAsia="Arial" w:hAnsi="Arial"/>
          <w:sz w:val="18"/>
          <w:szCs w:val="18"/>
          <w:color w:val="auto"/>
        </w:rPr>
      </w:pPr>
    </w:p>
    <w:p>
      <w:pPr>
        <w:ind w:right="120" w:firstLine="8"/>
        <w:spacing w:after="0" w:line="250"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Balances related to France were $76.3 and $70.2 as of January 1, 2018 and June 30, 2018, respectively. Balances related to Italy were $5.0 and $4.8 as of January 1, 2018 and June 30, 2018, respectively.</w:t>
      </w:r>
    </w:p>
    <w:p>
      <w:pPr>
        <w:jc w:val="both"/>
        <w:ind w:right="140" w:firstLine="8"/>
        <w:spacing w:after="0" w:line="25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January 1,</w:t>
            </w:r>
          </w:p>
        </w:tc>
      </w:tr>
      <w:tr>
        <w:trPr>
          <w:trHeight w:val="270"/>
        </w:trPr>
        <w:tc>
          <w:tcPr>
            <w:tcW w:w="18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18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532.0</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Germany</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135.4</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89.2</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r>
      <w:tr>
        <w:trPr>
          <w:trHeight w:val="243"/>
        </w:trPr>
        <w:tc>
          <w:tcPr>
            <w:tcW w:w="18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Right Management</w:t>
            </w:r>
          </w:p>
        </w:tc>
        <w:tc>
          <w:tcPr>
            <w:tcW w:w="2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62.1</w:t>
            </w:r>
          </w:p>
        </w:tc>
      </w:tr>
      <w:tr>
        <w:trPr>
          <w:trHeight w:val="27"/>
        </w:trPr>
        <w:tc>
          <w:tcPr>
            <w:tcW w:w="1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reporting units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w:t>
            </w:r>
          </w:p>
        </w:tc>
      </w:tr>
      <w:tr>
        <w:trPr>
          <w:trHeight w:val="257"/>
        </w:trPr>
        <w:tc>
          <w:tcPr>
            <w:tcW w:w="180" w:type="dxa"/>
            <w:vAlign w:val="bottom"/>
          </w:tcPr>
          <w:p>
            <w:pPr>
              <w:spacing w:after="0"/>
              <w:rPr>
                <w:sz w:val="22"/>
                <w:szCs w:val="22"/>
                <w:color w:val="auto"/>
              </w:rPr>
            </w:pPr>
          </w:p>
        </w:tc>
        <w:tc>
          <w:tcPr>
            <w:tcW w:w="8100" w:type="dxa"/>
            <w:vAlign w:val="bottom"/>
          </w:tcPr>
          <w:p>
            <w:pPr>
              <w:ind w:left="580"/>
              <w:spacing w:after="0"/>
              <w:rPr>
                <w:sz w:val="20"/>
                <w:szCs w:val="20"/>
                <w:color w:val="auto"/>
              </w:rPr>
            </w:pPr>
            <w:r>
              <w:rPr>
                <w:rFonts w:ascii="Arial" w:cs="Arial" w:eastAsia="Arial" w:hAnsi="Arial"/>
                <w:sz w:val="18"/>
                <w:szCs w:val="18"/>
                <w:color w:val="auto"/>
              </w:rPr>
              <w:t>Total goodwill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1,321.9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1,343.0</w:t>
            </w:r>
          </w:p>
        </w:tc>
      </w:tr>
      <w:tr>
        <w:trPr>
          <w:trHeight w:val="20"/>
        </w:trPr>
        <w:tc>
          <w:tcPr>
            <w:tcW w:w="1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Debt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18, 2018, we amended and restated our Five Year Credit Agreement (the “Amended Agreement”) with a syndicate of commercial banks, principally to revise the termination date of the facility from September 16, 2020 to June 18, 2023. The remaining material terms and conditions of the Amended Agreement are substantially similar to the material terms and conditions of our Amended and Restated Five Year Credit Agreement dated September 16, 2015.</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June 22, 2018, we offered and sold €500.0 aggregate principal amount of the Company’s 1.750% notes due June 22, 2026 (the “Notes”). The net proceeds from the Notes of €495.7 were used to repay our €350.0 notes due June 22, 2018, with the remaining balance to be used for general corporate purposes, which may include share repurchases and the acquisition of or investment in complementary businesses or other assets. The Notes were issued at a price of 99.564% to yield an effective interest rate of 1.809%. Interest on the Notes is payable in arrears on June 22 of each year. The Notes are unsecured senior obligations and will rank equally with all of the Company’s existing and future senior unsecured debt and other liabilities.</w:t>
      </w:r>
    </w:p>
    <w:p>
      <w:pPr>
        <w:spacing w:after="0" w:line="15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were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ind w:left="40"/>
              <w:spacing w:after="0"/>
              <w:rPr>
                <w:sz w:val="20"/>
                <w:szCs w:val="20"/>
                <w:color w:val="auto"/>
              </w:rPr>
            </w:pPr>
            <w:r>
              <w:rPr>
                <w:rFonts w:ascii="Arial" w:cs="Arial" w:eastAsia="Arial" w:hAnsi="Arial"/>
                <w:sz w:val="18"/>
                <w:szCs w:val="18"/>
                <w:b w:val="1"/>
                <w:bCs w:val="1"/>
                <w:color w:val="auto"/>
                <w:w w:val="93"/>
              </w:rPr>
              <w:t>Defined Benefit Pension Plans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6 Months Ended</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3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28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Other</w:t>
            </w:r>
          </w:p>
        </w:tc>
        <w:tc>
          <w:tcPr>
            <w:tcW w:w="2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benefit cost</w:t>
            </w:r>
          </w:p>
        </w:tc>
        <w:tc>
          <w:tcPr>
            <w:tcW w:w="2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220"/>
              <w:spacing w:after="0"/>
              <w:rPr>
                <w:sz w:val="20"/>
                <w:szCs w:val="20"/>
                <w:color w:val="auto"/>
              </w:rPr>
            </w:pPr>
            <w:r>
              <w:rPr>
                <w:rFonts w:ascii="Arial" w:cs="Arial" w:eastAsia="Arial" w:hAnsi="Arial"/>
                <w:sz w:val="18"/>
                <w:szCs w:val="18"/>
                <w:b w:val="1"/>
                <w:bCs w:val="1"/>
                <w:color w:val="auto"/>
              </w:rPr>
              <w:t>Retiree Health Care Plan</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3 Months Ended</w:t>
            </w:r>
          </w:p>
        </w:tc>
        <w:tc>
          <w:tcPr>
            <w:tcW w:w="26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6 Months Ended</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3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28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2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benefit (credit) cost</w:t>
            </w:r>
          </w:p>
        </w:tc>
        <w:tc>
          <w:tcPr>
            <w:tcW w:w="32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14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ind w:right="80"/>
        <w:spacing w:after="0" w:line="264" w:lineRule="auto"/>
        <w:rPr>
          <w:sz w:val="20"/>
          <w:szCs w:val="20"/>
          <w:color w:val="auto"/>
        </w:rPr>
      </w:pPr>
      <w:r>
        <w:rPr>
          <w:rFonts w:ascii="Arial" w:cs="Arial" w:eastAsia="Arial" w:hAnsi="Arial"/>
          <w:sz w:val="18"/>
          <w:szCs w:val="18"/>
          <w:color w:val="auto"/>
        </w:rPr>
        <w:t>During the three and six months ended June 30, 2018, contributions made to our pension plans were $2.3 and $4.2, respectively, and contributions made to our retiree health care plan were $0.3 and $0.6, respectively. During 2018, we expect to make total contributions of approximately $12.3 to our pension plans and to fund our retiree health care payments as incurred.</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82A32"/>
        </w:rPr>
        <w:t xml:space="preserve">As of January 1, 2018, we adopted the new guidance on the presentation of net periodic pension and postretirement benefit cost ("net benefit cost"). The new guidance requires bifurcation of net benefit cost, which used to be reported as an employee cost within operating income under the old guidance. The service cost component is still presented with other employee compensation cost in operating income or capitalized in assets in rare circumstances. The other components are now reported separately outside of operations, and are not eligible for capitalization. We have reclassified the 2017 non-service cost components of net benefit cost to interest and other expenses from selling and administrative expenses to conform to the current period presentation. For the three months ended </w:t>
      </w:r>
      <w:r>
        <w:rPr>
          <w:rFonts w:ascii="Arial" w:cs="Arial" w:eastAsia="Arial" w:hAnsi="Arial"/>
          <w:sz w:val="18"/>
          <w:szCs w:val="18"/>
          <w:color w:val="000000"/>
        </w:rPr>
        <w:t>June 30, 2018</w:t>
      </w:r>
      <w:r>
        <w:rPr>
          <w:rFonts w:ascii="Arial" w:cs="Arial" w:eastAsia="Arial" w:hAnsi="Arial"/>
          <w:sz w:val="18"/>
          <w:szCs w:val="18"/>
          <w:color w:val="282A32"/>
        </w:rPr>
        <w:t xml:space="preserve"> and 2017, the non-service component was a cost of $0.4 and $0.6, respectively. For the six months ended </w:t>
      </w:r>
      <w:r>
        <w:rPr>
          <w:rFonts w:ascii="Arial" w:cs="Arial" w:eastAsia="Arial" w:hAnsi="Arial"/>
          <w:sz w:val="18"/>
          <w:szCs w:val="18"/>
          <w:color w:val="000000"/>
        </w:rPr>
        <w:t>June 30, 2018</w:t>
      </w:r>
      <w:r>
        <w:rPr>
          <w:rFonts w:ascii="Arial" w:cs="Arial" w:eastAsia="Arial" w:hAnsi="Arial"/>
          <w:sz w:val="18"/>
          <w:szCs w:val="18"/>
          <w:color w:val="282A32"/>
        </w:rPr>
        <w:t xml:space="preserve"> and 2017, the non-service component was a cost of $0.9 and $1.5, respectively. For the year ended December 31, 2017, the non-service component was a cost of $1.0.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color w:val="auto"/>
              </w:rPr>
              <w:t>(12) Shareholders’ Equity</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846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Translation loss on net investment hedge, net of income taxes of $(17.3) and $(23.1), respectively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Translation loss on long-term intercompany loans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Unrealized gain on investments, net of income taxes of $3.4 for 2017</w:t>
            </w:r>
          </w:p>
        </w:tc>
        <w:tc>
          <w:tcPr>
            <w:tcW w:w="2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pension plans, net of income taxes of $(27.6) and $(27.8),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Retiree health care plan, net of income taxes of $1.9 and $2.0, respectively</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As of January 1, 2018, we adopted the new accounting guidance on financial instruments. The new guidance requires equity investments (except those accounted for under the equity method of accounting or those that result in consolidation of the investee) to be measured at fair value with changes in fair value recognized in net earnings. Upon adoption, we reclassified $15.3, the cumulative unrealized gain on our Swiss franchise's investment portfolio as of December 31, 2017, from accumulated other comprehensive loss to retained earnings. Going forward, we will recognize the changes in fair value on the investment portfolio in the current period earnings as opposed to other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Noncontrolling interests, included in total shareholders' equity in our Consolidated Balance Sheets, represent amounts related to majority-owned subsidiaries for which we have a controlling financial interest.</w:t>
      </w:r>
    </w:p>
    <w:p>
      <w:pPr>
        <w:spacing w:after="0" w:line="13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earnings attributable to these noncontrolling interests were $1.0 and $2.2 for the three months ended June 30, 2018 and 2017, respectively, and $2.2 and $4.4 for the six months ended June 30, 2018 and 2017, respectively, which were recorded as expenses in interest and other expenses in our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4, 2018 and May 2, 2017, the Board of Directors declared a semi-annual cash dividend of $1.01 and $0.93 per share, respectively. The 2018 dividends were paid on June 15, 2018 to shareholders of record on June 1, 2018. The 2017 dividends were paid on June 15, 2017 to shareholders of record on June 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August 2018, the Board of Directors authorized the repurchase of an additional 6.0 million shares of our common stock, with terms consistent with the previous authorization. This authorization is in addition to the July 2016 Board authorization to repurchase 6.0 million shares of our common stock, of which 1.8 million shares remained authorized for repurchase as of June 30, 2018. Share repurchases may be made from time to time through a variety of methods, including open market purchases, block transactions, privately negotiated transactions or similar facilities. During the first half of 2018, we repurchased a total of 1.0 million shares at a cost of $113.2. During the first half of 2017, we repurchased 1.1 million shares at a cost of $115.8.</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5"/>
          </w:tcPr>
          <w:p>
            <w:pPr>
              <w:ind w:left="2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20"/>
                <w:szCs w:val="20"/>
                <w:color w:val="auto"/>
              </w:rPr>
            </w:pPr>
          </w:p>
        </w:tc>
        <w:tc>
          <w:tcPr>
            <w:tcW w:w="20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6 Months Ended</w:t>
            </w:r>
          </w:p>
        </w:tc>
      </w:tr>
      <w:tr>
        <w:trPr>
          <w:trHeight w:val="270"/>
        </w:trPr>
        <w:tc>
          <w:tcPr>
            <w:tcW w:w="5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 loss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Miscellaneous (income) expense, net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Interest and other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the accounting guidance on derivative instruments and hedging activities, we record all of our derivative instruments as either an asset or liability measured at their fair value.</w:t>
      </w:r>
    </w:p>
    <w:p>
      <w:pPr>
        <w:spacing w:after="0" w:line="178"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A portion of the €400.0 ($465.2) notes due September 2022 and the €500.0 ($579.2) notes due June 2026 was designated as a hedge of our net investment in our foreign subsidiaries with a Euro-functional currency as of June 30, 2018. For this portion of the Euro-denominated notes, the gain or loss associated with foreign currency translation is recorded as a component of accumulated other comprehensive loss, net of taxes. As of June 30, 2018 and December 31, 2017, we had an unrealized loss of $15.6 and $35.7, respectively, included in accumulated other comprehensive loss, net of taxes, as the net investment hedge was deemed effective.</w:t>
      </w:r>
    </w:p>
    <w:p>
      <w:pPr>
        <w:spacing w:after="0" w:line="18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occasion, forward contracts are designated as a hedge of our net investment in our foreign subsidiaries. We had a translation loss of $4.2 as of both June 30, 2018 and December 31, 2017, included in accumulated other comprehensive loss, net of taxes, as the net investment hedge was deemed effective.</w:t>
      </w:r>
    </w:p>
    <w:p>
      <w:pPr>
        <w:spacing w:after="0" w:line="12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We recorded a gain of $2.1 and no gain or loss for the three months ended June 30, 2018 and 2017, respectively, and a gain of $2.1 and $0.1 for the six months ended June 30, 2018 and 2017, respectively, in interest and other expenses associated with those forward contracts, which offset the loss and gain recorded for the items noted above.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measurements of those items recorded in our Consolidated Balance Sheets as of June 30, 2018 and December 31, 2017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w w:val="91"/>
              </w:rPr>
              <w:t>99.3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1"/>
              </w:rPr>
              <w:t>99.5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0"/>
              </w:rPr>
              <w:t>Fair Value Measurements Using</w:t>
            </w:r>
          </w:p>
        </w:tc>
        <w:tc>
          <w:tcPr>
            <w:tcW w:w="13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Significant Other</w:t>
            </w:r>
          </w:p>
        </w:tc>
        <w:tc>
          <w:tcPr>
            <w:tcW w:w="36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Observable Inputs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Unobservable Inputs</w:t>
            </w:r>
          </w:p>
        </w:tc>
      </w:tr>
      <w:tr>
        <w:trPr>
          <w:trHeight w:val="234"/>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36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inputs from third parties.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$1,086.2 and $939.9 as of June 30, 2018 and December 31, 2017, respectively, compared to a carrying value of $1,044.4 and $897.8, respectively.</w:t>
      </w:r>
    </w:p>
    <w:p>
      <w:pPr>
        <w:spacing w:after="0" w:line="181"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Effective January 1, 2018, we adopted new accounting guidance on the presentation of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our staffing and interim services. The remaining revenues within these segments are derived from our outcome-based solutions and consulting services, permanent recruitment services and other services. The Right Management segment revenues are derived from outplacement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380"/>
              <w:spacing w:after="0"/>
              <w:rPr>
                <w:sz w:val="20"/>
                <w:szCs w:val="20"/>
                <w:color w:val="auto"/>
              </w:rPr>
            </w:pPr>
            <w:r>
              <w:rPr>
                <w:rFonts w:ascii="Arial" w:cs="Arial" w:eastAsia="Arial" w:hAnsi="Arial"/>
                <w:sz w:val="18"/>
                <w:szCs w:val="18"/>
                <w:b w:val="1"/>
                <w:bCs w:val="1"/>
                <w:color w:val="auto"/>
              </w:rPr>
              <w:t>3 Months Ended</w:t>
            </w:r>
          </w:p>
        </w:tc>
        <w:tc>
          <w:tcPr>
            <w:tcW w:w="260" w:type="dxa"/>
            <w:vAlign w:val="bottom"/>
          </w:tcPr>
          <w:p>
            <w:pPr>
              <w:spacing w:after="0"/>
              <w:rPr>
                <w:sz w:val="20"/>
                <w:szCs w:val="20"/>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6 Months Ended</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3"/>
                <w:szCs w:val="23"/>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1,332.8</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750.3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2,083.1</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2,493.8</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660.9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784.9</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2,135.7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4,746.0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3,939.6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1,281.7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2,520.4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1,275.8</w:t>
            </w: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 (b)</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5,656.9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11,179.3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9,932.0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unit profit: (c)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Southern Europe: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6520" w:type="dxa"/>
            <w:vAlign w:val="bottom"/>
          </w:tcPr>
          <w:p>
            <w:pPr>
              <w:ind w:left="540"/>
              <w:spacing w:after="0"/>
              <w:rPr>
                <w:sz w:val="20"/>
                <w:szCs w:val="20"/>
                <w:color w:val="auto"/>
              </w:rPr>
            </w:pPr>
            <w:r>
              <w:rPr>
                <w:rFonts w:ascii="Arial" w:cs="Arial" w:eastAsia="Arial" w:hAnsi="Arial"/>
                <w:sz w:val="18"/>
                <w:szCs w:val="18"/>
                <w:color w:val="auto"/>
              </w:rPr>
              <w:t>Italy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Southern Europe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37"/>
        </w:trPr>
        <w:tc>
          <w:tcPr>
            <w:tcW w:w="6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Northern Europe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Right Management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394.1</w:t>
            </w:r>
          </w:p>
        </w:tc>
      </w:tr>
      <w:tr>
        <w:trPr>
          <w:trHeight w:val="243"/>
        </w:trPr>
        <w:tc>
          <w:tcPr>
            <w:tcW w:w="6520" w:type="dxa"/>
            <w:vAlign w:val="bottom"/>
          </w:tcPr>
          <w:p>
            <w:pPr>
              <w:ind w:left="8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and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57"/>
        </w:trPr>
        <w:tc>
          <w:tcPr>
            <w:tcW w:w="6520" w:type="dxa"/>
            <w:vAlign w:val="bottom"/>
          </w:tcPr>
          <w:p>
            <w:pPr>
              <w:ind w:left="12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right="60" w:hanging="412"/>
        <w:spacing w:after="0" w:line="279"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United States, where a majority of our franchises operate, revenues from services included fees received from the related franchise offices of $3.9 and $3.6 for the three months ended June 30, 2018 and 2017, respectively, and $7.1 for both the six months ended June 30, 2018 and 2017. These fees are primarily based on revenues generated by the franchise offices, which were $166.7 and $155.6 for the three months ended June 30, 2018 and 2017, respectively, and $315.7 and $323.3 for the six months ended June 30, 2018 and 2017, respectively.</w:t>
      </w:r>
    </w:p>
    <w:p>
      <w:pPr>
        <w:spacing w:after="0" w:line="171" w:lineRule="exact"/>
        <w:rPr>
          <w:rFonts w:ascii="Arial" w:cs="Arial" w:eastAsia="Arial" w:hAnsi="Arial"/>
          <w:sz w:val="17"/>
          <w:szCs w:val="17"/>
          <w:color w:val="auto"/>
        </w:rPr>
      </w:pPr>
    </w:p>
    <w:p>
      <w:pPr>
        <w:ind w:left="420" w:right="40" w:hanging="412"/>
        <w:spacing w:after="0" w:line="25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$6.2 and $5.8 for the three months ended June 30, 2018 and 2017, respectively, and $11.4 and $11.1 for the six months ended June 30, 2018 and 2017, respectively. These fees are primarily based on revenues generated by the franchise offices, which were $273.9 and $247.3 for the three months ended June 30, 2018 and 2017, respectively, and $510.7 and $486.4 for the six months ended June 30, 2018 and 2017, respectively.</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26" w:right="239" w:bottom="1440" w:gutter="0" w:footer="0" w:header="0"/>
          <w:type w:val="continuous"/>
        </w:sectPr>
      </w:pPr>
    </w:p>
    <w:bookmarkStart w:id="18" w:name="page19"/>
    <w:bookmarkEnd w:id="18"/>
    <w:p>
      <w:pPr>
        <w:ind w:left="420" w:right="400" w:hanging="412"/>
        <w:spacing w:after="0" w:line="286" w:lineRule="auto"/>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See the financial measures section on pages 28 and 29 for further information on the Non-GAAP financial measures of constant currency and organic constant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82A32"/>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as we saw in both the second quarter and first half of 2018, we are generally able to improve our profitability and operating leverage as our cost base can support some increase in business without a similar increase in selling and administrative expenses.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second quarter of 2018, t</w:t>
      </w:r>
      <w:r>
        <w:rPr>
          <w:rFonts w:ascii="Arial" w:cs="Arial" w:eastAsia="Arial" w:hAnsi="Arial"/>
          <w:sz w:val="17"/>
          <w:szCs w:val="17"/>
          <w:color w:val="282A32"/>
        </w:rPr>
        <w:t>he United States dollar was weaker relative to the currencies in Europe, having a favorable impact on our reported results.</w:t>
      </w:r>
      <w:r>
        <w:rPr>
          <w:rFonts w:ascii="Arial" w:cs="Arial" w:eastAsia="Arial" w:hAnsi="Arial"/>
          <w:sz w:val="17"/>
          <w:szCs w:val="17"/>
          <w:color w:val="auto"/>
        </w:rPr>
        <w:t xml:space="preserve"> While our reported revenues from services increased 9.3% over the second quarter of 2017 and our reported operating profit increased 6.7%, these results were impacted by the relative strength of other currencies against the United States dollar compared to the same period in 2017, and generally may overstate the performance of our underlying business. The changes in the foreign currency exchange rates had a 4.8% favorable impact on revenues from services, a 4.5% favorable impact on operating profit, and an approximately $0.09 per share 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three months ended June 30, 2018, we experienced constant currency revenue growth in most of our markets. Our consolidated revenues were up 4.5% in constant currency in the quarter, a slight deceleration from the 5.4% constant currency growth in the first quarter of 2018. Approximately 68% of our total consolidated revenues comes from Europe, and although economic conditions were favorable in most of the European markets where we operate, our business experienced a slower rate of growth during the quarter than in the prior-year period. In particular, we continued to experience better performance from our Southern Europe segment than from our Northern Europe segment, as discussed below under "Segment Operating Results." After adjusting for billing days, our organic constant currency revenue growth was 3% in the second quarter compared to 6% in the first quarter due primarily to softer demand in our European markets, especially in France, where economic indicators suggested that the national economy saw a slight decline in the rate of expansion during the second quarter compared to the first quarter of 2018. Our staffing/interim business had solid growth in the quarter, along with a 11.3% constant currency increase (15.5% as reported) in our permanent recruitment business and strong growth in our ManpowerGroup Solutions business. At Right Management, we have experienced a constant currency revenue decline for both our outplacement services, due to the counter-cyclical nature of this business, and our talent management services.</w:t>
      </w:r>
    </w:p>
    <w:p>
      <w:pPr>
        <w:spacing w:after="0" w:line="1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gross profit margin in the second quarter of 2018 compared to 2017 decreased primarily due to the decline in our staffing/interim gross profit margin due to the decrease in the CICE (Credit d'Impôt pour la Compétitivité et l'Emploi) payroll tax credit rate in France, business mix changes in various countries, and the non-recurrence of certain prior year reductions related to workers compensation and health care costs in the United States. The margin also decreased due to to the unfavorable impact from changes in currency exchange rates and a decline in demand for our higher-margin Right Management services. These declines were partially offset by the increase in our permanent recruitment business.</w:t>
      </w:r>
    </w:p>
    <w:p>
      <w:pPr>
        <w:spacing w:after="0" w:line="1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recorded $15.3 million of restructuring costs in the second quarter of 2018, in addition to the $24.0 million recorded in the first quarter of 2018, comprised of $2.3 million in Southern Europe, $13.2 million in Northern Europe, and a benefit of $0.2 million in Right Management, primarily related to delivery-model and other front-office centralization and back-office optimization activities.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operating profit increased in the second quarter of 2018 by 6.7% (2.2% in constant currency and 1.4% in organic constant currency) while our operating profit margin was down 10 basis points compared to the second quarter of 2017. Excluding the restructuring costs incurred in the second quarter of both 2018 and 2017, our operating profit was up 4.1% in constant currency while operating profit margin was flat compared to the second quarter of 2017. Our Northern Europe segment in particular experienced profitability challenges during the second quarter, as discussed below under "Segment Operating Results," even before the restructuring costs incurred during the quarter. We continue to monitor expenses closely to ensure we maintain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p>
      <w:pPr>
        <w:ind w:right="200"/>
        <w:spacing w:after="0" w:line="279" w:lineRule="auto"/>
        <w:rPr>
          <w:sz w:val="20"/>
          <w:szCs w:val="20"/>
          <w:color w:val="auto"/>
        </w:rPr>
      </w:pPr>
      <w:r>
        <w:rPr>
          <w:rFonts w:ascii="Arial" w:cs="Arial" w:eastAsia="Arial" w:hAnsi="Arial"/>
          <w:sz w:val="17"/>
          <w:szCs w:val="17"/>
          <w:color w:val="auto"/>
        </w:rPr>
        <w:t>benefit of our efforts to optimize our organizational and cost structures, while investing appropriately to support the growth in the business and enhance our productivity and technology and digital capabilities. During the second quarter of 2018, we added recruiters and certain other staff to support the increased demand for our services particularly in Southern Europe and APME. Even with these investments, we experienced improved operational leverage in the quarter as we were able to support the higher revenue level without a similar increase in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June 30, 2018 as compared to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rPr>
              <w:t>Variance</w:t>
            </w:r>
          </w:p>
        </w:tc>
        <w:tc>
          <w:tcPr>
            <w:tcW w:w="132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5,174.8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4,734.2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4,313.1</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4.8</w:t>
            </w: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861.7</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16.7%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666.5</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195.2</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184.2</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67.2</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97"/>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117.0</w:t>
            </w:r>
          </w:p>
        </w:tc>
        <w:tc>
          <w:tcPr>
            <w:tcW w:w="148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17.4</w:t>
            </w:r>
          </w:p>
        </w:tc>
      </w:tr>
      <w:tr>
        <w:trPr>
          <w:trHeight w:val="251"/>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c>
          <w:tcPr>
            <w:tcW w:w="1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8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9.3% (4.5% in constant currency and 4.2% in organic constant currency) was attributed to:</w:t>
      </w:r>
    </w:p>
    <w:p>
      <w:pPr>
        <w:spacing w:after="0" w:line="237" w:lineRule="exact"/>
        <w:rPr>
          <w:sz w:val="20"/>
          <w:szCs w:val="20"/>
          <w:color w:val="auto"/>
        </w:rPr>
      </w:pPr>
    </w:p>
    <w:p>
      <w:pPr>
        <w:ind w:left="660" w:right="4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in constant currency revenues increased 5.8% (14.0% as reported) and 2.2% (8.7% as reported), respectively. This included a constant currency revenue increase in France of 3.1% (11.5% as reported) primarily due to growth in client accounts within the staffing market and a 9.0% constant currency increase (17.9% as reported) in the permanent recruitment business. This increase also included a constant currency revenue increase in Italy of 11.8% (20.9% as reported) due to increased demand for our Manpower staffing services and a 9.0% constant currency increase (17.7% as reported) in the permanent recruitment business. We also experienced constant currency revenue growth in the United Kingdom, the Nordics, Spain and Belgium of 3.0%, 2.6%, 9.1% and 3.4%, respectively (9.4%, 6.8%, 18.0% and 11.8%, respectively, as reported; 8.3% in organic constant currency in Spain);</w:t>
      </w:r>
    </w:p>
    <w:p>
      <w:pPr>
        <w:spacing w:after="0" w:line="167" w:lineRule="exact"/>
        <w:rPr>
          <w:rFonts w:ascii="Arial" w:cs="Arial" w:eastAsia="Arial" w:hAnsi="Arial"/>
          <w:sz w:val="16"/>
          <w:szCs w:val="16"/>
          <w:color w:val="auto"/>
        </w:rPr>
      </w:pPr>
    </w:p>
    <w:p>
      <w:pPr>
        <w:ind w:left="660" w:right="3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increase in APME of 10.4% in constant currency (12.6% as reported) primarily due to an increase in our staffing/interim revenues and a 16.2% constant currency increase (19.1% as reported) in our permanent recruitment business;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acquisitions in the Americas, Southern Europe and APME, which added approximately 0.3% revenue growth to our consolidated results on a constant currency basis;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4.8% increase due to the impact of changes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favorable impact of approximately 0.9% constant currency due to one additional billing day in the quarter; partially offset by</w:t>
      </w:r>
    </w:p>
    <w:p>
      <w:pPr>
        <w:spacing w:after="0" w:line="22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revenue decrease in the United States of 4.6% primarily driven by a decline in our Experis interim services, </w:t>
      </w:r>
      <w:r>
        <w:rPr>
          <w:rFonts w:ascii="Arial" w:cs="Arial" w:eastAsia="Arial" w:hAnsi="Arial"/>
          <w:sz w:val="18"/>
          <w:szCs w:val="18"/>
          <w:color w:val="282A32"/>
        </w:rPr>
        <w:t>specifically within the IT sector, because</w:t>
      </w:r>
      <w:r>
        <w:rPr>
          <w:rFonts w:ascii="Arial" w:cs="Arial" w:eastAsia="Arial" w:hAnsi="Arial"/>
          <w:sz w:val="18"/>
          <w:szCs w:val="18"/>
          <w:color w:val="auto"/>
        </w:rPr>
        <w:t xml:space="preserve"> </w:t>
      </w:r>
      <w:r>
        <w:rPr>
          <w:rFonts w:ascii="Arial" w:cs="Arial" w:eastAsia="Arial" w:hAnsi="Arial"/>
          <w:sz w:val="18"/>
          <w:szCs w:val="18"/>
          <w:color w:val="282A32"/>
        </w:rPr>
        <w:t>of decreased demand from a few larger clients, a decline in demand for our Manpower staffing services, and a decrease in our solutions business primarily related to non-recurrence of certain low-margin business within our MSP offering</w:t>
      </w:r>
      <w:r>
        <w:rPr>
          <w:rFonts w:ascii="Arial" w:cs="Arial" w:eastAsia="Arial" w:hAnsi="Arial"/>
          <w:sz w:val="18"/>
          <w:szCs w:val="18"/>
          <w:color w:val="000000"/>
        </w:rPr>
        <w:t>;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jc w:val="both"/>
        <w:ind w:left="660" w:right="1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10.5% in constant currency (-8.3% as reported), including a 11.2% constant currency decrease (-8.9% as reported) in our outplacement services as well as a 8.3% constant currency decrease (-6.5% as reported) in our talent management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40 basis point (-0.40%) decrease in gross profit margin was primarily attributed to:</w:t>
      </w:r>
    </w:p>
    <w:p>
      <w:pPr>
        <w:spacing w:after="0" w:line="225" w:lineRule="exact"/>
        <w:rPr>
          <w:sz w:val="20"/>
          <w:szCs w:val="20"/>
          <w:color w:val="auto"/>
        </w:rPr>
      </w:pPr>
    </w:p>
    <w:p>
      <w:pPr>
        <w:ind w:left="660" w:right="12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30 basis point (-0.30%) unfavorable impact from the decline in our staffing/interim margin in constant currency due to the decrease in the CICE payroll tax credit rate from 7.0% to 6.0%, business mix changes in various countries, and the non-recurrence of certain prior year reductions related to workers compensation and health care costs in the United States;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 10 basis point (-0.10%) </w:t>
      </w:r>
      <w:r>
        <w:rPr>
          <w:rFonts w:ascii="Arial" w:cs="Arial" w:eastAsia="Arial" w:hAnsi="Arial"/>
          <w:sz w:val="18"/>
          <w:szCs w:val="18"/>
          <w:color w:val="282A32"/>
        </w:rPr>
        <w:t>unfavorable impact from decreased demand in our outplacement business at Right Management;</w:t>
      </w:r>
      <w:r>
        <w:rPr>
          <w:rFonts w:ascii="Arial" w:cs="Arial" w:eastAsia="Arial" w:hAnsi="Arial"/>
          <w:sz w:val="18"/>
          <w:szCs w:val="18"/>
          <w:color w:val="auto"/>
        </w:rPr>
        <w:t xml:space="preser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(-0.10%) decrease due to the unfavorable impact from changes in currency exchange rates; partially offset by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10 basis point (0.10%) favorable impact from the 11.3% constant currency increase (15.5% as reported) in our permanent recruitment business.</w:t>
      </w:r>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7.2% increase in selling and administrative expenses in the second quarter of 2018 (3.0% in constant currency; 2.6% in organic constant currency) was primarily attributed to:</w:t>
      </w:r>
    </w:p>
    <w:p>
      <w:pPr>
        <w:spacing w:after="0" w:line="170"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282A32"/>
        </w:rPr>
      </w:pPr>
      <w:r>
        <w:rPr>
          <w:rFonts w:ascii="Arial" w:cs="Arial" w:eastAsia="Arial" w:hAnsi="Arial"/>
          <w:sz w:val="18"/>
          <w:szCs w:val="18"/>
          <w:color w:val="282A32"/>
        </w:rPr>
        <w:t xml:space="preserve">a 21.2% increase in constant currency (26.1% as reported; 21.0% in organic constant currency) in consulting costs primarily related to certain technology projects, </w:t>
      </w:r>
      <w:r>
        <w:rPr>
          <w:rFonts w:ascii="Arial" w:cs="Arial" w:eastAsia="Arial" w:hAnsi="Arial"/>
          <w:sz w:val="18"/>
          <w:szCs w:val="18"/>
          <w:color w:val="000000"/>
        </w:rPr>
        <w:t>delivery model and other front-office centralization and back-office optimization</w:t>
      </w:r>
      <w:r>
        <w:rPr>
          <w:rFonts w:ascii="Arial" w:cs="Arial" w:eastAsia="Arial" w:hAnsi="Arial"/>
          <w:sz w:val="18"/>
          <w:szCs w:val="18"/>
          <w:color w:val="282A32"/>
        </w:rPr>
        <w:t>;</w:t>
      </w:r>
    </w:p>
    <w:p>
      <w:pPr>
        <w:spacing w:after="0" w:line="170" w:lineRule="exact"/>
        <w:rPr>
          <w:rFonts w:ascii="Arial" w:cs="Arial" w:eastAsia="Arial" w:hAnsi="Arial"/>
          <w:sz w:val="18"/>
          <w:szCs w:val="18"/>
          <w:color w:val="282A32"/>
        </w:rPr>
      </w:pPr>
    </w:p>
    <w:p>
      <w:pPr>
        <w:ind w:left="660" w:hanging="328"/>
        <w:spacing w:after="0"/>
        <w:tabs>
          <w:tab w:leader="none" w:pos="660" w:val="left"/>
        </w:tabs>
        <w:numPr>
          <w:ilvl w:val="0"/>
          <w:numId w:val="25"/>
        </w:numPr>
        <w:rPr>
          <w:rFonts w:ascii="Arial" w:cs="Arial" w:eastAsia="Arial" w:hAnsi="Arial"/>
          <w:sz w:val="17"/>
          <w:szCs w:val="17"/>
          <w:color w:val="282A32"/>
        </w:rPr>
      </w:pPr>
      <w:r>
        <w:rPr>
          <w:rFonts w:ascii="Arial" w:cs="Arial" w:eastAsia="Arial" w:hAnsi="Arial"/>
          <w:sz w:val="17"/>
          <w:szCs w:val="17"/>
          <w:color w:val="282A32"/>
        </w:rPr>
        <w:t>restructuring costs of $15.3 million incurred in the second quarter of 2018 compared to $10.5 million incurred in the second quarter of 2017;</w:t>
      </w:r>
    </w:p>
    <w:p>
      <w:pPr>
        <w:spacing w:after="0" w:line="236" w:lineRule="exact"/>
        <w:rPr>
          <w:rFonts w:ascii="Arial" w:cs="Arial" w:eastAsia="Arial" w:hAnsi="Arial"/>
          <w:sz w:val="17"/>
          <w:szCs w:val="17"/>
          <w:color w:val="282A32"/>
        </w:rPr>
      </w:pPr>
    </w:p>
    <w:p>
      <w:pPr>
        <w:ind w:left="660" w:hanging="328"/>
        <w:spacing w:after="0"/>
        <w:tabs>
          <w:tab w:leader="none" w:pos="660" w:val="left"/>
        </w:tabs>
        <w:numPr>
          <w:ilvl w:val="0"/>
          <w:numId w:val="25"/>
        </w:numPr>
        <w:rPr>
          <w:rFonts w:ascii="Arial" w:cs="Arial" w:eastAsia="Arial" w:hAnsi="Arial"/>
          <w:sz w:val="18"/>
          <w:szCs w:val="18"/>
          <w:color w:val="282A32"/>
        </w:rPr>
      </w:pPr>
      <w:r>
        <w:rPr>
          <w:rFonts w:ascii="Arial" w:cs="Arial" w:eastAsia="Arial" w:hAnsi="Arial"/>
          <w:sz w:val="18"/>
          <w:szCs w:val="18"/>
          <w:color w:val="282A32"/>
        </w:rPr>
        <w:t xml:space="preserve">a </w:t>
      </w:r>
      <w:r>
        <w:rPr>
          <w:rFonts w:ascii="Arial" w:cs="Arial" w:eastAsia="Arial" w:hAnsi="Arial"/>
          <w:sz w:val="18"/>
          <w:szCs w:val="18"/>
          <w:color w:val="000000"/>
        </w:rPr>
        <w:t>4.2%</w:t>
      </w:r>
      <w:r>
        <w:rPr>
          <w:rFonts w:ascii="Arial" w:cs="Arial" w:eastAsia="Arial" w:hAnsi="Arial"/>
          <w:sz w:val="18"/>
          <w:szCs w:val="18"/>
          <w:color w:val="282A32"/>
        </w:rPr>
        <w:t xml:space="preserve"> increase due to the impact of changes in currency exchange rates; and</w:t>
      </w:r>
    </w:p>
    <w:p>
      <w:pPr>
        <w:spacing w:after="0" w:line="225" w:lineRule="exact"/>
        <w:rPr>
          <w:rFonts w:ascii="Arial" w:cs="Arial" w:eastAsia="Arial" w:hAnsi="Arial"/>
          <w:sz w:val="18"/>
          <w:szCs w:val="18"/>
          <w:color w:val="282A32"/>
        </w:rPr>
      </w:pPr>
    </w:p>
    <w:p>
      <w:pPr>
        <w:ind w:left="660" w:hanging="328"/>
        <w:spacing w:after="0" w:line="277" w:lineRule="auto"/>
        <w:tabs>
          <w:tab w:leader="none" w:pos="660" w:val="left"/>
        </w:tabs>
        <w:numPr>
          <w:ilvl w:val="0"/>
          <w:numId w:val="25"/>
        </w:numPr>
        <w:rPr>
          <w:rFonts w:ascii="Arial" w:cs="Arial" w:eastAsia="Arial" w:hAnsi="Arial"/>
          <w:sz w:val="18"/>
          <w:szCs w:val="18"/>
          <w:color w:val="282A32"/>
        </w:rPr>
      </w:pPr>
      <w:r>
        <w:rPr>
          <w:rFonts w:ascii="Arial" w:cs="Arial" w:eastAsia="Arial" w:hAnsi="Arial"/>
          <w:sz w:val="18"/>
          <w:szCs w:val="18"/>
          <w:color w:val="282A32"/>
        </w:rPr>
        <w:t>the additional recurring selling and administrative costs of $2.7 million incurred as a result of acquisitions in the Americas, Southern Europe and APME.</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Selling and administrative expenses as a percent of revenues decreased 30 basis points (-0.30%) in the second quarter of 2018 compared to the second quarter of 2017 due to a 40 basis point (-0.40%) favorable impact from better expense leverage as a result of our strong focus on productivity and efficiency and a 10 basis point (-0.10%) favorable impact from changes in currency exchange rates, partially offset by a 10 basis point (0.10%) unfavorable impact due to the increase in restructuring costs and a 10 basis point (0.10%) unfavorable impact due to the consulting costs incurred in the second quarter of 2018.</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and other expenses are comprised of interest, foreign exchange gains and losses and other miscellaneous non-operating income and expenses. Interest and other expenses were $10.5 million in the second quarter of 2018 compared to $11.0 million in the second quarter of 2017. Net interest expense increased $1.2 million in the second quarter of 2018 to $11.9 million from $10.7 million in the second quarter of 2017 due to interest rates increasing. Miscellaneous income was $1.3 million in the second quarter of 2018 compared to miscellaneous expense of $0.1 million in the second quarter of 2017. The second quarter of 2018 included a gain on sale of investments partially offset by a loss on the change in fair value of the investments both held by our minority-owned Swiss franchise.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income tax expense at an effective rate of 27.5% in the second quarter of 2018 as compared to an effective rate of 36.5% in the second quarter of 2017. The 2018 rate was favorably impacted by the enactment of the Tax Act in December 2017. The 27.5% effective tax rate in the quarter was higher than the United States Federal statutory rate of 21%, and we currently expect an annual effective tax rate of approximately 27% to 28% due primarily to the French business tax.</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earnings per share - diluted was $2.17 and $1.72 in the second quarter of 2018 and 2017, respectively. Foreign currency exchange rates favorably impacted net earnings per share - diluted by approximately $0.09 per share in the second quarter of 2018. Restructuring costs recorded in the second quarter of 2018 and 2017 negatively impacted net earnings per share - diluted by approximately $0.18 and $0.10 per share, net of tax, in the second quarter of 2018 and 2017, respectively.</w:t>
      </w:r>
    </w:p>
    <w:p>
      <w:pPr>
        <w:spacing w:after="0" w:line="18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Weighted average shares - diluted decreased 2.8% to 66.1 million in the second quarter of 2018 from 68.0 million in the second quarter of 2017. This decrease was due to the impact of share repurchases completed since the second quarter of 2017 and the full weighting of the repurchases completed in the second quarter of 2017, partially offset by shares issued as a result of exercises and vesting of share-based awards since the second quarter of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Operating Results -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six months ended June 30, 2018 as compared to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34"/>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Variance</w:t>
            </w: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11,179.3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9,932.0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9,371.2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8,282.5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5.4</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1,649.5</w:t>
            </w:r>
          </w:p>
        </w:tc>
        <w:tc>
          <w:tcPr>
            <w:tcW w:w="1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r>
      <w:tr>
        <w:trPr>
          <w:trHeight w:val="243"/>
        </w:trPr>
        <w:tc>
          <w:tcPr>
            <w:tcW w:w="4960" w:type="dxa"/>
            <w:vAlign w:val="bottom"/>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16.6%</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1,446.0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1,326.4</w:t>
            </w:r>
          </w:p>
        </w:tc>
        <w:tc>
          <w:tcPr>
            <w:tcW w:w="1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r>
      <w:tr>
        <w:trPr>
          <w:trHeight w:val="237"/>
        </w:trPr>
        <w:tc>
          <w:tcPr>
            <w:tcW w:w="496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323.1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4.6</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Operating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and other expenses</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26.8</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296.3</w:t>
            </w:r>
          </w:p>
        </w:tc>
        <w:tc>
          <w:tcPr>
            <w:tcW w:w="1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104.9</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r>
      <w:tr>
        <w:trPr>
          <w:trHeight w:val="297"/>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191.4</w:t>
            </w:r>
          </w:p>
        </w:tc>
        <w:tc>
          <w:tcPr>
            <w:tcW w:w="150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17.7</w:t>
            </w:r>
          </w:p>
        </w:tc>
      </w:tr>
      <w:tr>
        <w:trPr>
          <w:trHeight w:val="251"/>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2.80</w:t>
            </w:r>
          </w:p>
        </w:tc>
        <w:tc>
          <w:tcPr>
            <w:tcW w:w="1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1"/>
        </w:trPr>
        <w:tc>
          <w:tcPr>
            <w:tcW w:w="4960" w:type="dxa"/>
            <w:vAlign w:val="bottom"/>
          </w:tcPr>
          <w:p>
            <w:pPr>
              <w:ind w:left="40"/>
              <w:spacing w:after="0"/>
              <w:rPr>
                <w:sz w:val="20"/>
                <w:szCs w:val="20"/>
                <w:color w:val="auto"/>
              </w:rPr>
            </w:pPr>
            <w:r>
              <w:rPr>
                <w:rFonts w:ascii="Arial" w:cs="Arial" w:eastAsia="Arial" w:hAnsi="Arial"/>
                <w:sz w:val="18"/>
                <w:szCs w:val="18"/>
                <w:color w:val="auto"/>
              </w:rPr>
              <w:t>Weighted average shares – diluted</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12.6% (4.9% in constant currency and 4.5% in organic constant currency) was attributed to:</w:t>
      </w:r>
    </w:p>
    <w:p>
      <w:pPr>
        <w:spacing w:after="0" w:line="237" w:lineRule="exact"/>
        <w:rPr>
          <w:sz w:val="20"/>
          <w:szCs w:val="20"/>
          <w:color w:val="auto"/>
        </w:rPr>
      </w:pPr>
    </w:p>
    <w:p>
      <w:pPr>
        <w:ind w:left="660" w:right="3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in constant currency revenues increased 8.4% (20.5% as reported) and 1.7% (11.5% as reported), respectively. This included a constant currency revenue increase in France of</w:t>
      </w:r>
    </w:p>
    <w:p>
      <w:pPr>
        <w:ind w:left="660" w:right="220"/>
        <w:spacing w:after="0" w:line="281" w:lineRule="auto"/>
        <w:rPr>
          <w:rFonts w:ascii="Arial" w:cs="Arial" w:eastAsia="Arial" w:hAnsi="Arial"/>
          <w:sz w:val="16"/>
          <w:szCs w:val="16"/>
          <w:color w:val="auto"/>
        </w:rPr>
      </w:pPr>
      <w:r>
        <w:rPr>
          <w:rFonts w:ascii="Arial" w:cs="Arial" w:eastAsia="Arial" w:hAnsi="Arial"/>
          <w:sz w:val="16"/>
          <w:szCs w:val="16"/>
          <w:color w:val="auto"/>
        </w:rPr>
        <w:t>5.5% (17.7% as reported) primarily due to the strong growth in our large client accounts within the staffing market and a 12.1% constant currency increase (25.2% as reported) in the permanent recruitment business. This increase also included a constant currency revenue increase in Italy of</w:t>
      </w:r>
    </w:p>
    <w:p>
      <w:pPr>
        <w:spacing w:after="0" w:line="1" w:lineRule="exact"/>
        <w:rPr>
          <w:rFonts w:ascii="Arial" w:cs="Arial" w:eastAsia="Arial" w:hAnsi="Arial"/>
          <w:sz w:val="16"/>
          <w:szCs w:val="16"/>
          <w:color w:val="auto"/>
        </w:rPr>
      </w:pPr>
    </w:p>
    <w:p>
      <w:pPr>
        <w:ind w:left="660" w:right="40"/>
        <w:spacing w:after="0" w:line="254" w:lineRule="auto"/>
        <w:rPr>
          <w:rFonts w:ascii="Arial" w:cs="Arial" w:eastAsia="Arial" w:hAnsi="Arial"/>
          <w:sz w:val="16"/>
          <w:szCs w:val="16"/>
          <w:color w:val="auto"/>
        </w:rPr>
      </w:pPr>
      <w:r>
        <w:rPr>
          <w:rFonts w:ascii="Arial" w:cs="Arial" w:eastAsia="Arial" w:hAnsi="Arial"/>
          <w:sz w:val="18"/>
          <w:szCs w:val="18"/>
          <w:color w:val="auto"/>
        </w:rPr>
        <w:t>16.2% (29.6% as reported) due to increased demand for our Manpower staffing services and a 11.4% constant currency increase (24.1% as reported) in the permanent recruitment business. We also experienced constant currency revenue growth in the United Kingdom, Germany, the Nordics, the Netherlands, Spain and Belgium of 1.0%, 0.6%, 1.2%, 1.4%, 12.8% and 3.4%, respectively (10.3%, 12.4%, 8.0%, 13.4%, 25.9% and 15.5%, respectively, as reported; 8.6% in organic constant currency in Spain);</w:t>
      </w:r>
    </w:p>
    <w:p>
      <w:pPr>
        <w:spacing w:after="0" w:line="189"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increase in APME of 9.3% in constant currency (13.3% as reported) primarily due to an increase in our staffing/interim revenues, a 15.0% constant currency increase (19.4% as reported) in our permanent recruitment business;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acquisitions in the Americas, Southern Europe, and APME, which added approximately 0.4% revenue growth to our consolidated results;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7.7% increase due to the impact of changes in currency exchange rates; partially offset by</w:t>
      </w:r>
    </w:p>
    <w:p>
      <w:pPr>
        <w:spacing w:after="0" w:line="225"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revenue decrease in the United States of 5.7% primarily driven by a decline in our Experis interim services, </w:t>
      </w:r>
      <w:r>
        <w:rPr>
          <w:rFonts w:ascii="Arial" w:cs="Arial" w:eastAsia="Arial" w:hAnsi="Arial"/>
          <w:sz w:val="18"/>
          <w:szCs w:val="18"/>
          <w:color w:val="282A32"/>
        </w:rPr>
        <w:t>specifically within the IT sector because</w:t>
      </w:r>
      <w:r>
        <w:rPr>
          <w:rFonts w:ascii="Arial" w:cs="Arial" w:eastAsia="Arial" w:hAnsi="Arial"/>
          <w:sz w:val="18"/>
          <w:szCs w:val="18"/>
          <w:color w:val="auto"/>
        </w:rPr>
        <w:t xml:space="preserve"> </w:t>
      </w:r>
      <w:r>
        <w:rPr>
          <w:rFonts w:ascii="Arial" w:cs="Arial" w:eastAsia="Arial" w:hAnsi="Arial"/>
          <w:sz w:val="18"/>
          <w:szCs w:val="18"/>
          <w:color w:val="282A32"/>
        </w:rPr>
        <w:t>of decreased demand from a few larger clients, a decline in demand for our Manpower staffing services, and a decrease in our solutions business primarily related to non-recurrence of certain low-margin business within our MSP offering</w:t>
      </w:r>
      <w:r>
        <w:rPr>
          <w:rFonts w:ascii="Arial" w:cs="Arial" w:eastAsia="Arial" w:hAnsi="Arial"/>
          <w:sz w:val="18"/>
          <w:szCs w:val="18"/>
          <w:color w:val="000000"/>
        </w:rPr>
        <w:t>; and</w:t>
      </w:r>
    </w:p>
    <w:p>
      <w:pPr>
        <w:spacing w:after="0" w:line="181"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12.8% in constant currency (-9.4% as reported), including a 14.9% constant currency decrease (-11.6% as reported) in our outplacement services as well as a 5.4% constant currency decrease (-1.7% as reported) in our talent management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68"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year-over-year 40 basis point (0.40%) decrease in gross profit margin was primarily attributed to:</w:t>
      </w:r>
    </w:p>
    <w:p>
      <w:pPr>
        <w:spacing w:after="0" w:line="225" w:lineRule="exact"/>
        <w:rPr>
          <w:sz w:val="20"/>
          <w:szCs w:val="20"/>
          <w:color w:val="auto"/>
        </w:rPr>
      </w:pPr>
    </w:p>
    <w:p>
      <w:pPr>
        <w:ind w:left="660" w:right="1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40 basis point (-0.40%) unfavorable impact from the decline in our staffing/interim margin in organic constant currency due to the decrease in the CICE payroll tax credit rate and business mix changes in various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 basis point (-0.10%) decrease due to the unfavorable impact from changes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a 10 basis point (-0.10%) </w:t>
      </w:r>
      <w:r>
        <w:rPr>
          <w:rFonts w:ascii="Arial" w:cs="Arial" w:eastAsia="Arial" w:hAnsi="Arial"/>
          <w:sz w:val="17"/>
          <w:szCs w:val="17"/>
          <w:color w:val="282A32"/>
        </w:rPr>
        <w:t>unfavorable impact from decreased demand in our outplacement business at Right Management;</w:t>
      </w:r>
      <w:r>
        <w:rPr>
          <w:rFonts w:ascii="Arial" w:cs="Arial" w:eastAsia="Arial" w:hAnsi="Arial"/>
          <w:sz w:val="17"/>
          <w:szCs w:val="17"/>
          <w:color w:val="auto"/>
        </w:rPr>
        <w:t xml:space="preserve"> partially offset by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10 basis point (0.10%) favorable impact from the 11.5% constant currency increase (18.2% as reported) in our permanent recruitment business;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 10 basis point (0.10%) </w:t>
      </w:r>
      <w:r>
        <w:rPr>
          <w:rFonts w:ascii="Arial" w:cs="Arial" w:eastAsia="Arial" w:hAnsi="Arial"/>
          <w:sz w:val="18"/>
          <w:szCs w:val="18"/>
          <w:color w:val="282A32"/>
        </w:rPr>
        <w:t>favorable impact as a result of our acquisitions in the Americas, Southern Europe, and APME.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9.0% increase in selling and administrative expenses for the six months ended June 30, 2018 (2.4% in constant currency; 1.9% in organic constant currency) was primarily attributed to:</w:t>
      </w:r>
    </w:p>
    <w:p>
      <w:pPr>
        <w:spacing w:after="0" w:line="170"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282A32"/>
        </w:rPr>
      </w:pPr>
      <w:r>
        <w:rPr>
          <w:rFonts w:ascii="Arial" w:cs="Arial" w:eastAsia="Arial" w:hAnsi="Arial"/>
          <w:sz w:val="18"/>
          <w:szCs w:val="18"/>
          <w:color w:val="282A32"/>
        </w:rPr>
        <w:t xml:space="preserve">a 24.5% increase in constant currency (32.3% as reported; 24.3% in organic constant currency) in consulting costs primarily related to certain technology projects, </w:t>
      </w:r>
      <w:r>
        <w:rPr>
          <w:rFonts w:ascii="Arial" w:cs="Arial" w:eastAsia="Arial" w:hAnsi="Arial"/>
          <w:sz w:val="18"/>
          <w:szCs w:val="18"/>
          <w:color w:val="000000"/>
        </w:rPr>
        <w:t>delivery model and other front-office centralization and back-office optimization</w:t>
      </w:r>
      <w:r>
        <w:rPr>
          <w:rFonts w:ascii="Arial" w:cs="Arial" w:eastAsia="Arial" w:hAnsi="Arial"/>
          <w:sz w:val="18"/>
          <w:szCs w:val="18"/>
          <w:color w:val="282A32"/>
        </w:rPr>
        <w:t>;</w:t>
      </w:r>
    </w:p>
    <w:p>
      <w:pPr>
        <w:spacing w:after="0" w:line="170" w:lineRule="exact"/>
        <w:rPr>
          <w:rFonts w:ascii="Arial" w:cs="Arial" w:eastAsia="Arial" w:hAnsi="Arial"/>
          <w:sz w:val="18"/>
          <w:szCs w:val="18"/>
          <w:color w:val="282A32"/>
        </w:rPr>
      </w:pPr>
    </w:p>
    <w:p>
      <w:pPr>
        <w:ind w:left="660" w:hanging="328"/>
        <w:spacing w:after="0"/>
        <w:tabs>
          <w:tab w:leader="none" w:pos="660" w:val="left"/>
        </w:tabs>
        <w:numPr>
          <w:ilvl w:val="0"/>
          <w:numId w:val="28"/>
        </w:numPr>
        <w:rPr>
          <w:rFonts w:ascii="Arial" w:cs="Arial" w:eastAsia="Arial" w:hAnsi="Arial"/>
          <w:sz w:val="18"/>
          <w:szCs w:val="18"/>
          <w:color w:val="282A32"/>
        </w:rPr>
      </w:pPr>
      <w:r>
        <w:rPr>
          <w:rFonts w:ascii="Arial" w:cs="Arial" w:eastAsia="Arial" w:hAnsi="Arial"/>
          <w:sz w:val="18"/>
          <w:szCs w:val="18"/>
          <w:color w:val="282A32"/>
        </w:rPr>
        <w:t>restructuring costs of $39.3 million incurred in the first half of 2018 compared to $34.5 million incurred in the first half of 2017;</w:t>
      </w:r>
    </w:p>
    <w:p>
      <w:pPr>
        <w:spacing w:after="0" w:line="225" w:lineRule="exact"/>
        <w:rPr>
          <w:rFonts w:ascii="Arial" w:cs="Arial" w:eastAsia="Arial" w:hAnsi="Arial"/>
          <w:sz w:val="18"/>
          <w:szCs w:val="18"/>
          <w:color w:val="282A32"/>
        </w:rPr>
      </w:pPr>
    </w:p>
    <w:p>
      <w:pPr>
        <w:ind w:left="660" w:hanging="328"/>
        <w:spacing w:after="0"/>
        <w:tabs>
          <w:tab w:leader="none" w:pos="660" w:val="left"/>
        </w:tabs>
        <w:numPr>
          <w:ilvl w:val="0"/>
          <w:numId w:val="28"/>
        </w:numPr>
        <w:rPr>
          <w:rFonts w:ascii="Arial" w:cs="Arial" w:eastAsia="Arial" w:hAnsi="Arial"/>
          <w:sz w:val="18"/>
          <w:szCs w:val="18"/>
          <w:color w:val="282A32"/>
        </w:rPr>
      </w:pPr>
      <w:r>
        <w:rPr>
          <w:rFonts w:ascii="Arial" w:cs="Arial" w:eastAsia="Arial" w:hAnsi="Arial"/>
          <w:sz w:val="18"/>
          <w:szCs w:val="18"/>
          <w:color w:val="282A32"/>
        </w:rPr>
        <w:t xml:space="preserve">a </w:t>
      </w:r>
      <w:r>
        <w:rPr>
          <w:rFonts w:ascii="Arial" w:cs="Arial" w:eastAsia="Arial" w:hAnsi="Arial"/>
          <w:sz w:val="18"/>
          <w:szCs w:val="18"/>
          <w:color w:val="000000"/>
        </w:rPr>
        <w:t>6.6%</w:t>
      </w:r>
      <w:r>
        <w:rPr>
          <w:rFonts w:ascii="Arial" w:cs="Arial" w:eastAsia="Arial" w:hAnsi="Arial"/>
          <w:sz w:val="18"/>
          <w:szCs w:val="18"/>
          <w:color w:val="282A32"/>
        </w:rPr>
        <w:t xml:space="preserve"> increase due to the impact of changes in currency exchange rates; and</w:t>
      </w:r>
    </w:p>
    <w:p>
      <w:pPr>
        <w:spacing w:after="0" w:line="225" w:lineRule="exact"/>
        <w:rPr>
          <w:rFonts w:ascii="Arial" w:cs="Arial" w:eastAsia="Arial" w:hAnsi="Arial"/>
          <w:sz w:val="18"/>
          <w:szCs w:val="18"/>
          <w:color w:val="282A32"/>
        </w:rPr>
      </w:pPr>
    </w:p>
    <w:p>
      <w:pPr>
        <w:ind w:left="660" w:hanging="328"/>
        <w:spacing w:after="0" w:line="277" w:lineRule="auto"/>
        <w:tabs>
          <w:tab w:leader="none" w:pos="660" w:val="left"/>
        </w:tabs>
        <w:numPr>
          <w:ilvl w:val="0"/>
          <w:numId w:val="28"/>
        </w:numPr>
        <w:rPr>
          <w:rFonts w:ascii="Arial" w:cs="Arial" w:eastAsia="Arial" w:hAnsi="Arial"/>
          <w:sz w:val="18"/>
          <w:szCs w:val="18"/>
          <w:color w:val="282A32"/>
        </w:rPr>
      </w:pPr>
      <w:r>
        <w:rPr>
          <w:rFonts w:ascii="Arial" w:cs="Arial" w:eastAsia="Arial" w:hAnsi="Arial"/>
          <w:sz w:val="18"/>
          <w:szCs w:val="18"/>
          <w:color w:val="282A32"/>
        </w:rPr>
        <w:t>the additional recurring selling and administrative costs of $6.3 million incurred as a result of acquisitions in the Americas, Southern Europe and APME; partially offset by</w:t>
      </w:r>
    </w:p>
    <w:p>
      <w:pPr>
        <w:spacing w:after="0" w:line="170" w:lineRule="exact"/>
        <w:rPr>
          <w:rFonts w:ascii="Arial" w:cs="Arial" w:eastAsia="Arial" w:hAnsi="Arial"/>
          <w:sz w:val="18"/>
          <w:szCs w:val="18"/>
          <w:color w:val="282A32"/>
        </w:rPr>
      </w:pPr>
    </w:p>
    <w:p>
      <w:pPr>
        <w:ind w:left="660" w:hanging="328"/>
        <w:spacing w:after="0" w:line="277" w:lineRule="auto"/>
        <w:tabs>
          <w:tab w:leader="none" w:pos="660" w:val="left"/>
        </w:tabs>
        <w:numPr>
          <w:ilvl w:val="0"/>
          <w:numId w:val="28"/>
        </w:numPr>
        <w:rPr>
          <w:rFonts w:ascii="Arial" w:cs="Arial" w:eastAsia="Arial" w:hAnsi="Arial"/>
          <w:sz w:val="18"/>
          <w:szCs w:val="18"/>
          <w:color w:val="282A32"/>
        </w:rPr>
      </w:pPr>
      <w:r>
        <w:rPr>
          <w:rFonts w:ascii="Arial" w:cs="Arial" w:eastAsia="Arial" w:hAnsi="Arial"/>
          <w:sz w:val="18"/>
          <w:szCs w:val="18"/>
          <w:color w:val="auto"/>
        </w:rPr>
        <w:t>a 4.6% constant currency decrease (increase of 1.2% as reported) in organic variable incentive costs due to a decline in profitability in certain markets</w:t>
      </w:r>
      <w:r>
        <w:rPr>
          <w:rFonts w:ascii="Arial" w:cs="Arial" w:eastAsia="Arial" w:hAnsi="Arial"/>
          <w:sz w:val="18"/>
          <w:szCs w:val="18"/>
          <w:color w:val="282A32"/>
        </w:rPr>
        <w:t>.</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Selling and administrative expenses as a percent of revenues decreased 50 basis points (0.50%) in the six months ended June 30, 2018 compared to 2017 due to a 50 basis point (-0.50%) favorable impact from better expense leverage as a result of our strong focus on productivity and efficiency, a 10 basis point (-0.10%) favorable impact from changes in currency exchange rates, and a 10 basis point (-0.10%) favorable impact due to the decrease in organic variable incentive costs, partially offset by a 20 basis point (0.20%) unfavorable impact due to the consulting costs incurred in the first half of 2018.</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Interest and other expenses were $26.6 million for the six months ended June 30, 2018 compared to $26.8 million for the six months ended June 30, 2017. Net interest expense increased $2.7 million for the six months ended June 30, 2018 to $24.3 million from $21.6 million for the six months ended June 30, 2017 due to interest rates increasing. Miscellaneous expenses decreased to $2.5 million for the six months ended June 30, 2018 from $4.9 million for the six months ended June 30, 2017. The first half of 2018 included a gain on sale of investments partially offset by a loss on the change in fair value of the investments both held by our minority-owned Swiss franchise. The first half of 2017 included a loss on an investment.</w:t>
      </w:r>
    </w:p>
    <w:p>
      <w:pPr>
        <w:spacing w:after="0" w:line="1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recorded income tax expense at an effective rate of 28.3% for the six months ended June 30, 2018 as compared to an effective rate of 35.4% for the six months ended June 30, 2017. The 2018 rate was favorably impacted by the enactment of the Tax Act. The 28.3% effective tax rate in the quarter was higher than the United States Federal statutory rate of 21% due primarily to the French business tax.</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earnings per share - diluted was $3.62 and $2.80 for the six months ended June 30, 2018 and 2017, respectively. Foreign currency exchange rates negatively impacted net earnings per share - diluted by approximately $0.23 per share for the six months ended June 30, 2018. Restructuring costs recorded in the six months ended June 30, 2018 negatively impacted net earnings per share - diluted by approximately $0.45 and $0.41 per share, net of tax, for the six months ended June 30, 2018 and 2017, respectively.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Weighted average shares - diluted decreased 2.8% to 66.4 million for the six months ended June 30, 2018 from 68.3 million for the six months ended June 30, 2017. This decrease was due to the impact of share repurchases completed since the second quarter of 2017 and the full weighting of the repurchases completed in the first half of 2017, partially offset by shares issued as a result of exercises and vesting of share-based awards since the second quarter of 2017.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the Americas, revenues from services decreased 0.4% (increase of 1.9% in constant currency and 1.0% in organic constant currency) in the second quarter of 2018 compared to 2017. In the United States, revenues from services decreased 4.6% in the second quarter of 2018 compared to 2017, primarily driven by a decline in our Experis interim services, </w:t>
      </w:r>
      <w:r>
        <w:rPr>
          <w:rFonts w:ascii="Arial" w:cs="Arial" w:eastAsia="Arial" w:hAnsi="Arial"/>
          <w:sz w:val="16"/>
          <w:szCs w:val="16"/>
          <w:color w:val="282A32"/>
        </w:rPr>
        <w:t>specifically within the IT sector because of decreased demand from a few larger clients, a decline in demand for our</w:t>
      </w:r>
      <w:r>
        <w:rPr>
          <w:rFonts w:ascii="Arial" w:cs="Arial" w:eastAsia="Arial" w:hAnsi="Arial"/>
          <w:sz w:val="16"/>
          <w:szCs w:val="16"/>
          <w:color w:val="auto"/>
        </w:rPr>
        <w:t xml:space="preserve"> </w:t>
      </w:r>
      <w:r>
        <w:rPr>
          <w:rFonts w:ascii="Arial" w:cs="Arial" w:eastAsia="Arial" w:hAnsi="Arial"/>
          <w:sz w:val="16"/>
          <w:szCs w:val="16"/>
          <w:color w:val="282A32"/>
        </w:rPr>
        <w:t>Manpower staffing services, and a decrease in our solutions business primarily related to non-recurrence of certain low-margin business within our MSP offering</w:t>
      </w:r>
      <w:r>
        <w:rPr>
          <w:rFonts w:ascii="Arial" w:cs="Arial" w:eastAsia="Arial" w:hAnsi="Arial"/>
          <w:sz w:val="16"/>
          <w:szCs w:val="16"/>
          <w:color w:val="000000"/>
        </w:rPr>
        <w:t>. In Other Americas, revenues from services increased 6.9% (13.1% in constant currency and 10.8% in organic currency) in the second quarter of</w:t>
      </w:r>
      <w:r>
        <w:rPr>
          <w:rFonts w:ascii="Arial" w:cs="Arial" w:eastAsia="Arial" w:hAnsi="Arial"/>
          <w:sz w:val="16"/>
          <w:szCs w:val="16"/>
          <w:color w:val="282A32"/>
        </w:rPr>
        <w:t xml:space="preserve"> </w:t>
      </w:r>
      <w:r>
        <w:rPr>
          <w:rFonts w:ascii="Arial" w:cs="Arial" w:eastAsia="Arial" w:hAnsi="Arial"/>
          <w:sz w:val="16"/>
          <w:szCs w:val="16"/>
          <w:color w:val="000000"/>
        </w:rPr>
        <w:t>2018 compared to 2017. We experienced constant currency revenue growth in Mexico, Canada, Argentina, Colombia, Peru and Brazil of 8.7%, 6.5%, 19.4%, 16.2%, 4.9% and 17.6%, respectively (4.0%, 10.8%, -19.1%, 19.6%, 5.0% and 4.8%, respectively, as reported). The constant currency increase in Argentina was primarily due to inflation. There has been a steady devaluation of the Argentine peso relative to the United States dollar in the last few years. As of July 1, 2018, the Argentina economy has been designated as highly-inflationary and will be treated as such for accounting purposes starting in the third quarter of 2018. We do not expect this designation to have a material impact on our Consolidated Financial Statements.</w:t>
      </w:r>
    </w:p>
    <w:p>
      <w:pPr>
        <w:spacing w:after="0" w:line="1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the Americas, revenues from services decreased 0.4% (increase of 0.6% in constant currency and -0.2% in organic constant currency) in the six months ended June 30, 2018 compared to 2017. In the United States, revenues from services decreased 5.7% in the six months ended June 30, 2018 compared to 2017, primarily driven by a decline in our Experis interim services, </w:t>
      </w:r>
      <w:r>
        <w:rPr>
          <w:rFonts w:ascii="Arial" w:cs="Arial" w:eastAsia="Arial" w:hAnsi="Arial"/>
          <w:sz w:val="18"/>
          <w:szCs w:val="18"/>
          <w:color w:val="282A32"/>
        </w:rPr>
        <w:t>specifically within the IT sector because of decreased demand from a few larger clients, a</w:t>
      </w:r>
      <w:r>
        <w:rPr>
          <w:rFonts w:ascii="Arial" w:cs="Arial" w:eastAsia="Arial" w:hAnsi="Arial"/>
          <w:sz w:val="18"/>
          <w:szCs w:val="18"/>
          <w:color w:val="auto"/>
        </w:rPr>
        <w:t xml:space="preserve"> </w:t>
      </w:r>
      <w:r>
        <w:rPr>
          <w:rFonts w:ascii="Arial" w:cs="Arial" w:eastAsia="Arial" w:hAnsi="Arial"/>
          <w:sz w:val="18"/>
          <w:szCs w:val="18"/>
          <w:color w:val="282A32"/>
        </w:rPr>
        <w:t>decline in demand for our Manpower staffing services, and a decrease in our solutions business, primarily related to non-recurrence of certain low-margin business within our MSP offering</w:t>
      </w:r>
      <w:r>
        <w:rPr>
          <w:rFonts w:ascii="Arial" w:cs="Arial" w:eastAsia="Arial" w:hAnsi="Arial"/>
          <w:sz w:val="18"/>
          <w:szCs w:val="18"/>
          <w:color w:val="000000"/>
        </w:rPr>
        <w:t>. In Other Americas, revenues from services increased 9.1% (11.9% in constant currency and 9.5% in organic currency) in</w:t>
      </w:r>
      <w:r>
        <w:rPr>
          <w:rFonts w:ascii="Arial" w:cs="Arial" w:eastAsia="Arial" w:hAnsi="Arial"/>
          <w:sz w:val="18"/>
          <w:szCs w:val="18"/>
          <w:color w:val="282A32"/>
        </w:rPr>
        <w:t xml:space="preserve"> </w:t>
      </w:r>
      <w:r>
        <w:rPr>
          <w:rFonts w:ascii="Arial" w:cs="Arial" w:eastAsia="Arial" w:hAnsi="Arial"/>
          <w:sz w:val="18"/>
          <w:szCs w:val="18"/>
          <w:color w:val="000000"/>
        </w:rPr>
        <w:t>the six months ended June 30, 2018 compared to 2017. We experienced constant currency revenue growth in Mexico, Canada, Argentina, Colombia and Peru of 9.8%, 2.1%, 16.6%, 13.4% and 3.2%, respectively (11.5%, 6.5%, -14.2%, 16.3% and 4.0%, respectively, as reported). The increase in Argentina is primarily due to inflation.</w:t>
      </w:r>
    </w:p>
    <w:p>
      <w:pPr>
        <w:spacing w:after="0" w:line="19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Gross profit margin decreased in both the second quarter and first half of 2018 compared to 2017 as a result of the decline in the </w:t>
      </w:r>
      <w:r>
        <w:rPr>
          <w:rFonts w:ascii="Arial" w:cs="Arial" w:eastAsia="Arial" w:hAnsi="Arial"/>
          <w:sz w:val="16"/>
          <w:szCs w:val="16"/>
          <w:color w:val="282A32"/>
        </w:rPr>
        <w:t>staffing/interim margin in the</w:t>
      </w:r>
      <w:r>
        <w:rPr>
          <w:rFonts w:ascii="Arial" w:cs="Arial" w:eastAsia="Arial" w:hAnsi="Arial"/>
          <w:sz w:val="16"/>
          <w:szCs w:val="16"/>
          <w:color w:val="auto"/>
        </w:rPr>
        <w:t xml:space="preserve"> </w:t>
      </w:r>
      <w:r>
        <w:rPr>
          <w:rFonts w:ascii="Arial" w:cs="Arial" w:eastAsia="Arial" w:hAnsi="Arial"/>
          <w:sz w:val="16"/>
          <w:szCs w:val="16"/>
          <w:color w:val="282A32"/>
        </w:rPr>
        <w:t xml:space="preserve">United States, due to </w:t>
      </w:r>
      <w:r>
        <w:rPr>
          <w:rFonts w:ascii="Arial" w:cs="Arial" w:eastAsia="Arial" w:hAnsi="Arial"/>
          <w:sz w:val="16"/>
          <w:szCs w:val="16"/>
          <w:color w:val="000000"/>
        </w:rPr>
        <w:t>the non-recurrence of certain prior year reductions related to workers compensation and health care costs in the United States</w:t>
      </w:r>
      <w:r>
        <w:rPr>
          <w:rFonts w:ascii="Arial" w:cs="Arial" w:eastAsia="Arial" w:hAnsi="Arial"/>
          <w:sz w:val="16"/>
          <w:szCs w:val="16"/>
          <w:color w:val="282A32"/>
        </w:rPr>
        <w:t xml:space="preserve">, partially </w:t>
      </w:r>
      <w:r>
        <w:rPr>
          <w:rFonts w:ascii="Arial" w:cs="Arial" w:eastAsia="Arial" w:hAnsi="Arial"/>
          <w:sz w:val="16"/>
          <w:szCs w:val="16"/>
          <w:color w:val="000000"/>
        </w:rPr>
        <w:t>offset by an increase of 3.5% and 1.4%, respectively (4.7% and 2.0%, respectively, in constant currency) in the permanent recruitment business</w:t>
      </w:r>
      <w:r>
        <w:rPr>
          <w:rFonts w:ascii="Arial" w:cs="Arial" w:eastAsia="Arial" w:hAnsi="Arial"/>
          <w:sz w:val="16"/>
          <w:szCs w:val="16"/>
          <w:color w:val="282A32"/>
        </w:rPr>
        <w:t>.</w:t>
      </w:r>
    </w:p>
    <w:p>
      <w:pPr>
        <w:spacing w:after="0" w:line="14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the second quarter and first half of 2018, selling and administrative expenses decreased 5.1% and 4.1%, respectively (-3.2% and -3.1%, respectively, in constant currency; -3.8% in organic constant currency for both the second quarter and first half of 2018), due primarily to s</w:t>
      </w:r>
      <w:r>
        <w:rPr>
          <w:rFonts w:ascii="Arial" w:cs="Arial" w:eastAsia="Arial" w:hAnsi="Arial"/>
          <w:sz w:val="17"/>
          <w:szCs w:val="17"/>
          <w:color w:val="282A32"/>
        </w:rPr>
        <w:t>trong cost management and a</w:t>
      </w:r>
      <w:r>
        <w:rPr>
          <w:rFonts w:ascii="Arial" w:cs="Arial" w:eastAsia="Arial" w:hAnsi="Arial"/>
          <w:sz w:val="17"/>
          <w:szCs w:val="17"/>
          <w:color w:val="auto"/>
        </w:rPr>
        <w:t xml:space="preserve"> </w:t>
      </w:r>
      <w:r>
        <w:rPr>
          <w:rFonts w:ascii="Arial" w:cs="Arial" w:eastAsia="Arial" w:hAnsi="Arial"/>
          <w:sz w:val="17"/>
          <w:szCs w:val="17"/>
          <w:color w:val="282A32"/>
        </w:rPr>
        <w:t>decline in salary-related expenses as a result of lower headcount in the United States and a decrease in restructuring costs to zero and $0.3 million in the second quarter and first half of 2018, respectively, from $6.3 million for both the second quarter and first half of 2017. These decreases were partially offset by increased consulting costs related to certain technology projects and back-office and delivery-model optimization activities and the additional recurring selling and administrative costs incurred as a result of an acquisition in Other Americas</w:t>
      </w:r>
      <w:r>
        <w:rPr>
          <w:rFonts w:ascii="Arial" w:cs="Arial" w:eastAsia="Arial" w:hAnsi="Arial"/>
          <w:sz w:val="17"/>
          <w:szCs w:val="17"/>
          <w:color w:val="000000"/>
        </w:rPr>
        <w:t>.</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Unit Profit (“OUP”) margin in the Americas was 5.4% for both the second quarter of 2018 and 2017. In the United States, OUP margin decreased to 6.0% in the second quarter of 2018 from 6.6% in 2017 due to the decline in the gross profit margin, partially offset by the decrease in restructuring costs and strong cost management. Other Americas OUP margin increased to 4.5% in the second quarter of 2018 compared to 3.4% in 2017 due to improved operating leverage on increased revenues.</w:t>
      </w:r>
    </w:p>
    <w:p>
      <w:pPr>
        <w:spacing w:after="0" w:line="187"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OUP margin in the Americas was 4.8% and 4.6% for the six months ended June 30, 2018 and 2017, respectively, due to the expansion of the United States margin. In the United States, OUP margin decreased to 5.2% in the six months ended June 30, 2018 from 5.3% in 2017 due to the decline in the gross profit margin, partially offset by the decrease in restructuring costs. Other Americas OUP margin increased to 4.2% in the six months ended June 30, 2018 from</w:t>
      </w:r>
    </w:p>
    <w:p>
      <w:pPr>
        <w:jc w:val="both"/>
        <w:ind w:right="140"/>
        <w:spacing w:after="0" w:line="261" w:lineRule="auto"/>
        <w:rPr>
          <w:sz w:val="20"/>
          <w:szCs w:val="20"/>
          <w:color w:val="auto"/>
        </w:rPr>
      </w:pPr>
      <w:r>
        <w:rPr>
          <w:rFonts w:ascii="Arial" w:cs="Arial" w:eastAsia="Arial" w:hAnsi="Arial"/>
          <w:sz w:val="18"/>
          <w:szCs w:val="18"/>
          <w:color w:val="auto"/>
        </w:rPr>
        <w:t xml:space="preserve">3.4% due to </w:t>
      </w:r>
      <w:r>
        <w:rPr>
          <w:rFonts w:ascii="Arial" w:cs="Arial" w:eastAsia="Arial" w:hAnsi="Arial"/>
          <w:sz w:val="18"/>
          <w:szCs w:val="18"/>
          <w:color w:val="282A32"/>
        </w:rPr>
        <w:t>improved operational leverage, as we were able to support an increase in revenues without a similar increase in expenses, partially offset by the</w:t>
      </w:r>
      <w:r>
        <w:rPr>
          <w:rFonts w:ascii="Arial" w:cs="Arial" w:eastAsia="Arial" w:hAnsi="Arial"/>
          <w:sz w:val="18"/>
          <w:szCs w:val="18"/>
          <w:color w:val="auto"/>
        </w:rPr>
        <w:t xml:space="preserve"> </w:t>
      </w:r>
      <w:r>
        <w:rPr>
          <w:rFonts w:ascii="Arial" w:cs="Arial" w:eastAsia="Arial" w:hAnsi="Arial"/>
          <w:sz w:val="18"/>
          <w:szCs w:val="18"/>
          <w:color w:val="282A32"/>
        </w:rPr>
        <w:t>restructuring costs incurred in the first half of 2018</w:t>
      </w:r>
      <w:r>
        <w:rPr>
          <w:rFonts w:ascii="Arial" w:cs="Arial" w:eastAsia="Arial" w:hAnsi="Arial"/>
          <w:sz w:val="18"/>
          <w:szCs w:val="18"/>
          <w:color w:val="000000"/>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Southern Europe, which includes operations in France and Italy, revenues from services increased 14.0% (5.8% in constant currency) in the second quarter of 2018 compared to 2017. In the second quarter of 2018, revenues from services increased 11.5% (3.1% in constant currency) in France (which represents 62% of Southern Europe’s revenues) and increased 20.9% (11.8% in constant currency) in Italy (which represents 18% of Southern Europe’s revenues). The increase in France is primarily due to the growth in client accounts within the staffing market and an increase in our permanent recruitment business of 17.9% (9.0% in constant currency). After adjusting for billing days, our constant currency revenue growth in France was 3% in the second quarter of 2018 compared to 9% in the first quarter of 2018 due to softer demand, as economic indicators suggested that the national economy saw a slight decline in the rate of expansion. The increase in Italy was due to increased demand for our Manpower staffing services and a 17.7% increase (9.0% in constant currency) in the permanent recruitment business. In Other Southern Europe, revenues from services increased 15.9% (9.3% in constant currency, 9.0% in organic constant currency) during the second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68"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quarter of 2018 compared to 2017, primarily due to increased demand for our Manpower staffing services, the 18.0% increase (9.1% in constant currency;</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8.3% in organic constant currency) in Spain, the increase in our permanent recruitment business of 27.5% (21.2% in constant currency) and an increase in our ManpowerGroup Solutions business.</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Revenues from services increased 20.5% (8.4% in constant currency) in the six months ended June 30, 2018 compared to 2017. In the six months ended June 30, 2018, revenues from services increased 17.7% (5.5% in constant currency) in France and increased 29.6% (16.2% in constant currency) in Italy. The increase in France is primarily due to the strong growth in our large client accounts within the staffing market and an increase in our permanent recruitment business of 12.1% (25.2% in constant currency). The increase in Italy is due to increased demand for our Manpower staffing services and a 24.1% increase (11.4% in constant currency) in the permanent recruitment business. In Other Southern Europe, revenues from services increased 21.4% (10.7% in constant currency, 9.2% in organic constant currency) during the six months ended June 30, 2018 compared to 2017, primarily due to increased demand for our Manpower staffing services, the 25.9% increase (12.8% in constant currency; 8.6% in organic constant currency) in Spain, the increase in our permanent recruitment business of 39.2% (27.6% in constant currency) and an increase in our ManpowerGroup Solutions business.</w:t>
      </w:r>
    </w:p>
    <w:p>
      <w:pPr>
        <w:spacing w:after="0" w:line="166"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 xml:space="preserve">Gross profit margin decreased in both the second quarter and first half of 2018 compared to 2017 primarily due to a decrease in France's staffing/interim margin as a result of the decrease in the CICE payroll tax credit rate </w:t>
      </w:r>
      <w:r>
        <w:rPr>
          <w:rFonts w:ascii="Arial" w:cs="Arial" w:eastAsia="Arial" w:hAnsi="Arial"/>
          <w:sz w:val="17"/>
          <w:szCs w:val="17"/>
          <w:color w:val="282A32"/>
        </w:rPr>
        <w:t>and a decrease in Italy's Manpower staffing margin primarily due to business mix</w:t>
      </w:r>
      <w:r>
        <w:rPr>
          <w:rFonts w:ascii="Arial" w:cs="Arial" w:eastAsia="Arial" w:hAnsi="Arial"/>
          <w:sz w:val="17"/>
          <w:szCs w:val="17"/>
          <w:color w:val="auto"/>
        </w:rPr>
        <w:t xml:space="preserve"> </w:t>
      </w:r>
      <w:r>
        <w:rPr>
          <w:rFonts w:ascii="Arial" w:cs="Arial" w:eastAsia="Arial" w:hAnsi="Arial"/>
          <w:sz w:val="17"/>
          <w:szCs w:val="17"/>
          <w:color w:val="282A32"/>
        </w:rPr>
        <w:t>changes and pricing pressures</w:t>
      </w:r>
      <w:r>
        <w:rPr>
          <w:rFonts w:ascii="Arial" w:cs="Arial" w:eastAsia="Arial" w:hAnsi="Arial"/>
          <w:sz w:val="17"/>
          <w:szCs w:val="17"/>
          <w:color w:val="000000"/>
        </w:rPr>
        <w:t>. These decreases were partially offset by an increase in the second quarter and first half of 21.1% and 29.7%,</w:t>
      </w:r>
      <w:r>
        <w:rPr>
          <w:rFonts w:ascii="Arial" w:cs="Arial" w:eastAsia="Arial" w:hAnsi="Arial"/>
          <w:sz w:val="17"/>
          <w:szCs w:val="17"/>
          <w:color w:val="282A32"/>
        </w:rPr>
        <w:t xml:space="preserve"> </w:t>
      </w:r>
      <w:r>
        <w:rPr>
          <w:rFonts w:ascii="Arial" w:cs="Arial" w:eastAsia="Arial" w:hAnsi="Arial"/>
          <w:sz w:val="17"/>
          <w:szCs w:val="17"/>
          <w:color w:val="000000"/>
        </w:rPr>
        <w:t>respectively (13.2% and 17.2%, respectively, in constant currency), in our permanent recruitment business.</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Selling and administrative expenses increased 14.5% (6.3% in constant currency; 6.2% in organic constant currency) during the second quarter of 2018 compared to 2017 and 20.0% (7.8% in constant currency; 7.5% in organic constant currency) during the six months ended June 30, 2018 compared to 2017. The increases are </w:t>
      </w:r>
      <w:r>
        <w:rPr>
          <w:rFonts w:ascii="Arial" w:cs="Arial" w:eastAsia="Arial" w:hAnsi="Arial"/>
          <w:sz w:val="17"/>
          <w:szCs w:val="17"/>
          <w:color w:val="282A32"/>
        </w:rPr>
        <w:t>primarily due to an increase in organic salary-related expenses, as a result of higher headcount, restructuring costs of $2.3 million and $5.4</w:t>
      </w:r>
      <w:r>
        <w:rPr>
          <w:rFonts w:ascii="Arial" w:cs="Arial" w:eastAsia="Arial" w:hAnsi="Arial"/>
          <w:sz w:val="17"/>
          <w:szCs w:val="17"/>
          <w:color w:val="auto"/>
        </w:rPr>
        <w:t xml:space="preserve"> </w:t>
      </w:r>
      <w:r>
        <w:rPr>
          <w:rFonts w:ascii="Arial" w:cs="Arial" w:eastAsia="Arial" w:hAnsi="Arial"/>
          <w:sz w:val="17"/>
          <w:szCs w:val="17"/>
          <w:color w:val="282A32"/>
        </w:rPr>
        <w:t>million, respectively, in the second quarter and first half of 2018, non-personnel related costs to support the increase in revenues, and the additional recurring selling and administrative costs incurred as a result of the acquisitions in Spain.</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OUP margin in Southern Europe was 5.0% for the second quarter of 2018 compared to 5.2% for 2017. In France, the OUP margin decreased to 4.8% for the second quarter of 2018 from 5.2% in 2017, primarily due to the decline in the gross profit margin and an increase in expenses as we invest to support higher growth. In Italy, the OUP margin decreased to 7.2% for the second quarter of 2018 from 7.5% for 2017, primarily due to the decline in the gross profit margin and the restructuring costs incurred in the second quarter of 2018, partially offset by </w:t>
      </w:r>
      <w:r>
        <w:rPr>
          <w:rFonts w:ascii="Arial" w:cs="Arial" w:eastAsia="Arial" w:hAnsi="Arial"/>
          <w:sz w:val="17"/>
          <w:szCs w:val="17"/>
          <w:color w:val="282A32"/>
        </w:rPr>
        <w:t>improved operational leverage, as we were able to support an increase in</w:t>
      </w:r>
      <w:r>
        <w:rPr>
          <w:rFonts w:ascii="Arial" w:cs="Arial" w:eastAsia="Arial" w:hAnsi="Arial"/>
          <w:sz w:val="17"/>
          <w:szCs w:val="17"/>
          <w:color w:val="auto"/>
        </w:rPr>
        <w:t xml:space="preserve"> </w:t>
      </w:r>
      <w:r>
        <w:rPr>
          <w:rFonts w:ascii="Arial" w:cs="Arial" w:eastAsia="Arial" w:hAnsi="Arial"/>
          <w:sz w:val="17"/>
          <w:szCs w:val="17"/>
          <w:color w:val="282A32"/>
        </w:rPr>
        <w:t>revenues without a similar increase in expenses</w:t>
      </w:r>
      <w:r>
        <w:rPr>
          <w:rFonts w:ascii="Arial" w:cs="Arial" w:eastAsia="Arial" w:hAnsi="Arial"/>
          <w:sz w:val="17"/>
          <w:szCs w:val="17"/>
          <w:color w:val="000000"/>
        </w:rPr>
        <w:t>. Other Southern Europe’s OUP margin increased to 3.5% for the second quarter of 2018 from 3.0% in 2017,</w:t>
      </w:r>
      <w:r>
        <w:rPr>
          <w:rFonts w:ascii="Arial" w:cs="Arial" w:eastAsia="Arial" w:hAnsi="Arial"/>
          <w:sz w:val="17"/>
          <w:szCs w:val="17"/>
          <w:color w:val="282A32"/>
        </w:rPr>
        <w:t xml:space="preserve"> </w:t>
      </w:r>
      <w:r>
        <w:rPr>
          <w:rFonts w:ascii="Arial" w:cs="Arial" w:eastAsia="Arial" w:hAnsi="Arial"/>
          <w:sz w:val="17"/>
          <w:szCs w:val="17"/>
          <w:color w:val="000000"/>
        </w:rPr>
        <w:t xml:space="preserve">due to </w:t>
      </w:r>
      <w:r>
        <w:rPr>
          <w:rFonts w:ascii="Arial" w:cs="Arial" w:eastAsia="Arial" w:hAnsi="Arial"/>
          <w:sz w:val="17"/>
          <w:szCs w:val="17"/>
          <w:color w:val="282A32"/>
        </w:rPr>
        <w:t>improved operational leverage, as we were able to support an increase in revenues without a similar increase in expenses,</w:t>
      </w:r>
      <w:r>
        <w:rPr>
          <w:rFonts w:ascii="Arial" w:cs="Arial" w:eastAsia="Arial" w:hAnsi="Arial"/>
          <w:sz w:val="17"/>
          <w:szCs w:val="17"/>
          <w:color w:val="000000"/>
        </w:rPr>
        <w:t xml:space="preserve"> an increase in the gross profit margin, partially offset by the restructuring costs incurred in the second quarter of 2018.</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OUP margin in Southern Europe was 4.6% for the six months ended June 30, 2018 compared to 4.9% for 2017. In France, the OUP margin decreased to 4.5% for the six months ended June 30, 2018 from 4.9% for 2017, primarily due to the decline in the gross profit margin and an increase in expenses as we invest to support higher growth. In Italy, the OUP margin decreased to 6.7% for the six months ended June 30, 2018 from 6.9% for 2017, due to the decline in the gross profit margin and the restructuring costs incurred in the first half of 2018, partially offset by </w:t>
      </w:r>
      <w:r>
        <w:rPr>
          <w:rFonts w:ascii="Arial" w:cs="Arial" w:eastAsia="Arial" w:hAnsi="Arial"/>
          <w:sz w:val="16"/>
          <w:szCs w:val="16"/>
          <w:color w:val="282A32"/>
        </w:rPr>
        <w:t>improved operational leverage, as we were able to support</w:t>
      </w:r>
      <w:r>
        <w:rPr>
          <w:rFonts w:ascii="Arial" w:cs="Arial" w:eastAsia="Arial" w:hAnsi="Arial"/>
          <w:sz w:val="16"/>
          <w:szCs w:val="16"/>
          <w:color w:val="auto"/>
        </w:rPr>
        <w:t xml:space="preserve"> </w:t>
      </w:r>
      <w:r>
        <w:rPr>
          <w:rFonts w:ascii="Arial" w:cs="Arial" w:eastAsia="Arial" w:hAnsi="Arial"/>
          <w:sz w:val="16"/>
          <w:szCs w:val="16"/>
          <w:color w:val="282A32"/>
        </w:rPr>
        <w:t>an increase in revenues without a similar increase in expenses</w:t>
      </w:r>
      <w:r>
        <w:rPr>
          <w:rFonts w:ascii="Arial" w:cs="Arial" w:eastAsia="Arial" w:hAnsi="Arial"/>
          <w:sz w:val="16"/>
          <w:szCs w:val="16"/>
          <w:color w:val="000000"/>
        </w:rPr>
        <w:t>. Other Southern Europe’s OUP margin increased to 3.3% for the six months ended June 30,</w:t>
      </w:r>
      <w:r>
        <w:rPr>
          <w:rFonts w:ascii="Arial" w:cs="Arial" w:eastAsia="Arial" w:hAnsi="Arial"/>
          <w:sz w:val="16"/>
          <w:szCs w:val="16"/>
          <w:color w:val="282A32"/>
        </w:rPr>
        <w:t xml:space="preserve"> </w:t>
      </w:r>
      <w:r>
        <w:rPr>
          <w:rFonts w:ascii="Arial" w:cs="Arial" w:eastAsia="Arial" w:hAnsi="Arial"/>
          <w:sz w:val="16"/>
          <w:szCs w:val="16"/>
          <w:color w:val="000000"/>
        </w:rPr>
        <w:t>2018 from 3.2% for 2017, due to the increase in the gross profit margin, partially offset by the restructuring costs incurred in the first half of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Northern Europe, which includes operations in the United Kingdom, Germany, the Nordics, the Netherlands and Belgium (representing 30%, 21%, 20%, 13%, and 8%, respectively, of Northern Europe’s revenues), revenues from services increased 8.7% (2.2% in constant currency) in the second quarter of 2018 compared to 2017. We experienced revenue growth in the United Kingdom, Germany, the Nordics, the Netherlands and Belgium of 9.4%, 8.2%, 6.8%, 7.5% and 11.8% (3.0%, -0.1%, 2.6%, -0.7% and 3.4%, respectively, in constant currency). </w:t>
      </w:r>
      <w:r>
        <w:rPr>
          <w:rFonts w:ascii="Arial" w:cs="Arial" w:eastAsia="Arial" w:hAnsi="Arial"/>
          <w:sz w:val="16"/>
          <w:szCs w:val="16"/>
          <w:color w:val="282A32"/>
        </w:rPr>
        <w:t>The Northern Europe revenue increase is due to increased demand for</w:t>
      </w:r>
      <w:r>
        <w:rPr>
          <w:rFonts w:ascii="Arial" w:cs="Arial" w:eastAsia="Arial" w:hAnsi="Arial"/>
          <w:sz w:val="16"/>
          <w:szCs w:val="16"/>
          <w:color w:val="auto"/>
        </w:rPr>
        <w:t xml:space="preserve"> </w:t>
      </w:r>
      <w:r>
        <w:rPr>
          <w:rFonts w:ascii="Arial" w:cs="Arial" w:eastAsia="Arial" w:hAnsi="Arial"/>
          <w:sz w:val="16"/>
          <w:szCs w:val="16"/>
          <w:color w:val="282A32"/>
        </w:rPr>
        <w:t xml:space="preserve">our staffing/interim services, growth in our solutions business and a </w:t>
      </w:r>
      <w:r>
        <w:rPr>
          <w:rFonts w:ascii="Arial" w:cs="Arial" w:eastAsia="Arial" w:hAnsi="Arial"/>
          <w:sz w:val="16"/>
          <w:szCs w:val="16"/>
          <w:color w:val="000000"/>
        </w:rPr>
        <w:t>16.8%</w:t>
      </w:r>
      <w:r>
        <w:rPr>
          <w:rFonts w:ascii="Arial" w:cs="Arial" w:eastAsia="Arial" w:hAnsi="Arial"/>
          <w:sz w:val="16"/>
          <w:szCs w:val="16"/>
          <w:color w:val="282A32"/>
        </w:rPr>
        <w:t xml:space="preserve"> (</w:t>
      </w:r>
      <w:r>
        <w:rPr>
          <w:rFonts w:ascii="Arial" w:cs="Arial" w:eastAsia="Arial" w:hAnsi="Arial"/>
          <w:sz w:val="16"/>
          <w:szCs w:val="16"/>
          <w:color w:val="000000"/>
        </w:rPr>
        <w:t>10.3%</w:t>
      </w:r>
      <w:r>
        <w:rPr>
          <w:rFonts w:ascii="Arial" w:cs="Arial" w:eastAsia="Arial" w:hAnsi="Arial"/>
          <w:sz w:val="16"/>
          <w:szCs w:val="16"/>
          <w:color w:val="282A32"/>
        </w:rPr>
        <w:t xml:space="preserve"> in constant currency) increase in our permanent recruitment business.</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Revenues from services increased 11.5% (1.7% in constant currency) in the six months ended June 30, 2018 compared to 2017. We experienced revenue growth in the United Kingdom, Germany, the Nordics, the Netherlands and Belgium of 10.3%, 12.4%, 8.0%, 13.4% and 15.5% (1.0%, 0.6%, 1.2%, 1.4% and 3.4%, respectively, in constant currency). </w:t>
      </w:r>
      <w:r>
        <w:rPr>
          <w:rFonts w:ascii="Arial" w:cs="Arial" w:eastAsia="Arial" w:hAnsi="Arial"/>
          <w:sz w:val="17"/>
          <w:szCs w:val="17"/>
          <w:color w:val="282A32"/>
        </w:rPr>
        <w:t>The Northern Europe revenue increase is due to growth in our solutions business, increased demand for our</w:t>
      </w:r>
      <w:r>
        <w:rPr>
          <w:rFonts w:ascii="Arial" w:cs="Arial" w:eastAsia="Arial" w:hAnsi="Arial"/>
          <w:sz w:val="17"/>
          <w:szCs w:val="17"/>
          <w:color w:val="auto"/>
        </w:rPr>
        <w:t xml:space="preserve"> </w:t>
      </w:r>
      <w:r>
        <w:rPr>
          <w:rFonts w:ascii="Arial" w:cs="Arial" w:eastAsia="Arial" w:hAnsi="Arial"/>
          <w:sz w:val="17"/>
          <w:szCs w:val="17"/>
          <w:color w:val="282A32"/>
        </w:rPr>
        <w:t xml:space="preserve">Manpower staffing services and a </w:t>
      </w:r>
      <w:r>
        <w:rPr>
          <w:rFonts w:ascii="Arial" w:cs="Arial" w:eastAsia="Arial" w:hAnsi="Arial"/>
          <w:sz w:val="17"/>
          <w:szCs w:val="17"/>
          <w:color w:val="000000"/>
        </w:rPr>
        <w:t>21.2%</w:t>
      </w:r>
      <w:r>
        <w:rPr>
          <w:rFonts w:ascii="Arial" w:cs="Arial" w:eastAsia="Arial" w:hAnsi="Arial"/>
          <w:sz w:val="17"/>
          <w:szCs w:val="17"/>
          <w:color w:val="282A32"/>
        </w:rPr>
        <w:t xml:space="preserve"> (</w:t>
      </w:r>
      <w:r>
        <w:rPr>
          <w:rFonts w:ascii="Arial" w:cs="Arial" w:eastAsia="Arial" w:hAnsi="Arial"/>
          <w:sz w:val="17"/>
          <w:szCs w:val="17"/>
          <w:color w:val="000000"/>
        </w:rPr>
        <w:t>11.0%</w:t>
      </w:r>
      <w:r>
        <w:rPr>
          <w:rFonts w:ascii="Arial" w:cs="Arial" w:eastAsia="Arial" w:hAnsi="Arial"/>
          <w:sz w:val="17"/>
          <w:szCs w:val="17"/>
          <w:color w:val="282A32"/>
        </w:rPr>
        <w:t xml:space="preserve"> in constant currency) increase in our permanent recruitment business.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jc w:val="both"/>
        <w:ind w:right="320"/>
        <w:spacing w:after="0" w:line="308" w:lineRule="auto"/>
        <w:rPr>
          <w:sz w:val="20"/>
          <w:szCs w:val="20"/>
          <w:color w:val="auto"/>
        </w:rPr>
      </w:pPr>
      <w:r>
        <w:rPr>
          <w:rFonts w:ascii="Arial" w:cs="Arial" w:eastAsia="Arial" w:hAnsi="Arial"/>
          <w:sz w:val="17"/>
          <w:szCs w:val="17"/>
          <w:color w:val="auto"/>
        </w:rPr>
        <w:t xml:space="preserve">Gross profit margin was flat in the second quarter of 2018 compared to 2017 as the </w:t>
      </w:r>
      <w:r>
        <w:rPr>
          <w:rFonts w:ascii="Arial" w:cs="Arial" w:eastAsia="Arial" w:hAnsi="Arial"/>
          <w:sz w:val="17"/>
          <w:szCs w:val="17"/>
          <w:color w:val="282A32"/>
        </w:rPr>
        <w:t>decline in our staffing/interim margin, primarily as a result of business</w:t>
      </w:r>
      <w:r>
        <w:rPr>
          <w:rFonts w:ascii="Arial" w:cs="Arial" w:eastAsia="Arial" w:hAnsi="Arial"/>
          <w:sz w:val="17"/>
          <w:szCs w:val="17"/>
          <w:color w:val="auto"/>
        </w:rPr>
        <w:t xml:space="preserve"> </w:t>
      </w:r>
      <w:r>
        <w:rPr>
          <w:rFonts w:ascii="Arial" w:cs="Arial" w:eastAsia="Arial" w:hAnsi="Arial"/>
          <w:sz w:val="17"/>
          <w:szCs w:val="17"/>
          <w:color w:val="282A32"/>
        </w:rPr>
        <w:t xml:space="preserve">mix changes, was </w:t>
      </w:r>
      <w:r>
        <w:rPr>
          <w:rFonts w:ascii="Arial" w:cs="Arial" w:eastAsia="Arial" w:hAnsi="Arial"/>
          <w:sz w:val="17"/>
          <w:szCs w:val="17"/>
          <w:color w:val="000000"/>
        </w:rPr>
        <w:t>offset by an increase in our permanent recruitment business and our higher-margin solutions business.</w:t>
      </w:r>
    </w:p>
    <w:p>
      <w:pPr>
        <w:spacing w:after="0" w:line="14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Gross profit margin decreased in the first half of 2018 compared to 2017 due to the </w:t>
      </w:r>
      <w:r>
        <w:rPr>
          <w:rFonts w:ascii="Arial" w:cs="Arial" w:eastAsia="Arial" w:hAnsi="Arial"/>
          <w:sz w:val="18"/>
          <w:szCs w:val="18"/>
          <w:color w:val="282A32"/>
        </w:rPr>
        <w:t>decline in our staffing/interim margin, primarily as a result of business</w:t>
      </w:r>
      <w:r>
        <w:rPr>
          <w:rFonts w:ascii="Arial" w:cs="Arial" w:eastAsia="Arial" w:hAnsi="Arial"/>
          <w:sz w:val="18"/>
          <w:szCs w:val="18"/>
          <w:color w:val="auto"/>
        </w:rPr>
        <w:t xml:space="preserve"> </w:t>
      </w:r>
      <w:r>
        <w:rPr>
          <w:rFonts w:ascii="Arial" w:cs="Arial" w:eastAsia="Arial" w:hAnsi="Arial"/>
          <w:sz w:val="18"/>
          <w:szCs w:val="18"/>
          <w:color w:val="282A32"/>
        </w:rPr>
        <w:t xml:space="preserve">mix changes and </w:t>
      </w:r>
      <w:r>
        <w:rPr>
          <w:rFonts w:ascii="Arial" w:cs="Arial" w:eastAsia="Arial" w:hAnsi="Arial"/>
          <w:sz w:val="18"/>
          <w:szCs w:val="18"/>
          <w:color w:val="000000"/>
        </w:rPr>
        <w:t>higher sickness rates in Germany, the Netherlands and Belgium in the first quarter of 2018, partially offset by increases in our permanent</w:t>
      </w:r>
      <w:r>
        <w:rPr>
          <w:rFonts w:ascii="Arial" w:cs="Arial" w:eastAsia="Arial" w:hAnsi="Arial"/>
          <w:sz w:val="18"/>
          <w:szCs w:val="18"/>
          <w:color w:val="282A32"/>
        </w:rPr>
        <w:t xml:space="preserve"> </w:t>
      </w:r>
      <w:r>
        <w:rPr>
          <w:rFonts w:ascii="Arial" w:cs="Arial" w:eastAsia="Arial" w:hAnsi="Arial"/>
          <w:sz w:val="18"/>
          <w:szCs w:val="18"/>
          <w:color w:val="000000"/>
        </w:rPr>
        <w:t>recruitment business and our higher-margin solutions business.</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Selling and administrative expenses increased 15.4% (8.3% in constant currency) in the second quarter of 2018 compared to 2017. Selling and administrative expenses increased 13.7% (3.4% in constant currency) in the first half of 2018 compared to 2017. The increases are due primarily to the increases in restructuring costs to $13.2 million and $33.3 million, respectively, in the second quarter and first half of 2018 from $1.2 million and $23.8 million, respectively, in the second quarter and first half of 2017. The 2018 restructuring costs related to delivery model and other front-office centralization activities as well as back-office optimization activities primarily in the United Kingdom, Germany, the Netherlands, Norway and Belgium. Excluding the restructuring costs, selling and administrative expenses increased 8.8% and 11.9%, respectively, in the second quarter and first half of 2018 (1.9% and 1.7%, respectively, in constant currency) due to </w:t>
      </w:r>
      <w:r>
        <w:rPr>
          <w:rFonts w:ascii="Arial" w:cs="Arial" w:eastAsia="Arial" w:hAnsi="Arial"/>
          <w:sz w:val="18"/>
          <w:szCs w:val="18"/>
          <w:color w:val="282A32"/>
        </w:rPr>
        <w:t>an increase in consulting costs related to certain technology projects,</w:t>
      </w:r>
      <w:r>
        <w:rPr>
          <w:rFonts w:ascii="Arial" w:cs="Arial" w:eastAsia="Arial" w:hAnsi="Arial"/>
          <w:sz w:val="18"/>
          <w:szCs w:val="18"/>
          <w:color w:val="auto"/>
        </w:rPr>
        <w:t xml:space="preserve"> front-office centralization and back-office optimization activities.</w:t>
      </w:r>
    </w:p>
    <w:p>
      <w:pPr>
        <w:spacing w:after="0" w:line="19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OUP margin for Northern Europe for the second quarter of 2018 decreased to 1.8% compared to 2.6% in 2017. OUP margin for the first half of 2018 decreased to 1.5% compared to 1.8% in 2017. The decreases were due to the increase in restructuring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APME, revenues from services increased 12.6% (10.4% in constant currency and 9.4% in organic constant currency) in the second quarter of 2018 compared to 2017. In Japan (which represents 31% of APME’s revenues), revenues from services increased 5.1% (3.3% in constant currency) due to the increased demand for our Manpower staffing services and a 29.0% increase (26.7% in constant currency) in our permanent recruitment business, and an increase in our solutions business, partially offset by the unfavorable impact of one fewer billing day in the quarter. In Australia (which represents 20% of APME’s revenues), revenues from services increased 9.8% (9.0% in constant currency) due to the increased demand for our Manpower staffing services and a 10.9% increase (10.3% in constant currency) in our permanent recruitment business. The constant currency revenue increase in the remaining markets in APME is due to increased demand for our Manpower staffing services, mostly in India, Greater China, Thailand, Singapore and Malaysia and an increase in our permanent recruitment businesses.</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Revenues from services increased 13.3% (9.3% in constant currency and 8.3% in organic constant currency) in the six months ended June 30, 2018 compared to 2017. In Japan and Australia, revenues from services increased 6.0% and 7.6%, respectively (2.6% and 5.4%, respectively, in constant currency). The increase in Japan is due to the increased demand for our Manpower staffing services and a 27.8% increase (23.8% in constant currency) in our permanent recruitment business. The increase in Australia is due to the increase in our Manpower staffing business and a 12.8% increase (10.1% in constant currency) in our permanent recruitment business. The constant currency revenue increase in the remaining markets in APME is due to increased demand for our Manpower staffing services, mostly in India, Greater China, Thailand, Singapore and Malaysia and an increase in our permanent recruitment businesses.</w:t>
      </w:r>
    </w:p>
    <w:p>
      <w:pPr>
        <w:spacing w:after="0" w:line="16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Gross profit margin increased in both the second quarter and first half of 2018 compared to 2017 due to the increase in our permanent recruitment business of 19.1% and 19.4% (16.2% and 15.0% in constant currency), respectively, and margin increase in our solutions business.</w:t>
      </w:r>
    </w:p>
    <w:p>
      <w:pPr>
        <w:spacing w:after="0" w:line="14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Selling and administrative expenses increased 12.7% (10.2% in constant currency) in the second quarter of 2018 compared to 2017. Selling and administrative expenses increased 11.4% (7.5% in constant currency) in the six months ended June 30, 2018 compared to 2017. The increase is due to the increase in salary-related costs because of higher headcount to support the increase in revenues.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OUP margin for APME was 4.1% in the second quarter of 2018 compared to 3.6% in 2017. OUP margin was 3.8% in the six months ended June 30, 2018 compared to 3.4% in 2017. The increases were due to </w:t>
      </w:r>
      <w:r>
        <w:rPr>
          <w:rFonts w:ascii="Arial" w:cs="Arial" w:eastAsia="Arial" w:hAnsi="Arial"/>
          <w:sz w:val="18"/>
          <w:szCs w:val="18"/>
          <w:color w:val="282A32"/>
        </w:rPr>
        <w:t>improved operating leverage on increased revenues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Revenues from services decreased 8.3% (-10.5% in constant currency) in the second quarter of 2018 compared to 2017. The decrease is primarily due to the 8.9% decrease (-11.2% in constant currency) in our outplacement services as we experienced softer demand in our Americas and Asian markets due to the counter-cyclical nature of this business. Our talent management business decreased 6.5% (-8.3% in constant currency) in the second quarter of 2018 compared to 2017 due mostly to softening demand in our Americas and European markets.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t>Revenues from services decreased 9.4% (-12.8% in constant currency) in the six months ended June 30, 2018 compared to 2017. The decrease is primarily due to the decrease of 11.6% (-14.9% in constant currency) in our outplacement services as we experienced softer demand in most of our markets due to the counter-cyclical nature of this business. Our talent management business decreased 1.7% (-5.4% in constant currency) in the six months ended June 30, 2018 compared to 2017 due mostly to softening demand in our Americas markets.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Gross profit margin increased in the second quarter of 2018 compared to 2017 due to </w:t>
      </w:r>
      <w:r>
        <w:rPr>
          <w:rFonts w:ascii="Arial" w:cs="Arial" w:eastAsia="Arial" w:hAnsi="Arial"/>
          <w:sz w:val="18"/>
          <w:szCs w:val="18"/>
          <w:color w:val="282A32"/>
        </w:rPr>
        <w:t>the increase in our outplacement business gross profit margin, partially</w:t>
      </w:r>
      <w:r>
        <w:rPr>
          <w:rFonts w:ascii="Arial" w:cs="Arial" w:eastAsia="Arial" w:hAnsi="Arial"/>
          <w:sz w:val="18"/>
          <w:szCs w:val="18"/>
          <w:color w:val="auto"/>
        </w:rPr>
        <w:t xml:space="preserve"> </w:t>
      </w:r>
      <w:r>
        <w:rPr>
          <w:rFonts w:ascii="Arial" w:cs="Arial" w:eastAsia="Arial" w:hAnsi="Arial"/>
          <w:sz w:val="18"/>
          <w:szCs w:val="18"/>
          <w:color w:val="282A32"/>
        </w:rPr>
        <w:t>offset by the change in business mix as the higher-margin outplacement business represented a lower percentage of the revenues mix and the decrease in the talent management business gross profit margin</w:t>
      </w:r>
      <w:r>
        <w:rPr>
          <w:rFonts w:ascii="Arial" w:cs="Arial" w:eastAsia="Arial" w:hAnsi="Arial"/>
          <w:sz w:val="18"/>
          <w:szCs w:val="18"/>
          <w:color w:val="000000"/>
        </w:rPr>
        <w:t>.</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Gross profit margin decreased in the first half of 2018 compared to 2017 primarily due to </w:t>
      </w:r>
      <w:r>
        <w:rPr>
          <w:rFonts w:ascii="Arial" w:cs="Arial" w:eastAsia="Arial" w:hAnsi="Arial"/>
          <w:sz w:val="16"/>
          <w:szCs w:val="16"/>
          <w:color w:val="282A32"/>
        </w:rPr>
        <w:t>the change in business mix as the higher-margin outplacement</w:t>
      </w:r>
      <w:r>
        <w:rPr>
          <w:rFonts w:ascii="Arial" w:cs="Arial" w:eastAsia="Arial" w:hAnsi="Arial"/>
          <w:sz w:val="16"/>
          <w:szCs w:val="16"/>
          <w:color w:val="auto"/>
        </w:rPr>
        <w:t xml:space="preserve"> </w:t>
      </w:r>
      <w:r>
        <w:rPr>
          <w:rFonts w:ascii="Arial" w:cs="Arial" w:eastAsia="Arial" w:hAnsi="Arial"/>
          <w:sz w:val="16"/>
          <w:szCs w:val="16"/>
          <w:color w:val="282A32"/>
        </w:rPr>
        <w:t>business represented a lower percentage of the revenues mix and the decrease in the talent management business gross profit margin</w:t>
      </w:r>
      <w:r>
        <w:rPr>
          <w:rFonts w:ascii="Arial" w:cs="Arial" w:eastAsia="Arial" w:hAnsi="Arial"/>
          <w:sz w:val="16"/>
          <w:szCs w:val="16"/>
          <w:color w:val="000000"/>
        </w:rPr>
        <w:t>.</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and administrative expenses decreased 17.1% (-19.0% in constant currency) in the second quarter of 2018 compared to 2017 and decreased 13.3% (-16.4% in constant currency) in the six months ended June 30, 2018 compared to 2017. The decreases are primarily due to reduced compensation-related expenses, such as salaries and variable-incentive costs, due to lower headcount. The decrease for the six months ended June 30, 2018 compared to 2017 was partially offset by the restructuring costs incurred in the first quarter of 2018.</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OUP margin for Right Management increased to 19.9% in the second quarter of 2018 from 14.8% in 2017 due to improved operational leverage and the increase in gross profit margin.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OUP margin increased to 16.5% in the six months ended June 30, 2018 from 15.3% in 2017 due to improved operational leverage, partially offset by </w:t>
      </w:r>
      <w:r>
        <w:rPr>
          <w:rFonts w:ascii="Arial" w:cs="Arial" w:eastAsia="Arial" w:hAnsi="Arial"/>
          <w:sz w:val="18"/>
          <w:szCs w:val="18"/>
          <w:color w:val="282A32"/>
        </w:rPr>
        <w:t>the</w:t>
      </w:r>
      <w:r>
        <w:rPr>
          <w:rFonts w:ascii="Arial" w:cs="Arial" w:eastAsia="Arial" w:hAnsi="Arial"/>
          <w:sz w:val="18"/>
          <w:szCs w:val="18"/>
          <w:color w:val="auto"/>
        </w:rPr>
        <w:t xml:space="preserve"> </w:t>
      </w:r>
      <w:r>
        <w:rPr>
          <w:rFonts w:ascii="Arial" w:cs="Arial" w:eastAsia="Arial" w:hAnsi="Arial"/>
          <w:sz w:val="18"/>
          <w:szCs w:val="18"/>
          <w:color w:val="282A32"/>
        </w:rPr>
        <w:t>decline in the gross profit margin and the restructuring costs incurred in the first quarter of 2018</w:t>
      </w:r>
      <w:r>
        <w:rPr>
          <w:rFonts w:ascii="Arial" w:cs="Arial" w:eastAsia="Arial" w:hAnsi="Arial"/>
          <w:sz w:val="18"/>
          <w:szCs w:val="18"/>
          <w:color w:val="000000"/>
        </w:rPr>
        <w:t>.</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36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these Non-GAAP percentage variances to those calculated based on our GAAP financial results is provided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660"/>
              <w:spacing w:after="0"/>
              <w:rPr>
                <w:sz w:val="20"/>
                <w:szCs w:val="20"/>
                <w:color w:val="auto"/>
              </w:rPr>
            </w:pPr>
            <w:r>
              <w:rPr>
                <w:rFonts w:ascii="Arial" w:cs="Arial" w:eastAsia="Arial" w:hAnsi="Arial"/>
                <w:sz w:val="18"/>
                <w:szCs w:val="18"/>
                <w:b w:val="1"/>
                <w:bCs w:val="1"/>
                <w:color w:val="auto"/>
              </w:rPr>
              <w:t>3 Months Ended June 30, 2018 Compared to 2017</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Impact of</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Constant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4"/>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Reported</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7"/>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10"/>
              <w:spacing w:after="0" w:line="257" w:lineRule="exact"/>
              <w:rPr>
                <w:sz w:val="20"/>
                <w:szCs w:val="20"/>
                <w:color w:val="auto"/>
              </w:rPr>
            </w:pPr>
            <w:r>
              <w:rPr>
                <w:rFonts w:ascii="Arial" w:cs="Arial" w:eastAsia="Arial" w:hAnsi="Arial"/>
                <w:sz w:val="18"/>
                <w:szCs w:val="18"/>
                <w:color w:val="auto"/>
                <w:w w:val="89"/>
              </w:rPr>
              <w:t>Amount</w:t>
            </w:r>
            <w:r>
              <w:rPr>
                <w:rFonts w:ascii="Arial" w:cs="Arial" w:eastAsia="Arial" w:hAnsi="Arial"/>
                <w:sz w:val="25"/>
                <w:szCs w:val="25"/>
                <w:color w:val="auto"/>
                <w:w w:val="89"/>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Variance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44"/>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412.0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10.8</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1,052.5</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1,512.5</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3.1</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443.0</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478.5</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9.0</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2,434.0</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r>
      <w:tr>
        <w:trPr>
          <w:trHeight w:val="264"/>
        </w:trPr>
        <w:tc>
          <w:tcPr>
            <w:tcW w:w="38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1,393.2</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724.8</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9.4</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5,656.9</w:t>
            </w:r>
          </w:p>
        </w:tc>
        <w:tc>
          <w:tcPr>
            <w:tcW w:w="122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4.2</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922.7</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714.4</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208.3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June 30, 2018.</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4"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8"/>
          </w:tcPr>
          <w:p>
            <w:pPr>
              <w:ind w:left="660"/>
              <w:spacing w:after="0"/>
              <w:rPr>
                <w:sz w:val="20"/>
                <w:szCs w:val="20"/>
                <w:color w:val="auto"/>
              </w:rPr>
            </w:pPr>
            <w:r>
              <w:rPr>
                <w:rFonts w:ascii="Arial" w:cs="Arial" w:eastAsia="Arial" w:hAnsi="Arial"/>
                <w:sz w:val="18"/>
                <w:szCs w:val="18"/>
                <w:b w:val="1"/>
                <w:bCs w:val="1"/>
                <w:color w:val="auto"/>
              </w:rPr>
              <w:t>6 Months Ended June 30, 2018 Compared to 2017</w:t>
            </w:r>
          </w:p>
        </w:tc>
        <w:tc>
          <w:tcPr>
            <w:tcW w:w="102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Impact of</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Organic</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Constant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Acquisitions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4"/>
              </w:rPr>
              <w:t>Reported</w:t>
            </w:r>
          </w:p>
        </w:tc>
        <w:tc>
          <w:tcPr>
            <w:tcW w:w="1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Reported</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Constant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7"/>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10"/>
              <w:spacing w:after="0" w:line="257" w:lineRule="exact"/>
              <w:rPr>
                <w:sz w:val="20"/>
                <w:szCs w:val="20"/>
                <w:color w:val="auto"/>
              </w:rPr>
            </w:pPr>
            <w:r>
              <w:rPr>
                <w:rFonts w:ascii="Arial" w:cs="Arial" w:eastAsia="Arial" w:hAnsi="Arial"/>
                <w:sz w:val="18"/>
                <w:szCs w:val="18"/>
                <w:color w:val="auto"/>
                <w:w w:val="89"/>
              </w:rPr>
              <w:t>Amount</w:t>
            </w:r>
            <w:r>
              <w:rPr>
                <w:rFonts w:ascii="Arial" w:cs="Arial" w:eastAsia="Arial" w:hAnsi="Arial"/>
                <w:sz w:val="25"/>
                <w:szCs w:val="25"/>
                <w:color w:val="auto"/>
                <w:w w:val="89"/>
                <w:vertAlign w:val="superscript"/>
              </w:rPr>
              <w:t>(a)</w:t>
            </w:r>
          </w:p>
        </w:tc>
        <w:tc>
          <w:tcPr>
            <w:tcW w:w="100" w:type="dxa"/>
            <w:vAlign w:val="bottom"/>
          </w:tcPr>
          <w:p>
            <w:pPr>
              <w:spacing w:after="0"/>
              <w:rPr>
                <w:sz w:val="22"/>
                <w:szCs w:val="22"/>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Variance</w:t>
            </w:r>
          </w:p>
        </w:tc>
        <w:tc>
          <w:tcPr>
            <w:tcW w:w="1340" w:type="dxa"/>
            <w:vAlign w:val="bottom"/>
            <w:gridSpan w:val="2"/>
          </w:tcPr>
          <w:p>
            <w:pPr>
              <w:ind w:left="28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Variance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Currency)</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Variance</w:t>
            </w:r>
          </w:p>
        </w:tc>
      </w:tr>
      <w:tr>
        <w:trPr>
          <w:trHeight w:val="244"/>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services: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818.3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9.5</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2,075.1</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2,936.5</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5.5</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856.6</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 Southern Europe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952.9</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9.2</w:t>
            </w: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4,746.0</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Europe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2,810.8</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APME</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1,445.0</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8.3</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Management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11,179.3</w:t>
            </w:r>
          </w:p>
        </w:tc>
        <w:tc>
          <w:tcPr>
            <w:tcW w:w="122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4.5</w:t>
            </w:r>
          </w:p>
        </w:tc>
      </w:tr>
      <w:tr>
        <w:trPr>
          <w:trHeight w:val="230"/>
        </w:trPr>
        <w:tc>
          <w:tcPr>
            <w:tcW w:w="3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1,808.1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2.2</w:t>
            </w: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1,446.0</w:t>
            </w:r>
          </w:p>
        </w:tc>
        <w:tc>
          <w:tcPr>
            <w:tcW w:w="12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362.1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six months ended June 30,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Cash used to fund our operations is primarily generated through operating activities and is also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June 30, 2018, we had $459.5 million of cash held by foreign subsidiaries that was not available to fund domestic operations unless repatriated. We have historically made and anticipate future cash repatriations to the United States from certain foreign subsidiaries to fund domestic operations. With the enactment of the Tax Act in December 2017, we are no longer required to provide United States Federal income taxes on unremitted earnings of non-United States subsidiaries. However, we do record deferred tax liabilities related to non-United States withholding taxes on unremitted earnings that are not considered permanently invested.</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operating activities was $175.6 million during the six months ended June 30, 2018 compared to $148.0 million during the six months ended June 30, 2017. Changes in operating assets and liabilities utilized $114.8 million of cash during the six months ended June 30, 2018 compared to $135.0 million during the six months ended June 30, 2017. These changes are primarily attributable to an increase in the net proceeds from the sale of our CICE payroll tax credits to $234.5 million (€190.9 million) in April 2018 from $143.5 million (€133.0 million) in March 2017. This increase is partially offset by the contingent consideration of $24.1 million paid during the first half of 2018 in excess of the original liability recorded at acquisition date as well as the timing of collections and payments.</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accounts receivable decreased to $5,363.9 million as of June 30, 2018 from $5,370.5 million as of December 31, 2017. This decrease is due to changes in currency exchange rates. At constant exchange rates, the June 30, 2018 balance would have been approximately $135.5 million higher than reported. Days Sales Outstanding ("DSO") increased by approximately 3.0 days from December 31, 2017 due to unfavorable mix changes, with higher growth in countries with a higher average DSO, and partly as a result of delayed payments at quarter end due to the month end being on a weekend.</w:t>
      </w:r>
    </w:p>
    <w:p>
      <w:pPr>
        <w:sectPr>
          <w:pgSz w:w="11900" w:h="16838" w:orient="portrait"/>
          <w:cols w:equalWidth="0" w:num="1">
            <w:col w:w="11420"/>
          </w:cols>
          <w:pgMar w:left="240" w:top="742"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42" w:right="239" w:bottom="1440" w:gutter="0" w:footer="0" w:header="0"/>
          <w:type w:val="continuous"/>
        </w:sectPr>
      </w:pPr>
    </w:p>
    <w:bookmarkStart w:id="29" w:name="page30"/>
    <w:bookmarkEnd w:id="29"/>
    <w:p>
      <w:pPr>
        <w:ind w:right="60"/>
        <w:spacing w:after="0" w:line="259" w:lineRule="auto"/>
        <w:rPr>
          <w:sz w:val="20"/>
          <w:szCs w:val="20"/>
          <w:color w:val="auto"/>
        </w:rPr>
      </w:pPr>
      <w:r>
        <w:rPr>
          <w:rFonts w:ascii="Arial" w:cs="Arial" w:eastAsia="Arial" w:hAnsi="Arial"/>
          <w:sz w:val="18"/>
          <w:szCs w:val="18"/>
          <w:color w:val="auto"/>
        </w:rPr>
        <w:t>Capital expenditures were $26.8 million for the six months ended June 30, 2018 compared to $25.5 million for the six months ended June 30, 2017. These expenditures were primarily comprised of purchases of computer equipment, office furniture and other costs related to office openings and refurbishments, as well as capitalized software costs. The increase in 2018 compared to 2017 is primarily due to increased technology investment and the timing of capital expenditures in 2018.</w:t>
      </w:r>
    </w:p>
    <w:p>
      <w:pPr>
        <w:spacing w:after="0" w:line="1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From time to time, we acquire and invest in companies throughout the world, including franchises. For the six months ended June 30, 2018, the total cash consideration for acquisitions, net of cash acquired, was $47.4 million, the majority of which took place in the Netherlands. This balance includes initial acquisition payments of $8.2 million and contingent consideration payments of $39.2 million ($15.1 million of which was recognized as a liability at the acquisition date). During the six months ended June 30, 2017, the total cash consideration for acquisitions, net of cash acquired, was $34.1 million, which includes initial acquisition payments of $21.2 million and contingent consideration related to previous acquisitions of $12.9 million, of which $10.3 million was related to our 2015 acquisition of 7S Group GmbH ("7S") in Germany.</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provided by net debt borrowings was $170.7 million in the six months ended June 30, 2018 compared to net debt repayments of $4.4 million in the six months ended June 30, 2017.</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22, 2018, we offered and sold €500.0 million aggregate principal amount of the Company’s 1.750% notes due June 22, 2026 (the “€500.0 million notes”). The net proceeds from the €500.0 million notes of €495.7 million were used to repay our €350.0 million notes due June 22, 2018, with the remaining balance to be used for general corporate purposes, which may include share repurchases and the acquisition of or investment in complementary businesses or other assets. The €500.0 million notes were issued at a price of 99.564% to yield an effective interest rate of 1.809%. Interest on the €500.0 million notes is payable in arrears on June 22 of each year. The €500.0 million notes are unsecured senior obligations and will rank equally with all of the Company’s existing and future senior unsecured debt and other liabilities.</w:t>
      </w:r>
    </w:p>
    <w:p>
      <w:pPr>
        <w:spacing w:after="0" w:line="19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€400.0 million notes are due September 2022 (the "€400.0 million notes").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€400.0 million notes or the €500.0 million notes.</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June 18, 2018, we amended and restated our Five Year Credit Agreement (the “Amended Agreement”) with a syndicate of commercial banks, principally to revise the termination date of the facility from September 16, 2020 to June 18, 2023. The remaining material terms and conditions of the Amended Agreement are substantially similar to our Amended and Restated Five Year Credit Agreement dated September 16, 2015.</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June 30, 2018, we had letters of credit totaling $0.5 million issued under our $600.0 million revolving credit facility. Additional borrowings of $599.5 million were available to us under the facility as of June 30, 2018.</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0.77 to 1 and a fixed charge coverage ratio of 5.29 to 1 as of June 30, 2018. Based on our current forecast, we expect to be in compliance with our financial covenants for the next 12 months.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June 30, 2018, such credit lines totaled $314.0 million and additional borrowings of $255.8 million could have been made under these lines. Under the revolving credit agreement, total subsidiary borrowings cannot exceed $300.0 million in the first, second and fourth quarters, and $600.0 million in the third quarter of each year.</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4, 2018 and May 2, 2017, the Board of Directors declared a semi-annual cash dividend of $1.01 and $0.93 per share, respectively. The 2018 dividends were paid on June 15, 2018 to shareholders of record on June 1, 2018. The 2017 dividends were paid on June 15, 2017 to shareholders of record on June 1, 2017.</w:t>
      </w:r>
    </w:p>
    <w:p>
      <w:pPr>
        <w:spacing w:after="0" w:line="18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In August 2018, the Board of Directors authorized the repurchase of an additional 6.0 million shares of our common stock, with terms consistent with the previous authorization. This authorization was in addition to the July 2016 Board authorization to repurchase 6.0 million shares of our common stock, of which 1.8 million shares remained authorized for repurchase as of June 30, 2018. Share repurchases may be made from time to time through a variety of methods, including open market purchases, block transactions, privately negotiated transactions or similar facilities. During the first half of 2018, we repurchased a total of 1.0 million shares at a cost of $113.2 million. During the first half of 2017, we repurchased 1.1 million shares at a cost of $115.8 million.</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and certain other commitments of $2,353.8 million as of June 30, 2018 compared to $2,141.0 million as of December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totaling approximately $195.3 million and $201.9 million as of June 30, 2018 and December 31, 2017, respectively, which consist of $144.0 million and $149.3 million for guarantees, respectively, and $51.3 million and $52.6 million for stand-by letters of credit as of June 30, 2018 and December 31, 2017,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$1.0 million for both the six months ended June 30, 2018 and 2017.</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recorded net restructuring costs of $39.3 million and $34.5 million during the six months ended June 30, 2018 and 2017, respectively, in selling and administrative expenses, primarily related to severances and office closures and consolidations in multiple countries and territories. During the six months ended June 30, 2018, we made payments of $20.3 million out of our restructuring reserve. We expect a majority of the remaining $32.5 million reserve will be paid by the end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2017,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2017 Annual Report on Form 10-K contains certain disclosures about market risks affecting us. There have been no material changes to the information provided which would require additional disclosures as of the date of this filing.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July 2016, the Board of Directors authorized the repurchase of 6.0 million shares of our common stock. We conduct share repurchases from time to time through a variety of methods, including open market purchases, block transactions, privately negotiated transactions or similar facilities. As of June 30, 2018, there were 1.8 million shares remaining authorized for repurchase under the 2016 authorization. The following table shows the total number of shares repurchased during the second quarter of 2018.</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5620" w:type="dxa"/>
            <w:vAlign w:val="bottom"/>
            <w:gridSpan w:val="6"/>
          </w:tcPr>
          <w:p>
            <w:pPr>
              <w:ind w:left="1200"/>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25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3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2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Total number of</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w:t>
            </w:r>
          </w:p>
        </w:tc>
      </w:tr>
      <w:tr>
        <w:trPr>
          <w:trHeight w:val="234"/>
        </w:trPr>
        <w:tc>
          <w:tcPr>
            <w:tcW w:w="2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0"/>
              </w:rPr>
              <w:t>shares purchased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paid 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3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7"/>
        </w:trPr>
        <w:tc>
          <w:tcPr>
            <w:tcW w:w="25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1 - 30, 2018</w:t>
            </w:r>
          </w:p>
        </w:tc>
        <w:tc>
          <w:tcPr>
            <w:tcW w:w="34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216,889</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97.13</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216,889</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2,195,521</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May 1 - 31, 2018</w:t>
            </w:r>
          </w:p>
        </w:tc>
        <w:tc>
          <w:tcPr>
            <w:tcW w:w="3440" w:type="dxa"/>
            <w:vAlign w:val="bottom"/>
            <w:gridSpan w:val="2"/>
          </w:tcPr>
          <w:p>
            <w:pPr>
              <w:jc w:val="right"/>
              <w:ind w:right="30"/>
              <w:spacing w:after="0"/>
              <w:rPr>
                <w:sz w:val="20"/>
                <w:szCs w:val="20"/>
                <w:color w:val="auto"/>
              </w:rPr>
            </w:pPr>
            <w:r>
              <w:rPr>
                <w:rFonts w:ascii="Arial" w:cs="Arial" w:eastAsia="Arial" w:hAnsi="Arial"/>
                <w:sz w:val="18"/>
                <w:szCs w:val="18"/>
                <w:color w:val="auto"/>
              </w:rPr>
              <w:t>436,349</w:t>
            </w:r>
          </w:p>
        </w:tc>
        <w:tc>
          <w:tcPr>
            <w:tcW w:w="360" w:type="dxa"/>
            <w:vAlign w:val="bottom"/>
          </w:tcPr>
          <w:p>
            <w:pPr>
              <w:jc w:val="right"/>
              <w:ind w:right="117"/>
              <w:spacing w:after="0"/>
              <w:rPr>
                <w:sz w:val="20"/>
                <w:szCs w:val="20"/>
                <w:color w:val="auto"/>
              </w:rPr>
            </w:pPr>
            <w:r>
              <w:rPr>
                <w:rFonts w:ascii="Arial" w:cs="Arial" w:eastAsia="Arial" w:hAnsi="Arial"/>
                <w:sz w:val="13"/>
                <w:szCs w:val="13"/>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96.25</w:t>
            </w: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436,349</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1,759,172</w:t>
            </w:r>
          </w:p>
        </w:tc>
      </w:tr>
      <w:tr>
        <w:trPr>
          <w:trHeight w:val="27"/>
        </w:trPr>
        <w:tc>
          <w:tcPr>
            <w:tcW w:w="2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1 - 30, 2018</w:t>
            </w:r>
          </w:p>
        </w:tc>
        <w:tc>
          <w:tcPr>
            <w:tcW w:w="19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1,759,172</w:t>
            </w:r>
          </w:p>
        </w:tc>
      </w:tr>
      <w:tr>
        <w:trPr>
          <w:trHeight w:val="257"/>
        </w:trPr>
        <w:tc>
          <w:tcPr>
            <w:tcW w:w="2520" w:type="dxa"/>
            <w:vAlign w:val="bottom"/>
          </w:tcPr>
          <w:p>
            <w:pPr>
              <w:ind w:left="28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653,238</w:t>
            </w:r>
          </w:p>
        </w:tc>
        <w:tc>
          <w:tcPr>
            <w:tcW w:w="3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96.54</w:t>
            </w:r>
          </w:p>
        </w:tc>
        <w:tc>
          <w:tcPr>
            <w:tcW w:w="3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653,238</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1,759,172</w:t>
            </w:r>
          </w:p>
        </w:tc>
      </w:tr>
      <w:tr>
        <w:trPr>
          <w:trHeight w:val="20"/>
        </w:trPr>
        <w:tc>
          <w:tcPr>
            <w:tcW w:w="2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8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5,361 shares of common stock withheld by ManpowerGroup to satisfy tax withholding obligations on shares acquired by certain officers in settlement of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August 2018, the Board of Directors authorized the repurchase of an additional 6.0 million shares of our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2018:</w:t>
      </w:r>
    </w:p>
    <w:p>
      <w:pPr>
        <w:spacing w:after="0" w:line="116"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38" w:lineRule="exact"/>
        <w:rPr>
          <w:rFonts w:ascii="Arial" w:cs="Arial" w:eastAsia="Arial" w:hAnsi="Arial"/>
          <w:sz w:val="18"/>
          <w:szCs w:val="18"/>
          <w:color w:val="auto"/>
        </w:rPr>
      </w:pPr>
    </w:p>
    <w:p>
      <w:pPr>
        <w:ind w:left="500" w:right="380" w:hanging="465"/>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83" w:lineRule="exact"/>
        <w:rPr>
          <w:rFonts w:ascii="Arial" w:cs="Arial" w:eastAsia="Arial" w:hAnsi="Arial"/>
          <w:sz w:val="18"/>
          <w:szCs w:val="18"/>
          <w:color w:val="auto"/>
        </w:rPr>
      </w:pPr>
    </w:p>
    <w:p>
      <w:pPr>
        <w:ind w:left="500" w:hanging="46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185" w:lineRule="exact"/>
        <w:rPr>
          <w:sz w:val="20"/>
          <w:szCs w:val="20"/>
          <w:color w:val="auto"/>
        </w:rPr>
      </w:pPr>
    </w:p>
    <w:p>
      <w:pPr>
        <w:jc w:val="both"/>
        <w:ind w:right="160"/>
        <w:spacing w:after="0" w:line="327" w:lineRule="auto"/>
        <w:rPr>
          <w:sz w:val="20"/>
          <w:szCs w:val="20"/>
          <w:color w:val="auto"/>
        </w:rPr>
      </w:pPr>
      <w:r>
        <w:rPr>
          <w:rFonts w:ascii="Arial" w:cs="Arial" w:eastAsia="Arial" w:hAnsi="Arial"/>
          <w:sz w:val="15"/>
          <w:szCs w:val="15"/>
          <w:color w:val="auto"/>
        </w:rPr>
        <w:t>On August 2, 2018, ManpowerGroup Inc. (the “Company”) entered into a severance agreement with Ram Chandrashekar, Executive Vice President, Global Strategy and Talent. This severance agreement replaces a similar agreement scheduled to expire on October 29, 2018. The new severance agreement expires on the first to occur of (1) the date two years after the occurrence of a change of control of the Company or (2) August 2, 2021, if no such change of control occurs before August 2, 2021. Aside from the new term, the severance agreement is in substantially the same form as the severance agreement it replaces.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Item 6 – Exhibits</w:t>
      </w:r>
    </w:p>
    <w:p>
      <w:pPr>
        <w:spacing w:after="0" w:line="387" w:lineRule="exact"/>
        <w:rPr>
          <w:sz w:val="20"/>
          <w:szCs w:val="20"/>
          <w:color w:val="auto"/>
        </w:rPr>
      </w:pPr>
    </w:p>
    <w:p>
      <w:pPr>
        <w:ind w:left="600" w:right="120" w:hanging="566"/>
        <w:spacing w:after="0" w:line="264" w:lineRule="auto"/>
        <w:tabs>
          <w:tab w:leader="none" w:pos="580" w:val="left"/>
        </w:tabs>
        <w:rPr>
          <w:rFonts w:ascii="Arial" w:cs="Arial" w:eastAsia="Arial" w:hAnsi="Arial"/>
          <w:sz w:val="18"/>
          <w:szCs w:val="18"/>
          <w:u w:val="single" w:color="auto"/>
          <w:color w:val="0000FF"/>
        </w:rPr>
      </w:pPr>
      <w:hyperlink r:id="rId8">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8">
        <w:r>
          <w:rPr>
            <w:rFonts w:ascii="Arial" w:cs="Arial" w:eastAsia="Arial" w:hAnsi="Arial"/>
            <w:sz w:val="18"/>
            <w:szCs w:val="18"/>
            <w:u w:val="single" w:color="auto"/>
            <w:color w:val="0000FF"/>
          </w:rPr>
          <w:t>Fiscal and Paying Agency Agreement between the Company and Citibank, N.A., London Branch, as Fiscal Agent, Principal Paying Agent and</w:t>
        </w:r>
      </w:hyperlink>
      <w:r>
        <w:rPr>
          <w:rFonts w:ascii="Arial" w:cs="Arial" w:eastAsia="Arial" w:hAnsi="Arial"/>
          <w:sz w:val="18"/>
          <w:szCs w:val="18"/>
          <w:u w:val="single" w:color="auto"/>
          <w:color w:val="0000FF"/>
        </w:rPr>
        <w:t xml:space="preserve"> </w:t>
      </w:r>
      <w:hyperlink r:id="rId8">
        <w:r>
          <w:rPr>
            <w:rFonts w:ascii="Arial" w:cs="Arial" w:eastAsia="Arial" w:hAnsi="Arial"/>
            <w:sz w:val="18"/>
            <w:szCs w:val="18"/>
            <w:u w:val="single" w:color="auto"/>
            <w:color w:val="0000FF"/>
          </w:rPr>
          <w:t>Registrar and Transfer Agent, dated as of June 22, 2018 (including the form of Note attached thereto as Schedule I), incorporated by reference to</w:t>
        </w:r>
      </w:hyperlink>
      <w:r>
        <w:rPr>
          <w:rFonts w:ascii="Arial" w:cs="Arial" w:eastAsia="Arial" w:hAnsi="Arial"/>
          <w:sz w:val="18"/>
          <w:szCs w:val="18"/>
          <w:u w:val="single" w:color="auto"/>
          <w:color w:val="0000FF"/>
        </w:rPr>
        <w:t xml:space="preserve"> </w:t>
      </w:r>
      <w:hyperlink r:id="rId8">
        <w:r>
          <w:rPr>
            <w:rFonts w:ascii="Arial" w:cs="Arial" w:eastAsia="Arial" w:hAnsi="Arial"/>
            <w:sz w:val="18"/>
            <w:szCs w:val="18"/>
            <w:u w:val="single" w:color="auto"/>
            <w:color w:val="0000FF"/>
          </w:rPr>
          <w:t>the Company's Current Report on Form 8-K dated June 18, 2018.</w:t>
        </w:r>
      </w:hyperlink>
    </w:p>
    <w:p>
      <w:pPr>
        <w:spacing w:after="0" w:line="343" w:lineRule="exact"/>
        <w:rPr>
          <w:rFonts w:ascii="Arial" w:cs="Arial" w:eastAsia="Arial" w:hAnsi="Arial"/>
          <w:sz w:val="18"/>
          <w:szCs w:val="18"/>
          <w:u w:val="single" w:color="auto"/>
          <w:color w:val="0000FF"/>
        </w:rPr>
      </w:pPr>
    </w:p>
    <w:p>
      <w:pPr>
        <w:ind w:left="40"/>
        <w:spacing w:after="0"/>
        <w:tabs>
          <w:tab w:leader="none" w:pos="580" w:val="left"/>
        </w:tabs>
        <w:rPr>
          <w:rFonts w:ascii="Arial" w:cs="Arial" w:eastAsia="Arial" w:hAnsi="Arial"/>
          <w:sz w:val="16"/>
          <w:szCs w:val="16"/>
          <w:u w:val="single" w:color="auto"/>
          <w:color w:val="0000FF"/>
        </w:rPr>
      </w:pPr>
      <w:hyperlink w:anchor="page35">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35">
        <w:r>
          <w:rPr>
            <w:rFonts w:ascii="Arial" w:cs="Arial" w:eastAsia="Arial" w:hAnsi="Arial"/>
            <w:sz w:val="16"/>
            <w:szCs w:val="16"/>
            <w:u w:val="single" w:color="auto"/>
            <w:color w:val="0000FF"/>
          </w:rPr>
          <w:t>Severance Agreement between Ram Chandrashekar and the Company dated as of August 2, 2018.</w:t>
        </w:r>
      </w:hyperlink>
    </w:p>
    <w:p>
      <w:pPr>
        <w:spacing w:after="0" w:line="387" w:lineRule="exact"/>
        <w:rPr>
          <w:sz w:val="20"/>
          <w:szCs w:val="20"/>
          <w:color w:val="auto"/>
        </w:rPr>
      </w:pPr>
    </w:p>
    <w:p>
      <w:pPr>
        <w:ind w:left="600" w:right="80" w:hanging="566"/>
        <w:spacing w:after="0" w:line="308" w:lineRule="auto"/>
        <w:tabs>
          <w:tab w:leader="none" w:pos="580" w:val="left"/>
        </w:tabs>
        <w:rPr>
          <w:rFonts w:ascii="Arial" w:cs="Arial" w:eastAsia="Arial" w:hAnsi="Arial"/>
          <w:sz w:val="17"/>
          <w:szCs w:val="17"/>
          <w:u w:val="single" w:color="auto"/>
          <w:color w:val="0000FF"/>
        </w:rPr>
      </w:pPr>
      <w:hyperlink r:id="rId9">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9">
        <w:r>
          <w:rPr>
            <w:rFonts w:ascii="Arial" w:cs="Arial" w:eastAsia="Arial" w:hAnsi="Arial"/>
            <w:sz w:val="17"/>
            <w:szCs w:val="17"/>
            <w:u w:val="single" w:color="auto"/>
            <w:color w:val="0000FF"/>
          </w:rPr>
          <w:t>Amended and Restated Five-Year Credit Agreement dated as of June 18, 2018 among the Company, a syndicate of lenders and Citibank, N.A., as</w:t>
        </w:r>
      </w:hyperlink>
      <w:r>
        <w:rPr>
          <w:rFonts w:ascii="Arial" w:cs="Arial" w:eastAsia="Arial" w:hAnsi="Arial"/>
          <w:sz w:val="17"/>
          <w:szCs w:val="17"/>
          <w:u w:val="single" w:color="auto"/>
          <w:color w:val="0000FF"/>
        </w:rPr>
        <w:t xml:space="preserve"> </w:t>
      </w:r>
      <w:hyperlink r:id="rId9">
        <w:r>
          <w:rPr>
            <w:rFonts w:ascii="Arial" w:cs="Arial" w:eastAsia="Arial" w:hAnsi="Arial"/>
            <w:sz w:val="17"/>
            <w:szCs w:val="17"/>
            <w:u w:val="single" w:color="auto"/>
            <w:color w:val="0000FF"/>
          </w:rPr>
          <w:t>Administrative Agent, incorporated by reference to the Company's Current Report on Form 8-K dated June 18, 2018.</w:t>
        </w:r>
      </w:hyperlink>
    </w:p>
    <w:p>
      <w:pPr>
        <w:spacing w:after="0" w:line="309" w:lineRule="exact"/>
        <w:rPr>
          <w:rFonts w:ascii="Arial" w:cs="Arial" w:eastAsia="Arial" w:hAnsi="Arial"/>
          <w:sz w:val="18"/>
          <w:szCs w:val="18"/>
          <w:u w:val="single" w:color="auto"/>
          <w:color w:val="0000FF"/>
        </w:rPr>
      </w:pPr>
    </w:p>
    <w:p>
      <w:pPr>
        <w:ind w:left="40"/>
        <w:spacing w:after="0"/>
        <w:tabs>
          <w:tab w:leader="none" w:pos="580" w:val="left"/>
        </w:tabs>
        <w:rPr>
          <w:rFonts w:ascii="Arial" w:cs="Arial" w:eastAsia="Arial" w:hAnsi="Arial"/>
          <w:sz w:val="16"/>
          <w:szCs w:val="16"/>
          <w:u w:val="single" w:color="auto"/>
          <w:color w:val="0000FF"/>
        </w:rPr>
      </w:pPr>
      <w:hyperlink w:anchor="page47">
        <w:r>
          <w:rPr>
            <w:rFonts w:ascii="Arial" w:cs="Arial" w:eastAsia="Arial" w:hAnsi="Arial"/>
            <w:sz w:val="18"/>
            <w:szCs w:val="18"/>
            <w:u w:val="single" w:color="auto"/>
            <w:color w:val="0000FF"/>
          </w:rPr>
          <w:t>12.1</w:t>
        </w:r>
      </w:hyperlink>
      <w:r>
        <w:rPr>
          <w:rFonts w:ascii="Arial" w:cs="Arial" w:eastAsia="Arial" w:hAnsi="Arial"/>
          <w:sz w:val="18"/>
          <w:szCs w:val="18"/>
          <w:u w:val="single" w:color="auto"/>
          <w:color w:val="0000FF"/>
        </w:rPr>
        <w:tab/>
      </w:r>
      <w:hyperlink w:anchor="page47">
        <w:r>
          <w:rPr>
            <w:rFonts w:ascii="Arial" w:cs="Arial" w:eastAsia="Arial" w:hAnsi="Arial"/>
            <w:sz w:val="16"/>
            <w:szCs w:val="16"/>
            <w:u w:val="single" w:color="auto"/>
            <w:color w:val="0000FF"/>
          </w:rPr>
          <w:t>Statement regarding Computation of Ratio of Earnings to Fixed Charges.</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4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8">
        <w:r>
          <w:rPr>
            <w:rFonts w:ascii="Arial" w:cs="Arial" w:eastAsia="Arial" w:hAnsi="Arial"/>
            <w:sz w:val="16"/>
            <w:szCs w:val="16"/>
            <w:u w:val="single" w:color="auto"/>
            <w:color w:val="0000FF"/>
          </w:rPr>
          <w:t>Certification of Jonas Prising, Chief Executive Officer, pursuant to Section 13a-14(a) of the Securities Exchange Act of 1934.</w:t>
        </w:r>
      </w:hyperlink>
    </w:p>
    <w:p>
      <w:pPr>
        <w:spacing w:after="0" w:line="387" w:lineRule="exact"/>
        <w:rPr>
          <w:sz w:val="20"/>
          <w:szCs w:val="20"/>
          <w:color w:val="auto"/>
        </w:rPr>
      </w:pPr>
    </w:p>
    <w:p>
      <w:pPr>
        <w:ind w:left="600" w:hanging="566"/>
        <w:spacing w:after="0" w:line="277" w:lineRule="auto"/>
        <w:tabs>
          <w:tab w:leader="none" w:pos="580" w:val="left"/>
        </w:tabs>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9">
        <w:r>
          <w:rPr>
            <w:rFonts w:ascii="Arial" w:cs="Arial" w:eastAsia="Arial" w:hAnsi="Arial"/>
            <w:sz w:val="18"/>
            <w:szCs w:val="18"/>
            <w:u w:val="single" w:color="auto"/>
            <w:color w:val="0000FF"/>
          </w:rPr>
          <w:t>Certification of John T. McGinnis, Executive Vice President and Chief Financial Officer, pursuant to Section 13a-14(a) of the Securities Exchange</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Act of 1934.</w:t>
        </w:r>
      </w:hyperlink>
    </w:p>
    <w:p>
      <w:pPr>
        <w:spacing w:after="0" w:line="333" w:lineRule="exact"/>
        <w:rPr>
          <w:rFonts w:ascii="Arial" w:cs="Arial" w:eastAsia="Arial" w:hAnsi="Arial"/>
          <w:sz w:val="18"/>
          <w:szCs w:val="18"/>
          <w:u w:val="single" w:color="auto"/>
          <w:color w:val="0000FF"/>
        </w:rPr>
      </w:pPr>
    </w:p>
    <w:p>
      <w:pPr>
        <w:ind w:left="40"/>
        <w:spacing w:after="0"/>
        <w:tabs>
          <w:tab w:leader="none" w:pos="580" w:val="left"/>
        </w:tabs>
        <w:rPr>
          <w:rFonts w:ascii="Arial" w:cs="Arial" w:eastAsia="Arial" w:hAnsi="Arial"/>
          <w:sz w:val="16"/>
          <w:szCs w:val="16"/>
          <w:u w:val="single" w:color="auto"/>
          <w:color w:val="0000FF"/>
        </w:rPr>
      </w:pPr>
      <w:hyperlink w:anchor="page50">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50">
        <w:r>
          <w:rPr>
            <w:rFonts w:ascii="Arial" w:cs="Arial" w:eastAsia="Arial" w:hAnsi="Arial"/>
            <w:sz w:val="16"/>
            <w:szCs w:val="16"/>
            <w:u w:val="single" w:color="auto"/>
            <w:color w:val="0000FF"/>
          </w:rPr>
          <w:t>Statement of Jonas Prising, Chief Executive Officer, pursuant to 18 U.S.C. ss. 1350.</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hyperlink w:anchor="page51">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51">
        <w:r>
          <w:rPr>
            <w:rFonts w:ascii="Arial" w:cs="Arial" w:eastAsia="Arial" w:hAnsi="Arial"/>
            <w:sz w:val="16"/>
            <w:szCs w:val="16"/>
            <w:u w:val="single" w:color="auto"/>
            <w:color w:val="0000FF"/>
          </w:rPr>
          <w:t>Statement of John T. McGinnis, Executive Vice President and Chief Financial Officer, pursuant to 18 U.S.C. ss. 1350.</w:t>
        </w:r>
      </w:hyperlink>
    </w:p>
    <w:p>
      <w:pPr>
        <w:spacing w:after="0" w:line="387" w:lineRule="exact"/>
        <w:rPr>
          <w:sz w:val="20"/>
          <w:szCs w:val="20"/>
          <w:color w:val="auto"/>
        </w:rPr>
      </w:pPr>
    </w:p>
    <w:p>
      <w:pPr>
        <w:ind w:left="600" w:hanging="565"/>
        <w:spacing w:after="0" w:line="286"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following materials from the Company’s Quarterly Report on Form 10-Q for the quarter ended June 30, 2018,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368" w:right="499" w:bottom="1440" w:gutter="0" w:footer="0" w:header="0"/>
        </w:sectPr>
      </w:pPr>
    </w:p>
    <w:bookmarkStart w:id="33" w:name="page34"/>
    <w:bookmarkEnd w:id="33"/>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31750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 2018</w:t>
      </w:r>
    </w:p>
    <w:p>
      <w:pPr>
        <w:spacing w:after="0" w:line="36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31750</wp:posOffset>
            </wp:positionV>
            <wp:extent cx="4202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440" w:right="2520"/>
        <w:spacing w:after="0" w:line="261" w:lineRule="auto"/>
        <w:rPr>
          <w:sz w:val="20"/>
          <w:szCs w:val="20"/>
          <w:color w:val="auto"/>
        </w:rPr>
      </w:pPr>
      <w:r>
        <w:rPr>
          <w:rFonts w:ascii="Arial" w:cs="Arial" w:eastAsia="Arial" w:hAnsi="Arial"/>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29"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ManpowerGroup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 Manpower Place</w:t>
      </w:r>
    </w:p>
    <w:p>
      <w:pPr>
        <w:jc w:val="center"/>
        <w:spacing w:after="0"/>
        <w:rPr>
          <w:sz w:val="20"/>
          <w:szCs w:val="20"/>
          <w:color w:val="auto"/>
        </w:rPr>
      </w:pPr>
      <w:r>
        <w:rPr>
          <w:rFonts w:ascii="Arial" w:cs="Arial" w:eastAsia="Arial" w:hAnsi="Arial"/>
          <w:sz w:val="20"/>
          <w:szCs w:val="20"/>
          <w:color w:val="auto"/>
        </w:rPr>
        <w:t>Milwaukee, Wisconsin 53212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August 2, 2018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Sriram Chandrashekar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President, Asia Pacific Middle East and</w:t>
      </w:r>
    </w:p>
    <w:p>
      <w:pPr>
        <w:spacing w:after="0"/>
        <w:rPr>
          <w:sz w:val="20"/>
          <w:szCs w:val="20"/>
          <w:color w:val="auto"/>
        </w:rPr>
      </w:pPr>
      <w:r>
        <w:rPr>
          <w:rFonts w:ascii="Arial" w:cs="Arial" w:eastAsia="Arial" w:hAnsi="Arial"/>
          <w:sz w:val="20"/>
          <w:szCs w:val="20"/>
          <w:color w:val="auto"/>
        </w:rPr>
        <w:t>Executive Vice President, Operational Excellence and Information Technology</w:t>
      </w:r>
    </w:p>
    <w:p>
      <w:pPr>
        <w:spacing w:after="0"/>
        <w:rPr>
          <w:sz w:val="20"/>
          <w:szCs w:val="20"/>
          <w:color w:val="auto"/>
        </w:rPr>
      </w:pPr>
      <w:r>
        <w:rPr>
          <w:rFonts w:ascii="Arial" w:cs="Arial" w:eastAsia="Arial" w:hAnsi="Arial"/>
          <w:sz w:val="20"/>
          <w:szCs w:val="20"/>
          <w:color w:val="auto"/>
        </w:rPr>
        <w:t>ManpowerGroup Inc.</w:t>
      </w:r>
    </w:p>
    <w:p>
      <w:pPr>
        <w:spacing w:after="0"/>
        <w:rPr>
          <w:sz w:val="20"/>
          <w:szCs w:val="20"/>
          <w:color w:val="auto"/>
        </w:rPr>
      </w:pPr>
      <w:r>
        <w:rPr>
          <w:rFonts w:ascii="Arial" w:cs="Arial" w:eastAsia="Arial" w:hAnsi="Arial"/>
          <w:sz w:val="20"/>
          <w:szCs w:val="20"/>
          <w:color w:val="auto"/>
        </w:rPr>
        <w:t>100 Manpower Place</w:t>
      </w:r>
    </w:p>
    <w:p>
      <w:pPr>
        <w:spacing w:after="0"/>
        <w:rPr>
          <w:sz w:val="20"/>
          <w:szCs w:val="20"/>
          <w:color w:val="auto"/>
        </w:rPr>
      </w:pPr>
      <w:r>
        <w:rPr>
          <w:rFonts w:ascii="Arial" w:cs="Arial" w:eastAsia="Arial" w:hAnsi="Arial"/>
          <w:sz w:val="20"/>
          <w:szCs w:val="20"/>
          <w:color w:val="auto"/>
        </w:rPr>
        <w:t>Milwaukee, WI 53212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Ram:</w:t>
      </w: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20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letter agreement:</w:t>
      </w:r>
    </w:p>
    <w:p>
      <w:pPr>
        <w:spacing w:after="0" w:line="229" w:lineRule="exact"/>
        <w:rPr>
          <w:rFonts w:ascii="Arial" w:cs="Arial" w:eastAsia="Arial" w:hAnsi="Arial"/>
          <w:sz w:val="20"/>
          <w:szCs w:val="20"/>
          <w:color w:val="auto"/>
        </w:rPr>
      </w:pPr>
    </w:p>
    <w:p>
      <w:pPr>
        <w:ind w:left="1300" w:right="360" w:hanging="644"/>
        <w:spacing w:after="0" w:line="260" w:lineRule="auto"/>
        <w:tabs>
          <w:tab w:leader="none" w:pos="130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Benefit Plans</w:t>
      </w:r>
      <w:r>
        <w:rPr>
          <w:rFonts w:ascii="Arial" w:cs="Arial" w:eastAsia="Arial" w:hAnsi="Arial"/>
          <w:sz w:val="20"/>
          <w:szCs w:val="20"/>
          <w:color w:val="auto"/>
        </w:rPr>
        <w:t>. “Benefit Plans” means all benefits of employment generally made available to executives of the Corporation from time to time.</w:t>
      </w:r>
    </w:p>
    <w:p>
      <w:pPr>
        <w:spacing w:after="0" w:line="190" w:lineRule="exact"/>
        <w:rPr>
          <w:rFonts w:ascii="Arial" w:cs="Arial" w:eastAsia="Arial" w:hAnsi="Arial"/>
          <w:sz w:val="20"/>
          <w:szCs w:val="20"/>
          <w:color w:val="auto"/>
        </w:rPr>
      </w:pPr>
    </w:p>
    <w:p>
      <w:pPr>
        <w:ind w:left="1300" w:right="60" w:hanging="644"/>
        <w:spacing w:after="0" w:line="254"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A “Change of Control” will mean the first to occur of the following:</w:t>
      </w:r>
    </w:p>
    <w:p>
      <w:pPr>
        <w:sectPr>
          <w:pgSz w:w="11900" w:h="16838" w:orient="portrait"/>
          <w:cols w:equalWidth="0" w:num="1">
            <w:col w:w="11420"/>
          </w:cols>
          <w:pgMar w:left="240" w:top="580" w:right="239" w:bottom="1440" w:gutter="0" w:footer="0" w:header="0"/>
        </w:sectPr>
      </w:pPr>
    </w:p>
    <w:bookmarkStart w:id="35" w:name="page36"/>
    <w:bookmarkEnd w:id="35"/>
    <w:p>
      <w:pPr>
        <w:ind w:left="760" w:right="80" w:hanging="655"/>
        <w:spacing w:after="0" w:line="270"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83" w:lineRule="exact"/>
        <w:rPr>
          <w:rFonts w:ascii="Arial" w:cs="Arial" w:eastAsia="Arial" w:hAnsi="Arial"/>
          <w:sz w:val="18"/>
          <w:szCs w:val="18"/>
          <w:color w:val="auto"/>
        </w:rPr>
      </w:pPr>
    </w:p>
    <w:p>
      <w:pPr>
        <w:ind w:left="760" w:hanging="655"/>
        <w:spacing w:after="0" w:line="242" w:lineRule="auto"/>
        <w:tabs>
          <w:tab w:leader="none" w:pos="7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11" w:lineRule="exact"/>
        <w:rPr>
          <w:rFonts w:ascii="Arial" w:cs="Arial" w:eastAsia="Arial" w:hAnsi="Arial"/>
          <w:sz w:val="20"/>
          <w:szCs w:val="20"/>
          <w:color w:val="auto"/>
        </w:rPr>
      </w:pPr>
    </w:p>
    <w:p>
      <w:pPr>
        <w:ind w:left="760" w:right="940" w:hanging="655"/>
        <w:spacing w:after="0" w:line="260" w:lineRule="auto"/>
        <w:tabs>
          <w:tab w:leader="none" w:pos="7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consummation of any liquidation or dissolution of the Corporation or a sale or other disposition of all or substantially all of the assets of the Corporation; or</w:t>
      </w:r>
    </w:p>
    <w:p>
      <w:pPr>
        <w:spacing w:after="0" w:line="190" w:lineRule="exact"/>
        <w:rPr>
          <w:rFonts w:ascii="Arial" w:cs="Arial" w:eastAsia="Arial" w:hAnsi="Arial"/>
          <w:sz w:val="20"/>
          <w:szCs w:val="20"/>
          <w:color w:val="auto"/>
        </w:rPr>
      </w:pPr>
    </w:p>
    <w:p>
      <w:pPr>
        <w:ind w:left="760" w:right="60" w:hanging="655"/>
        <w:spacing w:after="0" w:line="233" w:lineRule="exact"/>
        <w:tabs>
          <w:tab w:leader="none" w:pos="7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9"/>
          <w:szCs w:val="19"/>
          <w:color w:val="auto"/>
        </w:rPr>
        <w:t>‑</w:t>
      </w:r>
      <w:r>
        <w:rPr>
          <w:rFonts w:ascii="Arial" w:cs="Arial" w:eastAsia="Arial" w:hAnsi="Arial"/>
          <w:sz w:val="19"/>
          <w:szCs w:val="19"/>
          <w:color w:val="auto"/>
        </w:rPr>
        <w:t>12(c); or</w:t>
      </w:r>
    </w:p>
    <w:p>
      <w:pPr>
        <w:spacing w:after="0" w:line="209" w:lineRule="exact"/>
        <w:rPr>
          <w:rFonts w:ascii="Arial" w:cs="Arial" w:eastAsia="Arial" w:hAnsi="Arial"/>
          <w:sz w:val="19"/>
          <w:szCs w:val="19"/>
          <w:color w:val="auto"/>
        </w:rPr>
      </w:pPr>
    </w:p>
    <w:p>
      <w:pPr>
        <w:ind w:left="760" w:right="220" w:hanging="655"/>
        <w:spacing w:after="0" w:line="246" w:lineRule="auto"/>
        <w:tabs>
          <w:tab w:leader="none" w:pos="7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ectPr>
          <w:pgSz w:w="11900" w:h="16838" w:orient="portrait"/>
          <w:cols w:equalWidth="0" w:num="1">
            <w:col w:w="10220"/>
          </w:cols>
          <w:pgMar w:left="1440" w:top="582" w:right="239" w:bottom="1440" w:gutter="0" w:footer="0" w:header="0"/>
        </w:sectPr>
      </w:pPr>
    </w:p>
    <w:bookmarkStart w:id="36" w:name="page37"/>
    <w:bookmarkEnd w:id="36"/>
    <w:p>
      <w:pPr>
        <w:ind w:right="60"/>
        <w:spacing w:after="0" w:line="246" w:lineRule="auto"/>
        <w:rPr>
          <w:sz w:val="20"/>
          <w:szCs w:val="20"/>
          <w:color w:val="auto"/>
        </w:rPr>
      </w:pPr>
      <w:r>
        <w:rPr>
          <w:rFonts w:ascii="Arial" w:cs="Arial" w:eastAsia="Arial" w:hAnsi="Arial"/>
          <w:sz w:val="20"/>
          <w:szCs w:val="20"/>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92" w:lineRule="exact"/>
        <w:rPr>
          <w:sz w:val="20"/>
          <w:szCs w:val="20"/>
          <w:color w:val="auto"/>
        </w:rPr>
      </w:pPr>
    </w:p>
    <w:p>
      <w:pPr>
        <w:ind w:left="1300" w:right="80" w:hanging="644"/>
        <w:spacing w:after="0" w:line="260"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Good Reason</w:t>
      </w:r>
      <w:r>
        <w:rPr>
          <w:rFonts w:ascii="Arial" w:cs="Arial" w:eastAsia="Arial" w:hAnsi="Arial"/>
          <w:sz w:val="20"/>
          <w:szCs w:val="20"/>
          <w:color w:val="auto"/>
        </w:rPr>
        <w:t>. “Good Reason” will mean, without your consent, the occurrence of any one or more of the following during the Term:</w:t>
      </w:r>
    </w:p>
    <w:p>
      <w:pPr>
        <w:spacing w:after="0" w:line="190"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material breach of any material obligation of any member of the Consolidated ManpowerGroup for the payment or provision of compensation or other benefits to you;</w:t>
      </w:r>
    </w:p>
    <w:p>
      <w:pPr>
        <w:spacing w:after="0" w:line="176" w:lineRule="exact"/>
        <w:rPr>
          <w:rFonts w:ascii="Arial" w:cs="Arial" w:eastAsia="Arial" w:hAnsi="Arial"/>
          <w:sz w:val="20"/>
          <w:szCs w:val="20"/>
          <w:color w:val="auto"/>
        </w:rPr>
      </w:pPr>
    </w:p>
    <w:p>
      <w:pPr>
        <w:ind w:left="1960" w:hanging="655"/>
        <w:spacing w:after="0"/>
        <w:tabs>
          <w:tab w:leader="none" w:pos="19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material diminution in your base salary;</w:t>
      </w:r>
    </w:p>
    <w:p>
      <w:pPr>
        <w:spacing w:after="0" w:line="215" w:lineRule="exact"/>
        <w:rPr>
          <w:rFonts w:ascii="Arial" w:cs="Arial" w:eastAsia="Arial" w:hAnsi="Arial"/>
          <w:sz w:val="20"/>
          <w:szCs w:val="20"/>
          <w:color w:val="auto"/>
        </w:rPr>
      </w:pPr>
    </w:p>
    <w:p>
      <w:pPr>
        <w:ind w:left="1960" w:hanging="655"/>
        <w:spacing w:after="0" w:line="250" w:lineRule="auto"/>
        <w:tabs>
          <w:tab w:leader="none" w:pos="19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86" w:lineRule="exact"/>
        <w:rPr>
          <w:rFonts w:ascii="Arial" w:cs="Arial" w:eastAsia="Arial" w:hAnsi="Arial"/>
          <w:sz w:val="20"/>
          <w:szCs w:val="20"/>
          <w:color w:val="auto"/>
        </w:rPr>
      </w:pPr>
    </w:p>
    <w:p>
      <w:pPr>
        <w:ind w:left="1960" w:right="140" w:hanging="655"/>
        <w:spacing w:after="0" w:line="250" w:lineRule="auto"/>
        <w:tabs>
          <w:tab w:leader="none" w:pos="19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 material diminution in your authority, duties or responsibilities which is not accompanied by a material reduction in your target bonus opportunity but which diminution occurs within two years after the occurrence of a Change of Control; or</w:t>
      </w:r>
    </w:p>
    <w:p>
      <w:pPr>
        <w:spacing w:after="0" w:line="186" w:lineRule="exact"/>
        <w:rPr>
          <w:rFonts w:ascii="Arial" w:cs="Arial" w:eastAsia="Arial" w:hAnsi="Arial"/>
          <w:sz w:val="20"/>
          <w:szCs w:val="20"/>
          <w:color w:val="auto"/>
        </w:rPr>
      </w:pPr>
    </w:p>
    <w:p>
      <w:pPr>
        <w:ind w:left="1960" w:right="380" w:hanging="655"/>
        <w:spacing w:after="0" w:line="269" w:lineRule="auto"/>
        <w:tabs>
          <w:tab w:leader="none" w:pos="19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w:t>
      </w:r>
    </w:p>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Notwithstanding Subsections 1(d)(i)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95" w:lineRule="exact"/>
        <w:rPr>
          <w:sz w:val="20"/>
          <w:szCs w:val="20"/>
          <w:color w:val="auto"/>
        </w:rPr>
      </w:pPr>
    </w:p>
    <w:p>
      <w:pPr>
        <w:ind w:left="1300" w:right="360" w:hanging="644"/>
        <w:spacing w:after="0" w:line="243" w:lineRule="auto"/>
        <w:tabs>
          <w:tab w:leader="none" w:pos="13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210" w:lineRule="exact"/>
        <w:rPr>
          <w:rFonts w:ascii="Arial" w:cs="Arial" w:eastAsia="Arial" w:hAnsi="Arial"/>
          <w:sz w:val="20"/>
          <w:szCs w:val="20"/>
          <w:color w:val="auto"/>
        </w:rPr>
      </w:pPr>
    </w:p>
    <w:p>
      <w:pPr>
        <w:jc w:val="both"/>
        <w:ind w:left="1300" w:right="200" w:hanging="644"/>
        <w:spacing w:after="0" w:line="250" w:lineRule="auto"/>
        <w:tabs>
          <w:tab w:leader="none" w:pos="13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ectPr>
          <w:pgSz w:w="11900" w:h="16838" w:orient="portrait"/>
          <w:cols w:equalWidth="0" w:num="1">
            <w:col w:w="11400"/>
          </w:cols>
          <w:pgMar w:left="240" w:top="582" w:right="259" w:bottom="1440" w:gutter="0" w:footer="0" w:header="0"/>
        </w:sectPr>
      </w:pPr>
    </w:p>
    <w:bookmarkStart w:id="37" w:name="page38"/>
    <w:bookmarkEnd w:id="37"/>
    <w:p>
      <w:pPr>
        <w:ind w:left="1292" w:hanging="644"/>
        <w:spacing w:after="0"/>
        <w:tabs>
          <w:tab w:leader="none" w:pos="1292"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Protected Period</w:t>
      </w:r>
      <w:r>
        <w:rPr>
          <w:rFonts w:ascii="Arial" w:cs="Arial" w:eastAsia="Arial" w:hAnsi="Arial"/>
          <w:sz w:val="20"/>
          <w:szCs w:val="20"/>
          <w:color w:val="auto"/>
        </w:rPr>
        <w:t>. The “Protected Period” shall be a period of time determined in accordance with the following:</w:t>
      </w:r>
    </w:p>
    <w:p>
      <w:pPr>
        <w:spacing w:after="0" w:line="229" w:lineRule="exact"/>
        <w:rPr>
          <w:rFonts w:ascii="Arial" w:cs="Arial" w:eastAsia="Arial" w:hAnsi="Arial"/>
          <w:sz w:val="20"/>
          <w:szCs w:val="20"/>
          <w:color w:val="auto"/>
        </w:rPr>
      </w:pPr>
    </w:p>
    <w:p>
      <w:pPr>
        <w:ind w:left="1952" w:hanging="655"/>
        <w:spacing w:after="0" w:line="246" w:lineRule="auto"/>
        <w:tabs>
          <w:tab w:leader="none" w:pos="1952" w:val="left"/>
        </w:tabs>
        <w:numPr>
          <w:ilvl w:val="2"/>
          <w:numId w:val="36"/>
        </w:numPr>
        <w:rPr>
          <w:rFonts w:ascii="Arial" w:cs="Arial" w:eastAsia="Arial" w:hAnsi="Arial"/>
          <w:sz w:val="20"/>
          <w:szCs w:val="20"/>
          <w:color w:val="auto"/>
        </w:rPr>
      </w:pPr>
      <w:r>
        <w:rPr>
          <w:rFonts w:ascii="Arial" w:cs="Arial" w:eastAsia="Arial" w:hAnsi="Arial"/>
          <w:sz w:val="20"/>
          <w:szCs w:val="20"/>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05" w:lineRule="exact"/>
        <w:rPr>
          <w:rFonts w:ascii="Arial" w:cs="Arial" w:eastAsia="Arial" w:hAnsi="Arial"/>
          <w:sz w:val="20"/>
          <w:szCs w:val="20"/>
          <w:color w:val="auto"/>
        </w:rPr>
      </w:pPr>
    </w:p>
    <w:p>
      <w:pPr>
        <w:ind w:left="1952" w:right="40" w:hanging="655"/>
        <w:spacing w:after="0" w:line="328" w:lineRule="auto"/>
        <w:tabs>
          <w:tab w:leader="none" w:pos="1952" w:val="left"/>
        </w:tabs>
        <w:numPr>
          <w:ilvl w:val="2"/>
          <w:numId w:val="36"/>
        </w:numPr>
        <w:rPr>
          <w:rFonts w:ascii="Arial" w:cs="Arial" w:eastAsia="Arial" w:hAnsi="Arial"/>
          <w:sz w:val="16"/>
          <w:szCs w:val="16"/>
          <w:color w:val="auto"/>
        </w:rPr>
      </w:pPr>
      <w:r>
        <w:rPr>
          <w:rFonts w:ascii="Arial" w:cs="Arial" w:eastAsia="Arial" w:hAnsi="Arial"/>
          <w:sz w:val="16"/>
          <w:szCs w:val="16"/>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42" w:lineRule="exact"/>
        <w:rPr>
          <w:rFonts w:ascii="Arial" w:cs="Arial" w:eastAsia="Arial" w:hAnsi="Arial"/>
          <w:sz w:val="16"/>
          <w:szCs w:val="16"/>
          <w:color w:val="auto"/>
        </w:rPr>
      </w:pPr>
    </w:p>
    <w:p>
      <w:pPr>
        <w:ind w:left="1952" w:right="200" w:hanging="655"/>
        <w:spacing w:after="0" w:line="250" w:lineRule="auto"/>
        <w:tabs>
          <w:tab w:leader="none" w:pos="1952" w:val="left"/>
        </w:tabs>
        <w:numPr>
          <w:ilvl w:val="2"/>
          <w:numId w:val="36"/>
        </w:numPr>
        <w:rPr>
          <w:rFonts w:ascii="Arial" w:cs="Arial" w:eastAsia="Arial" w:hAnsi="Arial"/>
          <w:sz w:val="20"/>
          <w:szCs w:val="20"/>
          <w:color w:val="auto"/>
        </w:rPr>
      </w:pPr>
      <w:r>
        <w:rPr>
          <w:rFonts w:ascii="Arial" w:cs="Arial" w:eastAsia="Arial" w:hAnsi="Arial"/>
          <w:sz w:val="20"/>
          <w:szCs w:val="20"/>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99" w:lineRule="exact"/>
        <w:rPr>
          <w:rFonts w:ascii="Arial" w:cs="Arial" w:eastAsia="Arial" w:hAnsi="Arial"/>
          <w:sz w:val="20"/>
          <w:szCs w:val="20"/>
          <w:color w:val="auto"/>
        </w:rPr>
      </w:pPr>
    </w:p>
    <w:p>
      <w:pPr>
        <w:ind w:left="1292" w:right="60" w:hanging="644"/>
        <w:spacing w:after="0" w:line="282" w:lineRule="auto"/>
        <w:tabs>
          <w:tab w:leader="none" w:pos="129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agreement indicated above and ending on the first to occur of the following: (a) the date which is the two-year anniversary of the occurrence of a Change of Control; (b) the date which is the three year anniversary of the date of this letter agreement indicated above if no Change of Control occurs between the date of this letter agreement indicated above and such three year anniversary; or (c) the Date of Termination.</w:t>
      </w:r>
    </w:p>
    <w:p>
      <w:pPr>
        <w:spacing w:after="0" w:line="175" w:lineRule="exact"/>
        <w:rPr>
          <w:rFonts w:ascii="Arial" w:cs="Arial" w:eastAsia="Arial" w:hAnsi="Arial"/>
          <w:sz w:val="18"/>
          <w:szCs w:val="18"/>
          <w:color w:val="auto"/>
        </w:rPr>
      </w:pPr>
    </w:p>
    <w:p>
      <w:pPr>
        <w:ind w:left="652" w:hanging="652"/>
        <w:spacing w:after="0"/>
        <w:tabs>
          <w:tab w:leader="none" w:pos="65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Compensation and Benefits on Termination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292" w:right="20" w:hanging="644"/>
        <w:spacing w:after="0" w:line="275" w:lineRule="auto"/>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by the Corporation for Cause or by You Other Than for Good Reason</w:t>
      </w:r>
      <w:r>
        <w:rPr>
          <w:rFonts w:ascii="Arial" w:cs="Arial" w:eastAsia="Arial" w:hAnsi="Arial"/>
          <w:sz w:val="18"/>
          <w:szCs w:val="18"/>
          <w:color w:val="auto"/>
        </w:rPr>
        <w:t>. If your employment with the Corporation is terminated by the Corporation for Cause or by you other than for Good Reason, the Corporation will pay or provide you with</w:t>
      </w:r>
    </w:p>
    <w:p>
      <w:pPr>
        <w:ind w:left="1292" w:right="280" w:firstLine="5"/>
        <w:spacing w:after="0" w:line="241" w:lineRule="auto"/>
        <w:tabs>
          <w:tab w:leader="none" w:pos="1528" w:val="left"/>
        </w:tabs>
        <w:numPr>
          <w:ilvl w:val="2"/>
          <w:numId w:val="37"/>
        </w:numPr>
        <w:rPr>
          <w:rFonts w:ascii="Arial" w:cs="Arial" w:eastAsia="Arial" w:hAnsi="Arial"/>
          <w:sz w:val="20"/>
          <w:szCs w:val="20"/>
          <w:color w:val="auto"/>
        </w:rPr>
      </w:pPr>
      <w:r>
        <w:rPr>
          <w:rFonts w:ascii="Arial" w:cs="Arial" w:eastAsia="Arial" w:hAnsi="Arial"/>
          <w:sz w:val="20"/>
          <w:szCs w:val="20"/>
          <w:color w:val="auto"/>
        </w:rPr>
        <w:t>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208" w:lineRule="exact"/>
        <w:rPr>
          <w:rFonts w:ascii="Arial" w:cs="Arial" w:eastAsia="Arial" w:hAnsi="Arial"/>
          <w:sz w:val="20"/>
          <w:szCs w:val="20"/>
          <w:color w:val="auto"/>
        </w:rPr>
      </w:pPr>
    </w:p>
    <w:p>
      <w:pPr>
        <w:ind w:left="1292" w:right="100" w:hanging="644"/>
        <w:spacing w:after="0" w:line="271" w:lineRule="auto"/>
        <w:tabs>
          <w:tab w:leader="none" w:pos="1292"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Disability or Death</w:t>
      </w:r>
      <w:r>
        <w:rPr>
          <w:rFonts w:ascii="Arial" w:cs="Arial" w:eastAsia="Arial" w:hAnsi="Arial"/>
          <w:sz w:val="18"/>
          <w:szCs w:val="18"/>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ectPr>
          <w:pgSz w:w="11900" w:h="16838" w:orient="portrait"/>
          <w:cols w:equalWidth="0" w:num="1">
            <w:col w:w="11392"/>
          </w:cols>
          <w:pgMar w:left="248" w:top="811" w:right="259" w:bottom="1440" w:gutter="0" w:footer="0" w:header="0"/>
        </w:sectPr>
      </w:pPr>
    </w:p>
    <w:bookmarkStart w:id="38" w:name="page39"/>
    <w:bookmarkEnd w:id="38"/>
    <w:p>
      <w:pPr>
        <w:ind w:left="644" w:right="920" w:hanging="644"/>
        <w:spacing w:after="0" w:line="291" w:lineRule="auto"/>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Other than in a Change of Control</w:t>
      </w:r>
      <w:r>
        <w:rPr>
          <w:rFonts w:ascii="Arial" w:cs="Arial" w:eastAsia="Arial" w:hAnsi="Arial"/>
          <w:sz w:val="18"/>
          <w:szCs w:val="18"/>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65" w:lineRule="exact"/>
        <w:rPr>
          <w:rFonts w:ascii="Arial" w:cs="Arial" w:eastAsia="Arial" w:hAnsi="Arial"/>
          <w:sz w:val="18"/>
          <w:szCs w:val="18"/>
          <w:color w:val="auto"/>
        </w:rPr>
      </w:pPr>
    </w:p>
    <w:p>
      <w:pPr>
        <w:ind w:left="1944" w:right="640" w:hanging="647"/>
        <w:spacing w:after="0" w:line="260" w:lineRule="auto"/>
        <w:tabs>
          <w:tab w:leader="none" w:pos="1944"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Corporation will pay you, your unpaid bonus, if any, attributable to any complete fiscal year of the Consolidated ManpowerGroup ended before the Date of Termination;</w:t>
      </w:r>
    </w:p>
    <w:p>
      <w:pPr>
        <w:spacing w:after="0" w:line="176" w:lineRule="exact"/>
        <w:rPr>
          <w:rFonts w:ascii="Arial" w:cs="Arial" w:eastAsia="Arial" w:hAnsi="Arial"/>
          <w:sz w:val="20"/>
          <w:szCs w:val="20"/>
          <w:color w:val="auto"/>
        </w:rPr>
      </w:pPr>
    </w:p>
    <w:p>
      <w:pPr>
        <w:ind w:left="1944" w:right="20" w:hanging="647"/>
        <w:spacing w:after="0" w:line="259" w:lineRule="auto"/>
        <w:tabs>
          <w:tab w:leader="none" w:pos="1944"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78" w:lineRule="exact"/>
        <w:rPr>
          <w:rFonts w:ascii="Arial" w:cs="Arial" w:eastAsia="Arial" w:hAnsi="Arial"/>
          <w:sz w:val="19"/>
          <w:szCs w:val="19"/>
          <w:color w:val="auto"/>
        </w:rPr>
      </w:pPr>
    </w:p>
    <w:p>
      <w:pPr>
        <w:jc w:val="both"/>
        <w:ind w:left="1944" w:right="100" w:hanging="647"/>
        <w:spacing w:after="0" w:line="250" w:lineRule="auto"/>
        <w:tabs>
          <w:tab w:leader="none" w:pos="1944"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and</w:t>
      </w:r>
    </w:p>
    <w:p>
      <w:pPr>
        <w:spacing w:after="0" w:line="199" w:lineRule="exact"/>
        <w:rPr>
          <w:rFonts w:ascii="Arial" w:cs="Arial" w:eastAsia="Arial" w:hAnsi="Arial"/>
          <w:sz w:val="20"/>
          <w:szCs w:val="20"/>
          <w:color w:val="auto"/>
        </w:rPr>
      </w:pPr>
    </w:p>
    <w:p>
      <w:pPr>
        <w:ind w:left="1944" w:right="40" w:hanging="647"/>
        <w:spacing w:after="0" w:line="242" w:lineRule="auto"/>
        <w:tabs>
          <w:tab w:leader="none" w:pos="1944"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2(c)(iv), you will be solely responsible for payment of any additional costs incurred as a result of your use of such outplacement services. The Corporation will not substitute cash or other compensation in lieu of the outplacement service program specified in this Subsection 2(c)(iv).</w:t>
      </w:r>
    </w:p>
    <w:p>
      <w:pPr>
        <w:spacing w:after="0" w:line="211" w:lineRule="exact"/>
        <w:rPr>
          <w:rFonts w:ascii="Arial" w:cs="Arial" w:eastAsia="Arial" w:hAnsi="Arial"/>
          <w:sz w:val="20"/>
          <w:szCs w:val="20"/>
          <w:color w:val="auto"/>
        </w:rPr>
      </w:pPr>
    </w:p>
    <w:p>
      <w:pPr>
        <w:jc w:val="both"/>
        <w:ind w:left="644" w:hanging="644"/>
        <w:spacing w:after="0" w:line="269" w:lineRule="auto"/>
        <w:tabs>
          <w:tab w:leader="none" w:pos="64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 - Change of Control</w:t>
      </w:r>
      <w:r>
        <w:rPr>
          <w:rFonts w:ascii="Arial" w:cs="Arial" w:eastAsia="Arial" w:hAnsi="Arial"/>
          <w:sz w:val="19"/>
          <w:szCs w:val="19"/>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183" w:lineRule="exact"/>
        <w:rPr>
          <w:rFonts w:ascii="Arial" w:cs="Arial" w:eastAsia="Arial" w:hAnsi="Arial"/>
          <w:sz w:val="19"/>
          <w:szCs w:val="19"/>
          <w:color w:val="auto"/>
        </w:rPr>
      </w:pPr>
    </w:p>
    <w:p>
      <w:pPr>
        <w:ind w:left="1944" w:right="640" w:hanging="647"/>
        <w:spacing w:after="0" w:line="260" w:lineRule="auto"/>
        <w:tabs>
          <w:tab w:leader="none" w:pos="1944"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Corporation will pay you, your unpaid bonus, if any, attributable to any complete fiscal year of the Consolidated ManpowerGroup ended before the Date of Termination;</w:t>
      </w:r>
    </w:p>
    <w:p>
      <w:pPr>
        <w:spacing w:after="0" w:line="176" w:lineRule="exact"/>
        <w:rPr>
          <w:rFonts w:ascii="Arial" w:cs="Arial" w:eastAsia="Arial" w:hAnsi="Arial"/>
          <w:sz w:val="20"/>
          <w:szCs w:val="20"/>
          <w:color w:val="auto"/>
        </w:rPr>
      </w:pPr>
    </w:p>
    <w:p>
      <w:pPr>
        <w:ind w:left="1944" w:right="20" w:hanging="647"/>
        <w:spacing w:after="0" w:line="263" w:lineRule="auto"/>
        <w:tabs>
          <w:tab w:leader="none" w:pos="1944"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76" w:lineRule="exact"/>
        <w:rPr>
          <w:rFonts w:ascii="Arial" w:cs="Arial" w:eastAsia="Arial" w:hAnsi="Arial"/>
          <w:sz w:val="19"/>
          <w:szCs w:val="19"/>
          <w:color w:val="auto"/>
        </w:rPr>
      </w:pPr>
    </w:p>
    <w:p>
      <w:pPr>
        <w:ind w:left="1944" w:hanging="647"/>
        <w:spacing w:after="0"/>
        <w:tabs>
          <w:tab w:leader="none" w:pos="19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w:t>
      </w:r>
    </w:p>
    <w:p>
      <w:pPr>
        <w:spacing w:after="0" w:line="38" w:lineRule="exact"/>
        <w:rPr>
          <w:rFonts w:ascii="Arial" w:cs="Arial" w:eastAsia="Arial" w:hAnsi="Arial"/>
          <w:sz w:val="18"/>
          <w:szCs w:val="18"/>
          <w:color w:val="auto"/>
        </w:rPr>
      </w:pPr>
    </w:p>
    <w:p>
      <w:pPr>
        <w:ind w:left="1944" w:right="160"/>
        <w:spacing w:after="0" w:line="244" w:lineRule="auto"/>
        <w:rPr>
          <w:rFonts w:ascii="Arial" w:cs="Arial" w:eastAsia="Arial" w:hAnsi="Arial"/>
          <w:sz w:val="18"/>
          <w:szCs w:val="18"/>
          <w:color w:val="auto"/>
        </w:rPr>
      </w:pPr>
      <w:r>
        <w:rPr>
          <w:rFonts w:ascii="Arial" w:cs="Arial" w:eastAsia="Arial" w:hAnsi="Arial"/>
          <w:sz w:val="20"/>
          <w:szCs w:val="20"/>
          <w:color w:val="auto"/>
        </w:rPr>
        <w:t>(1) your annual base salary at the highest rate in effect during the Term and (2) your target annual bonus for the fiscal year in which the Change of Control occurs; and</w:t>
      </w:r>
    </w:p>
    <w:p>
      <w:pPr>
        <w:sectPr>
          <w:pgSz w:w="11900" w:h="16838" w:orient="portrait"/>
          <w:cols w:equalWidth="0" w:num="1">
            <w:col w:w="10684"/>
          </w:cols>
          <w:pgMar w:left="896" w:top="811" w:right="319" w:bottom="1440" w:gutter="0" w:footer="0" w:header="0"/>
        </w:sectPr>
      </w:pPr>
    </w:p>
    <w:bookmarkStart w:id="39" w:name="page40"/>
    <w:bookmarkEnd w:id="39"/>
    <w:p>
      <w:pPr>
        <w:ind w:left="1944" w:right="120" w:hanging="647"/>
        <w:spacing w:after="0" w:line="242" w:lineRule="auto"/>
        <w:tabs>
          <w:tab w:leader="none" w:pos="1944"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2(d)(iv), you will be solely responsible for payment of any additional costs incurred as a result of your use of such outplacement services. The Corporation will not substitute cash or other compensation in lieu of the outplacement service program specified in this Subsection 2(d)(iv).</w:t>
      </w:r>
    </w:p>
    <w:p>
      <w:pPr>
        <w:spacing w:after="0" w:line="197" w:lineRule="exact"/>
        <w:rPr>
          <w:rFonts w:ascii="Arial" w:cs="Arial" w:eastAsia="Arial" w:hAnsi="Arial"/>
          <w:sz w:val="20"/>
          <w:szCs w:val="20"/>
          <w:color w:val="auto"/>
        </w:rPr>
      </w:pPr>
    </w:p>
    <w:p>
      <w:pPr>
        <w:ind w:left="644" w:right="20" w:hanging="644"/>
        <w:spacing w:after="0" w:line="269" w:lineRule="auto"/>
        <w:tabs>
          <w:tab w:leader="none" w:pos="6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Limitation on Benefits</w:t>
      </w:r>
      <w:r>
        <w:rPr>
          <w:rFonts w:ascii="Arial" w:cs="Arial" w:eastAsia="Arial" w:hAnsi="Arial"/>
          <w:sz w:val="18"/>
          <w:szCs w:val="18"/>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79"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Timing of Payments</w:t>
      </w:r>
      <w:r>
        <w:rPr>
          <w:rFonts w:ascii="Arial" w:cs="Arial" w:eastAsia="Arial" w:hAnsi="Arial"/>
          <w:sz w:val="19"/>
          <w:szCs w:val="19"/>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Midwest edition (or, if not so reported, as reported in such other similar source(s) as the Corporation shall select).</w:t>
      </w:r>
    </w:p>
    <w:p>
      <w:pPr>
        <w:sectPr>
          <w:pgSz w:w="11900" w:h="16838" w:orient="portrait"/>
          <w:cols w:equalWidth="0" w:num="1">
            <w:col w:w="10764"/>
          </w:cols>
          <w:pgMar w:left="896" w:top="582" w:right="239" w:bottom="1440" w:gutter="0" w:footer="0" w:header="0"/>
        </w:sectPr>
      </w:pPr>
    </w:p>
    <w:bookmarkStart w:id="40" w:name="page41"/>
    <w:bookmarkEnd w:id="40"/>
    <w:p>
      <w:pPr>
        <w:ind w:left="1292" w:right="160" w:hanging="644"/>
        <w:spacing w:after="0" w:line="255" w:lineRule="auto"/>
        <w:tabs>
          <w:tab w:leader="none" w:pos="1292"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2(c)(ii)-(iv) or 2(d)(ii)-(iv),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201" w:lineRule="exact"/>
        <w:rPr>
          <w:rFonts w:ascii="Arial" w:cs="Arial" w:eastAsia="Arial" w:hAnsi="Arial"/>
          <w:sz w:val="19"/>
          <w:szCs w:val="19"/>
          <w:color w:val="auto"/>
        </w:rPr>
      </w:pPr>
    </w:p>
    <w:p>
      <w:pPr>
        <w:ind w:left="1292" w:right="80" w:hanging="644"/>
        <w:spacing w:after="0" w:line="282" w:lineRule="auto"/>
        <w:tabs>
          <w:tab w:leader="none" w:pos="129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75" w:lineRule="exact"/>
        <w:rPr>
          <w:rFonts w:ascii="Arial" w:cs="Arial" w:eastAsia="Arial" w:hAnsi="Arial"/>
          <w:sz w:val="18"/>
          <w:szCs w:val="18"/>
          <w:color w:val="auto"/>
        </w:rPr>
      </w:pPr>
    </w:p>
    <w:p>
      <w:pPr>
        <w:ind w:left="192" w:hanging="192"/>
        <w:spacing w:after="0"/>
        <w:tabs>
          <w:tab w:leader="none" w:pos="192"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Nondisclosure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292" w:hanging="644"/>
        <w:spacing w:after="0" w:line="270" w:lineRule="auto"/>
        <w:tabs>
          <w:tab w:leader="none" w:pos="12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83" w:lineRule="exact"/>
        <w:rPr>
          <w:rFonts w:ascii="Arial" w:cs="Arial" w:eastAsia="Arial" w:hAnsi="Arial"/>
          <w:sz w:val="18"/>
          <w:szCs w:val="18"/>
          <w:color w:val="auto"/>
        </w:rPr>
      </w:pPr>
    </w:p>
    <w:p>
      <w:pPr>
        <w:ind w:left="1292" w:right="20" w:hanging="644"/>
        <w:spacing w:after="0" w:line="273" w:lineRule="auto"/>
        <w:tabs>
          <w:tab w:leader="none" w:pos="12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w:t>
      </w:r>
    </w:p>
    <w:p>
      <w:pPr>
        <w:sectPr>
          <w:pgSz w:w="11900" w:h="16838" w:orient="portrait"/>
          <w:cols w:equalWidth="0" w:num="1">
            <w:col w:w="11392"/>
          </w:cols>
          <w:pgMar w:left="248" w:top="582" w:right="259" w:bottom="1440" w:gutter="0" w:footer="0" w:header="0"/>
        </w:sectPr>
      </w:pPr>
    </w:p>
    <w:bookmarkStart w:id="41" w:name="page42"/>
    <w:bookmarkEnd w:id="41"/>
    <w:p>
      <w:pPr>
        <w:ind w:left="1292"/>
        <w:spacing w:after="0" w:line="307" w:lineRule="auto"/>
        <w:rPr>
          <w:sz w:val="20"/>
          <w:szCs w:val="20"/>
          <w:color w:val="auto"/>
        </w:rPr>
      </w:pPr>
      <w:r>
        <w:rPr>
          <w:rFonts w:ascii="Arial" w:cs="Arial" w:eastAsia="Arial" w:hAnsi="Arial"/>
          <w:sz w:val="18"/>
          <w:szCs w:val="18"/>
          <w:color w:val="auto"/>
        </w:rPr>
        <w:t>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67" w:lineRule="exact"/>
        <w:rPr>
          <w:sz w:val="20"/>
          <w:szCs w:val="20"/>
          <w:color w:val="auto"/>
        </w:rPr>
      </w:pPr>
    </w:p>
    <w:p>
      <w:pPr>
        <w:ind w:left="1292" w:right="40" w:hanging="644"/>
        <w:spacing w:after="0" w:line="282" w:lineRule="auto"/>
        <w:tabs>
          <w:tab w:leader="none" w:pos="12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75" w:lineRule="exact"/>
        <w:rPr>
          <w:rFonts w:ascii="Arial" w:cs="Arial" w:eastAsia="Arial" w:hAnsi="Arial"/>
          <w:sz w:val="18"/>
          <w:szCs w:val="18"/>
          <w:color w:val="auto"/>
        </w:rPr>
      </w:pPr>
    </w:p>
    <w:p>
      <w:pPr>
        <w:ind w:left="652" w:right="80" w:hanging="652"/>
        <w:spacing w:after="0" w:line="274" w:lineRule="auto"/>
        <w:tabs>
          <w:tab w:leader="none" w:pos="20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182" w:lineRule="exact"/>
        <w:rPr>
          <w:rFonts w:ascii="Arial" w:cs="Arial" w:eastAsia="Arial" w:hAnsi="Arial"/>
          <w:sz w:val="18"/>
          <w:szCs w:val="18"/>
          <w:color w:val="auto"/>
        </w:rPr>
      </w:pPr>
    </w:p>
    <w:p>
      <w:pPr>
        <w:ind w:left="652" w:right="220" w:hanging="652"/>
        <w:spacing w:after="0" w:line="291" w:lineRule="auto"/>
        <w:tabs>
          <w:tab w:leader="none" w:pos="20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165" w:lineRule="exact"/>
        <w:rPr>
          <w:rFonts w:ascii="Arial" w:cs="Arial" w:eastAsia="Arial" w:hAnsi="Arial"/>
          <w:sz w:val="18"/>
          <w:szCs w:val="18"/>
          <w:color w:val="auto"/>
        </w:rPr>
      </w:pPr>
    </w:p>
    <w:p>
      <w:pPr>
        <w:ind w:left="652" w:right="940" w:hanging="652"/>
        <w:spacing w:after="0" w:line="260" w:lineRule="auto"/>
        <w:tabs>
          <w:tab w:leader="none" w:pos="202"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Noncompetition Agreement</w:t>
      </w:r>
      <w:r>
        <w:rPr>
          <w:rFonts w:ascii="Arial" w:cs="Arial" w:eastAsia="Arial" w:hAnsi="Arial"/>
          <w:sz w:val="20"/>
          <w:szCs w:val="20"/>
          <w:color w:val="auto"/>
        </w:rPr>
        <w:t>. During the one-year period which immediately follows the termination, for whatever reason, of your employment with the Consolidated ManpowerGroup:</w:t>
      </w:r>
    </w:p>
    <w:p>
      <w:pPr>
        <w:spacing w:after="0" w:line="190" w:lineRule="exact"/>
        <w:rPr>
          <w:rFonts w:ascii="Arial" w:cs="Arial" w:eastAsia="Arial" w:hAnsi="Arial"/>
          <w:sz w:val="20"/>
          <w:szCs w:val="20"/>
          <w:color w:val="auto"/>
        </w:rPr>
      </w:pPr>
    </w:p>
    <w:p>
      <w:pPr>
        <w:ind w:left="1292" w:right="260" w:hanging="644"/>
        <w:spacing w:after="0" w:line="234" w:lineRule="exact"/>
        <w:tabs>
          <w:tab w:leader="none" w:pos="1292" w:val="left"/>
        </w:tabs>
        <w:numPr>
          <w:ilvl w:val="1"/>
          <w:numId w:val="44"/>
        </w:numPr>
        <w:rPr>
          <w:rFonts w:ascii="Arial" w:cs="Arial" w:eastAsia="Arial" w:hAnsi="Arial"/>
          <w:sz w:val="19"/>
          <w:szCs w:val="19"/>
          <w:color w:val="auto"/>
        </w:rPr>
      </w:pPr>
      <w:r>
        <w:rPr>
          <w:rFonts w:ascii="Arial" w:cs="Arial" w:eastAsia="Arial" w:hAnsi="Arial"/>
          <w:sz w:val="19"/>
          <w:szCs w:val="19"/>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9"/>
          <w:szCs w:val="19"/>
          <w:color w:val="auto"/>
        </w:rPr>
        <w:t>‑</w:t>
      </w:r>
      <w:r>
        <w:rPr>
          <w:rFonts w:ascii="Arial" w:cs="Arial" w:eastAsia="Arial" w:hAnsi="Arial"/>
          <w:sz w:val="19"/>
          <w:szCs w:val="19"/>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9"/>
          <w:szCs w:val="19"/>
          <w:color w:val="auto"/>
        </w:rPr>
        <w:t>‑</w:t>
      </w:r>
      <w:r>
        <w:rPr>
          <w:rFonts w:ascii="Arial" w:cs="Arial" w:eastAsia="Arial" w:hAnsi="Arial"/>
          <w:sz w:val="19"/>
          <w:szCs w:val="19"/>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08" w:lineRule="exact"/>
        <w:rPr>
          <w:rFonts w:ascii="Arial" w:cs="Arial" w:eastAsia="Arial" w:hAnsi="Arial"/>
          <w:sz w:val="19"/>
          <w:szCs w:val="19"/>
          <w:color w:val="auto"/>
        </w:rPr>
      </w:pPr>
    </w:p>
    <w:p>
      <w:pPr>
        <w:ind w:left="1292" w:right="180" w:hanging="644"/>
        <w:spacing w:after="0" w:line="273" w:lineRule="auto"/>
        <w:tabs>
          <w:tab w:leader="none" w:pos="12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w:t>
      </w:r>
      <w:r>
        <w:rPr>
          <w:rFonts w:ascii="Arial" w:cs="Arial" w:eastAsia="Arial" w:hAnsi="Arial"/>
          <w:sz w:val="18"/>
          <w:szCs w:val="18"/>
          <w:b w:val="1"/>
          <w:bCs w:val="1"/>
          <w:color w:val="auto"/>
        </w:rPr>
        <w:t>$500,000,000</w:t>
      </w:r>
      <w:r>
        <w:rPr>
          <w:rFonts w:ascii="Arial" w:cs="Arial" w:eastAsia="Arial" w:hAnsi="Arial"/>
          <w:sz w:val="18"/>
          <w:szCs w:val="18"/>
          <w:color w:val="auto"/>
        </w:rPr>
        <w:t xml:space="preserve">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w:t>
      </w:r>
    </w:p>
    <w:p>
      <w:pPr>
        <w:sectPr>
          <w:pgSz w:w="11900" w:h="16838" w:orient="portrait"/>
          <w:cols w:equalWidth="0" w:num="1">
            <w:col w:w="11412"/>
          </w:cols>
          <w:pgMar w:left="248" w:top="595" w:right="239" w:bottom="1440" w:gutter="0" w:footer="0" w:header="0"/>
        </w:sectPr>
      </w:pPr>
    </w:p>
    <w:bookmarkStart w:id="42" w:name="page43"/>
    <w:bookmarkEnd w:id="42"/>
    <w:p>
      <w:pPr>
        <w:ind w:left="1292" w:right="160"/>
        <w:spacing w:after="0" w:line="256" w:lineRule="exact"/>
        <w:rPr>
          <w:sz w:val="20"/>
          <w:szCs w:val="20"/>
          <w:color w:val="auto"/>
        </w:rPr>
      </w:pPr>
      <w:r>
        <w:rPr>
          <w:rFonts w:ascii="Arial" w:cs="Arial" w:eastAsia="Arial" w:hAnsi="Arial"/>
          <w:sz w:val="19"/>
          <w:szCs w:val="19"/>
          <w:color w:val="auto"/>
        </w:rPr>
        <w:t xml:space="preserve">affiliated entities, annual revenues from such business in excess of US </w:t>
      </w:r>
      <w:r>
        <w:rPr>
          <w:rFonts w:ascii="Arial" w:cs="Arial" w:eastAsia="Arial" w:hAnsi="Arial"/>
          <w:sz w:val="19"/>
          <w:szCs w:val="19"/>
          <w:b w:val="1"/>
          <w:bCs w:val="1"/>
          <w:color w:val="auto"/>
        </w:rPr>
        <w:t>$250,000,000</w:t>
      </w:r>
      <w:r>
        <w:rPr>
          <w:rFonts w:ascii="Arial" w:cs="Arial" w:eastAsia="Arial" w:hAnsi="Arial"/>
          <w:sz w:val="19"/>
          <w:szCs w:val="19"/>
          <w:color w:val="auto"/>
        </w:rPr>
        <w:t>. You acknowledge that the scope of this limitation is reasonable in that, among other things, providing any such services or assistance during such one</w:t>
      </w:r>
      <w:r>
        <w:rPr>
          <w:rFonts w:ascii="MS PGothic" w:cs="MS PGothic" w:eastAsia="MS PGothic" w:hAnsi="MS PGothic"/>
          <w:sz w:val="19"/>
          <w:szCs w:val="19"/>
          <w:color w:val="auto"/>
        </w:rPr>
        <w:t>‑</w:t>
      </w:r>
      <w:r>
        <w:rPr>
          <w:rFonts w:ascii="Arial" w:cs="Arial" w:eastAsia="Arial" w:hAnsi="Arial"/>
          <w:sz w:val="19"/>
          <w:szCs w:val="19"/>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26" w:lineRule="exact"/>
        <w:rPr>
          <w:sz w:val="20"/>
          <w:szCs w:val="20"/>
          <w:color w:val="auto"/>
        </w:rPr>
      </w:pPr>
    </w:p>
    <w:p>
      <w:pPr>
        <w:ind w:left="352" w:hanging="352"/>
        <w:spacing w:after="0"/>
        <w:tabs>
          <w:tab w:leader="none" w:pos="35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Injunctive and Other Interim Measures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292" w:hanging="644"/>
        <w:spacing w:after="0" w:line="257" w:lineRule="auto"/>
        <w:tabs>
          <w:tab w:leader="none" w:pos="1292"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81" w:lineRule="exact"/>
        <w:rPr>
          <w:rFonts w:ascii="Arial" w:cs="Arial" w:eastAsia="Arial" w:hAnsi="Arial"/>
          <w:sz w:val="19"/>
          <w:szCs w:val="19"/>
          <w:color w:val="auto"/>
        </w:rPr>
      </w:pPr>
    </w:p>
    <w:p>
      <w:pPr>
        <w:ind w:left="1292" w:right="160" w:hanging="644"/>
        <w:spacing w:after="0" w:line="250" w:lineRule="auto"/>
        <w:tabs>
          <w:tab w:leader="none" w:pos="1292"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Nonapplication</w:t>
      </w:r>
      <w:r>
        <w:rPr>
          <w:rFonts w:ascii="Arial" w:cs="Arial" w:eastAsia="Arial" w:hAnsi="Arial"/>
          <w:sz w:val="20"/>
          <w:szCs w:val="20"/>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186" w:lineRule="exact"/>
        <w:rPr>
          <w:rFonts w:ascii="Arial" w:cs="Arial" w:eastAsia="Arial" w:hAnsi="Arial"/>
          <w:sz w:val="20"/>
          <w:szCs w:val="20"/>
          <w:color w:val="auto"/>
        </w:rPr>
      </w:pPr>
    </w:p>
    <w:p>
      <w:pPr>
        <w:ind w:left="652" w:right="60" w:hanging="652"/>
        <w:spacing w:after="0" w:line="233" w:lineRule="exact"/>
        <w:tabs>
          <w:tab w:leader="none" w:pos="65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Unemployment Compensation</w:t>
      </w:r>
      <w:r>
        <w:rPr>
          <w:rFonts w:ascii="Arial" w:cs="Arial" w:eastAsia="Arial" w:hAnsi="Arial"/>
          <w:sz w:val="20"/>
          <w:szCs w:val="20"/>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20"/>
          <w:szCs w:val="20"/>
          <w:color w:val="auto"/>
        </w:rPr>
        <w:t>‑</w:t>
      </w:r>
      <w:r>
        <w:rPr>
          <w:rFonts w:ascii="Arial" w:cs="Arial" w:eastAsia="Arial" w:hAnsi="Arial"/>
          <w:sz w:val="20"/>
          <w:szCs w:val="20"/>
          <w:color w:val="auto"/>
        </w:rPr>
        <w:t>year period following the Date of Termination, and you will be ineligible to receive, and you agree not to apply for, unemployment compensation during such periods.</w:t>
      </w:r>
    </w:p>
    <w:p>
      <w:pPr>
        <w:spacing w:after="0" w:line="199" w:lineRule="exact"/>
        <w:rPr>
          <w:rFonts w:ascii="Arial" w:cs="Arial" w:eastAsia="Arial" w:hAnsi="Arial"/>
          <w:sz w:val="20"/>
          <w:szCs w:val="20"/>
          <w:color w:val="auto"/>
        </w:rPr>
      </w:pPr>
    </w:p>
    <w:p>
      <w:pPr>
        <w:ind w:left="652" w:right="80" w:hanging="652"/>
        <w:spacing w:after="0" w:line="272" w:lineRule="auto"/>
        <w:tabs>
          <w:tab w:leader="none" w:pos="6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71" w:lineRule="exact"/>
        <w:rPr>
          <w:rFonts w:ascii="Arial" w:cs="Arial" w:eastAsia="Arial" w:hAnsi="Arial"/>
          <w:sz w:val="18"/>
          <w:szCs w:val="18"/>
          <w:color w:val="auto"/>
        </w:rPr>
      </w:pPr>
    </w:p>
    <w:p>
      <w:pPr>
        <w:ind w:left="652" w:right="540" w:hanging="652"/>
        <w:spacing w:after="0" w:line="260" w:lineRule="auto"/>
        <w:tabs>
          <w:tab w:leader="none" w:pos="65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Successors; Binding Agreement</w:t>
      </w:r>
      <w:r>
        <w:rPr>
          <w:rFonts w:ascii="Arial" w:cs="Arial" w:eastAsia="Arial" w:hAnsi="Arial"/>
          <w:sz w:val="20"/>
          <w:szCs w:val="20"/>
          <w:color w:val="auto"/>
        </w:rPr>
        <w:t>. This letter agreement will be binding on the Corporation and its successors and will inure to the benefit of and be enforceable by your personal or legal representatives, heirs and successors.</w:t>
      </w:r>
    </w:p>
    <w:p>
      <w:pPr>
        <w:spacing w:after="0" w:line="190" w:lineRule="exact"/>
        <w:rPr>
          <w:rFonts w:ascii="Arial" w:cs="Arial" w:eastAsia="Arial" w:hAnsi="Arial"/>
          <w:sz w:val="20"/>
          <w:szCs w:val="20"/>
          <w:color w:val="auto"/>
        </w:rPr>
      </w:pPr>
    </w:p>
    <w:p>
      <w:pPr>
        <w:ind w:left="652" w:right="160" w:hanging="652"/>
        <w:spacing w:after="0" w:line="250" w:lineRule="auto"/>
        <w:tabs>
          <w:tab w:leader="none" w:pos="652"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ectPr>
          <w:pgSz w:w="11900" w:h="16838" w:orient="portrait"/>
          <w:cols w:equalWidth="0" w:num="1">
            <w:col w:w="11392"/>
          </w:cols>
          <w:pgMar w:left="248" w:top="589" w:right="259" w:bottom="1440" w:gutter="0" w:footer="0" w:header="0"/>
        </w:sectPr>
      </w:pPr>
    </w:p>
    <w:bookmarkStart w:id="43" w:name="page44"/>
    <w:bookmarkEnd w:id="43"/>
    <w:p>
      <w:pPr>
        <w:ind w:left="652" w:right="20" w:hanging="652"/>
        <w:spacing w:after="0" w:line="246" w:lineRule="auto"/>
        <w:tabs>
          <w:tab w:leader="none" w:pos="65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 Right to Remain Employed</w:t>
      </w:r>
      <w:r>
        <w:rPr>
          <w:rFonts w:ascii="Arial" w:cs="Arial" w:eastAsia="Arial" w:hAnsi="Arial"/>
          <w:sz w:val="20"/>
          <w:szCs w:val="20"/>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205" w:lineRule="exact"/>
        <w:rPr>
          <w:rFonts w:ascii="Arial" w:cs="Arial" w:eastAsia="Arial" w:hAnsi="Arial"/>
          <w:sz w:val="20"/>
          <w:szCs w:val="20"/>
          <w:color w:val="auto"/>
        </w:rPr>
      </w:pPr>
    </w:p>
    <w:p>
      <w:pPr>
        <w:ind w:left="652" w:right="680" w:hanging="652"/>
        <w:spacing w:after="0" w:line="260" w:lineRule="auto"/>
        <w:tabs>
          <w:tab w:leader="none" w:pos="65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Modification</w:t>
      </w:r>
      <w:r>
        <w:rPr>
          <w:rFonts w:ascii="Arial" w:cs="Arial" w:eastAsia="Arial" w:hAnsi="Arial"/>
          <w:sz w:val="20"/>
          <w:szCs w:val="20"/>
          <w:color w:val="auto"/>
        </w:rPr>
        <w:t>. No provision of this letter agreement may be modified, waived or discharged unless such waiver, modification or discharge is agreed to in writing by you and the Corporation.</w:t>
      </w:r>
    </w:p>
    <w:p>
      <w:pPr>
        <w:spacing w:after="0" w:line="190" w:lineRule="exact"/>
        <w:rPr>
          <w:rFonts w:ascii="Arial" w:cs="Arial" w:eastAsia="Arial" w:hAnsi="Arial"/>
          <w:sz w:val="20"/>
          <w:szCs w:val="20"/>
          <w:color w:val="auto"/>
        </w:rPr>
      </w:pPr>
    </w:p>
    <w:p>
      <w:pPr>
        <w:ind w:left="652" w:right="620" w:hanging="652"/>
        <w:spacing w:after="0" w:line="287"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66" w:lineRule="exact"/>
        <w:rPr>
          <w:rFonts w:ascii="Arial" w:cs="Arial" w:eastAsia="Arial" w:hAnsi="Arial"/>
          <w:sz w:val="19"/>
          <w:szCs w:val="19"/>
          <w:color w:val="auto"/>
        </w:rPr>
      </w:pPr>
    </w:p>
    <w:p>
      <w:pPr>
        <w:ind w:left="652" w:right="460" w:hanging="652"/>
        <w:spacing w:after="0" w:line="260" w:lineRule="auto"/>
        <w:tabs>
          <w:tab w:leader="none" w:pos="65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Applicable Law</w:t>
      </w:r>
      <w:r>
        <w:rPr>
          <w:rFonts w:ascii="Arial" w:cs="Arial" w:eastAsia="Arial" w:hAnsi="Arial"/>
          <w:sz w:val="20"/>
          <w:szCs w:val="20"/>
          <w:color w:val="auto"/>
        </w:rPr>
        <w:t>. This letter agreement shall be governed by and interpreted in accordance with the laws of the State of New York, United States of America, without regard to its conflict of law provisions.</w:t>
      </w:r>
    </w:p>
    <w:p>
      <w:pPr>
        <w:spacing w:after="0" w:line="190" w:lineRule="exact"/>
        <w:rPr>
          <w:rFonts w:ascii="Arial" w:cs="Arial" w:eastAsia="Arial" w:hAnsi="Arial"/>
          <w:sz w:val="20"/>
          <w:szCs w:val="20"/>
          <w:color w:val="auto"/>
        </w:rPr>
      </w:pPr>
    </w:p>
    <w:p>
      <w:pPr>
        <w:ind w:left="652" w:hanging="652"/>
        <w:spacing w:after="0" w:line="243" w:lineRule="auto"/>
        <w:tabs>
          <w:tab w:leader="none" w:pos="65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Reduction of Amounts Due Under Law</w:t>
      </w:r>
      <w:r>
        <w:rPr>
          <w:rFonts w:ascii="Arial" w:cs="Arial" w:eastAsia="Arial" w:hAnsi="Arial"/>
          <w:sz w:val="20"/>
          <w:szCs w:val="20"/>
          <w:color w:val="auto"/>
        </w:rPr>
        <w:t>. You agree that any severance payment (</w:t>
      </w:r>
      <w:r>
        <w:rPr>
          <w:rFonts w:ascii="Arial" w:cs="Arial" w:eastAsia="Arial" w:hAnsi="Arial"/>
          <w:sz w:val="20"/>
          <w:szCs w:val="20"/>
          <w:i w:val="1"/>
          <w:iCs w:val="1"/>
          <w:color w:val="auto"/>
        </w:rPr>
        <w:t>i.e</w:t>
      </w:r>
      <w:r>
        <w:rPr>
          <w:rFonts w:ascii="Arial" w:cs="Arial" w:eastAsia="Arial" w:hAnsi="Arial"/>
          <w:sz w:val="20"/>
          <w:szCs w:val="20"/>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210" w:lineRule="exact"/>
        <w:rPr>
          <w:rFonts w:ascii="Arial" w:cs="Arial" w:eastAsia="Arial" w:hAnsi="Arial"/>
          <w:sz w:val="20"/>
          <w:szCs w:val="20"/>
          <w:color w:val="auto"/>
        </w:rPr>
      </w:pPr>
    </w:p>
    <w:p>
      <w:pPr>
        <w:ind w:left="652" w:right="340" w:hanging="652"/>
        <w:spacing w:after="0" w:line="243" w:lineRule="auto"/>
        <w:tabs>
          <w:tab w:leader="none" w:pos="652"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Previous Agreements</w:t>
      </w:r>
      <w:r>
        <w:rPr>
          <w:rFonts w:ascii="Arial" w:cs="Arial" w:eastAsia="Arial" w:hAnsi="Arial"/>
          <w:sz w:val="20"/>
          <w:szCs w:val="20"/>
          <w:color w:val="auto"/>
        </w:rPr>
        <w:t>. This letter agreement, upon acceptance by you, expressly supersedes any and all previous agreements or understandings relating to your employment by the Corporation or the Consolidated ManpowerGroup, except for the letter from the Corporation to you dated March 8, 2013 (the “2013 Letter”), regarding the terms of your employment, or the termination of such employment, and any such agreements or understandings shall, as of the date of your acceptance, have no further force or effect. In addition, the nondisclosure provision in Section 3 of this letter agreement shall supersede and replace the nondisclosure provision contained in Section 9 of the 2013 Letter.</w:t>
      </w:r>
    </w:p>
    <w:p>
      <w:pPr>
        <w:spacing w:after="0" w:line="210" w:lineRule="exact"/>
        <w:rPr>
          <w:rFonts w:ascii="Arial" w:cs="Arial" w:eastAsia="Arial" w:hAnsi="Arial"/>
          <w:sz w:val="20"/>
          <w:szCs w:val="20"/>
          <w:color w:val="auto"/>
        </w:rPr>
      </w:pPr>
    </w:p>
    <w:p>
      <w:pPr>
        <w:ind w:left="652" w:right="200" w:hanging="652"/>
        <w:spacing w:after="0" w:line="278"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78" w:lineRule="exact"/>
        <w:rPr>
          <w:rFonts w:ascii="Arial" w:cs="Arial" w:eastAsia="Arial" w:hAnsi="Arial"/>
          <w:sz w:val="18"/>
          <w:szCs w:val="18"/>
          <w:color w:val="auto"/>
        </w:rPr>
      </w:pPr>
    </w:p>
    <w:p>
      <w:pPr>
        <w:ind w:left="1292" w:hanging="644"/>
        <w:spacing w:after="0" w:line="271" w:lineRule="auto"/>
        <w:tabs>
          <w:tab w:leader="none" w:pos="12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w:t>
      </w:r>
    </w:p>
    <w:p>
      <w:pPr>
        <w:sectPr>
          <w:pgSz w:w="11900" w:h="16838" w:orient="portrait"/>
          <w:cols w:equalWidth="0" w:num="1">
            <w:col w:w="11412"/>
          </w:cols>
          <w:pgMar w:left="248" w:top="582" w:right="239" w:bottom="1440" w:gutter="0" w:footer="0" w:header="0"/>
        </w:sectPr>
      </w:pPr>
    </w:p>
    <w:bookmarkStart w:id="44" w:name="page45"/>
    <w:bookmarkEnd w:id="44"/>
    <w:p>
      <w:pPr>
        <w:ind w:left="1300" w:right="100"/>
        <w:spacing w:after="0" w:line="278" w:lineRule="auto"/>
        <w:rPr>
          <w:sz w:val="20"/>
          <w:szCs w:val="20"/>
          <w:color w:val="auto"/>
        </w:rPr>
      </w:pPr>
      <w:r>
        <w:rPr>
          <w:rFonts w:ascii="Arial" w:cs="Arial" w:eastAsia="Arial" w:hAnsi="Arial"/>
          <w:sz w:val="20"/>
          <w:szCs w:val="20"/>
          <w:color w:val="auto"/>
        </w:rPr>
        <w:t>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7" w:lineRule="exact"/>
        <w:rPr>
          <w:sz w:val="20"/>
          <w:szCs w:val="20"/>
          <w:color w:val="auto"/>
        </w:rPr>
      </w:pPr>
    </w:p>
    <w:p>
      <w:pPr>
        <w:ind w:left="1300" w:right="20" w:hanging="644"/>
        <w:spacing w:after="0" w:line="270" w:lineRule="auto"/>
        <w:tabs>
          <w:tab w:leader="none" w:pos="932"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8"/>
          <w:szCs w:val="18"/>
          <w:i w:val="1"/>
          <w:iCs w:val="1"/>
          <w:color w:val="auto"/>
        </w:rPr>
        <w:t>et seq</w:t>
      </w:r>
      <w:r>
        <w:rPr>
          <w:rFonts w:ascii="Arial" w:cs="Arial" w:eastAsia="Arial" w:hAnsi="Arial"/>
          <w:sz w:val="18"/>
          <w:szCs w:val="18"/>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7" w:lineRule="exact"/>
        <w:rPr>
          <w:rFonts w:ascii="Arial" w:cs="Arial" w:eastAsia="Arial" w:hAnsi="Arial"/>
          <w:sz w:val="18"/>
          <w:szCs w:val="18"/>
          <w:color w:val="auto"/>
        </w:rPr>
      </w:pPr>
    </w:p>
    <w:p>
      <w:pPr>
        <w:jc w:val="both"/>
        <w:ind w:left="660" w:hanging="652"/>
        <w:spacing w:after="0" w:line="27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3-6, above, of this letter agreement are severable and should be construed independently of each other. The invalidity of one such provision shall not affect the validity of any other such provision. If any provision if Paragraphs 3-6 shall be invalid or unenforceable, in whole or in part, or as applied to any circumstance, under the laws of any jurisdiction which may govern for such purpose, then such provision shall be deemed to be modified or restricted to the extent and in the manner necessary to render the same valid and enforceable, either generally or as applied to such circumstance, or shall be deemed excised from this letter agreement, as the case may require, and this letter agreement shall be construed and enforced to the maximum extent permitted by law, as if such provision had been originally incorporated herein as so modified or restricted, or as if such provision had not been originally incorporated herein, as the case may be.</w:t>
      </w:r>
    </w:p>
    <w:p>
      <w:pPr>
        <w:spacing w:after="0" w:line="182"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Consistency with Applicable Law</w:t>
      </w:r>
      <w:r>
        <w:rPr>
          <w:rFonts w:ascii="Arial" w:cs="Arial" w:eastAsia="Arial" w:hAnsi="Arial"/>
          <w:sz w:val="19"/>
          <w:szCs w:val="19"/>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 Group or any of its agents that you have made such reports or disclosures; however, we encourage you to do so. Finally, your good faith report or disclosure shall not trigger the forfeiture rights under Subsection 2(h) of this letter agreement or otherwise limit your right to receive an award for information provided to any government agency.</w:t>
      </w:r>
    </w:p>
    <w:p>
      <w:pPr>
        <w:spacing w:after="0" w:line="200" w:lineRule="exact"/>
        <w:rPr>
          <w:sz w:val="20"/>
          <w:szCs w:val="20"/>
          <w:color w:val="auto"/>
        </w:rPr>
      </w:pPr>
    </w:p>
    <w:p>
      <w:pPr>
        <w:spacing w:after="0" w:line="224"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If you are in agreement with the foregoing, please sign and return one copy of this letter which will constitute our agreement with respect to the subject matter of this letter.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MANPOWERGROUP INC.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Jonas Prising</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Jonas Prising, Chief Executive Officer</w:t>
      </w:r>
    </w:p>
    <w:p>
      <w:pPr>
        <w:sectPr>
          <w:pgSz w:w="11900" w:h="16838" w:orient="portrait"/>
          <w:cols w:equalWidth="0" w:num="1">
            <w:col w:w="11420"/>
          </w:cols>
          <w:pgMar w:left="240" w:top="59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Agreed as of the 2nd day of August, 2018.</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Chandrashekar Sriram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Chandrashekar Sriram</w:t>
      </w:r>
    </w:p>
    <w:p>
      <w:pPr>
        <w:sectPr>
          <w:pgSz w:w="11900" w:h="16838" w:orient="portrait"/>
          <w:cols w:equalWidth="0" w:num="1">
            <w:col w:w="10219"/>
          </w:cols>
          <w:pgMar w:left="240" w:top="1041"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300" w:type="dxa"/>
            <w:vAlign w:val="bottom"/>
            <w:gridSpan w:val="10"/>
          </w:tcPr>
          <w:p>
            <w:pPr>
              <w:jc w:val="right"/>
              <w:ind w:right="150"/>
              <w:spacing w:after="0"/>
              <w:rPr>
                <w:sz w:val="20"/>
                <w:szCs w:val="20"/>
                <w:color w:val="auto"/>
              </w:rPr>
            </w:pPr>
            <w:r>
              <w:rPr>
                <w:rFonts w:ascii="Arial" w:cs="Arial" w:eastAsia="Arial" w:hAnsi="Arial"/>
                <w:sz w:val="18"/>
                <w:szCs w:val="18"/>
                <w:b w:val="1"/>
                <w:bCs w:val="1"/>
                <w:color w:val="auto"/>
              </w:rPr>
              <w:t>STATEMENT REGARDING COMPUTATION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43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rPr>
              <w:t>OF RATIO OF EARNINGS TO FIXED CHARGES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3940" w:type="dxa"/>
            <w:vAlign w:val="bottom"/>
            <w:gridSpan w:val="9"/>
          </w:tcPr>
          <w:p>
            <w:pPr>
              <w:jc w:val="center"/>
              <w:ind w:left="390"/>
              <w:spacing w:after="0"/>
              <w:rPr>
                <w:sz w:val="20"/>
                <w:szCs w:val="20"/>
                <w:color w:val="auto"/>
              </w:rPr>
            </w:pPr>
            <w:r>
              <w:rPr>
                <w:rFonts w:ascii="Arial" w:cs="Arial" w:eastAsia="Arial" w:hAnsi="Arial"/>
                <w:sz w:val="18"/>
                <w:szCs w:val="18"/>
                <w:color w:val="auto"/>
                <w:w w:val="95"/>
              </w:rPr>
              <w:t>MANPOWERGROUP INC.</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jc w:val="center"/>
              <w:ind w:left="70"/>
              <w:spacing w:after="0"/>
              <w:rPr>
                <w:sz w:val="20"/>
                <w:szCs w:val="20"/>
                <w:color w:val="auto"/>
              </w:rPr>
            </w:pPr>
            <w:r>
              <w:rPr>
                <w:rFonts w:ascii="Arial" w:cs="Arial" w:eastAsia="Arial" w:hAnsi="Arial"/>
                <w:sz w:val="18"/>
                <w:szCs w:val="18"/>
                <w:color w:val="auto"/>
                <w:w w:val="98"/>
              </w:rPr>
              <w:t>(in millions)</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7"/>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6"/>
            <w:shd w:val="clear" w:color="auto" w:fill="CCEEFF"/>
          </w:tcPr>
          <w:p>
            <w:pPr>
              <w:ind w:left="440"/>
              <w:spacing w:after="0"/>
              <w:rPr>
                <w:sz w:val="20"/>
                <w:szCs w:val="20"/>
                <w:color w:val="auto"/>
              </w:rPr>
            </w:pPr>
            <w:r>
              <w:rPr>
                <w:rFonts w:ascii="Arial" w:cs="Arial" w:eastAsia="Arial" w:hAnsi="Arial"/>
                <w:sz w:val="18"/>
                <w:szCs w:val="18"/>
                <w:b w:val="1"/>
                <w:bCs w:val="1"/>
                <w:color w:val="auto"/>
              </w:rPr>
              <w:t>6 Months Ended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2018</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4"/>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0"/>
        </w:trPr>
        <w:tc>
          <w:tcPr>
            <w:tcW w:w="35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335.5</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84"/>
        </w:trPr>
        <w:tc>
          <w:tcPr>
            <w:tcW w:w="3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w:t>
            </w: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393.9</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51"/>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r>
      <w:tr>
        <w:trPr>
          <w:trHeight w:val="243"/>
        </w:trPr>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r>
      <w:tr>
        <w:trPr>
          <w:trHeight w:val="251"/>
        </w:trPr>
        <w:tc>
          <w:tcPr>
            <w:tcW w:w="3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0"/>
        </w:trPr>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1026"/>
        </w:trPr>
        <w:tc>
          <w:tcPr>
            <w:tcW w:w="3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3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Earnings before income taxes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475.5</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844.1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651.1</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(expensed or capitalized)*</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3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Estimated interest portion of rent expense</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r>
      <w:tr>
        <w:trPr>
          <w:trHeight w:val="243"/>
        </w:trPr>
        <w:tc>
          <w:tcPr>
            <w:tcW w:w="35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175.6</w:t>
            </w:r>
          </w:p>
        </w:tc>
      </w:tr>
      <w:tr>
        <w:trPr>
          <w:trHeight w:val="67"/>
        </w:trPr>
        <w:tc>
          <w:tcPr>
            <w:tcW w:w="35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24"/>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3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Note: The calculation of ratio of earnings to fixed charges set forth above is in accordance with Regulation S-K, Item 601(b)(12). This calculation is different than the fixed charge ratio that is required by our various borrowing facilities.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January 1, 2018, we adopted new accounting guidance on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 The increase in interest expense due to the adoption was $6.1 million for the six months ended June 30, 2018. The increase was $11.2 million, $11.6 million, $13.4 million, $16.6 million and $15.9 million for 2017, 2016, 2015, 2014 and 2013, respectively.</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620" w:right="220" w:hanging="329"/>
        <w:spacing w:after="0" w:line="286" w:lineRule="auto"/>
        <w:tabs>
          <w:tab w:leader="none" w:pos="16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620" w:right="280" w:hanging="329"/>
        <w:spacing w:after="0" w:line="264"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80" w:hanging="329"/>
        <w:spacing w:after="0" w:line="342" w:lineRule="auto"/>
        <w:tabs>
          <w:tab w:leader="none" w:pos="1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620" w:right="100" w:hanging="329"/>
        <w:spacing w:after="0" w:line="264"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20" w:hanging="329"/>
        <w:spacing w:after="0" w:line="342" w:lineRule="auto"/>
        <w:tabs>
          <w:tab w:leader="none" w:pos="16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329"/>
        <w:spacing w:after="0" w:line="277"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783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1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2018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70" w:lineRule="exact"/>
        <w:rPr>
          <w:sz w:val="20"/>
          <w:szCs w:val="20"/>
          <w:color w:val="auto"/>
        </w:rPr>
      </w:pPr>
    </w:p>
    <w:p>
      <w:pPr>
        <w:ind w:left="660" w:right="1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2018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1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3"/>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4"/>
    </w:lvl>
  </w:abstractNum>
  <w:abstractNum w:abstractNumId="7">
    <w:nsid w:val="8138641"/>
    <w:multiLevelType w:val="hybridMultilevel"/>
    <w:lvl w:ilvl="0">
      <w:lvlJc w:val="left"/>
      <w:lvlText w:val="(%1)"/>
      <w:numFmt w:val="decimal"/>
      <w:start w:val="5"/>
    </w:lvl>
  </w:abstractNum>
  <w:abstractNum w:abstractNumId="8">
    <w:nsid w:val="1E7FF521"/>
    <w:multiLevelType w:val="hybridMultilevel"/>
    <w:lvl w:ilvl="0">
      <w:lvlJc w:val="left"/>
      <w:lvlText w:val="(%1)"/>
      <w:numFmt w:val="decimal"/>
      <w:start w:val="6"/>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7"/>
    </w:lvl>
  </w:abstractNum>
  <w:abstractNum w:abstractNumId="11">
    <w:nsid w:val="6CEAF087"/>
    <w:multiLevelType w:val="hybridMultilevel"/>
    <w:lvl w:ilvl="0">
      <w:lvlJc w:val="left"/>
      <w:lvlText w:val="(%1)"/>
      <w:numFmt w:val="decimal"/>
      <w:start w:val="8"/>
    </w:lvl>
  </w:abstractNum>
  <w:abstractNum w:abstractNumId="12">
    <w:nsid w:val="22221A70"/>
    <w:multiLevelType w:val="hybridMultilevel"/>
    <w:lvl w:ilvl="0">
      <w:lvlJc w:val="left"/>
      <w:lvlText w:val="(%1)"/>
      <w:numFmt w:val="decimal"/>
      <w:start w:val="9"/>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1"/>
    </w:lvl>
  </w:abstractNum>
  <w:abstractNum w:abstractNumId="16">
    <w:nsid w:val="419AC241"/>
    <w:multiLevelType w:val="hybridMultilevel"/>
    <w:lvl w:ilvl="0">
      <w:lvlJc w:val="left"/>
      <w:lvlText w:val="(%1)"/>
      <w:numFmt w:val="decimal"/>
      <w:start w:val="13"/>
    </w:lvl>
  </w:abstractNum>
  <w:abstractNum w:abstractNumId="17">
    <w:nsid w:val="5577F8E1"/>
    <w:multiLevelType w:val="hybridMultilevel"/>
    <w:lvl w:ilvl="0">
      <w:lvlJc w:val="left"/>
      <w:lvlText w:val="(%1)"/>
      <w:numFmt w:val="decimal"/>
      <w:start w:val="14"/>
    </w:lvl>
  </w:abstractNum>
  <w:abstractNum w:abstractNumId="18">
    <w:nsid w:val="440BADFC"/>
    <w:multiLevelType w:val="hybridMultilevel"/>
    <w:lvl w:ilvl="0">
      <w:lvlJc w:val="left"/>
      <w:lvlText w:val="(%1)"/>
      <w:numFmt w:val="decimal"/>
      <w:start w:val="15"/>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lowerLetter"/>
      <w:start w:val="3"/>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decimal"/>
      <w:start w:val="101"/>
    </w:lvl>
  </w:abstractNum>
  <w:abstractNum w:abstractNumId="31">
    <w:nsid w:val="70A64E2A"/>
    <w:multiLevelType w:val="hybridMultilevel"/>
    <w:lvl w:ilvl="0">
      <w:lvlJc w:val="left"/>
      <w:lvlText w:val="%1."/>
      <w:numFmt w:val="decimal"/>
      <w:start w:val="1"/>
    </w:lvl>
    <w:lvl w:ilvl="1">
      <w:lvlJc w:val="left"/>
      <w:lvlText w:val="(%2)"/>
      <w:numFmt w:val="lowerLetter"/>
      <w:start w:val="1"/>
    </w:lvl>
  </w:abstractNum>
  <w:abstractNum w:abstractNumId="32">
    <w:nsid w:val="6A2342EC"/>
    <w:multiLevelType w:val="hybridMultilevel"/>
    <w:lvl w:ilvl="0">
      <w:lvlJc w:val="left"/>
      <w:lvlText w:val="(%1)"/>
      <w:numFmt w:val="lowerRoman"/>
      <w:start w:val="1"/>
    </w:lvl>
  </w:abstractNum>
  <w:abstractNum w:abstractNumId="33">
    <w:nsid w:val="2A487CB0"/>
    <w:multiLevelType w:val="hybridMultilevel"/>
    <w:lvl w:ilvl="0">
      <w:lvlJc w:val="left"/>
      <w:lvlText w:val="(%1)"/>
      <w:numFmt w:val="lowerLetter"/>
      <w:start w:val="4"/>
    </w:lvl>
    <w:lvl w:ilvl="1">
      <w:lvlJc w:val="left"/>
      <w:lvlText w:val="(%2)"/>
      <w:numFmt w:val="lowerRoman"/>
      <w:start w:val="1"/>
    </w:lvl>
  </w:abstractNum>
  <w:abstractNum w:abstractNumId="34">
    <w:nsid w:val="1D4ED43B"/>
    <w:multiLevelType w:val="hybridMultilevel"/>
    <w:lvl w:ilvl="0">
      <w:lvlJc w:val="left"/>
      <w:lvlText w:val="(%1)"/>
      <w:numFmt w:val="lowerLetter"/>
      <w:start w:val="5"/>
    </w:lvl>
  </w:abstractNum>
  <w:abstractNum w:abstractNumId="35">
    <w:nsid w:val="725A06F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6">
    <w:nsid w:val="2CD89A3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7">
    <w:nsid w:val="57E4CCAF"/>
    <w:multiLevelType w:val="hybridMultilevel"/>
    <w:lvl w:ilvl="0">
      <w:lvlJc w:val="left"/>
      <w:lvlText w:val="(%1)"/>
      <w:numFmt w:val="lowerLetter"/>
      <w:start w:val="3"/>
    </w:lvl>
    <w:lvl w:ilvl="1">
      <w:lvlJc w:val="left"/>
      <w:lvlText w:val="(%2)"/>
      <w:numFmt w:val="lowerRoman"/>
      <w:start w:val="1"/>
    </w:lvl>
  </w:abstractNum>
  <w:abstractNum w:abstractNumId="38">
    <w:nsid w:val="7A6D8D3C"/>
    <w:multiLevelType w:val="hybridMultilevel"/>
    <w:lvl w:ilvl="0">
      <w:lvlJc w:val="left"/>
      <w:lvlText w:val="%1"/>
      <w:numFmt w:val="lowerLetter"/>
      <w:start w:val="1"/>
    </w:lvl>
    <w:lvl w:ilvl="1">
      <w:lvlJc w:val="left"/>
      <w:lvlText w:val="(%2)"/>
      <w:numFmt w:val="lowerRoman"/>
      <w:start w:val="4"/>
    </w:lvl>
  </w:abstractNum>
  <w:abstractNum w:abstractNumId="39">
    <w:nsid w:val="4B588F54"/>
    <w:multiLevelType w:val="hybridMultilevel"/>
    <w:lvl w:ilvl="0">
      <w:lvlJc w:val="left"/>
      <w:lvlText w:val="(%1)"/>
      <w:numFmt w:val="lowerLetter"/>
      <w:start w:val="5"/>
    </w:lvl>
    <w:lvl w:ilvl="1">
      <w:lvlJc w:val="left"/>
      <w:lvlText w:val="%2"/>
      <w:numFmt w:val="lowerRoman"/>
      <w:start w:val="1"/>
    </w:lvl>
  </w:abstractNum>
  <w:abstractNum w:abstractNumId="40">
    <w:nsid w:val="542289EC"/>
    <w:multiLevelType w:val="hybridMultilevel"/>
    <w:lvl w:ilvl="0">
      <w:lvlJc w:val="left"/>
      <w:lvlText w:val="%1"/>
      <w:numFmt w:val="decimal"/>
      <w:start w:val="1"/>
    </w:lvl>
    <w:lvl w:ilvl="1">
      <w:lvlJc w:val="left"/>
      <w:lvlText w:val="(%2)"/>
      <w:numFmt w:val="lowerLetter"/>
      <w:start w:val="7"/>
    </w:lvl>
  </w:abstractNum>
  <w:abstractNum w:abstractNumId="41">
    <w:nsid w:val="6DE91B18"/>
    <w:multiLevelType w:val="hybridMultilevel"/>
    <w:lvl w:ilvl="0">
      <w:lvlJc w:val="left"/>
      <w:lvlText w:val="%1."/>
      <w:numFmt w:val="decimal"/>
      <w:start w:val="3"/>
    </w:lvl>
    <w:lvl w:ilvl="1">
      <w:lvlJc w:val="left"/>
      <w:lvlText w:val="(%2)"/>
      <w:numFmt w:val="lowerLetter"/>
      <w:start w:val="1"/>
    </w:lvl>
  </w:abstractNum>
  <w:abstractNum w:abstractNumId="42">
    <w:nsid w:val="38437FDB"/>
    <w:multiLevelType w:val="hybridMultilevel"/>
    <w:lvl w:ilvl="0">
      <w:lvlJc w:val="left"/>
      <w:lvlText w:val="%1"/>
      <w:numFmt w:val="decimal"/>
      <w:start w:val="1"/>
    </w:lvl>
    <w:lvl w:ilvl="1">
      <w:lvlJc w:val="left"/>
      <w:lvlText w:val="(%2)"/>
      <w:numFmt w:val="lowerLetter"/>
      <w:start w:val="3"/>
    </w:lvl>
  </w:abstractNum>
  <w:abstractNum w:abstractNumId="43">
    <w:nsid w:val="7644A45C"/>
    <w:multiLevelType w:val="hybridMultilevel"/>
    <w:lvl w:ilvl="0">
      <w:lvlJc w:val="left"/>
      <w:lvlText w:val="%1."/>
      <w:numFmt w:val="decimal"/>
      <w:start w:val="4"/>
    </w:lvl>
    <w:lvl w:ilvl="1">
      <w:lvlJc w:val="left"/>
      <w:lvlText w:val="(%2)"/>
      <w:numFmt w:val="lowerLetter"/>
      <w:start w:val="1"/>
    </w:lvl>
  </w:abstractNum>
  <w:abstractNum w:abstractNumId="44">
    <w:nsid w:val="32FFF902"/>
    <w:multiLevelType w:val="hybridMultilevel"/>
    <w:lvl w:ilvl="0">
      <w:lvlJc w:val="left"/>
      <w:lvlText w:val="%1."/>
      <w:numFmt w:val="decimal"/>
      <w:start w:val="7"/>
    </w:lvl>
    <w:lvl w:ilvl="1">
      <w:lvlJc w:val="left"/>
      <w:lvlText w:val="(%2)"/>
      <w:numFmt w:val="lowerLetter"/>
      <w:start w:val="1"/>
    </w:lvl>
  </w:abstractNum>
  <w:abstractNum w:abstractNumId="45">
    <w:nsid w:val="684A481A"/>
    <w:multiLevelType w:val="hybridMultilevel"/>
    <w:lvl w:ilvl="0">
      <w:lvlJc w:val="left"/>
      <w:lvlText w:val="%1."/>
      <w:numFmt w:val="decimal"/>
      <w:start w:val="12"/>
    </w:lvl>
    <w:lvl w:ilvl="1">
      <w:lvlJc w:val="left"/>
      <w:lvlText w:val="(%2)"/>
      <w:numFmt w:val="lowerLetter"/>
      <w:start w:val="1"/>
    </w:lvl>
  </w:abstractNum>
  <w:abstractNum w:abstractNumId="46">
    <w:nsid w:val="579478FE"/>
    <w:multiLevelType w:val="hybridMultilevel"/>
    <w:lvl w:ilvl="0">
      <w:lvlJc w:val="left"/>
      <w:lvlText w:val="%1"/>
      <w:numFmt w:val="decimal"/>
      <w:start w:val="1"/>
    </w:lvl>
    <w:lvl w:ilvl="1">
      <w:lvlJc w:val="left"/>
      <w:lvlText w:val="(%2)"/>
      <w:numFmt w:val="lowerLetter"/>
      <w:start w:val="2"/>
    </w:lvl>
  </w:abstractNum>
  <w:abstractNum w:abstractNumId="47">
    <w:nsid w:val="749ABB43"/>
    <w:multiLevelType w:val="hybridMultilevel"/>
    <w:lvl w:ilvl="0">
      <w:lvlJc w:val="left"/>
      <w:lvlText w:val="%1."/>
      <w:numFmt w:val="decimal"/>
      <w:start w:val="19"/>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8" Type="http://schemas.openxmlformats.org/officeDocument/2006/relationships/hyperlink" Target="http://www.sec.gov/Archives/edgar/data/871763/000089271218000301/exhibit41.htm" TargetMode="External"/><Relationship Id="rId9" Type="http://schemas.openxmlformats.org/officeDocument/2006/relationships/hyperlink" Target="http://www.sec.gov/Archives/edgar/data/871763/00008927121800030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2019-12-28T20:51:39Z</dcterms:created>
  <dcterms:modified xsi:type="dcterms:W3CDTF">2019-12-28T20:51:39Z</dcterms:modified>
</cp:coreProperties>
</file>