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706120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723265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right"/>
        <w:ind w:right="17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Proxy Statement Pursuant to Section 14(a) of the Securities</w:t>
      </w:r>
    </w:p>
    <w:p>
      <w:pPr>
        <w:sectPr>
          <w:pgSz w:w="11900" w:h="16838" w:orient="portrait"/>
          <w:cols w:equalWidth="0" w:num="1">
            <w:col w:w="10139"/>
          </w:cols>
          <w:pgMar w:left="320" w:top="1339" w:right="1440" w:bottom="1440" w:gutter="0" w:footer="0" w:header="0"/>
        </w:sectPr>
      </w:pP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Exchange Act of 1934</w:t>
      </w: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620" w:space="60"/>
            <w:col w:w="3459"/>
          </w:cols>
          <w:pgMar w:left="320" w:top="1339" w:right="1440" w:bottom="1440" w:gutter="0" w:footer="0" w:header="0"/>
          <w:type w:val="continuous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7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MANPOWERGROUP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40005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-120650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1525905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2156460</wp:posOffset>
            </wp:positionV>
            <wp:extent cx="7157720" cy="425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339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757555</wp:posOffset>
            </wp:positionV>
            <wp:extent cx="7157720" cy="84905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0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353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35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2025-03-06T15:56:46Z</dcterms:created>
  <dcterms:modified xsi:type="dcterms:W3CDTF">2025-03-06T15:56:46Z</dcterms:modified>
</cp:coreProperties>
</file>